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C9D1" w14:textId="77777777" w:rsidR="005C7ADC" w:rsidRPr="004B6D91" w:rsidRDefault="005C7ADC" w:rsidP="005C7ADC">
      <w:pPr>
        <w:shd w:val="clear" w:color="auto" w:fill="FFFFFF"/>
        <w:spacing w:after="0" w:line="240" w:lineRule="auto"/>
        <w:jc w:val="center"/>
        <w:rPr>
          <w:rFonts w:ascii="Times New Roman" w:eastAsia="Times New Roman" w:hAnsi="Times New Roman" w:cs="Times New Roman"/>
          <w:b/>
          <w:bCs/>
          <w:lang w:eastAsia="lv-LV"/>
        </w:rPr>
      </w:pPr>
      <w:r w:rsidRPr="004B6D91">
        <w:rPr>
          <w:rFonts w:ascii="Times New Roman" w:eastAsia="Times New Roman" w:hAnsi="Times New Roman" w:cs="Times New Roman"/>
          <w:b/>
          <w:bCs/>
          <w:lang w:eastAsia="lv-LV"/>
        </w:rPr>
        <w:t>Izziņa par atzinumos sniegtajiem iebildumiem</w:t>
      </w:r>
    </w:p>
    <w:p w14:paraId="2C9990CB" w14:textId="6D622E6D" w:rsidR="004A770C" w:rsidRPr="0067686F" w:rsidRDefault="00ED7A53" w:rsidP="005C7ADC">
      <w:pPr>
        <w:shd w:val="clear" w:color="auto" w:fill="FFFFFF"/>
        <w:spacing w:after="0" w:line="240" w:lineRule="auto"/>
        <w:jc w:val="center"/>
        <w:rPr>
          <w:rFonts w:ascii="Times New Roman" w:eastAsia="Times New Roman" w:hAnsi="Times New Roman" w:cs="Times New Roman"/>
          <w:b/>
          <w:bCs/>
          <w:lang w:eastAsia="lv-LV"/>
        </w:rPr>
      </w:pPr>
      <w:r w:rsidRPr="0067686F">
        <w:rPr>
          <w:rFonts w:ascii="Times New Roman" w:hAnsi="Times New Roman" w:cs="Times New Roman"/>
          <w:i/>
          <w:iCs/>
          <w:szCs w:val="24"/>
          <w:lang w:eastAsia="lv-LV"/>
        </w:rPr>
        <w:t>Ministru kabineta noteikumu projektu “Grozījumi Ministru kabineta 2016.gada 9.augusta noteikumos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w:t>
      </w:r>
    </w:p>
    <w:tbl>
      <w:tblPr>
        <w:tblW w:w="5000" w:type="pct"/>
        <w:tblCellMar>
          <w:top w:w="20" w:type="dxa"/>
          <w:left w:w="20" w:type="dxa"/>
          <w:bottom w:w="20" w:type="dxa"/>
          <w:right w:w="20" w:type="dxa"/>
        </w:tblCellMar>
        <w:tblLook w:val="04A0" w:firstRow="1" w:lastRow="0" w:firstColumn="1" w:lastColumn="0" w:noHBand="0" w:noVBand="1"/>
      </w:tblPr>
      <w:tblGrid>
        <w:gridCol w:w="13958"/>
      </w:tblGrid>
      <w:tr w:rsidR="00574613" w:rsidRPr="0067686F" w14:paraId="44F91490" w14:textId="77777777" w:rsidTr="004C7BFE">
        <w:trPr>
          <w:trHeight w:val="100"/>
        </w:trPr>
        <w:tc>
          <w:tcPr>
            <w:tcW w:w="0" w:type="auto"/>
            <w:tcBorders>
              <w:top w:val="nil"/>
              <w:left w:val="nil"/>
              <w:bottom w:val="single" w:sz="6" w:space="0" w:color="414142"/>
              <w:right w:val="nil"/>
            </w:tcBorders>
            <w:hideMark/>
          </w:tcPr>
          <w:p w14:paraId="33790672" w14:textId="444043FE" w:rsidR="004C7BFE" w:rsidRPr="0067686F" w:rsidRDefault="004C7BFE" w:rsidP="004C7BFE">
            <w:pPr>
              <w:spacing w:after="0" w:line="240" w:lineRule="auto"/>
              <w:rPr>
                <w:rFonts w:ascii="Times New Roman" w:eastAsia="Times New Roman" w:hAnsi="Times New Roman" w:cs="Times New Roman"/>
                <w:sz w:val="20"/>
                <w:szCs w:val="20"/>
                <w:lang w:eastAsia="lv-LV"/>
              </w:rPr>
            </w:pPr>
          </w:p>
        </w:tc>
      </w:tr>
      <w:tr w:rsidR="00574613" w:rsidRPr="00574613" w14:paraId="089C8699" w14:textId="77777777" w:rsidTr="004C7BFE">
        <w:tc>
          <w:tcPr>
            <w:tcW w:w="0" w:type="auto"/>
            <w:tcBorders>
              <w:top w:val="single" w:sz="6" w:space="0" w:color="414142"/>
              <w:left w:val="nil"/>
              <w:bottom w:val="nil"/>
              <w:right w:val="nil"/>
            </w:tcBorders>
            <w:hideMark/>
          </w:tcPr>
          <w:p w14:paraId="2296A74A"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(dokumenta veids un nosaukums)</w:t>
            </w:r>
          </w:p>
        </w:tc>
      </w:tr>
    </w:tbl>
    <w:p w14:paraId="77E43E58" w14:textId="77777777" w:rsidR="004C7BFE" w:rsidRPr="004B6D91"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4B6D91">
        <w:rPr>
          <w:rFonts w:ascii="Times New Roman" w:eastAsia="Times New Roman" w:hAnsi="Times New Roman" w:cs="Times New Roman"/>
          <w:b/>
          <w:bCs/>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98"/>
        <w:gridCol w:w="3067"/>
        <w:gridCol w:w="3067"/>
        <w:gridCol w:w="2928"/>
        <w:gridCol w:w="2370"/>
        <w:gridCol w:w="1812"/>
      </w:tblGrid>
      <w:tr w:rsidR="00574613" w:rsidRPr="00574613" w14:paraId="784EEBB1" w14:textId="77777777" w:rsidTr="004C7BFE">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0A38C0F7"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proofErr w:type="spellStart"/>
            <w:r w:rsidRPr="004B6D91">
              <w:rPr>
                <w:rFonts w:ascii="Times New Roman" w:eastAsia="Times New Roman" w:hAnsi="Times New Roman" w:cs="Times New Roman"/>
                <w:sz w:val="20"/>
                <w:szCs w:val="20"/>
                <w:lang w:eastAsia="lv-LV"/>
              </w:rPr>
              <w:t>Nr.p.k</w:t>
            </w:r>
            <w:proofErr w:type="spellEnd"/>
            <w:r w:rsidRPr="004B6D91">
              <w:rPr>
                <w:rFonts w:ascii="Times New Roman" w:eastAsia="Times New Roman" w:hAnsi="Times New Roman" w:cs="Times New Roman"/>
                <w:sz w:val="20"/>
                <w:szCs w:val="20"/>
                <w:lang w:eastAsia="lv-LV"/>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E4F751C"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94C818D"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712B18C"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33231F6"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B365A3"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Projekta attiecīgā punkta (panta) galīgā redakcija</w:t>
            </w:r>
          </w:p>
        </w:tc>
      </w:tr>
      <w:tr w:rsidR="00574613" w:rsidRPr="00574613" w14:paraId="14BED3AA" w14:textId="77777777" w:rsidTr="004C7BFE">
        <w:tc>
          <w:tcPr>
            <w:tcW w:w="250" w:type="pct"/>
            <w:tcBorders>
              <w:top w:val="outset" w:sz="6" w:space="0" w:color="414142"/>
              <w:left w:val="outset" w:sz="6" w:space="0" w:color="414142"/>
              <w:bottom w:val="outset" w:sz="6" w:space="0" w:color="414142"/>
              <w:right w:val="outset" w:sz="6" w:space="0" w:color="414142"/>
            </w:tcBorders>
            <w:hideMark/>
          </w:tcPr>
          <w:p w14:paraId="06B4CF1A"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179DE34"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1B4E4EDA"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2633D27F"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2D1F08B0"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A9D0468" w14:textId="77777777" w:rsidR="004C7BFE" w:rsidRPr="004B6D91" w:rsidRDefault="004C7BFE" w:rsidP="004C7BFE">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6</w:t>
            </w:r>
          </w:p>
        </w:tc>
      </w:tr>
      <w:tr w:rsidR="00574613" w:rsidRPr="00574613" w14:paraId="484C09D4" w14:textId="77777777" w:rsidTr="004C7BFE">
        <w:trPr>
          <w:trHeight w:val="200"/>
        </w:trPr>
        <w:tc>
          <w:tcPr>
            <w:tcW w:w="250" w:type="pct"/>
            <w:tcBorders>
              <w:top w:val="outset" w:sz="6" w:space="0" w:color="414142"/>
              <w:left w:val="outset" w:sz="6" w:space="0" w:color="414142"/>
              <w:bottom w:val="outset" w:sz="6" w:space="0" w:color="414142"/>
              <w:right w:val="outset" w:sz="6" w:space="0" w:color="414142"/>
            </w:tcBorders>
            <w:hideMark/>
          </w:tcPr>
          <w:p w14:paraId="77CAD7FA"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BCC8D01"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14A2A85"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54DEAEA"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939C822"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BF91DF"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r>
    </w:tbl>
    <w:p w14:paraId="68C70DD4" w14:textId="77777777" w:rsidR="004C7BFE" w:rsidRPr="004B6D91" w:rsidRDefault="004C7BFE" w:rsidP="00452EF3">
      <w:pPr>
        <w:shd w:val="clear" w:color="auto" w:fill="FFFFFF"/>
        <w:spacing w:after="0" w:line="293" w:lineRule="atLeast"/>
        <w:ind w:firstLine="300"/>
        <w:rPr>
          <w:rFonts w:ascii="Times New Roman" w:eastAsia="Times New Roman" w:hAnsi="Times New Roman" w:cs="Times New Roman"/>
          <w:b/>
          <w:bCs/>
          <w:sz w:val="20"/>
          <w:szCs w:val="20"/>
          <w:lang w:eastAsia="lv-LV"/>
        </w:rPr>
      </w:pPr>
      <w:r w:rsidRPr="004B6D91">
        <w:rPr>
          <w:rFonts w:ascii="Times New Roman" w:eastAsia="Times New Roman" w:hAnsi="Times New Roman" w:cs="Times New Roman"/>
          <w:b/>
          <w:bCs/>
          <w:sz w:val="20"/>
          <w:szCs w:val="20"/>
          <w:lang w:eastAsia="lv-LV"/>
        </w:rPr>
        <w:t xml:space="preserve">Informācija par </w:t>
      </w:r>
      <w:proofErr w:type="spellStart"/>
      <w:r w:rsidRPr="004B6D91">
        <w:rPr>
          <w:rFonts w:ascii="Times New Roman" w:eastAsia="Times New Roman" w:hAnsi="Times New Roman" w:cs="Times New Roman"/>
          <w:b/>
          <w:bCs/>
          <w:sz w:val="20"/>
          <w:szCs w:val="20"/>
          <w:lang w:eastAsia="lv-LV"/>
        </w:rPr>
        <w:t>starpministriju</w:t>
      </w:r>
      <w:proofErr w:type="spellEnd"/>
      <w:r w:rsidRPr="004B6D91">
        <w:rPr>
          <w:rFonts w:ascii="Times New Roman" w:eastAsia="Times New Roman" w:hAnsi="Times New Roman" w:cs="Times New Roman"/>
          <w:b/>
          <w:bCs/>
          <w:sz w:val="20"/>
          <w:szCs w:val="20"/>
          <w:lang w:eastAsia="lv-LV"/>
        </w:rPr>
        <w:t xml:space="preserve">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574613" w14:paraId="70D3FB62" w14:textId="77777777" w:rsidTr="00452EF3">
        <w:trPr>
          <w:trHeight w:val="114"/>
        </w:trPr>
        <w:tc>
          <w:tcPr>
            <w:tcW w:w="2742" w:type="pct"/>
            <w:tcBorders>
              <w:top w:val="nil"/>
              <w:left w:val="nil"/>
              <w:bottom w:val="nil"/>
              <w:right w:val="nil"/>
            </w:tcBorders>
            <w:noWrap/>
            <w:vAlign w:val="bottom"/>
            <w:hideMark/>
          </w:tcPr>
          <w:p w14:paraId="376A7441"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Datums</w:t>
            </w:r>
          </w:p>
        </w:tc>
        <w:tc>
          <w:tcPr>
            <w:tcW w:w="2258" w:type="pct"/>
            <w:tcBorders>
              <w:top w:val="nil"/>
              <w:left w:val="nil"/>
              <w:bottom w:val="single" w:sz="6" w:space="0" w:color="414142"/>
              <w:right w:val="nil"/>
            </w:tcBorders>
            <w:hideMark/>
          </w:tcPr>
          <w:p w14:paraId="4B59405D" w14:textId="77777777" w:rsidR="00A712D5"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p w14:paraId="17AD4FB3" w14:textId="7157A931" w:rsidR="00B01A60" w:rsidRDefault="00FC327D" w:rsidP="004C7BF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26.02.2021</w:t>
            </w:r>
            <w:r w:rsidR="00D02138">
              <w:rPr>
                <w:rFonts w:ascii="Times New Roman" w:eastAsia="Times New Roman" w:hAnsi="Times New Roman" w:cs="Times New Roman"/>
                <w:sz w:val="20"/>
                <w:szCs w:val="20"/>
                <w:lang w:eastAsia="lv-LV"/>
              </w:rPr>
              <w:t xml:space="preserve">; </w:t>
            </w:r>
            <w:r w:rsidR="00C444CC">
              <w:rPr>
                <w:rFonts w:ascii="Times New Roman" w:eastAsia="Times New Roman" w:hAnsi="Times New Roman" w:cs="Times New Roman"/>
                <w:sz w:val="20"/>
                <w:szCs w:val="20"/>
                <w:lang w:eastAsia="lv-LV"/>
              </w:rPr>
              <w:t>17.</w:t>
            </w:r>
            <w:r>
              <w:rPr>
                <w:rFonts w:ascii="Times New Roman" w:eastAsia="Times New Roman" w:hAnsi="Times New Roman" w:cs="Times New Roman"/>
                <w:sz w:val="20"/>
                <w:szCs w:val="20"/>
                <w:lang w:eastAsia="lv-LV"/>
              </w:rPr>
              <w:t>03.2021</w:t>
            </w:r>
            <w:r w:rsidR="00C444CC">
              <w:rPr>
                <w:rFonts w:ascii="Times New Roman" w:eastAsia="Times New Roman" w:hAnsi="Times New Roman" w:cs="Times New Roman"/>
                <w:sz w:val="20"/>
                <w:szCs w:val="20"/>
                <w:lang w:eastAsia="lv-LV"/>
              </w:rPr>
              <w:t xml:space="preserve">; </w:t>
            </w:r>
            <w:r w:rsidR="00B01A60">
              <w:rPr>
                <w:rFonts w:ascii="Times New Roman" w:eastAsia="Times New Roman" w:hAnsi="Times New Roman" w:cs="Times New Roman"/>
                <w:sz w:val="20"/>
                <w:szCs w:val="20"/>
                <w:lang w:eastAsia="lv-LV"/>
              </w:rPr>
              <w:t xml:space="preserve"> </w:t>
            </w:r>
            <w:r w:rsidR="00B314A7">
              <w:rPr>
                <w:rFonts w:ascii="Times New Roman" w:eastAsia="Times New Roman" w:hAnsi="Times New Roman" w:cs="Times New Roman"/>
                <w:sz w:val="20"/>
                <w:szCs w:val="20"/>
                <w:lang w:eastAsia="lv-LV"/>
              </w:rPr>
              <w:t>2</w:t>
            </w:r>
            <w:r w:rsidR="00F73595">
              <w:rPr>
                <w:rFonts w:ascii="Times New Roman" w:eastAsia="Times New Roman" w:hAnsi="Times New Roman" w:cs="Times New Roman"/>
                <w:sz w:val="20"/>
                <w:szCs w:val="20"/>
                <w:lang w:eastAsia="lv-LV"/>
              </w:rPr>
              <w:t>7</w:t>
            </w:r>
            <w:r w:rsidR="00B314A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04.2021</w:t>
            </w:r>
            <w:r w:rsidR="00F73595">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13.05.2021</w:t>
            </w:r>
            <w:r w:rsidR="00886038">
              <w:rPr>
                <w:rFonts w:ascii="Times New Roman" w:eastAsia="Times New Roman" w:hAnsi="Times New Roman" w:cs="Times New Roman"/>
                <w:sz w:val="20"/>
                <w:szCs w:val="20"/>
                <w:lang w:eastAsia="lv-LV"/>
              </w:rPr>
              <w:t xml:space="preserve">; </w:t>
            </w:r>
            <w:r w:rsidR="005C4F53">
              <w:rPr>
                <w:rFonts w:ascii="Times New Roman" w:eastAsia="Times New Roman" w:hAnsi="Times New Roman" w:cs="Times New Roman"/>
                <w:sz w:val="20"/>
                <w:szCs w:val="20"/>
                <w:lang w:eastAsia="lv-LV"/>
              </w:rPr>
              <w:t>25.05.2021</w:t>
            </w:r>
            <w:r w:rsidR="007C5B4C">
              <w:rPr>
                <w:rFonts w:ascii="Times New Roman" w:eastAsia="Times New Roman" w:hAnsi="Times New Roman" w:cs="Times New Roman"/>
                <w:sz w:val="20"/>
                <w:szCs w:val="20"/>
                <w:lang w:eastAsia="lv-LV"/>
              </w:rPr>
              <w:t>.</w:t>
            </w:r>
            <w:r w:rsidR="00F73595">
              <w:rPr>
                <w:rFonts w:ascii="Times New Roman" w:eastAsia="Times New Roman" w:hAnsi="Times New Roman" w:cs="Times New Roman"/>
                <w:sz w:val="20"/>
                <w:szCs w:val="20"/>
                <w:lang w:eastAsia="lv-LV"/>
              </w:rPr>
              <w:t xml:space="preserve"> </w:t>
            </w:r>
            <w:r w:rsidR="00B01A60">
              <w:rPr>
                <w:rFonts w:ascii="Times New Roman" w:eastAsia="Times New Roman" w:hAnsi="Times New Roman" w:cs="Times New Roman"/>
                <w:sz w:val="20"/>
                <w:szCs w:val="20"/>
                <w:lang w:eastAsia="lv-LV"/>
              </w:rPr>
              <w:t>elektroniskā saskaņoš</w:t>
            </w:r>
            <w:r>
              <w:rPr>
                <w:rFonts w:ascii="Times New Roman" w:eastAsia="Times New Roman" w:hAnsi="Times New Roman" w:cs="Times New Roman"/>
                <w:sz w:val="20"/>
                <w:szCs w:val="20"/>
                <w:lang w:eastAsia="lv-LV"/>
              </w:rPr>
              <w:t>anas.</w:t>
            </w:r>
          </w:p>
          <w:p w14:paraId="09FAAD38" w14:textId="6B04447D" w:rsidR="004C7BFE" w:rsidRPr="004B6D91" w:rsidRDefault="004C7BFE" w:rsidP="004C7BFE">
            <w:pPr>
              <w:spacing w:after="0" w:line="240" w:lineRule="auto"/>
              <w:rPr>
                <w:rFonts w:ascii="Times New Roman" w:eastAsia="Times New Roman" w:hAnsi="Times New Roman" w:cs="Times New Roman"/>
                <w:sz w:val="20"/>
                <w:szCs w:val="20"/>
                <w:lang w:eastAsia="lv-LV"/>
              </w:rPr>
            </w:pPr>
          </w:p>
        </w:tc>
      </w:tr>
      <w:tr w:rsidR="00574613" w:rsidRPr="00574613" w14:paraId="44960C2A" w14:textId="77777777" w:rsidTr="00452EF3">
        <w:trPr>
          <w:trHeight w:val="200"/>
        </w:trPr>
        <w:tc>
          <w:tcPr>
            <w:tcW w:w="2742" w:type="pct"/>
            <w:tcBorders>
              <w:top w:val="nil"/>
              <w:left w:val="nil"/>
              <w:bottom w:val="nil"/>
              <w:right w:val="nil"/>
            </w:tcBorders>
            <w:noWrap/>
            <w:vAlign w:val="bottom"/>
            <w:hideMark/>
          </w:tcPr>
          <w:p w14:paraId="0F5FC7BB"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c>
          <w:tcPr>
            <w:tcW w:w="2258" w:type="pct"/>
            <w:tcBorders>
              <w:top w:val="single" w:sz="6" w:space="0" w:color="414142"/>
              <w:left w:val="nil"/>
              <w:bottom w:val="nil"/>
              <w:right w:val="nil"/>
            </w:tcBorders>
            <w:hideMark/>
          </w:tcPr>
          <w:p w14:paraId="687DFE6A"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r>
      <w:tr w:rsidR="00574613" w:rsidRPr="00574613" w14:paraId="2A58D9E7" w14:textId="77777777" w:rsidTr="00452EF3">
        <w:tc>
          <w:tcPr>
            <w:tcW w:w="2742" w:type="pct"/>
            <w:tcBorders>
              <w:top w:val="nil"/>
              <w:left w:val="nil"/>
              <w:bottom w:val="nil"/>
              <w:right w:val="nil"/>
            </w:tcBorders>
            <w:noWrap/>
            <w:vAlign w:val="bottom"/>
            <w:hideMark/>
          </w:tcPr>
          <w:p w14:paraId="4B5D7110"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Saskaņošanas dalībnieki</w:t>
            </w:r>
          </w:p>
        </w:tc>
        <w:tc>
          <w:tcPr>
            <w:tcW w:w="2258" w:type="pct"/>
            <w:tcBorders>
              <w:top w:val="nil"/>
              <w:left w:val="nil"/>
              <w:bottom w:val="single" w:sz="6" w:space="0" w:color="414142"/>
              <w:right w:val="nil"/>
            </w:tcBorders>
            <w:hideMark/>
          </w:tcPr>
          <w:p w14:paraId="5AC7496E" w14:textId="085D6472" w:rsidR="004C7BFE" w:rsidRPr="00ED7A53" w:rsidRDefault="00ED7A53" w:rsidP="004C7BF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Finanšu ministrija, Tieslietu ministrija, Aizsardzības ministrija, </w:t>
            </w:r>
            <w:proofErr w:type="spellStart"/>
            <w:r>
              <w:rPr>
                <w:rFonts w:ascii="Times New Roman" w:eastAsia="Times New Roman" w:hAnsi="Times New Roman" w:cs="Times New Roman"/>
                <w:sz w:val="20"/>
                <w:szCs w:val="20"/>
                <w:lang w:eastAsia="lv-LV"/>
              </w:rPr>
              <w:t>Iekšlietu</w:t>
            </w:r>
            <w:proofErr w:type="spellEnd"/>
            <w:r>
              <w:rPr>
                <w:rFonts w:ascii="Times New Roman" w:eastAsia="Times New Roman" w:hAnsi="Times New Roman" w:cs="Times New Roman"/>
                <w:sz w:val="20"/>
                <w:szCs w:val="20"/>
                <w:lang w:eastAsia="lv-LV"/>
              </w:rPr>
              <w:t xml:space="preserve"> ministrija, Izglītības un zinātnes ministrija, Kultūras ministrija, Zemkopības ministrija, Labklājības ministrija, Valsts akciju sabiedrība “Valsts nekustamie īpašumi”</w:t>
            </w:r>
          </w:p>
        </w:tc>
      </w:tr>
      <w:tr w:rsidR="004C7BFE" w:rsidRPr="00574613" w14:paraId="75834824" w14:textId="77777777" w:rsidTr="00452EF3">
        <w:trPr>
          <w:gridAfter w:val="1"/>
          <w:wAfter w:w="2258" w:type="pct"/>
          <w:trHeight w:val="150"/>
        </w:trPr>
        <w:tc>
          <w:tcPr>
            <w:tcW w:w="2742" w:type="pct"/>
            <w:tcBorders>
              <w:top w:val="nil"/>
              <w:left w:val="nil"/>
              <w:bottom w:val="nil"/>
              <w:right w:val="nil"/>
            </w:tcBorders>
            <w:hideMark/>
          </w:tcPr>
          <w:p w14:paraId="1B7D52A3"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r>
    </w:tbl>
    <w:p w14:paraId="487391C7" w14:textId="77777777" w:rsidR="004C7BFE" w:rsidRPr="004B6D91" w:rsidRDefault="004C7BFE" w:rsidP="004C7BFE">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574613" w14:paraId="0D507411" w14:textId="77777777" w:rsidTr="00C3601C">
        <w:trPr>
          <w:trHeight w:val="200"/>
        </w:trPr>
        <w:tc>
          <w:tcPr>
            <w:tcW w:w="2742" w:type="pct"/>
            <w:tcBorders>
              <w:top w:val="nil"/>
              <w:left w:val="nil"/>
              <w:bottom w:val="nil"/>
              <w:right w:val="nil"/>
            </w:tcBorders>
            <w:vAlign w:val="bottom"/>
            <w:hideMark/>
          </w:tcPr>
          <w:p w14:paraId="14AC4D25"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Saskaņošanas dalībnieki izskatīja šādu ministriju (citu institūciju) iebildumus</w:t>
            </w:r>
          </w:p>
        </w:tc>
        <w:tc>
          <w:tcPr>
            <w:tcW w:w="2258" w:type="pct"/>
            <w:tcBorders>
              <w:top w:val="nil"/>
              <w:left w:val="nil"/>
              <w:bottom w:val="single" w:sz="6" w:space="0" w:color="414142"/>
              <w:right w:val="nil"/>
            </w:tcBorders>
            <w:hideMark/>
          </w:tcPr>
          <w:p w14:paraId="311853B7" w14:textId="7FB080F3" w:rsidR="004C7BFE" w:rsidRPr="00ED7A53" w:rsidRDefault="00ED7A53" w:rsidP="004C7BF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Finanšu ministrija, Tieslietu ministrija, Izglītības un zinātnes ministrija, Kultūras ministrija, Zemkopības ministrija, Labklājības ministrija, Valsts akciju sabiedrība “Valsts nekustamie īpašumi”</w:t>
            </w:r>
          </w:p>
        </w:tc>
      </w:tr>
      <w:tr w:rsidR="00574613" w:rsidRPr="00574613" w14:paraId="54C8E77F" w14:textId="77777777" w:rsidTr="00C3601C">
        <w:trPr>
          <w:trHeight w:val="153"/>
        </w:trPr>
        <w:tc>
          <w:tcPr>
            <w:tcW w:w="0" w:type="auto"/>
            <w:gridSpan w:val="2"/>
            <w:tcBorders>
              <w:top w:val="nil"/>
              <w:left w:val="nil"/>
              <w:bottom w:val="nil"/>
              <w:right w:val="nil"/>
            </w:tcBorders>
            <w:vAlign w:val="bottom"/>
            <w:hideMark/>
          </w:tcPr>
          <w:p w14:paraId="32C543DB" w14:textId="10F96428"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tc>
      </w:tr>
      <w:tr w:rsidR="00574613" w:rsidRPr="00574613" w14:paraId="2A077ECD" w14:textId="77777777" w:rsidTr="00C3601C">
        <w:trPr>
          <w:trHeight w:val="200"/>
        </w:trPr>
        <w:tc>
          <w:tcPr>
            <w:tcW w:w="2742" w:type="pct"/>
            <w:tcBorders>
              <w:top w:val="nil"/>
              <w:left w:val="nil"/>
              <w:bottom w:val="nil"/>
              <w:right w:val="nil"/>
            </w:tcBorders>
            <w:vAlign w:val="bottom"/>
            <w:hideMark/>
          </w:tcPr>
          <w:p w14:paraId="3A65E328" w14:textId="77777777" w:rsidR="004C7BFE" w:rsidRPr="004B6D91" w:rsidRDefault="004C7BFE"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2258" w:type="pct"/>
            <w:tcBorders>
              <w:top w:val="nil"/>
              <w:left w:val="nil"/>
              <w:bottom w:val="single" w:sz="6" w:space="0" w:color="414142"/>
              <w:right w:val="nil"/>
            </w:tcBorders>
            <w:hideMark/>
          </w:tcPr>
          <w:p w14:paraId="71C83E35" w14:textId="442D4229" w:rsidR="004C7BFE" w:rsidRPr="004B6D91" w:rsidRDefault="004C7BFE" w:rsidP="004C7BFE">
            <w:pPr>
              <w:spacing w:after="0" w:line="240" w:lineRule="auto"/>
              <w:rPr>
                <w:rFonts w:ascii="Times New Roman" w:eastAsia="Times New Roman" w:hAnsi="Times New Roman" w:cs="Times New Roman"/>
                <w:sz w:val="20"/>
                <w:szCs w:val="20"/>
                <w:u w:val="single"/>
                <w:lang w:eastAsia="lv-LV"/>
              </w:rPr>
            </w:pPr>
            <w:r w:rsidRPr="004B6D91">
              <w:rPr>
                <w:rFonts w:ascii="Times New Roman" w:eastAsia="Times New Roman" w:hAnsi="Times New Roman" w:cs="Times New Roman"/>
                <w:sz w:val="20"/>
                <w:szCs w:val="20"/>
                <w:lang w:eastAsia="lv-LV"/>
              </w:rPr>
              <w:t> </w:t>
            </w:r>
          </w:p>
        </w:tc>
      </w:tr>
      <w:tr w:rsidR="00574613" w:rsidRPr="00574613" w14:paraId="209216A6" w14:textId="77777777" w:rsidTr="00C3601C">
        <w:trPr>
          <w:gridAfter w:val="1"/>
          <w:wAfter w:w="2258" w:type="pct"/>
          <w:trHeight w:val="200"/>
        </w:trPr>
        <w:tc>
          <w:tcPr>
            <w:tcW w:w="2742" w:type="pct"/>
            <w:tcBorders>
              <w:top w:val="nil"/>
              <w:left w:val="nil"/>
              <w:bottom w:val="nil"/>
              <w:right w:val="nil"/>
            </w:tcBorders>
            <w:vAlign w:val="bottom"/>
            <w:hideMark/>
          </w:tcPr>
          <w:p w14:paraId="058ACD96" w14:textId="7201F8B9" w:rsidR="00060620" w:rsidRDefault="0006153A" w:rsidP="004C7BFE">
            <w:pPr>
              <w:spacing w:after="0" w:line="240" w:lineRule="auto"/>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w:t>
            </w:r>
          </w:p>
          <w:p w14:paraId="7C984893" w14:textId="3A4C6503" w:rsidR="00060620" w:rsidRPr="004B6D91" w:rsidRDefault="00060620" w:rsidP="004C7BFE">
            <w:pPr>
              <w:spacing w:after="0" w:line="240" w:lineRule="auto"/>
              <w:rPr>
                <w:rFonts w:ascii="Times New Roman" w:eastAsia="Times New Roman" w:hAnsi="Times New Roman" w:cs="Times New Roman"/>
                <w:sz w:val="20"/>
                <w:szCs w:val="20"/>
                <w:lang w:eastAsia="lv-LV"/>
              </w:rPr>
            </w:pPr>
          </w:p>
        </w:tc>
      </w:tr>
    </w:tbl>
    <w:p w14:paraId="4C4B57D3" w14:textId="02ECAA01" w:rsidR="004C7BFE"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4B6D91">
        <w:rPr>
          <w:rFonts w:ascii="Times New Roman" w:eastAsia="Times New Roman" w:hAnsi="Times New Roman" w:cs="Times New Roman"/>
          <w:b/>
          <w:bCs/>
          <w:sz w:val="20"/>
          <w:szCs w:val="20"/>
          <w:lang w:eastAsia="lv-LV"/>
        </w:rPr>
        <w:t>II. Jautājumi, par kuriem saskaņošanā vienošanās ir panākta</w:t>
      </w:r>
    </w:p>
    <w:p w14:paraId="4C42A0A2" w14:textId="33195081" w:rsidR="00C90ECE" w:rsidRDefault="00C90EC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694"/>
        <w:gridCol w:w="1849"/>
        <w:gridCol w:w="4679"/>
        <w:gridCol w:w="1985"/>
        <w:gridCol w:w="4735"/>
      </w:tblGrid>
      <w:tr w:rsidR="00C90ECE" w:rsidRPr="004B6D91" w14:paraId="1B153F46" w14:textId="77777777" w:rsidTr="00C90ECE">
        <w:tc>
          <w:tcPr>
            <w:tcW w:w="249" w:type="pct"/>
            <w:tcBorders>
              <w:top w:val="outset" w:sz="6" w:space="0" w:color="414142"/>
              <w:left w:val="outset" w:sz="6" w:space="0" w:color="414142"/>
              <w:bottom w:val="outset" w:sz="6" w:space="0" w:color="414142"/>
              <w:right w:val="outset" w:sz="6" w:space="0" w:color="414142"/>
            </w:tcBorders>
            <w:noWrap/>
            <w:vAlign w:val="center"/>
          </w:tcPr>
          <w:p w14:paraId="39F5C413" w14:textId="77777777" w:rsidR="00C90ECE" w:rsidRDefault="00C90ECE" w:rsidP="001445D7">
            <w:pPr>
              <w:spacing w:after="0" w:line="240" w:lineRule="auto"/>
              <w:jc w:val="center"/>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Nr.p</w:t>
            </w:r>
            <w:proofErr w:type="spellEnd"/>
            <w:r>
              <w:rPr>
                <w:rFonts w:ascii="Times New Roman" w:eastAsia="Times New Roman" w:hAnsi="Times New Roman" w:cs="Times New Roman"/>
                <w:sz w:val="20"/>
                <w:szCs w:val="20"/>
                <w:lang w:eastAsia="lv-LV"/>
              </w:rPr>
              <w:t>.</w:t>
            </w:r>
          </w:p>
          <w:p w14:paraId="246FDE5A"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72B1E72D"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Saskaņošanai nosūtītā projekta redakcija (konkrēta punkta (panta) redakcija)</w:t>
            </w:r>
          </w:p>
        </w:tc>
        <w:tc>
          <w:tcPr>
            <w:tcW w:w="1678" w:type="pct"/>
            <w:tcBorders>
              <w:top w:val="outset" w:sz="6" w:space="0" w:color="414142"/>
              <w:left w:val="outset" w:sz="6" w:space="0" w:color="414142"/>
              <w:bottom w:val="outset" w:sz="6" w:space="0" w:color="414142"/>
              <w:right w:val="outset" w:sz="6" w:space="0" w:color="414142"/>
            </w:tcBorders>
            <w:vAlign w:val="center"/>
            <w:hideMark/>
          </w:tcPr>
          <w:p w14:paraId="2DFEAA4D"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DD816AE"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 xml:space="preserve">Atbildīgās ministrijas norāde par to, ka iebildums ir ņemts vērā, vai informācija par </w:t>
            </w:r>
            <w:r w:rsidRPr="004B6D91">
              <w:rPr>
                <w:rFonts w:ascii="Times New Roman" w:eastAsia="Times New Roman" w:hAnsi="Times New Roman" w:cs="Times New Roman"/>
                <w:sz w:val="20"/>
                <w:szCs w:val="20"/>
                <w:lang w:eastAsia="lv-LV"/>
              </w:rPr>
              <w:lastRenderedPageBreak/>
              <w:t>saskaņošanā panākto alternatīvo risinājumu</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05EAC85D"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lastRenderedPageBreak/>
              <w:t>Projekta attiecīgā punkta (panta) galīgā redakcija</w:t>
            </w:r>
          </w:p>
        </w:tc>
      </w:tr>
      <w:tr w:rsidR="00C90ECE" w:rsidRPr="004B6D91" w14:paraId="17A2B306" w14:textId="77777777" w:rsidTr="00C90ECE">
        <w:tc>
          <w:tcPr>
            <w:tcW w:w="249" w:type="pct"/>
            <w:tcBorders>
              <w:top w:val="outset" w:sz="6" w:space="0" w:color="414142"/>
              <w:left w:val="outset" w:sz="6" w:space="0" w:color="414142"/>
              <w:bottom w:val="outset" w:sz="6" w:space="0" w:color="414142"/>
              <w:right w:val="outset" w:sz="6" w:space="0" w:color="414142"/>
            </w:tcBorders>
            <w:noWrap/>
            <w:vAlign w:val="center"/>
          </w:tcPr>
          <w:p w14:paraId="19292FB5"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5C17ECF9"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2</w:t>
            </w:r>
          </w:p>
        </w:tc>
        <w:tc>
          <w:tcPr>
            <w:tcW w:w="1678" w:type="pct"/>
            <w:tcBorders>
              <w:top w:val="outset" w:sz="6" w:space="0" w:color="414142"/>
              <w:left w:val="outset" w:sz="6" w:space="0" w:color="414142"/>
              <w:bottom w:val="outset" w:sz="6" w:space="0" w:color="414142"/>
              <w:right w:val="outset" w:sz="6" w:space="0" w:color="414142"/>
            </w:tcBorders>
            <w:vAlign w:val="center"/>
            <w:hideMark/>
          </w:tcPr>
          <w:p w14:paraId="1CEAEB78"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3</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7B581A5B"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4</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7DF804FF" w14:textId="77777777" w:rsidR="00C90ECE" w:rsidRDefault="00C90ECE" w:rsidP="001445D7">
            <w:pPr>
              <w:spacing w:after="0" w:line="240" w:lineRule="auto"/>
              <w:jc w:val="center"/>
              <w:rPr>
                <w:rFonts w:ascii="Times New Roman" w:eastAsia="Times New Roman" w:hAnsi="Times New Roman" w:cs="Times New Roman"/>
                <w:sz w:val="20"/>
                <w:szCs w:val="20"/>
                <w:lang w:eastAsia="lv-LV"/>
              </w:rPr>
            </w:pPr>
            <w:r w:rsidRPr="004B6D91">
              <w:rPr>
                <w:rFonts w:ascii="Times New Roman" w:eastAsia="Times New Roman" w:hAnsi="Times New Roman" w:cs="Times New Roman"/>
                <w:sz w:val="20"/>
                <w:szCs w:val="20"/>
                <w:lang w:eastAsia="lv-LV"/>
              </w:rPr>
              <w:t>5</w:t>
            </w:r>
          </w:p>
          <w:p w14:paraId="2EE4B93A" w14:textId="77777777" w:rsidR="00C90ECE" w:rsidRPr="004B6D91" w:rsidRDefault="00C90ECE" w:rsidP="001445D7">
            <w:pPr>
              <w:spacing w:after="0" w:line="240" w:lineRule="auto"/>
              <w:jc w:val="center"/>
              <w:rPr>
                <w:rFonts w:ascii="Times New Roman" w:eastAsia="Times New Roman" w:hAnsi="Times New Roman" w:cs="Times New Roman"/>
                <w:sz w:val="20"/>
                <w:szCs w:val="20"/>
                <w:lang w:eastAsia="lv-LV"/>
              </w:rPr>
            </w:pPr>
          </w:p>
        </w:tc>
      </w:tr>
      <w:tr w:rsidR="00282431" w:rsidRPr="00574613" w14:paraId="26FD6EBA" w14:textId="77777777" w:rsidTr="00AF7AC3">
        <w:trPr>
          <w:trHeight w:val="130"/>
        </w:trPr>
        <w:tc>
          <w:tcPr>
            <w:tcW w:w="249" w:type="pct"/>
            <w:tcBorders>
              <w:top w:val="outset" w:sz="6" w:space="0" w:color="414142"/>
              <w:left w:val="outset" w:sz="6" w:space="0" w:color="414142"/>
              <w:bottom w:val="single" w:sz="4" w:space="0" w:color="auto"/>
              <w:right w:val="outset" w:sz="6" w:space="0" w:color="414142"/>
            </w:tcBorders>
            <w:noWrap/>
            <w:vAlign w:val="center"/>
          </w:tcPr>
          <w:p w14:paraId="3A86FB59" w14:textId="595E9A82" w:rsidR="00282431" w:rsidRDefault="00530447" w:rsidP="0028243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p w14:paraId="0175197D" w14:textId="75438660" w:rsidR="00282431" w:rsidRPr="004B6D91" w:rsidRDefault="00282431" w:rsidP="00282431">
            <w:pPr>
              <w:spacing w:after="0" w:line="240" w:lineRule="auto"/>
              <w:rPr>
                <w:rFonts w:ascii="Times New Roman" w:eastAsia="Times New Roman" w:hAnsi="Times New Roman" w:cs="Times New Roman"/>
                <w:sz w:val="20"/>
                <w:szCs w:val="20"/>
                <w:lang w:eastAsia="lv-LV"/>
              </w:rPr>
            </w:pPr>
          </w:p>
        </w:tc>
        <w:tc>
          <w:tcPr>
            <w:tcW w:w="663" w:type="pct"/>
            <w:tcBorders>
              <w:top w:val="outset" w:sz="6" w:space="0" w:color="414142"/>
              <w:left w:val="outset" w:sz="6" w:space="0" w:color="414142"/>
              <w:bottom w:val="single" w:sz="4" w:space="0" w:color="auto"/>
              <w:right w:val="outset" w:sz="6" w:space="0" w:color="414142"/>
            </w:tcBorders>
            <w:vAlign w:val="center"/>
          </w:tcPr>
          <w:p w14:paraId="045F901A" w14:textId="650C1694"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c>
          <w:tcPr>
            <w:tcW w:w="1678" w:type="pct"/>
            <w:tcBorders>
              <w:top w:val="outset" w:sz="6" w:space="0" w:color="414142"/>
              <w:left w:val="outset" w:sz="6" w:space="0" w:color="414142"/>
              <w:bottom w:val="single" w:sz="4" w:space="0" w:color="auto"/>
              <w:right w:val="outset" w:sz="6" w:space="0" w:color="414142"/>
            </w:tcBorders>
            <w:vAlign w:val="center"/>
          </w:tcPr>
          <w:p w14:paraId="76A2F55E" w14:textId="13493BCB" w:rsidR="00282431" w:rsidRPr="00DB50CA" w:rsidRDefault="00282431" w:rsidP="00282431">
            <w:pPr>
              <w:spacing w:after="0" w:line="240" w:lineRule="auto"/>
              <w:jc w:val="center"/>
              <w:rPr>
                <w:rFonts w:ascii="Times New Roman" w:eastAsia="Times New Roman" w:hAnsi="Times New Roman" w:cs="Times New Roman"/>
                <w:b/>
                <w:bCs/>
                <w:sz w:val="24"/>
                <w:szCs w:val="24"/>
                <w:lang w:eastAsia="lv-LV"/>
              </w:rPr>
            </w:pPr>
            <w:r w:rsidRPr="00DB50CA">
              <w:rPr>
                <w:rFonts w:ascii="Times New Roman" w:eastAsia="Times New Roman" w:hAnsi="Times New Roman" w:cs="Times New Roman"/>
                <w:b/>
                <w:bCs/>
                <w:sz w:val="24"/>
                <w:szCs w:val="24"/>
                <w:lang w:eastAsia="lv-LV"/>
              </w:rPr>
              <w:t>IEBILDUMI  26.02.2021.</w:t>
            </w:r>
          </w:p>
          <w:p w14:paraId="2DB9F865" w14:textId="333DBB97" w:rsidR="00282431" w:rsidRPr="00282431" w:rsidRDefault="00282431" w:rsidP="00282431">
            <w:pPr>
              <w:spacing w:after="0" w:line="240" w:lineRule="auto"/>
              <w:jc w:val="center"/>
              <w:rPr>
                <w:rFonts w:ascii="Times New Roman" w:eastAsia="Times New Roman" w:hAnsi="Times New Roman" w:cs="Times New Roman"/>
                <w:b/>
                <w:bCs/>
                <w:sz w:val="20"/>
                <w:szCs w:val="20"/>
                <w:lang w:eastAsia="lv-LV"/>
              </w:rPr>
            </w:pPr>
            <w:r w:rsidRPr="00282431">
              <w:rPr>
                <w:rFonts w:ascii="Times New Roman" w:eastAsia="Times New Roman" w:hAnsi="Times New Roman" w:cs="Times New Roman"/>
                <w:b/>
                <w:bCs/>
                <w:sz w:val="20"/>
                <w:szCs w:val="20"/>
                <w:lang w:eastAsia="lv-LV"/>
              </w:rPr>
              <w:t>Finanšu ministrija</w:t>
            </w:r>
          </w:p>
          <w:p w14:paraId="366F90B7" w14:textId="77777777" w:rsidR="00282431" w:rsidRPr="00282431" w:rsidRDefault="00282431" w:rsidP="00282431">
            <w:pPr>
              <w:spacing w:after="0" w:line="240" w:lineRule="auto"/>
              <w:jc w:val="both"/>
              <w:rPr>
                <w:rFonts w:ascii="Times New Roman" w:hAnsi="Times New Roman" w:cs="Times New Roman"/>
                <w:sz w:val="20"/>
                <w:szCs w:val="20"/>
                <w:lang w:eastAsia="lv-LV"/>
              </w:rPr>
            </w:pPr>
            <w:r w:rsidRPr="00282431">
              <w:rPr>
                <w:rFonts w:ascii="Times New Roman" w:hAnsi="Times New Roman" w:cs="Times New Roman"/>
                <w:sz w:val="20"/>
                <w:szCs w:val="20"/>
                <w:lang w:eastAsia="lv-LV"/>
              </w:rPr>
              <w:t>Lūdzam izvērtēt nepieciešamību precizēt noteikumu projekta 1., 2. un 3.punktu, kā arī lūdzam papildināt anotāciju ar detalizētu un izsekojamu informāciju par pielietotajiem koeficientiem pie jauno rādītāju vērtību aprēķināšanas, ņemot vērā, ka iznākuma rādītāji tiek aprēķināti proporcionāli pasākuma pirmās kārtas īstenošanas piešķirtajam finansējuma apmēram. Vēršam uzmanību, ka šobrīd norādītās 4.2.1.2.pasākuma</w:t>
            </w:r>
            <w:r w:rsidRPr="00282431">
              <w:rPr>
                <w:rStyle w:val="FootnoteReference"/>
                <w:rFonts w:cs="Times New Roman"/>
                <w:sz w:val="20"/>
                <w:szCs w:val="20"/>
                <w:lang w:eastAsia="lv-LV"/>
              </w:rPr>
              <w:footnoteReference w:id="2"/>
            </w:r>
            <w:r w:rsidRPr="00282431">
              <w:rPr>
                <w:rFonts w:ascii="Times New Roman" w:hAnsi="Times New Roman" w:cs="Times New Roman"/>
                <w:sz w:val="20"/>
                <w:szCs w:val="20"/>
                <w:lang w:eastAsia="lv-LV"/>
              </w:rPr>
              <w:t xml:space="preserve"> 1.kārtas vērtības summējot ar 4.2.1.2.pasākuma 2. kārtas vērtībām un 4.2.1.1.pasākuma</w:t>
            </w:r>
            <w:r w:rsidRPr="00282431">
              <w:rPr>
                <w:rStyle w:val="FootnoteReference"/>
                <w:rFonts w:cs="Times New Roman"/>
                <w:sz w:val="20"/>
                <w:szCs w:val="20"/>
                <w:lang w:eastAsia="lv-LV"/>
              </w:rPr>
              <w:footnoteReference w:id="3"/>
            </w:r>
            <w:r w:rsidRPr="00282431">
              <w:rPr>
                <w:rFonts w:ascii="Times New Roman" w:hAnsi="Times New Roman" w:cs="Times New Roman"/>
                <w:sz w:val="20"/>
                <w:szCs w:val="20"/>
                <w:lang w:eastAsia="lv-LV"/>
              </w:rPr>
              <w:t xml:space="preserve"> uzraudzības rādītāju vērtībām nav atbilstošas darbības programmā “Izaugsme un nodarbinātība” norādītājām vērtībām.  </w:t>
            </w:r>
          </w:p>
          <w:p w14:paraId="6127F80E" w14:textId="48DD18C5" w:rsidR="00282431" w:rsidRPr="00282431" w:rsidRDefault="00282431" w:rsidP="00282431">
            <w:pPr>
              <w:spacing w:after="0" w:line="240" w:lineRule="auto"/>
              <w:jc w:val="both"/>
              <w:rPr>
                <w:rFonts w:ascii="Times New Roman" w:eastAsia="Times New Roman" w:hAnsi="Times New Roman" w:cs="Times New Roman"/>
                <w:sz w:val="20"/>
                <w:szCs w:val="20"/>
                <w:lang w:eastAsia="lv-LV"/>
              </w:rPr>
            </w:pPr>
          </w:p>
        </w:tc>
        <w:tc>
          <w:tcPr>
            <w:tcW w:w="712" w:type="pct"/>
            <w:tcBorders>
              <w:top w:val="outset" w:sz="6" w:space="0" w:color="414142"/>
              <w:left w:val="outset" w:sz="6" w:space="0" w:color="414142"/>
              <w:bottom w:val="single" w:sz="4" w:space="0" w:color="auto"/>
              <w:right w:val="outset" w:sz="6" w:space="0" w:color="414142"/>
            </w:tcBorders>
          </w:tcPr>
          <w:p w14:paraId="3A1DD2A6" w14:textId="31D5AB9B" w:rsidR="00210317" w:rsidRDefault="00210317" w:rsidP="008935CD">
            <w:pPr>
              <w:spacing w:after="0" w:line="240" w:lineRule="auto"/>
              <w:jc w:val="center"/>
              <w:rPr>
                <w:rFonts w:ascii="Times New Roman" w:eastAsia="Times New Roman" w:hAnsi="Times New Roman" w:cs="Times New Roman"/>
                <w:b/>
                <w:bCs/>
                <w:sz w:val="20"/>
                <w:szCs w:val="20"/>
                <w:lang w:eastAsia="lv-LV"/>
              </w:rPr>
            </w:pPr>
            <w:proofErr w:type="spellStart"/>
            <w:r w:rsidRPr="00210317">
              <w:rPr>
                <w:rFonts w:ascii="Times New Roman" w:eastAsia="Times New Roman" w:hAnsi="Times New Roman" w:cs="Times New Roman"/>
                <w:b/>
                <w:bCs/>
                <w:sz w:val="20"/>
                <w:szCs w:val="20"/>
                <w:lang w:eastAsia="lv-LV"/>
              </w:rPr>
              <w:t>Nemts</w:t>
            </w:r>
            <w:proofErr w:type="spellEnd"/>
            <w:r w:rsidRPr="00210317">
              <w:rPr>
                <w:rFonts w:ascii="Times New Roman" w:eastAsia="Times New Roman" w:hAnsi="Times New Roman" w:cs="Times New Roman"/>
                <w:b/>
                <w:bCs/>
                <w:sz w:val="20"/>
                <w:szCs w:val="20"/>
                <w:lang w:eastAsia="lv-LV"/>
              </w:rPr>
              <w:t xml:space="preserve"> vērā - saskaņots elektroniskās saskaņošanas procedūrā</w:t>
            </w:r>
          </w:p>
          <w:p w14:paraId="6D253398" w14:textId="77777777" w:rsidR="00210317" w:rsidRPr="00210317" w:rsidRDefault="00210317" w:rsidP="00210317">
            <w:pPr>
              <w:spacing w:after="0" w:line="240" w:lineRule="auto"/>
              <w:rPr>
                <w:rFonts w:ascii="Times New Roman" w:eastAsia="Times New Roman" w:hAnsi="Times New Roman" w:cs="Times New Roman"/>
                <w:b/>
                <w:bCs/>
                <w:sz w:val="20"/>
                <w:szCs w:val="20"/>
                <w:lang w:eastAsia="lv-LV"/>
              </w:rPr>
            </w:pPr>
          </w:p>
          <w:p w14:paraId="3C0D0600" w14:textId="77777777" w:rsidR="00812270" w:rsidRDefault="00812270" w:rsidP="0081227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punkti netiek mainīti.</w:t>
            </w:r>
          </w:p>
          <w:p w14:paraId="556428C7" w14:textId="34C7EDF0" w:rsidR="00812270" w:rsidRPr="004B6D91" w:rsidRDefault="00812270" w:rsidP="00282431">
            <w:pPr>
              <w:spacing w:after="0" w:line="240" w:lineRule="auto"/>
              <w:jc w:val="center"/>
              <w:rPr>
                <w:rFonts w:ascii="Times New Roman" w:eastAsia="Times New Roman" w:hAnsi="Times New Roman" w:cs="Times New Roman"/>
                <w:sz w:val="20"/>
                <w:szCs w:val="20"/>
                <w:lang w:eastAsia="lv-LV"/>
              </w:rPr>
            </w:pPr>
          </w:p>
        </w:tc>
        <w:tc>
          <w:tcPr>
            <w:tcW w:w="1698" w:type="pct"/>
            <w:tcBorders>
              <w:top w:val="outset" w:sz="6" w:space="0" w:color="414142"/>
              <w:left w:val="outset" w:sz="6" w:space="0" w:color="414142"/>
              <w:bottom w:val="single" w:sz="4" w:space="0" w:color="auto"/>
              <w:right w:val="outset" w:sz="6" w:space="0" w:color="414142"/>
            </w:tcBorders>
            <w:vAlign w:val="center"/>
          </w:tcPr>
          <w:p w14:paraId="7E7D4643" w14:textId="3042CDBF"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r>
      <w:tr w:rsidR="00282431" w:rsidRPr="00574613" w14:paraId="64827813" w14:textId="77777777" w:rsidTr="00AF7AC3">
        <w:trPr>
          <w:trHeight w:val="130"/>
        </w:trPr>
        <w:tc>
          <w:tcPr>
            <w:tcW w:w="249" w:type="pct"/>
            <w:tcBorders>
              <w:top w:val="single" w:sz="4" w:space="0" w:color="auto"/>
              <w:left w:val="outset" w:sz="6" w:space="0" w:color="414142"/>
              <w:bottom w:val="single" w:sz="4" w:space="0" w:color="auto"/>
              <w:right w:val="outset" w:sz="6" w:space="0" w:color="414142"/>
            </w:tcBorders>
            <w:noWrap/>
            <w:vAlign w:val="center"/>
          </w:tcPr>
          <w:p w14:paraId="34261293" w14:textId="1D5A4E30" w:rsidR="00282431" w:rsidRPr="004B6D91" w:rsidRDefault="00530447" w:rsidP="0028243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663" w:type="pct"/>
            <w:tcBorders>
              <w:top w:val="single" w:sz="4" w:space="0" w:color="auto"/>
              <w:left w:val="outset" w:sz="6" w:space="0" w:color="414142"/>
              <w:bottom w:val="single" w:sz="4" w:space="0" w:color="auto"/>
              <w:right w:val="outset" w:sz="6" w:space="0" w:color="414142"/>
            </w:tcBorders>
            <w:vAlign w:val="center"/>
          </w:tcPr>
          <w:p w14:paraId="33A359EF" w14:textId="77777777"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vAlign w:val="center"/>
          </w:tcPr>
          <w:p w14:paraId="555A3C22" w14:textId="5381BD08" w:rsidR="00282431" w:rsidRPr="00282431" w:rsidRDefault="00282431" w:rsidP="00282431">
            <w:pPr>
              <w:spacing w:after="0" w:line="240" w:lineRule="auto"/>
              <w:jc w:val="center"/>
              <w:rPr>
                <w:rFonts w:ascii="Times New Roman" w:eastAsia="Times New Roman" w:hAnsi="Times New Roman" w:cs="Times New Roman"/>
                <w:b/>
                <w:bCs/>
                <w:sz w:val="20"/>
                <w:szCs w:val="20"/>
                <w:lang w:eastAsia="lv-LV"/>
              </w:rPr>
            </w:pPr>
            <w:r w:rsidRPr="00282431">
              <w:rPr>
                <w:rFonts w:ascii="Times New Roman" w:eastAsia="Times New Roman" w:hAnsi="Times New Roman" w:cs="Times New Roman"/>
                <w:b/>
                <w:bCs/>
                <w:sz w:val="20"/>
                <w:szCs w:val="20"/>
                <w:lang w:eastAsia="lv-LV"/>
              </w:rPr>
              <w:t>Finanšu ministrija</w:t>
            </w:r>
          </w:p>
          <w:p w14:paraId="356DEE42" w14:textId="77777777" w:rsidR="00282431" w:rsidRPr="00282431" w:rsidRDefault="00282431" w:rsidP="00282431">
            <w:pPr>
              <w:spacing w:after="0" w:line="240" w:lineRule="auto"/>
              <w:jc w:val="both"/>
              <w:rPr>
                <w:rFonts w:ascii="Times New Roman" w:hAnsi="Times New Roman" w:cs="Times New Roman"/>
                <w:sz w:val="20"/>
                <w:szCs w:val="20"/>
              </w:rPr>
            </w:pPr>
          </w:p>
          <w:p w14:paraId="1CBDF912" w14:textId="5791B396" w:rsidR="00282431" w:rsidRPr="00282431" w:rsidRDefault="00282431" w:rsidP="00282431">
            <w:pPr>
              <w:spacing w:after="0" w:line="240" w:lineRule="auto"/>
              <w:jc w:val="both"/>
              <w:rPr>
                <w:rFonts w:ascii="Times New Roman" w:eastAsia="Times New Roman" w:hAnsi="Times New Roman" w:cs="Times New Roman"/>
                <w:sz w:val="20"/>
                <w:szCs w:val="20"/>
                <w:lang w:eastAsia="lv-LV"/>
              </w:rPr>
            </w:pPr>
            <w:r w:rsidRPr="00282431">
              <w:rPr>
                <w:rFonts w:ascii="Times New Roman" w:hAnsi="Times New Roman" w:cs="Times New Roman"/>
                <w:sz w:val="20"/>
                <w:szCs w:val="20"/>
              </w:rPr>
              <w:t>Lūdzam precizēt noteikumu projekta 4.punktu, ņemot vērā,</w:t>
            </w:r>
            <w:r>
              <w:rPr>
                <w:rFonts w:ascii="Times New Roman" w:hAnsi="Times New Roman" w:cs="Times New Roman"/>
                <w:sz w:val="20"/>
                <w:szCs w:val="20"/>
              </w:rPr>
              <w:t xml:space="preserve"> </w:t>
            </w:r>
            <w:r w:rsidRPr="00282431">
              <w:rPr>
                <w:rFonts w:ascii="Times New Roman" w:hAnsi="Times New Roman" w:cs="Times New Roman"/>
                <w:sz w:val="20"/>
                <w:szCs w:val="20"/>
              </w:rPr>
              <w:t xml:space="preserve">ka 4.2.1.2.pasākuma </w:t>
            </w:r>
            <w:r w:rsidRPr="00282431">
              <w:rPr>
                <w:rFonts w:ascii="Times New Roman" w:hAnsi="Times New Roman" w:cs="Times New Roman"/>
                <w:sz w:val="20"/>
                <w:szCs w:val="20"/>
              </w:rPr>
              <w:br/>
              <w:t xml:space="preserve">1.atlases kārtas apstiprinātais projektu Eiropas Reģionālā attīstības fonda </w:t>
            </w:r>
            <w:r w:rsidRPr="00282431">
              <w:rPr>
                <w:rFonts w:ascii="Times New Roman" w:hAnsi="Times New Roman" w:cs="Times New Roman"/>
                <w:sz w:val="20"/>
                <w:szCs w:val="20"/>
              </w:rPr>
              <w:br/>
              <w:t xml:space="preserve">(turpmāk – ERAF) finansējums ir 60 393 140,70 </w:t>
            </w:r>
            <w:proofErr w:type="spellStart"/>
            <w:r w:rsidRPr="00282431">
              <w:rPr>
                <w:rFonts w:ascii="Times New Roman" w:hAnsi="Times New Roman" w:cs="Times New Roman"/>
                <w:i/>
                <w:sz w:val="20"/>
                <w:szCs w:val="20"/>
              </w:rPr>
              <w:t>euro</w:t>
            </w:r>
            <w:proofErr w:type="spellEnd"/>
            <w:r w:rsidRPr="00282431">
              <w:rPr>
                <w:rFonts w:ascii="Times New Roman" w:hAnsi="Times New Roman" w:cs="Times New Roman"/>
                <w:sz w:val="20"/>
                <w:szCs w:val="20"/>
              </w:rPr>
              <w:t xml:space="preserve">, savukārt, atlikušais pasākuma ERAF finansējums ir 3 488 506,30  </w:t>
            </w:r>
            <w:proofErr w:type="spellStart"/>
            <w:r w:rsidRPr="00282431">
              <w:rPr>
                <w:rFonts w:ascii="Times New Roman" w:hAnsi="Times New Roman" w:cs="Times New Roman"/>
                <w:i/>
                <w:sz w:val="20"/>
                <w:szCs w:val="20"/>
              </w:rPr>
              <w:t>euro</w:t>
            </w:r>
            <w:proofErr w:type="spellEnd"/>
            <w:r w:rsidRPr="00282431">
              <w:rPr>
                <w:rFonts w:ascii="Times New Roman" w:hAnsi="Times New Roman" w:cs="Times New Roman"/>
                <w:i/>
                <w:sz w:val="20"/>
                <w:szCs w:val="20"/>
              </w:rPr>
              <w:t xml:space="preserve"> </w:t>
            </w:r>
            <w:r w:rsidRPr="00282431">
              <w:rPr>
                <w:rFonts w:ascii="Times New Roman" w:hAnsi="Times New Roman" w:cs="Times New Roman"/>
                <w:sz w:val="20"/>
                <w:szCs w:val="20"/>
              </w:rPr>
              <w:t>(25.02.2021.dati). Vienlaikus attiecībā uz pārdalāmo finansējuma apmēru, vēršam uzmanību, ka atsevišķos pasākuma projektos ir radušies neatbilstoši veiktie izdevumi un ietaupījumi, kurus atbilstoši MK protokola Nr.55. 30§</w:t>
            </w:r>
            <w:r w:rsidRPr="00282431">
              <w:rPr>
                <w:rFonts w:ascii="Times New Roman" w:hAnsi="Times New Roman" w:cs="Times New Roman"/>
                <w:sz w:val="20"/>
                <w:szCs w:val="20"/>
                <w:vertAlign w:val="superscript"/>
              </w:rPr>
              <w:footnoteReference w:id="4"/>
            </w:r>
            <w:r w:rsidRPr="00282431">
              <w:rPr>
                <w:rFonts w:ascii="Times New Roman" w:hAnsi="Times New Roman" w:cs="Times New Roman"/>
                <w:sz w:val="20"/>
                <w:szCs w:val="20"/>
                <w:vertAlign w:val="superscript"/>
              </w:rPr>
              <w:t xml:space="preserve"> </w:t>
            </w:r>
            <w:r w:rsidRPr="00282431">
              <w:rPr>
                <w:rFonts w:ascii="Times New Roman" w:hAnsi="Times New Roman" w:cs="Times New Roman"/>
                <w:sz w:val="20"/>
                <w:szCs w:val="20"/>
              </w:rPr>
              <w:t xml:space="preserve">2.1.apakšpunktam nepārdala citiem </w:t>
            </w:r>
            <w:r w:rsidRPr="00282431">
              <w:rPr>
                <w:rFonts w:ascii="Times New Roman" w:hAnsi="Times New Roman" w:cs="Times New Roman"/>
                <w:sz w:val="20"/>
                <w:szCs w:val="20"/>
              </w:rPr>
              <w:lastRenderedPageBreak/>
              <w:t>projektiem vai jaunām projekta darbībām, izņemot MK protokola Nr.55. 30§ 2.2.apakšpunktā minētajos gadījumos.</w:t>
            </w:r>
          </w:p>
        </w:tc>
        <w:tc>
          <w:tcPr>
            <w:tcW w:w="712" w:type="pct"/>
            <w:tcBorders>
              <w:top w:val="single" w:sz="4" w:space="0" w:color="auto"/>
              <w:left w:val="outset" w:sz="6" w:space="0" w:color="414142"/>
              <w:bottom w:val="single" w:sz="4" w:space="0" w:color="auto"/>
              <w:right w:val="outset" w:sz="6" w:space="0" w:color="414142"/>
            </w:tcBorders>
          </w:tcPr>
          <w:p w14:paraId="3F08F9D0" w14:textId="5556A7C5"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r w:rsidRPr="00D35B6E">
              <w:rPr>
                <w:rFonts w:ascii="Times New Roman" w:eastAsia="Times New Roman" w:hAnsi="Times New Roman" w:cs="Times New Roman"/>
                <w:b/>
                <w:bCs/>
                <w:sz w:val="20"/>
                <w:szCs w:val="20"/>
                <w:lang w:eastAsia="lv-LV"/>
              </w:rPr>
              <w:lastRenderedPageBreak/>
              <w:t>Ņemts vērā</w:t>
            </w:r>
          </w:p>
        </w:tc>
        <w:tc>
          <w:tcPr>
            <w:tcW w:w="1698" w:type="pct"/>
            <w:tcBorders>
              <w:top w:val="single" w:sz="4" w:space="0" w:color="auto"/>
              <w:left w:val="outset" w:sz="6" w:space="0" w:color="414142"/>
              <w:bottom w:val="single" w:sz="4" w:space="0" w:color="auto"/>
              <w:right w:val="outset" w:sz="6" w:space="0" w:color="414142"/>
            </w:tcBorders>
            <w:vAlign w:val="center"/>
          </w:tcPr>
          <w:p w14:paraId="0DC409C2" w14:textId="77777777" w:rsidR="004E0291" w:rsidRDefault="004E0291" w:rsidP="004E029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4.punkts precizēts:</w:t>
            </w:r>
          </w:p>
          <w:p w14:paraId="34B71D16" w14:textId="77777777" w:rsidR="004E0291" w:rsidRDefault="004E0291" w:rsidP="004E0291">
            <w:pPr>
              <w:spacing w:after="0" w:line="240" w:lineRule="auto"/>
              <w:jc w:val="both"/>
              <w:rPr>
                <w:rFonts w:ascii="Times New Roman" w:eastAsia="Times New Roman" w:hAnsi="Times New Roman" w:cs="Times New Roman"/>
                <w:sz w:val="20"/>
                <w:szCs w:val="20"/>
                <w:lang w:eastAsia="lv-LV"/>
              </w:rPr>
            </w:pPr>
          </w:p>
          <w:p w14:paraId="6FE3A503" w14:textId="77777777" w:rsidR="004E0291" w:rsidRDefault="004E0291" w:rsidP="004E0291">
            <w:pPr>
              <w:shd w:val="clear" w:color="auto" w:fill="FFFFFF"/>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"9. Atlases kārtas īstenošanai plānotais kopējais publiskais finansējums ir 71050754 </w:t>
            </w:r>
            <w:proofErr w:type="spellStart"/>
            <w:r>
              <w:rPr>
                <w:rFonts w:ascii="Times New Roman" w:eastAsia="Times New Roman" w:hAnsi="Times New Roman" w:cs="Times New Roman"/>
                <w:i/>
                <w:iCs/>
                <w:sz w:val="20"/>
                <w:szCs w:val="20"/>
                <w:lang w:eastAsia="lv-LV"/>
              </w:rPr>
              <w:t>euro</w:t>
            </w:r>
            <w:proofErr w:type="spellEnd"/>
            <w:r>
              <w:rPr>
                <w:rFonts w:ascii="Times New Roman" w:eastAsia="Times New Roman" w:hAnsi="Times New Roman" w:cs="Times New Roman"/>
                <w:sz w:val="20"/>
                <w:szCs w:val="20"/>
                <w:lang w:eastAsia="lv-LV"/>
              </w:rPr>
              <w:t xml:space="preserve">, tajā skaitā Eiropas Reģionālās attīstības fonda finansējums - 60393141 </w:t>
            </w:r>
            <w:proofErr w:type="spellStart"/>
            <w:r>
              <w:rPr>
                <w:rFonts w:ascii="Times New Roman" w:eastAsia="Times New Roman" w:hAnsi="Times New Roman" w:cs="Times New Roman"/>
                <w:i/>
                <w:iCs/>
                <w:sz w:val="20"/>
                <w:szCs w:val="20"/>
                <w:lang w:eastAsia="lv-LV"/>
              </w:rPr>
              <w:t>euro</w:t>
            </w:r>
            <w:proofErr w:type="spellEnd"/>
            <w:r>
              <w:rPr>
                <w:rFonts w:ascii="Times New Roman" w:eastAsia="Times New Roman" w:hAnsi="Times New Roman" w:cs="Times New Roman"/>
                <w:sz w:val="20"/>
                <w:szCs w:val="20"/>
                <w:lang w:eastAsia="lv-LV"/>
              </w:rPr>
              <w:t xml:space="preserve"> un valsts budžeta finansējums - 10657613 </w:t>
            </w:r>
            <w:proofErr w:type="spellStart"/>
            <w:r>
              <w:rPr>
                <w:rFonts w:ascii="Times New Roman" w:eastAsia="Times New Roman" w:hAnsi="Times New Roman" w:cs="Times New Roman"/>
                <w:i/>
                <w:iCs/>
                <w:sz w:val="20"/>
                <w:szCs w:val="20"/>
                <w:lang w:eastAsia="lv-LV"/>
              </w:rPr>
              <w:t>euro</w:t>
            </w:r>
            <w:proofErr w:type="spellEnd"/>
            <w:r>
              <w:rPr>
                <w:rFonts w:ascii="Times New Roman" w:eastAsia="Times New Roman" w:hAnsi="Times New Roman" w:cs="Times New Roman"/>
                <w:sz w:val="20"/>
                <w:szCs w:val="20"/>
                <w:lang w:eastAsia="lv-LV"/>
              </w:rPr>
              <w:t>."</w:t>
            </w:r>
          </w:p>
          <w:p w14:paraId="0B3E63FF" w14:textId="77777777" w:rsidR="004E0291" w:rsidRDefault="004E0291" w:rsidP="004E0291">
            <w:pPr>
              <w:spacing w:after="0" w:line="240" w:lineRule="auto"/>
              <w:jc w:val="both"/>
              <w:rPr>
                <w:rFonts w:ascii="Times New Roman" w:eastAsia="Times New Roman" w:hAnsi="Times New Roman" w:cs="Times New Roman"/>
                <w:sz w:val="20"/>
                <w:szCs w:val="20"/>
                <w:lang w:eastAsia="lv-LV"/>
              </w:rPr>
            </w:pPr>
          </w:p>
          <w:p w14:paraId="566464F9" w14:textId="77777777"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r>
      <w:tr w:rsidR="00282431" w:rsidRPr="00574613" w14:paraId="3BA79456" w14:textId="77777777" w:rsidTr="00AF7AC3">
        <w:trPr>
          <w:trHeight w:val="130"/>
        </w:trPr>
        <w:tc>
          <w:tcPr>
            <w:tcW w:w="249" w:type="pct"/>
            <w:tcBorders>
              <w:top w:val="single" w:sz="4" w:space="0" w:color="auto"/>
              <w:left w:val="outset" w:sz="6" w:space="0" w:color="414142"/>
              <w:bottom w:val="single" w:sz="4" w:space="0" w:color="auto"/>
              <w:right w:val="outset" w:sz="6" w:space="0" w:color="414142"/>
            </w:tcBorders>
            <w:noWrap/>
            <w:vAlign w:val="center"/>
          </w:tcPr>
          <w:p w14:paraId="3ABAF6CE" w14:textId="2C763C90" w:rsidR="00282431" w:rsidRPr="004B6D91" w:rsidRDefault="00530447" w:rsidP="0028243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663" w:type="pct"/>
            <w:tcBorders>
              <w:top w:val="single" w:sz="4" w:space="0" w:color="auto"/>
              <w:left w:val="outset" w:sz="6" w:space="0" w:color="414142"/>
              <w:bottom w:val="single" w:sz="4" w:space="0" w:color="auto"/>
              <w:right w:val="outset" w:sz="6" w:space="0" w:color="414142"/>
            </w:tcBorders>
            <w:vAlign w:val="center"/>
          </w:tcPr>
          <w:p w14:paraId="319AFF00" w14:textId="77777777"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vAlign w:val="center"/>
          </w:tcPr>
          <w:p w14:paraId="136E918A" w14:textId="77777777" w:rsidR="0050558A" w:rsidRPr="00A356AF" w:rsidRDefault="0050558A" w:rsidP="0050558A">
            <w:pPr>
              <w:spacing w:after="0" w:line="240" w:lineRule="auto"/>
              <w:jc w:val="center"/>
              <w:rPr>
                <w:rFonts w:ascii="Times New Roman" w:eastAsia="Times New Roman" w:hAnsi="Times New Roman" w:cs="Times New Roman"/>
                <w:b/>
                <w:bCs/>
                <w:sz w:val="20"/>
                <w:szCs w:val="20"/>
                <w:lang w:eastAsia="lv-LV"/>
              </w:rPr>
            </w:pPr>
            <w:r w:rsidRPr="00A356AF">
              <w:rPr>
                <w:rFonts w:ascii="Times New Roman" w:eastAsia="Times New Roman" w:hAnsi="Times New Roman" w:cs="Times New Roman"/>
                <w:b/>
                <w:bCs/>
                <w:sz w:val="20"/>
                <w:szCs w:val="20"/>
                <w:lang w:eastAsia="lv-LV"/>
              </w:rPr>
              <w:t>Finanšu ministrija</w:t>
            </w:r>
            <w:r>
              <w:rPr>
                <w:rFonts w:ascii="Times New Roman" w:eastAsia="Times New Roman" w:hAnsi="Times New Roman" w:cs="Times New Roman"/>
                <w:b/>
                <w:bCs/>
                <w:sz w:val="20"/>
                <w:szCs w:val="20"/>
                <w:lang w:eastAsia="lv-LV"/>
              </w:rPr>
              <w:t xml:space="preserve"> </w:t>
            </w:r>
          </w:p>
          <w:p w14:paraId="4FEBD41F" w14:textId="77777777" w:rsidR="0050558A" w:rsidRDefault="0050558A" w:rsidP="0050558A">
            <w:pPr>
              <w:spacing w:after="0" w:line="240" w:lineRule="auto"/>
              <w:jc w:val="both"/>
              <w:rPr>
                <w:szCs w:val="24"/>
              </w:rPr>
            </w:pPr>
          </w:p>
          <w:p w14:paraId="16C6F4FF" w14:textId="3CCE42F7" w:rsidR="0050558A" w:rsidRPr="0050558A" w:rsidRDefault="0050558A" w:rsidP="0050558A">
            <w:pPr>
              <w:spacing w:after="0" w:line="240" w:lineRule="auto"/>
              <w:jc w:val="both"/>
              <w:rPr>
                <w:rFonts w:ascii="Times New Roman" w:hAnsi="Times New Roman" w:cs="Times New Roman"/>
                <w:sz w:val="20"/>
                <w:szCs w:val="20"/>
              </w:rPr>
            </w:pPr>
            <w:r w:rsidRPr="0050558A">
              <w:rPr>
                <w:rFonts w:ascii="Times New Roman" w:hAnsi="Times New Roman" w:cs="Times New Roman"/>
                <w:sz w:val="20"/>
                <w:szCs w:val="20"/>
              </w:rPr>
              <w:t>Lūdzam precizēt noteikumu projekta 6.punktu, ņemot vērā, ka Kultūras ministrijai (turpmāk – KM) un EM piešķirtās kvotas ietvaros nav atlikuma ko pārdalīt. Vienlaikus lūdzam precizēt informāciju anotācijas I sadaļas “Tiesību akta projekta izstrādes nepieciešamība” (turpmāk – I sadaļa) 2.punktā “</w:t>
            </w:r>
            <w:r w:rsidRPr="0050558A">
              <w:rPr>
                <w:rFonts w:ascii="Times New Roman" w:hAnsi="Times New Roman" w:cs="Times New Roman"/>
                <w:sz w:val="20"/>
                <w:szCs w:val="20"/>
                <w:lang w:eastAsia="lv-LV"/>
              </w:rPr>
              <w:t>Pašreizējā situācija un problēmas, kuru risināšanai tiesību akta projekts izstrādāts, tiesiskā regulējuma mērķis un būtība</w:t>
            </w:r>
            <w:r w:rsidRPr="0050558A">
              <w:rPr>
                <w:rFonts w:ascii="Times New Roman" w:hAnsi="Times New Roman" w:cs="Times New Roman"/>
                <w:sz w:val="20"/>
                <w:szCs w:val="20"/>
              </w:rPr>
              <w:t xml:space="preserve">” </w:t>
            </w:r>
            <w:r w:rsidRPr="0050558A">
              <w:rPr>
                <w:rFonts w:ascii="Times New Roman" w:hAnsi="Times New Roman" w:cs="Times New Roman"/>
                <w:sz w:val="20"/>
                <w:szCs w:val="20"/>
              </w:rPr>
              <w:br/>
              <w:t xml:space="preserve">(turpmāk – 2.punkts). </w:t>
            </w:r>
          </w:p>
          <w:p w14:paraId="22356563" w14:textId="77777777"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c>
          <w:tcPr>
            <w:tcW w:w="712" w:type="pct"/>
            <w:tcBorders>
              <w:top w:val="single" w:sz="4" w:space="0" w:color="auto"/>
              <w:left w:val="outset" w:sz="6" w:space="0" w:color="414142"/>
              <w:bottom w:val="single" w:sz="4" w:space="0" w:color="auto"/>
              <w:right w:val="outset" w:sz="6" w:space="0" w:color="414142"/>
            </w:tcBorders>
          </w:tcPr>
          <w:p w14:paraId="084D0F66" w14:textId="77777777" w:rsidR="00282431" w:rsidRDefault="00282431" w:rsidP="00282431">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5D491286" w14:textId="77777777" w:rsidR="004E0291" w:rsidRDefault="004E0291" w:rsidP="004E029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Noteikumu projekta 5.punkts precizēts. </w:t>
            </w:r>
          </w:p>
          <w:p w14:paraId="757F5E41" w14:textId="575876B8" w:rsidR="004E0291" w:rsidRPr="004B6D91" w:rsidRDefault="004E0291" w:rsidP="004E02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Vienlaikus precizēta anotācijas </w:t>
            </w:r>
            <w:r>
              <w:rPr>
                <w:rFonts w:ascii="Times New Roman" w:hAnsi="Times New Roman" w:cs="Times New Roman"/>
                <w:sz w:val="20"/>
                <w:szCs w:val="20"/>
              </w:rPr>
              <w:t>I sadaļa “Tiesību akta projekta izstrādes nepieciešamība” (turpmāk – I sadaļa) 2.punktā “</w:t>
            </w:r>
            <w:r>
              <w:rPr>
                <w:rFonts w:ascii="Times New Roman" w:hAnsi="Times New Roman" w:cs="Times New Roman"/>
                <w:sz w:val="20"/>
                <w:szCs w:val="20"/>
                <w:lang w:eastAsia="lv-LV"/>
              </w:rPr>
              <w:t>Pašreizējā situācija un problēmas, kuru risināšanai tiesību akta projekts izstrādāts, tiesiskā regulējuma mērķis un būtība</w:t>
            </w:r>
            <w:r>
              <w:rPr>
                <w:rFonts w:ascii="Times New Roman" w:hAnsi="Times New Roman" w:cs="Times New Roman"/>
                <w:sz w:val="20"/>
                <w:szCs w:val="20"/>
              </w:rPr>
              <w:t>” (turpmāk – 2.punkts).</w:t>
            </w:r>
          </w:p>
        </w:tc>
        <w:tc>
          <w:tcPr>
            <w:tcW w:w="1698" w:type="pct"/>
            <w:tcBorders>
              <w:top w:val="single" w:sz="4" w:space="0" w:color="auto"/>
              <w:left w:val="outset" w:sz="6" w:space="0" w:color="414142"/>
              <w:bottom w:val="single" w:sz="4" w:space="0" w:color="auto"/>
              <w:right w:val="outset" w:sz="6" w:space="0" w:color="414142"/>
            </w:tcBorders>
            <w:vAlign w:val="center"/>
          </w:tcPr>
          <w:p w14:paraId="324FD4E8" w14:textId="77777777" w:rsidR="00282431" w:rsidRPr="004B6D91" w:rsidRDefault="00282431" w:rsidP="00282431">
            <w:pPr>
              <w:spacing w:after="0" w:line="240" w:lineRule="auto"/>
              <w:jc w:val="center"/>
              <w:rPr>
                <w:rFonts w:ascii="Times New Roman" w:eastAsia="Times New Roman" w:hAnsi="Times New Roman" w:cs="Times New Roman"/>
                <w:sz w:val="20"/>
                <w:szCs w:val="20"/>
                <w:lang w:eastAsia="lv-LV"/>
              </w:rPr>
            </w:pPr>
          </w:p>
        </w:tc>
      </w:tr>
      <w:tr w:rsidR="0050558A" w:rsidRPr="00574613" w14:paraId="5A7BB81A" w14:textId="77777777" w:rsidTr="00727EBA">
        <w:trPr>
          <w:trHeight w:val="120"/>
        </w:trPr>
        <w:tc>
          <w:tcPr>
            <w:tcW w:w="249" w:type="pct"/>
            <w:tcBorders>
              <w:top w:val="single" w:sz="4" w:space="0" w:color="auto"/>
              <w:left w:val="outset" w:sz="6" w:space="0" w:color="414142"/>
              <w:bottom w:val="single" w:sz="4" w:space="0" w:color="auto"/>
              <w:right w:val="outset" w:sz="6" w:space="0" w:color="414142"/>
            </w:tcBorders>
            <w:noWrap/>
            <w:vAlign w:val="center"/>
          </w:tcPr>
          <w:p w14:paraId="35E26CAC" w14:textId="4EFE31D5" w:rsidR="0050558A" w:rsidRPr="004B6D91" w:rsidRDefault="00530447"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663" w:type="pct"/>
            <w:tcBorders>
              <w:top w:val="single" w:sz="4" w:space="0" w:color="auto"/>
              <w:left w:val="outset" w:sz="6" w:space="0" w:color="414142"/>
              <w:bottom w:val="single" w:sz="4" w:space="0" w:color="auto"/>
              <w:right w:val="outset" w:sz="6" w:space="0" w:color="414142"/>
            </w:tcBorders>
            <w:vAlign w:val="center"/>
          </w:tcPr>
          <w:p w14:paraId="4A6FDDAC" w14:textId="77777777" w:rsidR="0050558A" w:rsidRPr="004B6D91" w:rsidRDefault="0050558A" w:rsidP="0050558A">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tcPr>
          <w:p w14:paraId="6AEB5205" w14:textId="77777777" w:rsidR="0050558A" w:rsidRP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50558A">
              <w:rPr>
                <w:rFonts w:ascii="Times New Roman" w:eastAsia="Times New Roman" w:hAnsi="Times New Roman" w:cs="Times New Roman"/>
                <w:b/>
                <w:bCs/>
                <w:sz w:val="20"/>
                <w:szCs w:val="20"/>
                <w:lang w:eastAsia="lv-LV"/>
              </w:rPr>
              <w:t xml:space="preserve">Finanšu ministrija </w:t>
            </w:r>
          </w:p>
          <w:p w14:paraId="54C89FC6" w14:textId="77777777" w:rsidR="0050558A" w:rsidRPr="0050558A" w:rsidRDefault="0050558A" w:rsidP="0050558A">
            <w:pPr>
              <w:spacing w:after="0" w:line="240" w:lineRule="auto"/>
              <w:jc w:val="both"/>
              <w:rPr>
                <w:rFonts w:ascii="Times New Roman" w:hAnsi="Times New Roman" w:cs="Times New Roman"/>
                <w:sz w:val="20"/>
                <w:szCs w:val="20"/>
              </w:rPr>
            </w:pPr>
            <w:r w:rsidRPr="0050558A">
              <w:rPr>
                <w:rFonts w:ascii="Times New Roman" w:hAnsi="Times New Roman" w:cs="Times New Roman"/>
                <w:sz w:val="20"/>
                <w:szCs w:val="20"/>
              </w:rPr>
              <w:t xml:space="preserve">Lūdzam precizēt noteikumu projekta 6.punktu, ņemot vērā, ka FM noteiktais ERAF finansējums ir jānorāda par 1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lielāks, ņemot vērā, ka īstenošanā esošā projektā ERAF finansējums ir 369 179,79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Vienlaikus lūdzam attiecīgi palielināt nacionālo līdzfinansējumu par 1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lai nodrošinātu, ka ERAF finansējums nepārsniedz 85%.  </w:t>
            </w:r>
          </w:p>
          <w:p w14:paraId="4097EB7F" w14:textId="4843C50D" w:rsidR="0050558A" w:rsidRPr="0050558A" w:rsidRDefault="0050558A" w:rsidP="0050558A">
            <w:pPr>
              <w:spacing w:after="0" w:line="240" w:lineRule="auto"/>
              <w:jc w:val="center"/>
              <w:rPr>
                <w:rFonts w:ascii="Times New Roman" w:eastAsia="Times New Roman" w:hAnsi="Times New Roman" w:cs="Times New Roman"/>
                <w:sz w:val="20"/>
                <w:szCs w:val="20"/>
                <w:lang w:eastAsia="lv-LV"/>
              </w:rPr>
            </w:pPr>
          </w:p>
        </w:tc>
        <w:tc>
          <w:tcPr>
            <w:tcW w:w="712" w:type="pct"/>
            <w:tcBorders>
              <w:top w:val="single" w:sz="4" w:space="0" w:color="auto"/>
              <w:left w:val="outset" w:sz="6" w:space="0" w:color="414142"/>
              <w:bottom w:val="single" w:sz="4" w:space="0" w:color="auto"/>
              <w:right w:val="outset" w:sz="6" w:space="0" w:color="414142"/>
            </w:tcBorders>
          </w:tcPr>
          <w:p w14:paraId="341AE54C" w14:textId="77777777" w:rsid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1F324313" w14:textId="56BF2AC2" w:rsidR="004E0291" w:rsidRPr="004B6D91" w:rsidRDefault="004E0291" w:rsidP="0050558A">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Noteikumu projekta 5.punkta 1.pielikuma 2.punkts precizēts</w:t>
            </w:r>
          </w:p>
        </w:tc>
        <w:tc>
          <w:tcPr>
            <w:tcW w:w="1698" w:type="pct"/>
            <w:tcBorders>
              <w:top w:val="single" w:sz="4" w:space="0" w:color="auto"/>
              <w:left w:val="outset" w:sz="6" w:space="0" w:color="414142"/>
              <w:bottom w:val="single" w:sz="4" w:space="0" w:color="auto"/>
              <w:right w:val="outset" w:sz="6" w:space="0" w:color="414142"/>
            </w:tcBorders>
            <w:vAlign w:val="center"/>
          </w:tcPr>
          <w:p w14:paraId="664404DE" w14:textId="7E33DE34" w:rsidR="0050558A" w:rsidRPr="004B6D91" w:rsidRDefault="004E0291"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“FM noteiktais ERAF finansējums ir </w:t>
            </w:r>
            <w:r>
              <w:rPr>
                <w:rFonts w:ascii="Times New Roman" w:hAnsi="Times New Roman" w:cs="Times New Roman"/>
                <w:color w:val="000000" w:themeColor="text1"/>
                <w:sz w:val="20"/>
                <w:szCs w:val="20"/>
              </w:rPr>
              <w:t xml:space="preserve">369 180 </w:t>
            </w:r>
            <w:proofErr w:type="spellStart"/>
            <w:r>
              <w:rPr>
                <w:rFonts w:ascii="Times New Roman" w:hAnsi="Times New Roman" w:cs="Times New Roman"/>
                <w:color w:val="000000" w:themeColor="text1"/>
                <w:sz w:val="20"/>
                <w:szCs w:val="20"/>
              </w:rPr>
              <w:t>euro</w:t>
            </w:r>
            <w:proofErr w:type="spellEnd"/>
            <w:r>
              <w:rPr>
                <w:rFonts w:ascii="Times New Roman" w:hAnsi="Times New Roman" w:cs="Times New Roman"/>
                <w:color w:val="000000" w:themeColor="text1"/>
                <w:sz w:val="20"/>
                <w:szCs w:val="20"/>
              </w:rPr>
              <w:t xml:space="preserve">, valsts budžeta finansējums 65 150 </w:t>
            </w:r>
            <w:proofErr w:type="spellStart"/>
            <w:r>
              <w:rPr>
                <w:rFonts w:ascii="Times New Roman" w:hAnsi="Times New Roman" w:cs="Times New Roman"/>
                <w:color w:val="000000" w:themeColor="text1"/>
                <w:sz w:val="20"/>
                <w:szCs w:val="20"/>
              </w:rPr>
              <w:t>euro</w:t>
            </w:r>
            <w:proofErr w:type="spellEnd"/>
            <w:r>
              <w:rPr>
                <w:rFonts w:ascii="Times New Roman" w:hAnsi="Times New Roman" w:cs="Times New Roman"/>
                <w:color w:val="000000" w:themeColor="text1"/>
                <w:sz w:val="20"/>
                <w:szCs w:val="20"/>
              </w:rPr>
              <w:t xml:space="preserve">, ERAF un valsts budžeta finansējums kopā 434 330 </w:t>
            </w:r>
            <w:proofErr w:type="spellStart"/>
            <w:r>
              <w:rPr>
                <w:rFonts w:ascii="Times New Roman" w:hAnsi="Times New Roman" w:cs="Times New Roman"/>
                <w:color w:val="000000" w:themeColor="text1"/>
                <w:sz w:val="20"/>
                <w:szCs w:val="20"/>
              </w:rPr>
              <w:t>euro</w:t>
            </w:r>
            <w:proofErr w:type="spellEnd"/>
            <w:r>
              <w:rPr>
                <w:rFonts w:ascii="Times New Roman" w:hAnsi="Times New Roman" w:cs="Times New Roman"/>
                <w:color w:val="000000" w:themeColor="text1"/>
                <w:sz w:val="20"/>
                <w:szCs w:val="20"/>
              </w:rPr>
              <w:t>.”</w:t>
            </w:r>
          </w:p>
        </w:tc>
      </w:tr>
      <w:tr w:rsidR="0050558A" w:rsidRPr="00574613" w14:paraId="69EEEC31" w14:textId="77777777" w:rsidTr="00727EBA">
        <w:trPr>
          <w:trHeight w:val="140"/>
        </w:trPr>
        <w:tc>
          <w:tcPr>
            <w:tcW w:w="249" w:type="pct"/>
            <w:tcBorders>
              <w:top w:val="single" w:sz="4" w:space="0" w:color="auto"/>
              <w:left w:val="outset" w:sz="6" w:space="0" w:color="414142"/>
              <w:bottom w:val="outset" w:sz="6" w:space="0" w:color="414142"/>
              <w:right w:val="outset" w:sz="6" w:space="0" w:color="414142"/>
            </w:tcBorders>
            <w:noWrap/>
            <w:vAlign w:val="center"/>
          </w:tcPr>
          <w:p w14:paraId="2A1BF0DB" w14:textId="08CAAA33" w:rsidR="0050558A" w:rsidRPr="004B6D91" w:rsidRDefault="00530447"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663" w:type="pct"/>
            <w:tcBorders>
              <w:top w:val="single" w:sz="4" w:space="0" w:color="auto"/>
              <w:left w:val="outset" w:sz="6" w:space="0" w:color="414142"/>
              <w:bottom w:val="outset" w:sz="6" w:space="0" w:color="414142"/>
              <w:right w:val="outset" w:sz="6" w:space="0" w:color="414142"/>
            </w:tcBorders>
            <w:vAlign w:val="center"/>
          </w:tcPr>
          <w:p w14:paraId="0CF3C11A" w14:textId="77777777" w:rsidR="0050558A" w:rsidRPr="004B6D91" w:rsidRDefault="0050558A" w:rsidP="0050558A">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outset" w:sz="6" w:space="0" w:color="414142"/>
              <w:right w:val="outset" w:sz="6" w:space="0" w:color="414142"/>
            </w:tcBorders>
          </w:tcPr>
          <w:p w14:paraId="73B0A13D" w14:textId="77777777" w:rsidR="0050558A" w:rsidRP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50558A">
              <w:rPr>
                <w:rFonts w:ascii="Times New Roman" w:eastAsia="Times New Roman" w:hAnsi="Times New Roman" w:cs="Times New Roman"/>
                <w:b/>
                <w:bCs/>
                <w:sz w:val="20"/>
                <w:szCs w:val="20"/>
                <w:lang w:eastAsia="lv-LV"/>
              </w:rPr>
              <w:t xml:space="preserve">Finanšu ministrija </w:t>
            </w:r>
          </w:p>
          <w:p w14:paraId="3B0E84F9" w14:textId="77777777" w:rsidR="0050558A" w:rsidRPr="0050558A" w:rsidRDefault="0050558A" w:rsidP="0050558A">
            <w:pPr>
              <w:spacing w:after="0" w:line="240" w:lineRule="auto"/>
              <w:jc w:val="both"/>
              <w:rPr>
                <w:rFonts w:ascii="Times New Roman" w:hAnsi="Times New Roman" w:cs="Times New Roman"/>
                <w:sz w:val="20"/>
                <w:szCs w:val="20"/>
              </w:rPr>
            </w:pPr>
            <w:r w:rsidRPr="0050558A">
              <w:rPr>
                <w:rFonts w:ascii="Times New Roman" w:hAnsi="Times New Roman" w:cs="Times New Roman"/>
                <w:sz w:val="20"/>
                <w:szCs w:val="20"/>
              </w:rPr>
              <w:t xml:space="preserve">Lūdzam precizēt noteikumu projekta 6.punktu, ņemot vērā, ka valsts akciju sabiedrības “Valsts nekustamie īpašumi” iesniegtajos projekta iesniegumos par ēku, kurā izvietota tiešās valsts pārvaldes iestāde vai tiešās valsts pārvaldes iestādes padotības iestāde </w:t>
            </w:r>
            <w:r w:rsidRPr="006D6C56">
              <w:rPr>
                <w:rFonts w:ascii="Times New Roman" w:hAnsi="Times New Roman" w:cs="Times New Roman"/>
                <w:color w:val="000000" w:themeColor="text1"/>
                <w:sz w:val="20"/>
                <w:szCs w:val="20"/>
              </w:rPr>
              <w:t xml:space="preserve">šobrīd jau ir lielāks finansējums nekā norādīts noteikumu projekta 6.punktā, t.i., projektos piešķirtais ERAF finansējums 3 </w:t>
            </w:r>
            <w:r w:rsidRPr="0050558A">
              <w:rPr>
                <w:rFonts w:ascii="Times New Roman" w:hAnsi="Times New Roman" w:cs="Times New Roman"/>
                <w:sz w:val="20"/>
                <w:szCs w:val="20"/>
              </w:rPr>
              <w:t xml:space="preserve">073 699,40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w:t>
            </w:r>
            <w:proofErr w:type="spellStart"/>
            <w:r w:rsidRPr="0050558A">
              <w:rPr>
                <w:rFonts w:ascii="Times New Roman" w:hAnsi="Times New Roman" w:cs="Times New Roman"/>
                <w:sz w:val="20"/>
                <w:szCs w:val="20"/>
              </w:rPr>
              <w:t>unvalsts</w:t>
            </w:r>
            <w:proofErr w:type="spellEnd"/>
            <w:r w:rsidRPr="0050558A">
              <w:rPr>
                <w:rFonts w:ascii="Times New Roman" w:hAnsi="Times New Roman" w:cs="Times New Roman"/>
                <w:sz w:val="20"/>
                <w:szCs w:val="20"/>
              </w:rPr>
              <w:t xml:space="preserve"> budžeta finansējums 542 417,51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i/>
                <w:sz w:val="20"/>
                <w:szCs w:val="20"/>
              </w:rPr>
              <w:t xml:space="preserve"> </w:t>
            </w:r>
            <w:r w:rsidRPr="0050558A">
              <w:rPr>
                <w:rFonts w:ascii="Times New Roman" w:hAnsi="Times New Roman" w:cs="Times New Roman"/>
                <w:sz w:val="20"/>
                <w:szCs w:val="20"/>
              </w:rPr>
              <w:t>apmērā</w:t>
            </w:r>
            <w:r w:rsidRPr="0050558A">
              <w:rPr>
                <w:rFonts w:ascii="Times New Roman" w:hAnsi="Times New Roman" w:cs="Times New Roman"/>
                <w:i/>
                <w:sz w:val="20"/>
                <w:szCs w:val="20"/>
              </w:rPr>
              <w:t xml:space="preserve">. </w:t>
            </w:r>
            <w:r w:rsidRPr="0050558A">
              <w:rPr>
                <w:rFonts w:ascii="Times New Roman" w:hAnsi="Times New Roman" w:cs="Times New Roman"/>
                <w:sz w:val="20"/>
                <w:szCs w:val="20"/>
              </w:rPr>
              <w:t xml:space="preserve">Norādām, ka KM no savas kvotas ir pārdalījusi 464 980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papildus tam anotācijā norādīts, ka plānots </w:t>
            </w:r>
            <w:r w:rsidRPr="0050558A">
              <w:rPr>
                <w:rFonts w:ascii="Times New Roman" w:hAnsi="Times New Roman" w:cs="Times New Roman"/>
                <w:sz w:val="20"/>
                <w:szCs w:val="20"/>
              </w:rPr>
              <w:lastRenderedPageBreak/>
              <w:t xml:space="preserve">papildus piešķirt finansējumu 101 385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projektam “Energoefektivitātes paaugstināšana ēkā </w:t>
            </w:r>
            <w:proofErr w:type="spellStart"/>
            <w:r w:rsidRPr="0050558A">
              <w:rPr>
                <w:rFonts w:ascii="Times New Roman" w:hAnsi="Times New Roman" w:cs="Times New Roman"/>
                <w:sz w:val="20"/>
                <w:szCs w:val="20"/>
              </w:rPr>
              <w:t>A.Briāna</w:t>
            </w:r>
            <w:proofErr w:type="spellEnd"/>
            <w:r w:rsidRPr="0050558A">
              <w:rPr>
                <w:rFonts w:ascii="Times New Roman" w:hAnsi="Times New Roman" w:cs="Times New Roman"/>
                <w:sz w:val="20"/>
                <w:szCs w:val="20"/>
              </w:rPr>
              <w:t xml:space="preserve"> ielā 13, Rīgā”, kas vēl papildus palielina nepieciešamo kvotas apjomu.</w:t>
            </w:r>
          </w:p>
          <w:p w14:paraId="7E43B71E" w14:textId="028F07CA" w:rsidR="0050558A" w:rsidRPr="0050558A" w:rsidRDefault="0050558A" w:rsidP="0050558A">
            <w:pPr>
              <w:rPr>
                <w:rFonts w:ascii="Times New Roman" w:hAnsi="Times New Roman" w:cs="Times New Roman"/>
                <w:sz w:val="20"/>
                <w:szCs w:val="20"/>
              </w:rPr>
            </w:pPr>
            <w:r w:rsidRPr="0050558A">
              <w:rPr>
                <w:rFonts w:ascii="Times New Roman" w:hAnsi="Times New Roman" w:cs="Times New Roman"/>
                <w:sz w:val="20"/>
                <w:szCs w:val="20"/>
              </w:rPr>
              <w:t xml:space="preserve">Vienlaikus vēršam uzmanību, ka arī </w:t>
            </w:r>
            <w:proofErr w:type="spellStart"/>
            <w:r w:rsidRPr="0050558A">
              <w:rPr>
                <w:rFonts w:ascii="Times New Roman" w:hAnsi="Times New Roman" w:cs="Times New Roman"/>
                <w:sz w:val="20"/>
                <w:szCs w:val="20"/>
              </w:rPr>
              <w:t>Iekšlietu</w:t>
            </w:r>
            <w:proofErr w:type="spellEnd"/>
            <w:r w:rsidRPr="0050558A">
              <w:rPr>
                <w:rFonts w:ascii="Times New Roman" w:hAnsi="Times New Roman" w:cs="Times New Roman"/>
                <w:sz w:val="20"/>
                <w:szCs w:val="20"/>
              </w:rPr>
              <w:t xml:space="preserve"> ministrijas projektos faktiski šobrīd ir lielāks finansējums nekā noteikumu projekta 6.punktā norādīts, t.i., šobrīd projektos ir piešķirts ERAF finansējums 8 012 372,07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un valsts budžets 1 413 948,03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apmērā, taču noteikumu projektā norādīts, ka ERAF būs 6 967 054</w:t>
            </w:r>
            <w:r w:rsidRPr="0050558A">
              <w:rPr>
                <w:rFonts w:ascii="Times New Roman" w:hAnsi="Times New Roman" w:cs="Times New Roman"/>
                <w:i/>
                <w:sz w:val="20"/>
                <w:szCs w:val="20"/>
              </w:rPr>
              <w:t xml:space="preserve">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i/>
                <w:sz w:val="20"/>
                <w:szCs w:val="20"/>
              </w:rPr>
              <w:t xml:space="preserve"> </w:t>
            </w:r>
            <w:r w:rsidRPr="0050558A">
              <w:rPr>
                <w:rFonts w:ascii="Times New Roman" w:hAnsi="Times New Roman" w:cs="Times New Roman"/>
                <w:sz w:val="20"/>
                <w:szCs w:val="20"/>
              </w:rPr>
              <w:t xml:space="preserve">un valsts budžets 1 229 481 </w:t>
            </w:r>
            <w:proofErr w:type="spellStart"/>
            <w:r w:rsidRPr="0050558A">
              <w:rPr>
                <w:rFonts w:ascii="Times New Roman" w:hAnsi="Times New Roman" w:cs="Times New Roman"/>
                <w:i/>
                <w:sz w:val="20"/>
                <w:szCs w:val="20"/>
              </w:rPr>
              <w:t>euro</w:t>
            </w:r>
            <w:proofErr w:type="spellEnd"/>
            <w:r w:rsidRPr="0050558A">
              <w:rPr>
                <w:rFonts w:ascii="Times New Roman" w:hAnsi="Times New Roman" w:cs="Times New Roman"/>
                <w:sz w:val="20"/>
                <w:szCs w:val="20"/>
              </w:rPr>
              <w:t xml:space="preserve">. </w:t>
            </w:r>
          </w:p>
        </w:tc>
        <w:tc>
          <w:tcPr>
            <w:tcW w:w="712" w:type="pct"/>
            <w:tcBorders>
              <w:top w:val="single" w:sz="4" w:space="0" w:color="auto"/>
              <w:left w:val="outset" w:sz="6" w:space="0" w:color="414142"/>
              <w:bottom w:val="outset" w:sz="6" w:space="0" w:color="414142"/>
              <w:right w:val="outset" w:sz="6" w:space="0" w:color="414142"/>
            </w:tcBorders>
          </w:tcPr>
          <w:p w14:paraId="30FB466B" w14:textId="77777777" w:rsid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lastRenderedPageBreak/>
              <w:t>Ņemts vērā</w:t>
            </w:r>
          </w:p>
          <w:p w14:paraId="06D4EE57" w14:textId="65AD27A2" w:rsidR="004E0291" w:rsidRPr="004B6D91" w:rsidRDefault="004E0291" w:rsidP="0050558A">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Noteikumu projekta 5.punkta 1.pielikuma 12.punkts precizēts.</w:t>
            </w:r>
          </w:p>
        </w:tc>
        <w:tc>
          <w:tcPr>
            <w:tcW w:w="1698" w:type="pct"/>
            <w:tcBorders>
              <w:top w:val="single" w:sz="4" w:space="0" w:color="auto"/>
              <w:left w:val="outset" w:sz="6" w:space="0" w:color="414142"/>
              <w:bottom w:val="outset" w:sz="6" w:space="0" w:color="414142"/>
              <w:right w:val="outset" w:sz="6" w:space="0" w:color="414142"/>
            </w:tcBorders>
            <w:vAlign w:val="center"/>
          </w:tcPr>
          <w:p w14:paraId="31C83D93" w14:textId="13A1CD0A" w:rsidR="0050558A" w:rsidRPr="004B6D91" w:rsidRDefault="004E0291"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“VAS </w:t>
            </w:r>
            <w:r>
              <w:rPr>
                <w:rFonts w:ascii="Times New Roman" w:hAnsi="Times New Roman" w:cs="Times New Roman"/>
                <w:sz w:val="20"/>
                <w:szCs w:val="20"/>
              </w:rPr>
              <w:t xml:space="preserve">“Valsts nekustamie īpašumi” iesniegtajos projekta iesniegumos par ēku, kurā izvietota tiešās valsts pārvaldes iestāde vai tiešās valsts pārvaldes iestādes padotības iestāde </w:t>
            </w:r>
            <w:r>
              <w:rPr>
                <w:rFonts w:ascii="Times New Roman" w:eastAsia="Times New Roman" w:hAnsi="Times New Roman" w:cs="Times New Roman"/>
                <w:sz w:val="20"/>
                <w:szCs w:val="20"/>
                <w:lang w:eastAsia="lv-LV"/>
              </w:rPr>
              <w:t xml:space="preserve">ERAF finansējums ir </w:t>
            </w:r>
            <w:r>
              <w:rPr>
                <w:rFonts w:ascii="Times New Roman" w:hAnsi="Times New Roman" w:cs="Times New Roman"/>
                <w:color w:val="000000" w:themeColor="text1"/>
                <w:sz w:val="20"/>
                <w:szCs w:val="20"/>
              </w:rPr>
              <w:t xml:space="preserve">3073699 </w:t>
            </w:r>
            <w:proofErr w:type="spellStart"/>
            <w:r>
              <w:rPr>
                <w:rFonts w:ascii="Times New Roman" w:hAnsi="Times New Roman" w:cs="Times New Roman"/>
                <w:color w:val="000000" w:themeColor="text1"/>
                <w:sz w:val="20"/>
                <w:szCs w:val="20"/>
              </w:rPr>
              <w:t>euro</w:t>
            </w:r>
            <w:proofErr w:type="spellEnd"/>
            <w:r>
              <w:rPr>
                <w:rFonts w:ascii="Times New Roman" w:hAnsi="Times New Roman" w:cs="Times New Roman"/>
                <w:color w:val="000000" w:themeColor="text1"/>
                <w:sz w:val="20"/>
                <w:szCs w:val="20"/>
              </w:rPr>
              <w:t xml:space="preserve">, valsts budžeta finansējums 542417 </w:t>
            </w:r>
            <w:proofErr w:type="spellStart"/>
            <w:r>
              <w:rPr>
                <w:rFonts w:ascii="Times New Roman" w:hAnsi="Times New Roman" w:cs="Times New Roman"/>
                <w:color w:val="000000" w:themeColor="text1"/>
                <w:sz w:val="20"/>
                <w:szCs w:val="20"/>
              </w:rPr>
              <w:t>euro</w:t>
            </w:r>
            <w:proofErr w:type="spellEnd"/>
            <w:r>
              <w:rPr>
                <w:rFonts w:ascii="Times New Roman" w:hAnsi="Times New Roman" w:cs="Times New Roman"/>
                <w:color w:val="000000" w:themeColor="text1"/>
                <w:sz w:val="20"/>
                <w:szCs w:val="20"/>
              </w:rPr>
              <w:t xml:space="preserve">, ERAF un valsts budžeta finansējums kopā 3616116 </w:t>
            </w:r>
            <w:proofErr w:type="spellStart"/>
            <w:r>
              <w:rPr>
                <w:rFonts w:ascii="Times New Roman" w:hAnsi="Times New Roman" w:cs="Times New Roman"/>
                <w:color w:val="000000" w:themeColor="text1"/>
                <w:sz w:val="20"/>
                <w:szCs w:val="20"/>
              </w:rPr>
              <w:t>euro</w:t>
            </w:r>
            <w:proofErr w:type="spellEnd"/>
            <w:r>
              <w:rPr>
                <w:rFonts w:ascii="Times New Roman" w:hAnsi="Times New Roman" w:cs="Times New Roman"/>
                <w:color w:val="000000" w:themeColor="text1"/>
                <w:sz w:val="20"/>
                <w:szCs w:val="20"/>
              </w:rPr>
              <w:t>.”</w:t>
            </w:r>
          </w:p>
        </w:tc>
      </w:tr>
      <w:tr w:rsidR="0050558A" w:rsidRPr="00574613" w14:paraId="551D69A9" w14:textId="77777777" w:rsidTr="00C90ECE">
        <w:trPr>
          <w:trHeight w:val="130"/>
        </w:trPr>
        <w:tc>
          <w:tcPr>
            <w:tcW w:w="249" w:type="pct"/>
            <w:tcBorders>
              <w:top w:val="outset" w:sz="6" w:space="0" w:color="414142"/>
              <w:left w:val="outset" w:sz="6" w:space="0" w:color="414142"/>
              <w:bottom w:val="single" w:sz="4" w:space="0" w:color="auto"/>
              <w:right w:val="outset" w:sz="6" w:space="0" w:color="414142"/>
            </w:tcBorders>
          </w:tcPr>
          <w:p w14:paraId="638DAF1C" w14:textId="61F016A1" w:rsidR="0050558A" w:rsidRPr="004B6D91" w:rsidRDefault="00530447"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c>
          <w:tcPr>
            <w:tcW w:w="663" w:type="pct"/>
            <w:tcBorders>
              <w:top w:val="outset" w:sz="6" w:space="0" w:color="414142"/>
              <w:left w:val="outset" w:sz="6" w:space="0" w:color="414142"/>
              <w:bottom w:val="single" w:sz="4" w:space="0" w:color="auto"/>
              <w:right w:val="outset" w:sz="6" w:space="0" w:color="414142"/>
            </w:tcBorders>
          </w:tcPr>
          <w:p w14:paraId="4D83A155" w14:textId="14B5018C" w:rsidR="0050558A" w:rsidRPr="004B6D91" w:rsidRDefault="0050558A" w:rsidP="0050558A">
            <w:pPr>
              <w:spacing w:after="0" w:line="240" w:lineRule="auto"/>
              <w:jc w:val="center"/>
              <w:rPr>
                <w:rFonts w:ascii="Times New Roman" w:eastAsia="Times New Roman" w:hAnsi="Times New Roman" w:cs="Times New Roman"/>
                <w:sz w:val="20"/>
                <w:szCs w:val="20"/>
                <w:lang w:eastAsia="lv-LV"/>
              </w:rPr>
            </w:pPr>
          </w:p>
        </w:tc>
        <w:tc>
          <w:tcPr>
            <w:tcW w:w="1678" w:type="pct"/>
            <w:tcBorders>
              <w:top w:val="outset" w:sz="6" w:space="0" w:color="414142"/>
              <w:left w:val="outset" w:sz="6" w:space="0" w:color="414142"/>
              <w:bottom w:val="single" w:sz="4" w:space="0" w:color="auto"/>
              <w:right w:val="outset" w:sz="6" w:space="0" w:color="414142"/>
            </w:tcBorders>
          </w:tcPr>
          <w:p w14:paraId="2B8225C1" w14:textId="27F4162A" w:rsidR="0050558A" w:rsidRPr="00161FA4" w:rsidRDefault="0050558A" w:rsidP="004E0291">
            <w:pPr>
              <w:spacing w:after="0" w:line="240" w:lineRule="auto"/>
              <w:jc w:val="center"/>
              <w:rPr>
                <w:rFonts w:ascii="Times New Roman" w:eastAsia="Times New Roman" w:hAnsi="Times New Roman" w:cs="Times New Roman"/>
                <w:b/>
                <w:bCs/>
                <w:sz w:val="20"/>
                <w:szCs w:val="20"/>
                <w:lang w:eastAsia="lv-LV"/>
              </w:rPr>
            </w:pPr>
            <w:r w:rsidRPr="00161FA4">
              <w:rPr>
                <w:rFonts w:ascii="Times New Roman" w:eastAsia="Times New Roman" w:hAnsi="Times New Roman" w:cs="Times New Roman"/>
                <w:b/>
                <w:bCs/>
                <w:sz w:val="20"/>
                <w:szCs w:val="20"/>
                <w:lang w:eastAsia="lv-LV"/>
              </w:rPr>
              <w:t>Finanšu ministrija</w:t>
            </w:r>
          </w:p>
          <w:p w14:paraId="3AEF1C47" w14:textId="77777777" w:rsidR="0050558A" w:rsidRPr="00161FA4" w:rsidRDefault="0050558A" w:rsidP="00161FA4">
            <w:pPr>
              <w:spacing w:after="0" w:line="240" w:lineRule="auto"/>
              <w:jc w:val="both"/>
              <w:rPr>
                <w:rFonts w:ascii="Times New Roman" w:hAnsi="Times New Roman" w:cs="Times New Roman"/>
                <w:sz w:val="20"/>
                <w:szCs w:val="20"/>
              </w:rPr>
            </w:pPr>
            <w:r w:rsidRPr="00161FA4">
              <w:rPr>
                <w:rFonts w:ascii="Times New Roman" w:hAnsi="Times New Roman" w:cs="Times New Roman"/>
                <w:sz w:val="20"/>
                <w:szCs w:val="20"/>
              </w:rPr>
              <w:t>Lūdzam papildināt noteikumu projektu ar jaunu punktu, kas paredz iespēju neattiecināmās izmaksas aprēķināt atbilstoši tam veidam, kādā projekta iesniedzējs ir izvēlējies projekta īstenošanas sākumā veikt papildinošās saimnieciskās darbības aprēķinu, ņemot vērā, ka saskaņā ar MK noteikumu Nr.543</w:t>
            </w:r>
            <w:r w:rsidRPr="00161FA4">
              <w:rPr>
                <w:rFonts w:ascii="Times New Roman" w:hAnsi="Times New Roman" w:cs="Times New Roman"/>
                <w:sz w:val="20"/>
                <w:szCs w:val="20"/>
                <w:vertAlign w:val="superscript"/>
              </w:rPr>
              <w:footnoteReference w:id="5"/>
            </w:r>
            <w:r w:rsidRPr="00161FA4">
              <w:rPr>
                <w:rFonts w:ascii="Times New Roman" w:hAnsi="Times New Roman" w:cs="Times New Roman"/>
                <w:sz w:val="20"/>
                <w:szCs w:val="20"/>
                <w:vertAlign w:val="superscript"/>
              </w:rPr>
              <w:t xml:space="preserve"> </w:t>
            </w:r>
            <w:r w:rsidRPr="00161FA4">
              <w:rPr>
                <w:rFonts w:ascii="Times New Roman" w:hAnsi="Times New Roman" w:cs="Times New Roman"/>
                <w:sz w:val="20"/>
                <w:szCs w:val="20"/>
              </w:rPr>
              <w:t xml:space="preserve">48.punktu papildinošās saimnieciskās darbības aprēķinu projekta iesniedzējs var veikt platības, laika vai finanšu izteiksmē, taču saskaņā ar MK noteikumu Nr.543. 49.punktu, ja tiek pārsniegts 48.punktā noteiktais pieļaujamais apmērs, neattiecināmās izmaksas projektā aprēķina proporcionālo ēkas daļai tieši platības izteiksmē. </w:t>
            </w:r>
          </w:p>
          <w:p w14:paraId="4DD123C1" w14:textId="2BFD325F" w:rsidR="0050558A" w:rsidRPr="00161FA4" w:rsidRDefault="0050558A" w:rsidP="00161FA4">
            <w:pPr>
              <w:spacing w:after="0" w:line="240" w:lineRule="auto"/>
              <w:jc w:val="both"/>
              <w:rPr>
                <w:rFonts w:ascii="Times New Roman" w:eastAsia="Times New Roman" w:hAnsi="Times New Roman" w:cs="Times New Roman"/>
                <w:sz w:val="20"/>
                <w:szCs w:val="20"/>
                <w:lang w:eastAsia="lv-LV"/>
              </w:rPr>
            </w:pPr>
          </w:p>
        </w:tc>
        <w:tc>
          <w:tcPr>
            <w:tcW w:w="712" w:type="pct"/>
            <w:tcBorders>
              <w:top w:val="outset" w:sz="6" w:space="0" w:color="414142"/>
              <w:left w:val="outset" w:sz="6" w:space="0" w:color="414142"/>
              <w:bottom w:val="single" w:sz="4" w:space="0" w:color="auto"/>
              <w:right w:val="outset" w:sz="6" w:space="0" w:color="414142"/>
            </w:tcBorders>
          </w:tcPr>
          <w:p w14:paraId="639E60A9" w14:textId="77777777" w:rsid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7438FD45" w14:textId="77777777" w:rsidR="00367852" w:rsidRDefault="00367852" w:rsidP="0036785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projekts papildināts ar jaunu apakšpunktu.</w:t>
            </w:r>
          </w:p>
          <w:p w14:paraId="6B556FD6" w14:textId="21D0D594" w:rsidR="00367852" w:rsidRPr="004B6D91" w:rsidRDefault="00367852" w:rsidP="0050558A">
            <w:pPr>
              <w:spacing w:after="0" w:line="240" w:lineRule="auto"/>
              <w:jc w:val="center"/>
              <w:rPr>
                <w:rFonts w:ascii="Times New Roman" w:eastAsia="Times New Roman" w:hAnsi="Times New Roman" w:cs="Times New Roman"/>
                <w:sz w:val="20"/>
                <w:szCs w:val="20"/>
                <w:lang w:eastAsia="lv-LV"/>
              </w:rPr>
            </w:pPr>
          </w:p>
        </w:tc>
        <w:tc>
          <w:tcPr>
            <w:tcW w:w="1698" w:type="pct"/>
            <w:tcBorders>
              <w:top w:val="outset" w:sz="6" w:space="0" w:color="414142"/>
              <w:left w:val="outset" w:sz="6" w:space="0" w:color="414142"/>
              <w:bottom w:val="single" w:sz="4" w:space="0" w:color="auto"/>
              <w:right w:val="outset" w:sz="6" w:space="0" w:color="414142"/>
            </w:tcBorders>
          </w:tcPr>
          <w:p w14:paraId="47B064F2" w14:textId="67931C1F" w:rsidR="0050558A" w:rsidRPr="004B6D91" w:rsidRDefault="00367852" w:rsidP="0050558A">
            <w:pPr>
              <w:spacing w:after="0" w:line="240" w:lineRule="auto"/>
              <w:jc w:val="center"/>
              <w:rPr>
                <w:rFonts w:ascii="Times New Roman" w:eastAsia="Times New Roman" w:hAnsi="Times New Roman" w:cs="Times New Roman"/>
                <w:sz w:val="20"/>
                <w:szCs w:val="20"/>
                <w:lang w:eastAsia="lv-LV"/>
              </w:rPr>
            </w:pPr>
            <w:bookmarkStart w:id="1" w:name="_Hlk66193944"/>
            <w:r>
              <w:rPr>
                <w:rFonts w:ascii="Times New Roman" w:hAnsi="Times New Roman" w:cs="Times New Roman"/>
                <w:color w:val="414142"/>
                <w:sz w:val="20"/>
                <w:szCs w:val="20"/>
                <w:shd w:val="clear" w:color="auto" w:fill="FFFFFF"/>
              </w:rPr>
              <w:t>49.</w:t>
            </w:r>
            <w:r>
              <w:rPr>
                <w:rFonts w:ascii="Times New Roman" w:hAnsi="Times New Roman" w:cs="Times New Roman"/>
                <w:color w:val="414142"/>
                <w:sz w:val="20"/>
                <w:szCs w:val="20"/>
                <w:shd w:val="clear" w:color="auto" w:fill="FFFFFF"/>
                <w:vertAlign w:val="superscript"/>
              </w:rPr>
              <w:t xml:space="preserve">1 </w:t>
            </w:r>
            <w:r>
              <w:rPr>
                <w:rFonts w:ascii="Times New Roman" w:hAnsi="Times New Roman" w:cs="Times New Roman"/>
                <w:color w:val="414142"/>
                <w:sz w:val="20"/>
                <w:szCs w:val="20"/>
                <w:shd w:val="clear" w:color="auto" w:fill="FFFFFF"/>
              </w:rPr>
              <w:t xml:space="preserve">Neattiecināmās izmaksas aprēķināmas atbilstoši veidam, kādā projekta iesniedzējs projekta īstenošanas sākumā izvēlējies veikt papildinošās saimnieciskās darbības aprēķinu </w:t>
            </w:r>
            <w:r>
              <w:rPr>
                <w:rFonts w:ascii="Times New Roman" w:hAnsi="Times New Roman" w:cs="Times New Roman"/>
                <w:sz w:val="20"/>
                <w:szCs w:val="20"/>
              </w:rPr>
              <w:t>platības, laika vai finanšu izteiksmē.</w:t>
            </w:r>
            <w:bookmarkEnd w:id="1"/>
          </w:p>
        </w:tc>
      </w:tr>
      <w:tr w:rsidR="0050558A" w:rsidRPr="00574613" w14:paraId="78316815" w14:textId="77777777" w:rsidTr="00C90ECE">
        <w:trPr>
          <w:trHeight w:val="140"/>
        </w:trPr>
        <w:tc>
          <w:tcPr>
            <w:tcW w:w="249" w:type="pct"/>
            <w:tcBorders>
              <w:top w:val="single" w:sz="4" w:space="0" w:color="auto"/>
              <w:left w:val="outset" w:sz="6" w:space="0" w:color="414142"/>
              <w:bottom w:val="single" w:sz="4" w:space="0" w:color="auto"/>
              <w:right w:val="outset" w:sz="6" w:space="0" w:color="414142"/>
            </w:tcBorders>
          </w:tcPr>
          <w:p w14:paraId="2B326A5D" w14:textId="52A10FDB" w:rsidR="0050558A" w:rsidRPr="004B6D91" w:rsidRDefault="00530447"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663" w:type="pct"/>
            <w:tcBorders>
              <w:top w:val="single" w:sz="4" w:space="0" w:color="auto"/>
              <w:left w:val="outset" w:sz="6" w:space="0" w:color="414142"/>
              <w:bottom w:val="single" w:sz="4" w:space="0" w:color="auto"/>
              <w:right w:val="outset" w:sz="6" w:space="0" w:color="414142"/>
            </w:tcBorders>
          </w:tcPr>
          <w:p w14:paraId="48274854" w14:textId="77777777" w:rsidR="0050558A" w:rsidRPr="004B6D91" w:rsidRDefault="0050558A" w:rsidP="0050558A">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tcPr>
          <w:p w14:paraId="2EB90763" w14:textId="5A030AD2" w:rsidR="0050558A" w:rsidRPr="00161FA4" w:rsidRDefault="0050558A" w:rsidP="004E0291">
            <w:pPr>
              <w:spacing w:after="0" w:line="240" w:lineRule="auto"/>
              <w:jc w:val="center"/>
              <w:rPr>
                <w:rFonts w:ascii="Times New Roman" w:eastAsia="Times New Roman" w:hAnsi="Times New Roman" w:cs="Times New Roman"/>
                <w:b/>
                <w:bCs/>
                <w:sz w:val="20"/>
                <w:szCs w:val="20"/>
                <w:lang w:eastAsia="lv-LV"/>
              </w:rPr>
            </w:pPr>
            <w:r w:rsidRPr="00161FA4">
              <w:rPr>
                <w:rFonts w:ascii="Times New Roman" w:eastAsia="Times New Roman" w:hAnsi="Times New Roman" w:cs="Times New Roman"/>
                <w:b/>
                <w:bCs/>
                <w:sz w:val="20"/>
                <w:szCs w:val="20"/>
                <w:lang w:eastAsia="lv-LV"/>
              </w:rPr>
              <w:t>Finanšu ministrija</w:t>
            </w:r>
          </w:p>
          <w:p w14:paraId="0B5D388F" w14:textId="77777777" w:rsidR="0050558A" w:rsidRPr="00161FA4" w:rsidRDefault="0050558A" w:rsidP="00161FA4">
            <w:pPr>
              <w:spacing w:after="0" w:line="240" w:lineRule="auto"/>
              <w:jc w:val="both"/>
              <w:rPr>
                <w:rFonts w:ascii="Times New Roman" w:hAnsi="Times New Roman" w:cs="Times New Roman"/>
                <w:sz w:val="20"/>
                <w:szCs w:val="20"/>
              </w:rPr>
            </w:pPr>
            <w:r w:rsidRPr="00161FA4">
              <w:rPr>
                <w:rFonts w:ascii="Times New Roman" w:hAnsi="Times New Roman" w:cs="Times New Roman"/>
                <w:sz w:val="20"/>
                <w:szCs w:val="20"/>
              </w:rPr>
              <w:t>Lūdzam aizpildīt anotācijas III sadaļu “Tiesību akta projekta ietekme uz valsts budžetu un pašvaldību budžetiem” atbilstoši MK instrukcijas Nr.19</w:t>
            </w:r>
            <w:r w:rsidRPr="00161FA4">
              <w:rPr>
                <w:rFonts w:ascii="Times New Roman" w:hAnsi="Times New Roman" w:cs="Times New Roman"/>
                <w:sz w:val="20"/>
                <w:szCs w:val="20"/>
                <w:vertAlign w:val="superscript"/>
              </w:rPr>
              <w:footnoteReference w:id="6"/>
            </w:r>
            <w:r w:rsidRPr="00161FA4">
              <w:rPr>
                <w:rFonts w:ascii="Times New Roman" w:hAnsi="Times New Roman" w:cs="Times New Roman"/>
                <w:sz w:val="20"/>
                <w:szCs w:val="20"/>
              </w:rPr>
              <w:t xml:space="preserve"> prasībām, norādot ministriju budžetā 2021.gadam un turpmākajiem gadiem paredzēto finansējumu, samazinātā finansējuma </w:t>
            </w:r>
            <w:r w:rsidRPr="00161FA4">
              <w:rPr>
                <w:rFonts w:ascii="Times New Roman" w:hAnsi="Times New Roman" w:cs="Times New Roman"/>
                <w:sz w:val="20"/>
                <w:szCs w:val="20"/>
              </w:rPr>
              <w:lastRenderedPageBreak/>
              <w:t xml:space="preserve">apmēru konkrētajos gados, kā arī sniedzot informāciju par samazinātā finansējuma pārdali konkrētajiem pasākumiem, ņemot vērā, ka noteikumu projekts paredz samazināt 4.2.1.2.pasākuma pirmās projektu iesniegumu atlases kārtai paredzēto publisko finansējumu. </w:t>
            </w:r>
          </w:p>
          <w:p w14:paraId="3A976C7F" w14:textId="77777777" w:rsidR="0050558A" w:rsidRDefault="0050558A" w:rsidP="00161FA4">
            <w:pPr>
              <w:spacing w:after="0" w:line="240" w:lineRule="auto"/>
              <w:jc w:val="both"/>
              <w:rPr>
                <w:rFonts w:ascii="Times New Roman" w:eastAsia="Times New Roman" w:hAnsi="Times New Roman" w:cs="Times New Roman"/>
                <w:sz w:val="20"/>
                <w:szCs w:val="20"/>
                <w:lang w:eastAsia="lv-LV"/>
              </w:rPr>
            </w:pPr>
          </w:p>
          <w:p w14:paraId="260E907D" w14:textId="07EA1795" w:rsidR="00530447" w:rsidRPr="00161FA4" w:rsidRDefault="00530447" w:rsidP="00161FA4">
            <w:pPr>
              <w:spacing w:after="0" w:line="240" w:lineRule="auto"/>
              <w:jc w:val="both"/>
              <w:rPr>
                <w:rFonts w:ascii="Times New Roman" w:eastAsia="Times New Roman" w:hAnsi="Times New Roman" w:cs="Times New Roman"/>
                <w:sz w:val="20"/>
                <w:szCs w:val="20"/>
                <w:lang w:eastAsia="lv-LV"/>
              </w:rPr>
            </w:pPr>
          </w:p>
        </w:tc>
        <w:tc>
          <w:tcPr>
            <w:tcW w:w="712" w:type="pct"/>
            <w:tcBorders>
              <w:top w:val="single" w:sz="4" w:space="0" w:color="auto"/>
              <w:left w:val="outset" w:sz="6" w:space="0" w:color="414142"/>
              <w:bottom w:val="single" w:sz="4" w:space="0" w:color="auto"/>
              <w:right w:val="outset" w:sz="6" w:space="0" w:color="414142"/>
            </w:tcBorders>
          </w:tcPr>
          <w:p w14:paraId="479EA25F" w14:textId="77777777" w:rsid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lastRenderedPageBreak/>
              <w:t>Ņemts vērā</w:t>
            </w:r>
          </w:p>
          <w:p w14:paraId="17C9DA50" w14:textId="324F5917" w:rsidR="00367852" w:rsidRPr="004B6D91" w:rsidRDefault="00367852"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Anotācijas III sadaļa precizēta, norādot </w:t>
            </w:r>
            <w:r>
              <w:rPr>
                <w:rFonts w:ascii="Times New Roman" w:hAnsi="Times New Roman" w:cs="Times New Roman"/>
                <w:sz w:val="20"/>
                <w:szCs w:val="20"/>
              </w:rPr>
              <w:t xml:space="preserve">informāciju par samazinātā finansējuma </w:t>
            </w:r>
            <w:r>
              <w:rPr>
                <w:rFonts w:ascii="Times New Roman" w:hAnsi="Times New Roman" w:cs="Times New Roman"/>
                <w:sz w:val="20"/>
                <w:szCs w:val="20"/>
              </w:rPr>
              <w:lastRenderedPageBreak/>
              <w:t>pārdali konkrētajiem pasākumiem</w:t>
            </w:r>
          </w:p>
        </w:tc>
        <w:tc>
          <w:tcPr>
            <w:tcW w:w="1698" w:type="pct"/>
            <w:tcBorders>
              <w:top w:val="single" w:sz="4" w:space="0" w:color="auto"/>
              <w:left w:val="outset" w:sz="6" w:space="0" w:color="414142"/>
              <w:bottom w:val="single" w:sz="4" w:space="0" w:color="auto"/>
              <w:right w:val="outset" w:sz="6" w:space="0" w:color="414142"/>
            </w:tcBorders>
          </w:tcPr>
          <w:p w14:paraId="35C8ECCE" w14:textId="77777777" w:rsidR="0050558A" w:rsidRPr="004B6D91" w:rsidRDefault="0050558A" w:rsidP="0050558A">
            <w:pPr>
              <w:spacing w:after="0" w:line="240" w:lineRule="auto"/>
              <w:jc w:val="center"/>
              <w:rPr>
                <w:rFonts w:ascii="Times New Roman" w:eastAsia="Times New Roman" w:hAnsi="Times New Roman" w:cs="Times New Roman"/>
                <w:sz w:val="20"/>
                <w:szCs w:val="20"/>
                <w:lang w:eastAsia="lv-LV"/>
              </w:rPr>
            </w:pPr>
          </w:p>
        </w:tc>
      </w:tr>
      <w:tr w:rsidR="0050558A" w:rsidRPr="00574613" w14:paraId="5011CBD5" w14:textId="77777777" w:rsidTr="00C90ECE">
        <w:trPr>
          <w:trHeight w:val="80"/>
        </w:trPr>
        <w:tc>
          <w:tcPr>
            <w:tcW w:w="249" w:type="pct"/>
            <w:tcBorders>
              <w:top w:val="single" w:sz="4" w:space="0" w:color="auto"/>
              <w:left w:val="outset" w:sz="6" w:space="0" w:color="414142"/>
              <w:bottom w:val="single" w:sz="4" w:space="0" w:color="auto"/>
              <w:right w:val="outset" w:sz="6" w:space="0" w:color="414142"/>
            </w:tcBorders>
          </w:tcPr>
          <w:p w14:paraId="7A8BB3FD" w14:textId="5E2A14E8" w:rsidR="0050558A" w:rsidRPr="004B6D91" w:rsidRDefault="00530447"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663" w:type="pct"/>
            <w:tcBorders>
              <w:top w:val="single" w:sz="4" w:space="0" w:color="auto"/>
              <w:left w:val="outset" w:sz="6" w:space="0" w:color="414142"/>
              <w:bottom w:val="single" w:sz="4" w:space="0" w:color="auto"/>
              <w:right w:val="outset" w:sz="6" w:space="0" w:color="414142"/>
            </w:tcBorders>
          </w:tcPr>
          <w:p w14:paraId="5C84DC0E" w14:textId="77777777" w:rsidR="0050558A" w:rsidRPr="004B6D91" w:rsidRDefault="0050558A" w:rsidP="0050558A">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tcPr>
          <w:p w14:paraId="5264E501" w14:textId="77777777" w:rsidR="0050558A" w:rsidRPr="00161FA4" w:rsidRDefault="0050558A" w:rsidP="00161FA4">
            <w:pPr>
              <w:spacing w:after="0" w:line="240" w:lineRule="auto"/>
              <w:jc w:val="both"/>
              <w:rPr>
                <w:rFonts w:ascii="Times New Roman" w:eastAsia="Times New Roman" w:hAnsi="Times New Roman" w:cs="Times New Roman"/>
                <w:b/>
                <w:bCs/>
                <w:sz w:val="20"/>
                <w:szCs w:val="20"/>
                <w:lang w:eastAsia="lv-LV"/>
              </w:rPr>
            </w:pPr>
            <w:r w:rsidRPr="00161FA4">
              <w:rPr>
                <w:rFonts w:ascii="Times New Roman" w:eastAsia="Times New Roman" w:hAnsi="Times New Roman" w:cs="Times New Roman"/>
                <w:b/>
                <w:bCs/>
                <w:sz w:val="20"/>
                <w:szCs w:val="20"/>
                <w:lang w:eastAsia="lv-LV"/>
              </w:rPr>
              <w:t xml:space="preserve">Finanšu ministrija </w:t>
            </w:r>
          </w:p>
          <w:p w14:paraId="6FFAFBB2" w14:textId="03B24583" w:rsidR="0050558A" w:rsidRPr="00161FA4" w:rsidRDefault="0050558A" w:rsidP="00161FA4">
            <w:pPr>
              <w:spacing w:after="0" w:line="240" w:lineRule="auto"/>
              <w:jc w:val="both"/>
              <w:rPr>
                <w:rFonts w:ascii="Times New Roman" w:eastAsia="Times New Roman" w:hAnsi="Times New Roman" w:cs="Times New Roman"/>
                <w:sz w:val="20"/>
                <w:szCs w:val="20"/>
                <w:lang w:eastAsia="lv-LV"/>
              </w:rPr>
            </w:pPr>
            <w:r w:rsidRPr="00161FA4">
              <w:rPr>
                <w:rFonts w:ascii="Times New Roman" w:hAnsi="Times New Roman" w:cs="Times New Roman"/>
                <w:sz w:val="20"/>
                <w:szCs w:val="20"/>
                <w:lang w:eastAsia="lv-LV"/>
              </w:rPr>
              <w:t xml:space="preserve">Lūdzam papildināt vai precizēt anotāciju attiecībā uz plānoto finansējuma pārdali 4.2.1.1.pasākumam, pamatojot šādu finansējuma pārdali, ņemot vērā MK </w:t>
            </w:r>
            <w:proofErr w:type="spellStart"/>
            <w:r w:rsidRPr="00161FA4">
              <w:rPr>
                <w:rFonts w:ascii="Times New Roman" w:hAnsi="Times New Roman" w:cs="Times New Roman"/>
                <w:sz w:val="20"/>
                <w:szCs w:val="20"/>
                <w:lang w:eastAsia="lv-LV"/>
              </w:rPr>
              <w:t>protokollēmuma</w:t>
            </w:r>
            <w:proofErr w:type="spellEnd"/>
            <w:r w:rsidRPr="00161FA4">
              <w:rPr>
                <w:rFonts w:ascii="Times New Roman" w:hAnsi="Times New Roman" w:cs="Times New Roman"/>
                <w:sz w:val="20"/>
                <w:szCs w:val="20"/>
                <w:lang w:eastAsia="lv-LV"/>
              </w:rPr>
              <w:t xml:space="preserve"> Nr.55 33.§</w:t>
            </w:r>
            <w:r w:rsidRPr="00161FA4">
              <w:rPr>
                <w:rStyle w:val="FootnoteReference"/>
                <w:rFonts w:cs="Times New Roman"/>
                <w:sz w:val="20"/>
                <w:szCs w:val="20"/>
                <w:lang w:eastAsia="lv-LV"/>
              </w:rPr>
              <w:footnoteReference w:id="7"/>
            </w:r>
            <w:r w:rsidRPr="00161FA4">
              <w:rPr>
                <w:rFonts w:ascii="Times New Roman" w:hAnsi="Times New Roman" w:cs="Times New Roman"/>
                <w:sz w:val="20"/>
                <w:szCs w:val="20"/>
                <w:lang w:eastAsia="lv-LV"/>
              </w:rPr>
              <w:t xml:space="preserve"> 3.punkā paredzēto turpmāko rīcību, proti, ka atlikušais 4.2.1.2.pasākuma 1.kārtas finansējums tiks pārdalīts 4.2.1.2.pasākuma 2.kārtas augstas gatavības projektiem. Tāpat, vienlaikus ar šo noteikumu projektu EM izskatīšanai FM ir iesniegusi 4.2.1.1.noteikumu projektu</w:t>
            </w:r>
            <w:r w:rsidRPr="00161FA4">
              <w:rPr>
                <w:rFonts w:ascii="Times New Roman" w:hAnsi="Times New Roman" w:cs="Times New Roman"/>
                <w:sz w:val="20"/>
                <w:szCs w:val="20"/>
                <w:vertAlign w:val="superscript"/>
                <w:lang w:eastAsia="lv-LV"/>
              </w:rPr>
              <w:footnoteReference w:id="8"/>
            </w:r>
            <w:r w:rsidRPr="00161FA4">
              <w:rPr>
                <w:rFonts w:ascii="Times New Roman" w:hAnsi="Times New Roman" w:cs="Times New Roman"/>
                <w:sz w:val="20"/>
                <w:szCs w:val="20"/>
                <w:lang w:eastAsia="lv-LV"/>
              </w:rPr>
              <w:t>, kurš neparedz šādu finansējuma palielinājumu</w:t>
            </w:r>
          </w:p>
        </w:tc>
        <w:tc>
          <w:tcPr>
            <w:tcW w:w="712" w:type="pct"/>
            <w:tcBorders>
              <w:top w:val="single" w:sz="4" w:space="0" w:color="auto"/>
              <w:left w:val="outset" w:sz="6" w:space="0" w:color="414142"/>
              <w:bottom w:val="single" w:sz="4" w:space="0" w:color="auto"/>
              <w:right w:val="outset" w:sz="6" w:space="0" w:color="414142"/>
            </w:tcBorders>
          </w:tcPr>
          <w:p w14:paraId="56A8D414" w14:textId="77777777" w:rsidR="0050558A" w:rsidRDefault="0050558A" w:rsidP="0050558A">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0A96CA1D" w14:textId="07C7E3FA" w:rsidR="00367852" w:rsidRPr="004B6D91" w:rsidRDefault="00367852" w:rsidP="00505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Anotācijas 1.sadaļas 2.punkts precizēts.</w:t>
            </w:r>
          </w:p>
        </w:tc>
        <w:tc>
          <w:tcPr>
            <w:tcW w:w="1698" w:type="pct"/>
            <w:tcBorders>
              <w:top w:val="single" w:sz="4" w:space="0" w:color="auto"/>
              <w:left w:val="outset" w:sz="6" w:space="0" w:color="414142"/>
              <w:bottom w:val="single" w:sz="4" w:space="0" w:color="auto"/>
              <w:right w:val="outset" w:sz="6" w:space="0" w:color="414142"/>
            </w:tcBorders>
          </w:tcPr>
          <w:p w14:paraId="55D4641F" w14:textId="099DA43F" w:rsidR="0050558A" w:rsidRPr="004B6D91" w:rsidRDefault="00367852" w:rsidP="00367852">
            <w:pPr>
              <w:spacing w:after="0" w:line="240" w:lineRule="auto"/>
              <w:jc w:val="both"/>
              <w:rPr>
                <w:rFonts w:ascii="Times New Roman" w:eastAsia="Times New Roman" w:hAnsi="Times New Roman" w:cs="Times New Roman"/>
                <w:sz w:val="20"/>
                <w:szCs w:val="20"/>
                <w:lang w:eastAsia="lv-LV"/>
              </w:rPr>
            </w:pPr>
            <w:r>
              <w:rPr>
                <w:rFonts w:ascii="Times New Roman" w:hAnsi="Times New Roman"/>
                <w:color w:val="000000" w:themeColor="text1"/>
                <w:sz w:val="20"/>
                <w:szCs w:val="20"/>
              </w:rPr>
              <w:t xml:space="preserve">“Atbilstoši Protokolā Nr. 55 noteiktajam, Noteikumu projekts paredz 4.2.1.2. pasākuma pirmās iesnieguma atlases kārtas (noslēgusies) neizmantoto finansējumu (gan finansējumu, kas netika pieprasīts, gan pārtraukto un atsaukto projektu finansējumu) pārdalīt 4.2.1.2. pasākuma otrās iesniegumu atlases kārtas </w:t>
            </w:r>
            <w:r>
              <w:rPr>
                <w:rFonts w:ascii="Times New Roman" w:hAnsi="Times New Roman"/>
                <w:color w:val="000000" w:themeColor="text1"/>
                <w:sz w:val="20"/>
                <w:szCs w:val="20"/>
                <w:lang w:eastAsia="lv-LV"/>
              </w:rPr>
              <w:t>augstas gatavības</w:t>
            </w:r>
            <w:r>
              <w:rPr>
                <w:color w:val="000000" w:themeColor="text1"/>
                <w:sz w:val="20"/>
                <w:szCs w:val="20"/>
                <w:lang w:eastAsia="lv-LV"/>
              </w:rPr>
              <w:t xml:space="preserve"> </w:t>
            </w:r>
            <w:r>
              <w:rPr>
                <w:rFonts w:ascii="Times New Roman" w:hAnsi="Times New Roman"/>
                <w:color w:val="000000" w:themeColor="text1"/>
                <w:sz w:val="20"/>
                <w:szCs w:val="20"/>
              </w:rPr>
              <w:t>projektiem.”</w:t>
            </w:r>
          </w:p>
        </w:tc>
      </w:tr>
      <w:tr w:rsidR="00161FA4" w:rsidRPr="00574613" w14:paraId="5F5BF98B" w14:textId="77777777" w:rsidTr="0050558A">
        <w:trPr>
          <w:trHeight w:val="130"/>
        </w:trPr>
        <w:tc>
          <w:tcPr>
            <w:tcW w:w="249" w:type="pct"/>
            <w:tcBorders>
              <w:top w:val="single" w:sz="4" w:space="0" w:color="auto"/>
              <w:left w:val="outset" w:sz="6" w:space="0" w:color="414142"/>
              <w:bottom w:val="single" w:sz="4" w:space="0" w:color="auto"/>
              <w:right w:val="outset" w:sz="6" w:space="0" w:color="414142"/>
            </w:tcBorders>
          </w:tcPr>
          <w:p w14:paraId="268E5536" w14:textId="0F710125" w:rsidR="00161FA4" w:rsidRPr="004B6D91" w:rsidRDefault="00530447" w:rsidP="00161FA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663" w:type="pct"/>
            <w:tcBorders>
              <w:top w:val="single" w:sz="4" w:space="0" w:color="auto"/>
              <w:left w:val="outset" w:sz="6" w:space="0" w:color="414142"/>
              <w:bottom w:val="single" w:sz="4" w:space="0" w:color="auto"/>
              <w:right w:val="outset" w:sz="6" w:space="0" w:color="414142"/>
            </w:tcBorders>
          </w:tcPr>
          <w:p w14:paraId="3D67C0A0" w14:textId="77777777"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tcPr>
          <w:p w14:paraId="4E1C7213" w14:textId="77777777" w:rsidR="00161FA4" w:rsidRPr="00A362B1" w:rsidRDefault="00161FA4" w:rsidP="00161FA4">
            <w:pPr>
              <w:spacing w:after="0" w:line="240" w:lineRule="auto"/>
              <w:jc w:val="center"/>
              <w:rPr>
                <w:rFonts w:ascii="Times New Roman" w:eastAsia="Times New Roman" w:hAnsi="Times New Roman" w:cs="Times New Roman"/>
                <w:b/>
                <w:bCs/>
                <w:sz w:val="20"/>
                <w:szCs w:val="20"/>
                <w:lang w:eastAsia="lv-LV"/>
              </w:rPr>
            </w:pPr>
            <w:r w:rsidRPr="00A362B1">
              <w:rPr>
                <w:rFonts w:ascii="Times New Roman" w:eastAsia="Times New Roman" w:hAnsi="Times New Roman" w:cs="Times New Roman"/>
                <w:b/>
                <w:bCs/>
                <w:sz w:val="20"/>
                <w:szCs w:val="20"/>
                <w:lang w:eastAsia="lv-LV"/>
              </w:rPr>
              <w:t xml:space="preserve">Finanšu ministrija </w:t>
            </w:r>
          </w:p>
          <w:p w14:paraId="34512249" w14:textId="77777777" w:rsidR="00A362B1" w:rsidRPr="00A362B1" w:rsidRDefault="00A362B1" w:rsidP="00A362B1">
            <w:pPr>
              <w:spacing w:after="0" w:line="240" w:lineRule="auto"/>
              <w:jc w:val="both"/>
              <w:rPr>
                <w:rFonts w:ascii="Times New Roman" w:hAnsi="Times New Roman" w:cs="Times New Roman"/>
                <w:sz w:val="20"/>
                <w:szCs w:val="20"/>
                <w:lang w:eastAsia="lv-LV"/>
              </w:rPr>
            </w:pPr>
            <w:r w:rsidRPr="00A362B1">
              <w:rPr>
                <w:rFonts w:ascii="Times New Roman" w:hAnsi="Times New Roman" w:cs="Times New Roman"/>
                <w:sz w:val="20"/>
                <w:szCs w:val="20"/>
                <w:lang w:eastAsia="lv-LV"/>
              </w:rPr>
              <w:t xml:space="preserve">Lūdzam papildināt anotācijas I sadaļas 2.punktu ar informāciju par visu ministriju kvotu atlikumiem, lai atspoguļotu reālo situāciju un nodrošinātu informācijas izsekojamību. Tāpat, lūdzam papildināt anotācijas I sadaļas 2.punktu ar informāciju par ministriju savstarpējo kvotu pārdalēm, kas neatspoguļojas MK noteikumu Nr.534 1.pielikumā, piemēram, EM nav finansējuma un tā savu kvotu pārdalīja starp </w:t>
            </w:r>
            <w:proofErr w:type="spellStart"/>
            <w:r w:rsidRPr="00A362B1">
              <w:rPr>
                <w:rFonts w:ascii="Times New Roman" w:hAnsi="Times New Roman" w:cs="Times New Roman"/>
                <w:sz w:val="20"/>
                <w:szCs w:val="20"/>
                <w:lang w:eastAsia="lv-LV"/>
              </w:rPr>
              <w:t>Iekšlietu</w:t>
            </w:r>
            <w:proofErr w:type="spellEnd"/>
            <w:r w:rsidRPr="00A362B1">
              <w:rPr>
                <w:rFonts w:ascii="Times New Roman" w:hAnsi="Times New Roman" w:cs="Times New Roman"/>
                <w:sz w:val="20"/>
                <w:szCs w:val="20"/>
                <w:lang w:eastAsia="lv-LV"/>
              </w:rPr>
              <w:t xml:space="preserve"> ministriju (1 348 000), KM (135 000) un Labklājības ministriju (1 350 514), kuras jau daļēju vai pilnā apmērā to ir izlietojušas.</w:t>
            </w:r>
          </w:p>
          <w:p w14:paraId="505582F4" w14:textId="380FB841" w:rsidR="00A362B1" w:rsidRPr="00A362B1" w:rsidRDefault="00A362B1" w:rsidP="00161FA4">
            <w:pPr>
              <w:spacing w:after="0" w:line="240" w:lineRule="auto"/>
              <w:jc w:val="center"/>
              <w:rPr>
                <w:rFonts w:ascii="Times New Roman" w:eastAsia="Times New Roman" w:hAnsi="Times New Roman" w:cs="Times New Roman"/>
                <w:sz w:val="20"/>
                <w:szCs w:val="20"/>
                <w:lang w:eastAsia="lv-LV"/>
              </w:rPr>
            </w:pPr>
          </w:p>
        </w:tc>
        <w:tc>
          <w:tcPr>
            <w:tcW w:w="712" w:type="pct"/>
            <w:tcBorders>
              <w:top w:val="single" w:sz="4" w:space="0" w:color="auto"/>
              <w:left w:val="outset" w:sz="6" w:space="0" w:color="414142"/>
              <w:bottom w:val="single" w:sz="4" w:space="0" w:color="auto"/>
              <w:right w:val="outset" w:sz="6" w:space="0" w:color="414142"/>
            </w:tcBorders>
          </w:tcPr>
          <w:p w14:paraId="7934F55A" w14:textId="77777777" w:rsidR="00161FA4" w:rsidRDefault="00161FA4" w:rsidP="00161FA4">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7B8DB9C2" w14:textId="0C261043" w:rsidR="00A70AE0" w:rsidRPr="004B6D91" w:rsidRDefault="00A70AE0" w:rsidP="00161FA4">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lang w:eastAsia="lv-LV"/>
              </w:rPr>
              <w:t>I sadaļas 2.punkts papildināts, ar ministriju kvotu atlikumiem un ministriju savstarpējo kvotu pārdalēm.</w:t>
            </w:r>
          </w:p>
        </w:tc>
        <w:tc>
          <w:tcPr>
            <w:tcW w:w="1698" w:type="pct"/>
            <w:tcBorders>
              <w:top w:val="single" w:sz="4" w:space="0" w:color="auto"/>
              <w:left w:val="outset" w:sz="6" w:space="0" w:color="414142"/>
              <w:bottom w:val="single" w:sz="4" w:space="0" w:color="auto"/>
              <w:right w:val="outset" w:sz="6" w:space="0" w:color="414142"/>
            </w:tcBorders>
          </w:tcPr>
          <w:p w14:paraId="1BC7BDA8" w14:textId="77777777" w:rsidR="00A70AE0" w:rsidRDefault="00A70AE0" w:rsidP="00A70AE0">
            <w:pPr>
              <w:spacing w:after="0" w:line="240" w:lineRule="auto"/>
              <w:ind w:left="142"/>
              <w:jc w:val="both"/>
              <w:rPr>
                <w:rFonts w:ascii="Times New Roman" w:hAnsi="Times New Roman"/>
                <w:sz w:val="20"/>
                <w:szCs w:val="20"/>
              </w:rPr>
            </w:pPr>
            <w:r>
              <w:rPr>
                <w:rFonts w:ascii="Times New Roman" w:hAnsi="Times New Roman"/>
                <w:sz w:val="20"/>
                <w:szCs w:val="20"/>
              </w:rPr>
              <w:t>“Ekonomikas ministrija savu kvotu 1348 000 EUR pārdalīja:</w:t>
            </w:r>
          </w:p>
          <w:p w14:paraId="58C3A3CE" w14:textId="77777777" w:rsidR="00A70AE0" w:rsidRDefault="00A70AE0" w:rsidP="00A70AE0">
            <w:pPr>
              <w:pStyle w:val="ListParagraph"/>
              <w:numPr>
                <w:ilvl w:val="0"/>
                <w:numId w:val="20"/>
              </w:numPr>
              <w:spacing w:after="0" w:line="240" w:lineRule="auto"/>
              <w:jc w:val="both"/>
              <w:rPr>
                <w:rFonts w:ascii="Times New Roman" w:eastAsia="Times New Roman" w:hAnsi="Times New Roman"/>
                <w:sz w:val="20"/>
                <w:szCs w:val="20"/>
              </w:rPr>
            </w:pPr>
            <w:proofErr w:type="spellStart"/>
            <w:r>
              <w:rPr>
                <w:rFonts w:ascii="Times New Roman" w:hAnsi="Times New Roman"/>
                <w:sz w:val="20"/>
                <w:szCs w:val="20"/>
              </w:rPr>
              <w:t>Iekšlietu</w:t>
            </w:r>
            <w:proofErr w:type="spellEnd"/>
            <w:r>
              <w:rPr>
                <w:rFonts w:ascii="Times New Roman" w:hAnsi="Times New Roman"/>
                <w:sz w:val="20"/>
                <w:szCs w:val="20"/>
              </w:rPr>
              <w:t xml:space="preserve"> ministrijai ERAF 1 145 800 EUR un VB 202 200EUR;</w:t>
            </w:r>
          </w:p>
          <w:p w14:paraId="64700481" w14:textId="77777777" w:rsidR="00A70AE0" w:rsidRDefault="00A70AE0" w:rsidP="00A70AE0">
            <w:pPr>
              <w:pStyle w:val="ListParagraph"/>
              <w:numPr>
                <w:ilvl w:val="0"/>
                <w:numId w:val="20"/>
              </w:numPr>
              <w:spacing w:after="0" w:line="240" w:lineRule="auto"/>
              <w:jc w:val="both"/>
              <w:rPr>
                <w:rFonts w:ascii="Times New Roman" w:eastAsia="Times New Roman" w:hAnsi="Times New Roman"/>
                <w:sz w:val="20"/>
                <w:szCs w:val="20"/>
              </w:rPr>
            </w:pPr>
            <w:r>
              <w:rPr>
                <w:rFonts w:ascii="Times New Roman" w:hAnsi="Times New Roman"/>
                <w:sz w:val="20"/>
                <w:szCs w:val="20"/>
              </w:rPr>
              <w:t>Kultūras ministrijai  ERAF 114 750 EUR un VB 20 250EUR;</w:t>
            </w:r>
          </w:p>
          <w:p w14:paraId="3869AD91" w14:textId="77777777" w:rsidR="00A70AE0" w:rsidRDefault="00A70AE0" w:rsidP="00A70AE0">
            <w:pPr>
              <w:pStyle w:val="ListParagraph"/>
              <w:numPr>
                <w:ilvl w:val="0"/>
                <w:numId w:val="20"/>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Labklājības ministrijai ERAF 1 156 437 EUR un VB 204 077EUR.</w:t>
            </w:r>
          </w:p>
          <w:p w14:paraId="4934724F" w14:textId="77777777" w:rsidR="00A70AE0" w:rsidRDefault="00A70AE0" w:rsidP="00A70AE0">
            <w:pPr>
              <w:spacing w:after="0" w:line="240" w:lineRule="auto"/>
              <w:ind w:left="150"/>
              <w:jc w:val="both"/>
              <w:rPr>
                <w:rFonts w:ascii="Times New Roman" w:eastAsia="Times New Roman" w:hAnsi="Times New Roman"/>
                <w:sz w:val="20"/>
                <w:szCs w:val="20"/>
              </w:rPr>
            </w:pPr>
            <w:r>
              <w:rPr>
                <w:rFonts w:ascii="Times New Roman" w:eastAsia="Times New Roman" w:hAnsi="Times New Roman"/>
                <w:sz w:val="20"/>
                <w:szCs w:val="20"/>
              </w:rPr>
              <w:t>Kultūras ministrija no savas kvotas pārdalīja:</w:t>
            </w:r>
          </w:p>
          <w:p w14:paraId="7C122A58" w14:textId="77777777" w:rsidR="00A70AE0" w:rsidRDefault="00A70AE0" w:rsidP="00A70AE0">
            <w:pPr>
              <w:pStyle w:val="ListParagraph"/>
              <w:numPr>
                <w:ilvl w:val="0"/>
                <w:numId w:val="20"/>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VAS “Valsts nekustamie Īpašumi” ERAF 395233 EUR un VB 69747EUR”.</w:t>
            </w:r>
          </w:p>
          <w:p w14:paraId="071C2FA1" w14:textId="77777777"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p>
        </w:tc>
      </w:tr>
      <w:tr w:rsidR="00161FA4" w:rsidRPr="00574613" w14:paraId="6489A736" w14:textId="77777777" w:rsidTr="0050558A">
        <w:trPr>
          <w:trHeight w:val="140"/>
        </w:trPr>
        <w:tc>
          <w:tcPr>
            <w:tcW w:w="249" w:type="pct"/>
            <w:tcBorders>
              <w:top w:val="single" w:sz="4" w:space="0" w:color="auto"/>
              <w:left w:val="outset" w:sz="6" w:space="0" w:color="414142"/>
              <w:bottom w:val="single" w:sz="4" w:space="0" w:color="auto"/>
              <w:right w:val="outset" w:sz="6" w:space="0" w:color="414142"/>
            </w:tcBorders>
          </w:tcPr>
          <w:p w14:paraId="168743CF" w14:textId="726738F2" w:rsidR="00161FA4" w:rsidRPr="004B6D91" w:rsidRDefault="00530447" w:rsidP="00161FA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10</w:t>
            </w:r>
          </w:p>
        </w:tc>
        <w:tc>
          <w:tcPr>
            <w:tcW w:w="663" w:type="pct"/>
            <w:tcBorders>
              <w:top w:val="single" w:sz="4" w:space="0" w:color="auto"/>
              <w:left w:val="outset" w:sz="6" w:space="0" w:color="414142"/>
              <w:bottom w:val="single" w:sz="4" w:space="0" w:color="auto"/>
              <w:right w:val="outset" w:sz="6" w:space="0" w:color="414142"/>
            </w:tcBorders>
          </w:tcPr>
          <w:p w14:paraId="5E412CF8" w14:textId="77777777"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tcPr>
          <w:p w14:paraId="0F0B9005" w14:textId="77777777" w:rsidR="00161FA4" w:rsidRPr="00A362B1" w:rsidRDefault="00161FA4" w:rsidP="00161FA4">
            <w:pPr>
              <w:spacing w:after="0" w:line="240" w:lineRule="auto"/>
              <w:jc w:val="center"/>
              <w:rPr>
                <w:rFonts w:ascii="Times New Roman" w:eastAsia="Times New Roman" w:hAnsi="Times New Roman" w:cs="Times New Roman"/>
                <w:b/>
                <w:bCs/>
                <w:sz w:val="20"/>
                <w:szCs w:val="20"/>
                <w:lang w:eastAsia="lv-LV"/>
              </w:rPr>
            </w:pPr>
            <w:r w:rsidRPr="00A362B1">
              <w:rPr>
                <w:rFonts w:ascii="Times New Roman" w:eastAsia="Times New Roman" w:hAnsi="Times New Roman" w:cs="Times New Roman"/>
                <w:b/>
                <w:bCs/>
                <w:sz w:val="20"/>
                <w:szCs w:val="20"/>
                <w:lang w:eastAsia="lv-LV"/>
              </w:rPr>
              <w:t xml:space="preserve">Finanšu ministrija </w:t>
            </w:r>
          </w:p>
          <w:p w14:paraId="49A0CA2F" w14:textId="77777777" w:rsidR="00A362B1" w:rsidRPr="00A362B1" w:rsidRDefault="00A362B1" w:rsidP="00A362B1">
            <w:pPr>
              <w:spacing w:after="0" w:line="240" w:lineRule="auto"/>
              <w:jc w:val="both"/>
              <w:rPr>
                <w:rFonts w:ascii="Times New Roman" w:hAnsi="Times New Roman" w:cs="Times New Roman"/>
                <w:sz w:val="20"/>
                <w:szCs w:val="20"/>
                <w:lang w:eastAsia="lv-LV"/>
              </w:rPr>
            </w:pPr>
            <w:r w:rsidRPr="00A362B1">
              <w:rPr>
                <w:rFonts w:ascii="Times New Roman" w:hAnsi="Times New Roman" w:cs="Times New Roman"/>
                <w:sz w:val="20"/>
                <w:szCs w:val="20"/>
                <w:lang w:eastAsia="lv-LV"/>
              </w:rPr>
              <w:t xml:space="preserve">Lūdzam papildināt anotāciju ar skaidrojumu, </w:t>
            </w:r>
            <w:r w:rsidRPr="00A362B1">
              <w:rPr>
                <w:rFonts w:ascii="Times New Roman" w:hAnsi="Times New Roman" w:cs="Times New Roman"/>
                <w:sz w:val="20"/>
                <w:szCs w:val="20"/>
              </w:rPr>
              <w:t>ka, grozot projektu īstenošanas termiņu, jebkura pagarinājuma ietvaros tiks vērtēti ne tikai MK noteikumos Nr.784</w:t>
            </w:r>
            <w:r w:rsidRPr="00A362B1">
              <w:rPr>
                <w:rStyle w:val="FootnoteReference"/>
                <w:rFonts w:cs="Times New Roman"/>
                <w:sz w:val="20"/>
                <w:szCs w:val="20"/>
              </w:rPr>
              <w:footnoteReference w:id="9"/>
            </w:r>
            <w:r w:rsidRPr="00A362B1">
              <w:rPr>
                <w:rFonts w:ascii="Times New Roman" w:hAnsi="Times New Roman" w:cs="Times New Roman"/>
                <w:sz w:val="20"/>
                <w:szCs w:val="20"/>
              </w:rPr>
              <w:t xml:space="preserve"> noteiktie finanšu disciplīnas nosacījumi, bet arī noslēgto būvniecības un iepirkuma līgumu būtisku grozījumu riski, saistībā ar iespējamiem neatbilstoši veikto izdevumu riskiem, ņemot vērā noteikumu projekta anotācijas I sadaļas 2.punktā ietverto pamatojumu attiecībā uz īstenošanas termiņa pagarināšanu. </w:t>
            </w:r>
          </w:p>
          <w:p w14:paraId="05671EF5" w14:textId="70307BD5" w:rsidR="00A362B1" w:rsidRPr="00A362B1" w:rsidRDefault="00A362B1" w:rsidP="00161FA4">
            <w:pPr>
              <w:spacing w:after="0" w:line="240" w:lineRule="auto"/>
              <w:jc w:val="center"/>
              <w:rPr>
                <w:rFonts w:ascii="Times New Roman" w:eastAsia="Times New Roman" w:hAnsi="Times New Roman" w:cs="Times New Roman"/>
                <w:sz w:val="20"/>
                <w:szCs w:val="20"/>
                <w:lang w:eastAsia="lv-LV"/>
              </w:rPr>
            </w:pPr>
          </w:p>
        </w:tc>
        <w:tc>
          <w:tcPr>
            <w:tcW w:w="712" w:type="pct"/>
            <w:tcBorders>
              <w:top w:val="single" w:sz="4" w:space="0" w:color="auto"/>
              <w:left w:val="outset" w:sz="6" w:space="0" w:color="414142"/>
              <w:bottom w:val="single" w:sz="4" w:space="0" w:color="auto"/>
              <w:right w:val="outset" w:sz="6" w:space="0" w:color="414142"/>
            </w:tcBorders>
          </w:tcPr>
          <w:p w14:paraId="5741FF1A" w14:textId="77777777" w:rsidR="00161FA4" w:rsidRDefault="00161FA4" w:rsidP="00161FA4">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601B4FF4" w14:textId="0154F5BA" w:rsidR="00A70AE0" w:rsidRPr="00D35B6E" w:rsidRDefault="00A70AE0" w:rsidP="00161FA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Anotācijas 1.sadaļas 2.punkts precizēts.</w:t>
            </w:r>
          </w:p>
        </w:tc>
        <w:tc>
          <w:tcPr>
            <w:tcW w:w="1698" w:type="pct"/>
            <w:tcBorders>
              <w:top w:val="single" w:sz="4" w:space="0" w:color="auto"/>
              <w:left w:val="outset" w:sz="6" w:space="0" w:color="414142"/>
              <w:bottom w:val="single" w:sz="4" w:space="0" w:color="auto"/>
              <w:right w:val="outset" w:sz="6" w:space="0" w:color="414142"/>
            </w:tcBorders>
          </w:tcPr>
          <w:p w14:paraId="1BB42587" w14:textId="77777777" w:rsidR="00A70AE0" w:rsidRDefault="00A70AE0" w:rsidP="00A70AE0">
            <w:pPr>
              <w:spacing w:after="0" w:line="240" w:lineRule="auto"/>
              <w:ind w:right="35"/>
              <w:jc w:val="both"/>
              <w:rPr>
                <w:rFonts w:ascii="Times New Roman" w:hAnsi="Times New Roman"/>
                <w:color w:val="000000" w:themeColor="text1"/>
                <w:sz w:val="20"/>
                <w:szCs w:val="20"/>
              </w:rPr>
            </w:pPr>
            <w:r>
              <w:rPr>
                <w:rFonts w:ascii="Times New Roman" w:hAnsi="Times New Roman"/>
                <w:sz w:val="20"/>
                <w:szCs w:val="20"/>
              </w:rPr>
              <w:t xml:space="preserve">Līdz ar to Projekta Nr. 4.2.1.2/18/I/055 īstenošanas termiņu nepieciešams pagarināt līdz 2023.gada 30.jūnijam, </w:t>
            </w:r>
            <w:r>
              <w:rPr>
                <w:rFonts w:ascii="Times New Roman" w:hAnsi="Times New Roman"/>
                <w:color w:val="000000" w:themeColor="text1"/>
                <w:sz w:val="20"/>
                <w:szCs w:val="20"/>
              </w:rPr>
              <w:t xml:space="preserve">izvērtējot ar projekta īstenošanu saistītos riskus. </w:t>
            </w:r>
          </w:p>
          <w:p w14:paraId="12D73144" w14:textId="77777777"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p>
        </w:tc>
      </w:tr>
      <w:tr w:rsidR="00161FA4" w:rsidRPr="00574613" w14:paraId="6B5479CD" w14:textId="77777777" w:rsidTr="0050558A">
        <w:trPr>
          <w:trHeight w:val="140"/>
        </w:trPr>
        <w:tc>
          <w:tcPr>
            <w:tcW w:w="249" w:type="pct"/>
            <w:tcBorders>
              <w:top w:val="single" w:sz="4" w:space="0" w:color="auto"/>
              <w:left w:val="outset" w:sz="6" w:space="0" w:color="414142"/>
              <w:bottom w:val="single" w:sz="4" w:space="0" w:color="auto"/>
              <w:right w:val="outset" w:sz="6" w:space="0" w:color="414142"/>
            </w:tcBorders>
          </w:tcPr>
          <w:p w14:paraId="2058E132" w14:textId="19F68DB8" w:rsidR="00161FA4" w:rsidRPr="004B6D91" w:rsidRDefault="00530447" w:rsidP="00161FA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p>
        </w:tc>
        <w:tc>
          <w:tcPr>
            <w:tcW w:w="663" w:type="pct"/>
            <w:tcBorders>
              <w:top w:val="single" w:sz="4" w:space="0" w:color="auto"/>
              <w:left w:val="outset" w:sz="6" w:space="0" w:color="414142"/>
              <w:bottom w:val="single" w:sz="4" w:space="0" w:color="auto"/>
              <w:right w:val="outset" w:sz="6" w:space="0" w:color="414142"/>
            </w:tcBorders>
          </w:tcPr>
          <w:p w14:paraId="0CC41169" w14:textId="77777777"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p>
        </w:tc>
        <w:tc>
          <w:tcPr>
            <w:tcW w:w="1678" w:type="pct"/>
            <w:tcBorders>
              <w:top w:val="single" w:sz="4" w:space="0" w:color="auto"/>
              <w:left w:val="outset" w:sz="6" w:space="0" w:color="414142"/>
              <w:bottom w:val="single" w:sz="4" w:space="0" w:color="auto"/>
              <w:right w:val="outset" w:sz="6" w:space="0" w:color="414142"/>
            </w:tcBorders>
          </w:tcPr>
          <w:p w14:paraId="29079A41" w14:textId="77777777" w:rsidR="00BC3778" w:rsidRDefault="00BC3778" w:rsidP="00161FA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VAS “Valsts nekustamie īpašumi”</w:t>
            </w:r>
          </w:p>
          <w:p w14:paraId="23B567E3" w14:textId="77777777" w:rsidR="00BC3778" w:rsidRPr="00BC3778" w:rsidRDefault="00BC3778" w:rsidP="00BC3778">
            <w:pPr>
              <w:widowControl w:val="0"/>
              <w:shd w:val="clear" w:color="auto" w:fill="FFFFFF"/>
              <w:suppressAutoHyphens/>
              <w:spacing w:after="0" w:line="240" w:lineRule="auto"/>
              <w:jc w:val="both"/>
              <w:rPr>
                <w:rFonts w:ascii="Times New Roman" w:eastAsia="Times New Roman" w:hAnsi="Times New Roman" w:cs="Times New Roman"/>
                <w:kern w:val="1"/>
                <w:sz w:val="20"/>
                <w:szCs w:val="20"/>
              </w:rPr>
            </w:pPr>
            <w:r w:rsidRPr="00BC3778">
              <w:rPr>
                <w:rFonts w:ascii="Times New Roman" w:eastAsia="Times New Roman" w:hAnsi="Times New Roman" w:cs="Times New Roman"/>
                <w:kern w:val="1"/>
                <w:sz w:val="20"/>
                <w:szCs w:val="20"/>
              </w:rPr>
              <w:t>Aicinām svītrot no spēkā esošajiem Ministru kabineta noteikumiem Nr.534 36.</w:t>
            </w:r>
            <w:r w:rsidRPr="00BC3778">
              <w:rPr>
                <w:rFonts w:ascii="Times New Roman" w:eastAsia="Times New Roman" w:hAnsi="Times New Roman" w:cs="Times New Roman"/>
                <w:kern w:val="1"/>
                <w:sz w:val="20"/>
                <w:szCs w:val="20"/>
                <w:vertAlign w:val="superscript"/>
              </w:rPr>
              <w:t>1</w:t>
            </w:r>
            <w:r w:rsidRPr="00BC3778">
              <w:rPr>
                <w:rFonts w:ascii="Times New Roman" w:eastAsia="Times New Roman" w:hAnsi="Times New Roman" w:cs="Times New Roman"/>
                <w:kern w:val="1"/>
                <w:sz w:val="20"/>
                <w:szCs w:val="20"/>
              </w:rPr>
              <w:t>punktu, vai arī izteikt punktu šādā redakcijā:</w:t>
            </w:r>
          </w:p>
          <w:p w14:paraId="015F32C1" w14:textId="77777777" w:rsidR="00BC3778" w:rsidRPr="00BC3778" w:rsidRDefault="00BC3778" w:rsidP="00BC3778">
            <w:pPr>
              <w:widowControl w:val="0"/>
              <w:suppressAutoHyphens/>
              <w:spacing w:after="0" w:line="240" w:lineRule="auto"/>
              <w:jc w:val="both"/>
              <w:rPr>
                <w:rFonts w:ascii="Times New Roman" w:hAnsi="Times New Roman" w:cs="Times New Roman"/>
                <w:b/>
                <w:bCs/>
                <w:i/>
                <w:iCs/>
                <w:sz w:val="20"/>
                <w:szCs w:val="20"/>
              </w:rPr>
            </w:pPr>
            <w:r w:rsidRPr="00BC3778">
              <w:rPr>
                <w:rFonts w:ascii="Times New Roman" w:hAnsi="Times New Roman" w:cs="Times New Roman"/>
                <w:b/>
                <w:bCs/>
                <w:i/>
                <w:iCs/>
                <w:color w:val="414142"/>
                <w:sz w:val="20"/>
                <w:szCs w:val="20"/>
                <w:shd w:val="clear" w:color="auto" w:fill="FFFFFF"/>
              </w:rPr>
              <w:t>“</w:t>
            </w:r>
            <w:r w:rsidRPr="00BC3778">
              <w:rPr>
                <w:rFonts w:ascii="Times New Roman" w:hAnsi="Times New Roman" w:cs="Times New Roman"/>
                <w:sz w:val="20"/>
                <w:szCs w:val="20"/>
              </w:rPr>
              <w:t>36.</w:t>
            </w:r>
            <w:r w:rsidRPr="00BC3778">
              <w:rPr>
                <w:rFonts w:ascii="Times New Roman" w:hAnsi="Times New Roman" w:cs="Times New Roman"/>
                <w:sz w:val="20"/>
                <w:szCs w:val="20"/>
                <w:vertAlign w:val="superscript"/>
              </w:rPr>
              <w:t>1</w:t>
            </w:r>
            <w:r w:rsidRPr="00BC3778">
              <w:rPr>
                <w:rFonts w:ascii="Times New Roman" w:hAnsi="Times New Roman" w:cs="Times New Roman"/>
                <w:sz w:val="20"/>
                <w:szCs w:val="20"/>
              </w:rPr>
              <w:t xml:space="preserve"> Finansējuma saņēmējs var palielināt projekta attiecināmās izmaksas, </w:t>
            </w:r>
            <w:r w:rsidRPr="00BC3778">
              <w:rPr>
                <w:rFonts w:ascii="Times New Roman" w:hAnsi="Times New Roman" w:cs="Times New Roman"/>
                <w:sz w:val="20"/>
                <w:szCs w:val="20"/>
                <w:u w:val="single"/>
              </w:rPr>
              <w:t xml:space="preserve">t.sk paredzot papildus darbības </w:t>
            </w:r>
            <w:r w:rsidRPr="00BC3778">
              <w:rPr>
                <w:rFonts w:ascii="Times New Roman" w:hAnsi="Times New Roman" w:cs="Times New Roman"/>
                <w:sz w:val="20"/>
                <w:szCs w:val="20"/>
              </w:rPr>
              <w:t>pēc projekta iesnieguma iesniegšanas sadarbības iestādē līdz projekta apstiprināšanai nosacījumu izpildes laikā, ja projekts apstiprināts ar nosacījumu, vai pēc vienošanās vai līguma noslēgšanas ar sadarbības iestādi. Finansējuma saņēmējs sadarbības iestādē iesniedz ministrijas apliecinājumu par projekta attiecināmo izmaksu palielināšanu ministrijai piešķirtās kvotas ietvaros.”</w:t>
            </w:r>
          </w:p>
          <w:p w14:paraId="58DC9F3E" w14:textId="43B59AFC"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r w:rsidRPr="00D93638">
              <w:rPr>
                <w:rFonts w:ascii="Times New Roman" w:eastAsia="Times New Roman" w:hAnsi="Times New Roman" w:cs="Times New Roman"/>
                <w:b/>
                <w:bCs/>
                <w:sz w:val="20"/>
                <w:szCs w:val="20"/>
                <w:lang w:eastAsia="lv-LV"/>
              </w:rPr>
              <w:t xml:space="preserve"> </w:t>
            </w:r>
          </w:p>
        </w:tc>
        <w:tc>
          <w:tcPr>
            <w:tcW w:w="712" w:type="pct"/>
            <w:tcBorders>
              <w:top w:val="single" w:sz="4" w:space="0" w:color="auto"/>
              <w:left w:val="outset" w:sz="6" w:space="0" w:color="414142"/>
              <w:bottom w:val="single" w:sz="4" w:space="0" w:color="auto"/>
              <w:right w:val="outset" w:sz="6" w:space="0" w:color="414142"/>
            </w:tcBorders>
          </w:tcPr>
          <w:p w14:paraId="03C02896" w14:textId="053E1F77" w:rsidR="00161FA4" w:rsidRDefault="00161FA4" w:rsidP="00161FA4">
            <w:pPr>
              <w:spacing w:after="0" w:line="240" w:lineRule="auto"/>
              <w:jc w:val="center"/>
              <w:rPr>
                <w:rFonts w:ascii="Times New Roman" w:eastAsia="Times New Roman" w:hAnsi="Times New Roman" w:cs="Times New Roman"/>
                <w:b/>
                <w:bCs/>
                <w:sz w:val="20"/>
                <w:szCs w:val="20"/>
                <w:lang w:eastAsia="lv-LV"/>
              </w:rPr>
            </w:pPr>
            <w:r w:rsidRPr="00D35B6E">
              <w:rPr>
                <w:rFonts w:ascii="Times New Roman" w:eastAsia="Times New Roman" w:hAnsi="Times New Roman" w:cs="Times New Roman"/>
                <w:b/>
                <w:bCs/>
                <w:sz w:val="20"/>
                <w:szCs w:val="20"/>
                <w:lang w:eastAsia="lv-LV"/>
              </w:rPr>
              <w:t>Ņemts vērā</w:t>
            </w:r>
          </w:p>
          <w:p w14:paraId="3B49C197" w14:textId="460E0347" w:rsidR="00BC3778" w:rsidRPr="00BC3778" w:rsidRDefault="00BC3778" w:rsidP="00161FA4">
            <w:pPr>
              <w:spacing w:after="0" w:line="240" w:lineRule="auto"/>
              <w:jc w:val="center"/>
              <w:rPr>
                <w:rFonts w:ascii="Times New Roman" w:eastAsia="Times New Roman" w:hAnsi="Times New Roman" w:cs="Times New Roman"/>
                <w:sz w:val="20"/>
                <w:szCs w:val="20"/>
                <w:lang w:eastAsia="lv-LV"/>
              </w:rPr>
            </w:pPr>
            <w:r w:rsidRPr="00BC3778">
              <w:rPr>
                <w:rFonts w:ascii="Times New Roman" w:eastAsia="Times New Roman" w:hAnsi="Times New Roman" w:cs="Times New Roman"/>
                <w:sz w:val="20"/>
                <w:szCs w:val="20"/>
                <w:lang w:eastAsia="lv-LV"/>
              </w:rPr>
              <w:t xml:space="preserve"> noteikumu projekts precizēts</w:t>
            </w:r>
          </w:p>
          <w:p w14:paraId="55BE6BE5" w14:textId="77777777" w:rsidR="00BC3778" w:rsidRDefault="00BC3778" w:rsidP="00BC3778">
            <w:pPr>
              <w:jc w:val="right"/>
              <w:rPr>
                <w:rFonts w:ascii="Times New Roman" w:eastAsia="Times New Roman" w:hAnsi="Times New Roman" w:cs="Times New Roman"/>
                <w:sz w:val="20"/>
                <w:szCs w:val="20"/>
                <w:lang w:eastAsia="lv-LV"/>
              </w:rPr>
            </w:pPr>
          </w:p>
          <w:p w14:paraId="22D5ECE9" w14:textId="7DE1AD33" w:rsidR="00BC3778" w:rsidRPr="00BC3778" w:rsidRDefault="00BC3778" w:rsidP="00BC3778">
            <w:pPr>
              <w:jc w:val="right"/>
              <w:rPr>
                <w:rFonts w:ascii="Times New Roman" w:eastAsia="Times New Roman" w:hAnsi="Times New Roman" w:cs="Times New Roman"/>
                <w:sz w:val="20"/>
                <w:szCs w:val="20"/>
                <w:lang w:eastAsia="lv-LV"/>
              </w:rPr>
            </w:pPr>
          </w:p>
        </w:tc>
        <w:tc>
          <w:tcPr>
            <w:tcW w:w="1698" w:type="pct"/>
            <w:tcBorders>
              <w:top w:val="single" w:sz="4" w:space="0" w:color="auto"/>
              <w:left w:val="outset" w:sz="6" w:space="0" w:color="414142"/>
              <w:bottom w:val="single" w:sz="4" w:space="0" w:color="auto"/>
              <w:right w:val="outset" w:sz="6" w:space="0" w:color="414142"/>
            </w:tcBorders>
          </w:tcPr>
          <w:p w14:paraId="24F5A8C1" w14:textId="77777777" w:rsidR="00B33046" w:rsidRDefault="00B33046" w:rsidP="00B33046">
            <w:pPr>
              <w:widowControl w:val="0"/>
              <w:suppressAutoHyphens/>
              <w:spacing w:after="0" w:line="240" w:lineRule="auto"/>
              <w:jc w:val="both"/>
              <w:rPr>
                <w:rFonts w:ascii="Times New Roman" w:hAnsi="Times New Roman" w:cs="Times New Roman"/>
                <w:b/>
                <w:bCs/>
                <w:i/>
                <w:iCs/>
                <w:sz w:val="20"/>
                <w:szCs w:val="20"/>
              </w:rPr>
            </w:pPr>
            <w:r>
              <w:rPr>
                <w:rFonts w:ascii="Times New Roman" w:hAnsi="Times New Roman" w:cs="Times New Roman"/>
                <w:b/>
                <w:bCs/>
                <w:i/>
                <w:iCs/>
                <w:color w:val="414142"/>
                <w:sz w:val="20"/>
                <w:szCs w:val="20"/>
                <w:shd w:val="clear" w:color="auto" w:fill="FFFFFF"/>
              </w:rPr>
              <w:t>“</w:t>
            </w:r>
            <w:r>
              <w:rPr>
                <w:rFonts w:ascii="Times New Roman" w:hAnsi="Times New Roman" w:cs="Times New Roman"/>
                <w:sz w:val="20"/>
                <w:szCs w:val="20"/>
              </w:rPr>
              <w:t>36.</w:t>
            </w:r>
            <w:r>
              <w:rPr>
                <w:rFonts w:ascii="Times New Roman" w:hAnsi="Times New Roman" w:cs="Times New Roman"/>
                <w:sz w:val="20"/>
                <w:szCs w:val="20"/>
                <w:vertAlign w:val="superscript"/>
              </w:rPr>
              <w:t>1</w:t>
            </w:r>
            <w:r>
              <w:rPr>
                <w:rFonts w:ascii="Times New Roman" w:hAnsi="Times New Roman" w:cs="Times New Roman"/>
                <w:sz w:val="20"/>
                <w:szCs w:val="20"/>
              </w:rPr>
              <w:t> Finansējuma saņēmējs var palielināt projekta attiecināmās izmaksas, t.sk paredzot papildus darbības</w:t>
            </w:r>
            <w:r>
              <w:rPr>
                <w:rFonts w:ascii="Times New Roman" w:hAnsi="Times New Roman" w:cs="Times New Roman"/>
                <w:sz w:val="20"/>
                <w:szCs w:val="20"/>
                <w:u w:val="single"/>
              </w:rPr>
              <w:t xml:space="preserve"> </w:t>
            </w:r>
            <w:r>
              <w:rPr>
                <w:rFonts w:ascii="Times New Roman" w:hAnsi="Times New Roman" w:cs="Times New Roman"/>
                <w:sz w:val="20"/>
                <w:szCs w:val="20"/>
              </w:rPr>
              <w:t>pēc projekta iesnieguma iesniegšanas sadarbības iestādē līdz projekta apstiprināšanai nosacījumu izpildes laikā, ja projekts apstiprināts ar nosacījumu, vai pēc vienošanās vai līguma noslēgšanas ar sadarbības iestādi. Finansējuma saņēmējs sadarbības iestādē iesniedz ministrijas apliecinājumu par projekta attiecināmo izmaksu palielināšanu ministrijai piešķirtās kvotas ietvaros.”</w:t>
            </w:r>
          </w:p>
          <w:p w14:paraId="03EE62E4" w14:textId="77777777" w:rsidR="00161FA4" w:rsidRPr="004B6D91" w:rsidRDefault="00161FA4" w:rsidP="00161FA4">
            <w:pPr>
              <w:spacing w:after="0" w:line="240" w:lineRule="auto"/>
              <w:jc w:val="center"/>
              <w:rPr>
                <w:rFonts w:ascii="Times New Roman" w:eastAsia="Times New Roman" w:hAnsi="Times New Roman" w:cs="Times New Roman"/>
                <w:sz w:val="20"/>
                <w:szCs w:val="20"/>
                <w:lang w:eastAsia="lv-LV"/>
              </w:rPr>
            </w:pPr>
          </w:p>
        </w:tc>
      </w:tr>
      <w:tr w:rsidR="00DB50CA" w:rsidRPr="00574613" w14:paraId="3E70D413" w14:textId="77777777" w:rsidTr="00DB50CA">
        <w:trPr>
          <w:trHeight w:val="71"/>
        </w:trPr>
        <w:tc>
          <w:tcPr>
            <w:tcW w:w="5000" w:type="pct"/>
            <w:gridSpan w:val="5"/>
            <w:tcBorders>
              <w:top w:val="single" w:sz="4" w:space="0" w:color="auto"/>
              <w:left w:val="outset" w:sz="6" w:space="0" w:color="414142"/>
              <w:right w:val="outset" w:sz="6" w:space="0" w:color="414142"/>
            </w:tcBorders>
          </w:tcPr>
          <w:p w14:paraId="49EDAF74" w14:textId="7F20DB74" w:rsidR="00DB50CA" w:rsidRPr="004B6D91" w:rsidRDefault="00DB50CA" w:rsidP="00161FA4">
            <w:pPr>
              <w:spacing w:after="0" w:line="240" w:lineRule="auto"/>
              <w:jc w:val="center"/>
              <w:rPr>
                <w:rFonts w:ascii="Times New Roman" w:eastAsia="Times New Roman" w:hAnsi="Times New Roman" w:cs="Times New Roman"/>
                <w:sz w:val="20"/>
                <w:szCs w:val="20"/>
                <w:lang w:eastAsia="lv-LV"/>
              </w:rPr>
            </w:pPr>
          </w:p>
        </w:tc>
      </w:tr>
      <w:tr w:rsidR="00254017" w:rsidRPr="00574613" w14:paraId="60A3E369"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46B58C0" w14:textId="56078293" w:rsidR="004C7BFE" w:rsidRPr="00A125CE" w:rsidRDefault="00530447" w:rsidP="0039271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663" w:type="pct"/>
            <w:tcBorders>
              <w:top w:val="outset" w:sz="6" w:space="0" w:color="414142"/>
              <w:left w:val="outset" w:sz="6" w:space="0" w:color="414142"/>
              <w:bottom w:val="outset" w:sz="6" w:space="0" w:color="414142"/>
              <w:right w:val="outset" w:sz="6" w:space="0" w:color="414142"/>
            </w:tcBorders>
            <w:hideMark/>
          </w:tcPr>
          <w:p w14:paraId="0538AE39" w14:textId="1495A47A" w:rsidR="004C7BFE" w:rsidRPr="004D4FE5" w:rsidRDefault="004C7BFE" w:rsidP="00947958">
            <w:pPr>
              <w:spacing w:after="0" w:line="240" w:lineRule="auto"/>
              <w:rPr>
                <w:rFonts w:ascii="Times New Roman" w:eastAsia="Times New Roman" w:hAnsi="Times New Roman" w:cs="Times New Roman"/>
                <w:b/>
                <w:bCs/>
                <w:sz w:val="24"/>
                <w:szCs w:val="24"/>
                <w:lang w:eastAsia="lv-LV"/>
              </w:rPr>
            </w:pPr>
          </w:p>
        </w:tc>
        <w:tc>
          <w:tcPr>
            <w:tcW w:w="1678" w:type="pct"/>
            <w:tcBorders>
              <w:top w:val="outset" w:sz="6" w:space="0" w:color="414142"/>
              <w:left w:val="outset" w:sz="6" w:space="0" w:color="414142"/>
              <w:bottom w:val="outset" w:sz="6" w:space="0" w:color="414142"/>
              <w:right w:val="outset" w:sz="6" w:space="0" w:color="414142"/>
            </w:tcBorders>
            <w:hideMark/>
          </w:tcPr>
          <w:p w14:paraId="478D841D" w14:textId="3F12D587" w:rsidR="004D4FE5" w:rsidRDefault="002D037A" w:rsidP="00060620">
            <w:pPr>
              <w:spacing w:after="0" w:line="240" w:lineRule="auto"/>
              <w:jc w:val="center"/>
              <w:rPr>
                <w:rFonts w:ascii="Times New Roman" w:eastAsia="Times New Roman" w:hAnsi="Times New Roman" w:cs="Times New Roman"/>
                <w:b/>
                <w:bCs/>
                <w:sz w:val="24"/>
                <w:szCs w:val="24"/>
                <w:lang w:eastAsia="lv-LV"/>
              </w:rPr>
            </w:pPr>
            <w:r w:rsidRPr="004D4FE5">
              <w:rPr>
                <w:rFonts w:ascii="Times New Roman" w:eastAsia="Times New Roman" w:hAnsi="Times New Roman" w:cs="Times New Roman"/>
                <w:b/>
                <w:bCs/>
                <w:sz w:val="24"/>
                <w:szCs w:val="24"/>
                <w:lang w:eastAsia="lv-LV"/>
              </w:rPr>
              <w:t>IEBILDUMI</w:t>
            </w:r>
            <w:r w:rsidR="00F73595">
              <w:rPr>
                <w:rFonts w:ascii="Times New Roman" w:eastAsia="Times New Roman" w:hAnsi="Times New Roman" w:cs="Times New Roman"/>
                <w:b/>
                <w:bCs/>
                <w:sz w:val="24"/>
                <w:szCs w:val="24"/>
                <w:lang w:eastAsia="lv-LV"/>
              </w:rPr>
              <w:t xml:space="preserve">  </w:t>
            </w:r>
            <w:r w:rsidR="002401E6">
              <w:rPr>
                <w:rFonts w:ascii="Times New Roman" w:eastAsia="Times New Roman" w:hAnsi="Times New Roman" w:cs="Times New Roman"/>
                <w:b/>
                <w:bCs/>
                <w:sz w:val="24"/>
                <w:szCs w:val="24"/>
                <w:lang w:eastAsia="lv-LV"/>
              </w:rPr>
              <w:t>17.03.</w:t>
            </w:r>
            <w:r w:rsidR="00F73595">
              <w:rPr>
                <w:rFonts w:ascii="Times New Roman" w:eastAsia="Times New Roman" w:hAnsi="Times New Roman" w:cs="Times New Roman"/>
                <w:b/>
                <w:bCs/>
                <w:sz w:val="24"/>
                <w:szCs w:val="24"/>
                <w:lang w:eastAsia="lv-LV"/>
              </w:rPr>
              <w:t>2021.</w:t>
            </w:r>
          </w:p>
          <w:p w14:paraId="53AA1354" w14:textId="77777777" w:rsidR="00CB0883" w:rsidRDefault="00CB0883" w:rsidP="00060620">
            <w:pPr>
              <w:spacing w:after="0" w:line="240" w:lineRule="auto"/>
              <w:jc w:val="center"/>
              <w:rPr>
                <w:rFonts w:ascii="Times New Roman" w:eastAsia="Times New Roman" w:hAnsi="Times New Roman" w:cs="Times New Roman"/>
                <w:b/>
                <w:bCs/>
                <w:sz w:val="20"/>
                <w:szCs w:val="20"/>
                <w:lang w:eastAsia="lv-LV"/>
              </w:rPr>
            </w:pPr>
          </w:p>
          <w:p w14:paraId="51EE89EB" w14:textId="4BD39245" w:rsidR="004D4FE5" w:rsidRPr="00A356AF" w:rsidRDefault="00060620" w:rsidP="002D037A">
            <w:pPr>
              <w:spacing w:after="0" w:line="240" w:lineRule="auto"/>
              <w:jc w:val="center"/>
              <w:rPr>
                <w:rFonts w:ascii="Times New Roman" w:eastAsia="Times New Roman" w:hAnsi="Times New Roman" w:cs="Times New Roman"/>
                <w:b/>
                <w:bCs/>
                <w:sz w:val="20"/>
                <w:szCs w:val="20"/>
                <w:lang w:eastAsia="lv-LV"/>
              </w:rPr>
            </w:pPr>
            <w:r w:rsidRPr="00A356AF">
              <w:rPr>
                <w:rFonts w:ascii="Times New Roman" w:eastAsia="Times New Roman" w:hAnsi="Times New Roman" w:cs="Times New Roman"/>
                <w:b/>
                <w:bCs/>
                <w:sz w:val="20"/>
                <w:szCs w:val="20"/>
                <w:lang w:eastAsia="lv-LV"/>
              </w:rPr>
              <w:t>Finanšu ministrija</w:t>
            </w:r>
            <w:r w:rsidR="004D4FE5">
              <w:rPr>
                <w:rFonts w:ascii="Times New Roman" w:eastAsia="Times New Roman" w:hAnsi="Times New Roman" w:cs="Times New Roman"/>
                <w:b/>
                <w:bCs/>
                <w:sz w:val="20"/>
                <w:szCs w:val="20"/>
                <w:lang w:eastAsia="lv-LV"/>
              </w:rPr>
              <w:t xml:space="preserve"> </w:t>
            </w:r>
          </w:p>
          <w:p w14:paraId="25684377" w14:textId="0E9F3284" w:rsidR="004D4FE5" w:rsidRPr="00637A95" w:rsidRDefault="004D4FE5" w:rsidP="002D037A">
            <w:pPr>
              <w:spacing w:after="0" w:line="240" w:lineRule="auto"/>
              <w:jc w:val="both"/>
              <w:rPr>
                <w:rFonts w:ascii="Times New Roman" w:hAnsi="Times New Roman" w:cs="Times New Roman"/>
                <w:sz w:val="20"/>
                <w:szCs w:val="20"/>
                <w:lang w:eastAsia="lv-LV"/>
              </w:rPr>
            </w:pPr>
            <w:r w:rsidRPr="00637A95">
              <w:rPr>
                <w:rFonts w:ascii="Times New Roman" w:hAnsi="Times New Roman" w:cs="Times New Roman"/>
                <w:sz w:val="20"/>
                <w:szCs w:val="20"/>
              </w:rPr>
              <w:t>Atkārtoti lūdzam pārskatīt noteikumu projektā plānotās finansējuma pārdales, ņemot vērā, ka uz 2021.gada 19.martu 4.2.1.2.pasākuma</w:t>
            </w:r>
            <w:r w:rsidRPr="00637A95">
              <w:rPr>
                <w:rStyle w:val="FootnoteReference"/>
                <w:rFonts w:cs="Times New Roman"/>
                <w:sz w:val="20"/>
                <w:szCs w:val="20"/>
                <w:lang w:eastAsia="lv-LV"/>
              </w:rPr>
              <w:footnoteReference w:id="10"/>
            </w:r>
            <w:r w:rsidRPr="00637A95">
              <w:rPr>
                <w:rFonts w:ascii="Times New Roman" w:hAnsi="Times New Roman" w:cs="Times New Roman"/>
                <w:sz w:val="20"/>
                <w:szCs w:val="20"/>
              </w:rPr>
              <w:t xml:space="preserve"> 1.kārtas apstiprināto projektu kopējais finansējums sastāda 60 397 490,73 </w:t>
            </w:r>
            <w:proofErr w:type="spellStart"/>
            <w:r w:rsidRPr="00637A95">
              <w:rPr>
                <w:rFonts w:ascii="Times New Roman" w:hAnsi="Times New Roman" w:cs="Times New Roman"/>
                <w:i/>
                <w:sz w:val="20"/>
                <w:szCs w:val="20"/>
              </w:rPr>
              <w:t>euro</w:t>
            </w:r>
            <w:proofErr w:type="spellEnd"/>
            <w:r w:rsidRPr="00637A95">
              <w:rPr>
                <w:rFonts w:ascii="Times New Roman" w:hAnsi="Times New Roman" w:cs="Times New Roman"/>
                <w:sz w:val="20"/>
                <w:szCs w:val="20"/>
              </w:rPr>
              <w:t xml:space="preserve"> (Eiropas </w:t>
            </w:r>
            <w:r w:rsidRPr="00637A95">
              <w:rPr>
                <w:rFonts w:ascii="Times New Roman" w:hAnsi="Times New Roman" w:cs="Times New Roman"/>
                <w:sz w:val="20"/>
                <w:szCs w:val="20"/>
              </w:rPr>
              <w:lastRenderedPageBreak/>
              <w:t xml:space="preserve">Reģionālās attīstības fonda (turpmāk – ERAF) finansējums), kas ir par 4 350,03 </w:t>
            </w:r>
            <w:proofErr w:type="spellStart"/>
            <w:r w:rsidRPr="00637A95">
              <w:rPr>
                <w:rFonts w:ascii="Times New Roman" w:hAnsi="Times New Roman" w:cs="Times New Roman"/>
                <w:i/>
                <w:sz w:val="20"/>
                <w:szCs w:val="20"/>
              </w:rPr>
              <w:t>euro</w:t>
            </w:r>
            <w:proofErr w:type="spellEnd"/>
            <w:r w:rsidRPr="00637A95">
              <w:rPr>
                <w:rFonts w:ascii="Times New Roman" w:hAnsi="Times New Roman" w:cs="Times New Roman"/>
                <w:sz w:val="20"/>
                <w:szCs w:val="20"/>
              </w:rPr>
              <w:t xml:space="preserve"> (ERAF finansējums) lielāks kā 2021.gada 25.februārī, kā arī šobrīd vēl nav abpusēji parakstīti vairāku projektu līguma grozījumi par papildu finansējuma piešķiršanu (pārdales starp ministriju kvotām), līdz ar to pilnībā visu šī brīža 4.2.1.2.pasākuma 1.kārtas atlikumu pārdale nav iespējama, kā arī papildus norādām, ka uz 2021.gada 19.martu kopējie 4.2.1.2.pasākuma 1.kārtas projektu ietaupījumi un neatbilstoši veiktie izdevumi, kas ir atskaitīti no projektu attiecināmajām izmaksām un kurus nevar izmantot un pārdalīt citiem projektiem/darbībām sastāda 319 014 </w:t>
            </w:r>
            <w:proofErr w:type="spellStart"/>
            <w:r w:rsidRPr="00637A95">
              <w:rPr>
                <w:rFonts w:ascii="Times New Roman" w:hAnsi="Times New Roman" w:cs="Times New Roman"/>
                <w:i/>
                <w:sz w:val="20"/>
                <w:szCs w:val="20"/>
              </w:rPr>
              <w:t>euro</w:t>
            </w:r>
            <w:proofErr w:type="spellEnd"/>
            <w:r w:rsidRPr="00637A95">
              <w:rPr>
                <w:rFonts w:ascii="Times New Roman" w:hAnsi="Times New Roman" w:cs="Times New Roman"/>
                <w:sz w:val="20"/>
                <w:szCs w:val="20"/>
              </w:rPr>
              <w:t xml:space="preserve"> (ERAF finansējums). </w:t>
            </w:r>
          </w:p>
          <w:p w14:paraId="6A806678" w14:textId="01F2BBA6" w:rsidR="00060620" w:rsidRPr="00A356AF" w:rsidRDefault="00060620" w:rsidP="004D4FE5">
            <w:pPr>
              <w:spacing w:after="0" w:line="240" w:lineRule="auto"/>
              <w:jc w:val="both"/>
              <w:rPr>
                <w:rFonts w:ascii="Times New Roman" w:eastAsia="Times New Roman" w:hAnsi="Times New Roman" w:cs="Times New Roman"/>
                <w:b/>
                <w:bCs/>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hideMark/>
          </w:tcPr>
          <w:p w14:paraId="2103D1CF" w14:textId="77777777" w:rsidR="004D4FE5" w:rsidRDefault="004D4FE5" w:rsidP="00452EF3">
            <w:pPr>
              <w:spacing w:after="0" w:line="240" w:lineRule="auto"/>
              <w:jc w:val="center"/>
              <w:rPr>
                <w:rFonts w:ascii="Times New Roman" w:eastAsia="Times New Roman" w:hAnsi="Times New Roman" w:cs="Times New Roman"/>
                <w:b/>
                <w:bCs/>
                <w:sz w:val="20"/>
                <w:szCs w:val="20"/>
                <w:lang w:eastAsia="lv-LV"/>
              </w:rPr>
            </w:pPr>
          </w:p>
          <w:p w14:paraId="11C76E28" w14:textId="592C986F" w:rsidR="004C7BFE" w:rsidRDefault="004D4FE5" w:rsidP="00452EF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w:t>
            </w:r>
            <w:r w:rsidR="005B2E06">
              <w:rPr>
                <w:rFonts w:ascii="Times New Roman" w:eastAsia="Times New Roman" w:hAnsi="Times New Roman" w:cs="Times New Roman"/>
                <w:b/>
                <w:bCs/>
                <w:sz w:val="20"/>
                <w:szCs w:val="20"/>
                <w:lang w:eastAsia="lv-LV"/>
              </w:rPr>
              <w:t>emts vērā</w:t>
            </w:r>
          </w:p>
          <w:p w14:paraId="00744EB2" w14:textId="3D35406F" w:rsidR="0024153D" w:rsidRDefault="00325F5D" w:rsidP="00452EF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projekts precizēts</w:t>
            </w:r>
            <w:r w:rsidR="00542359">
              <w:rPr>
                <w:rFonts w:ascii="Times New Roman" w:eastAsia="Times New Roman" w:hAnsi="Times New Roman" w:cs="Times New Roman"/>
                <w:sz w:val="20"/>
                <w:szCs w:val="20"/>
                <w:lang w:eastAsia="lv-LV"/>
              </w:rPr>
              <w:t xml:space="preserve">. </w:t>
            </w:r>
          </w:p>
          <w:p w14:paraId="3EF5ABFB" w14:textId="6F3E070C" w:rsidR="0009524B" w:rsidRPr="00325F5D" w:rsidRDefault="0009524B" w:rsidP="00452EF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Vienlaikus precizēts noteikumu projekta </w:t>
            </w:r>
            <w:r>
              <w:rPr>
                <w:rFonts w:ascii="Times New Roman" w:eastAsia="Times New Roman" w:hAnsi="Times New Roman" w:cs="Times New Roman"/>
                <w:sz w:val="20"/>
                <w:szCs w:val="20"/>
                <w:lang w:eastAsia="lv-LV"/>
              </w:rPr>
              <w:lastRenderedPageBreak/>
              <w:t>1.pielikums un anotācija.</w:t>
            </w:r>
          </w:p>
          <w:p w14:paraId="55B2C915" w14:textId="2C92107C" w:rsidR="00C82D0B" w:rsidRPr="000F1C97" w:rsidRDefault="00C82D0B" w:rsidP="00452EF3">
            <w:pPr>
              <w:spacing w:after="0" w:line="240" w:lineRule="auto"/>
              <w:jc w:val="center"/>
              <w:rPr>
                <w:rFonts w:ascii="Times New Roman" w:eastAsia="Times New Roman" w:hAnsi="Times New Roman" w:cs="Times New Roman"/>
                <w:b/>
                <w:bCs/>
                <w:sz w:val="20"/>
                <w:szCs w:val="20"/>
                <w:lang w:eastAsia="lv-LV"/>
              </w:rPr>
            </w:pPr>
          </w:p>
          <w:p w14:paraId="5AE7F869" w14:textId="2AD9AE74" w:rsidR="005B2E06" w:rsidRPr="00A356AF" w:rsidRDefault="005B2E06" w:rsidP="00452EF3">
            <w:pPr>
              <w:spacing w:after="0" w:line="240" w:lineRule="auto"/>
              <w:jc w:val="center"/>
              <w:rPr>
                <w:rFonts w:ascii="Times New Roman" w:eastAsia="Times New Roman" w:hAnsi="Times New Roman" w:cs="Times New Roman"/>
                <w:b/>
                <w:bCs/>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hideMark/>
          </w:tcPr>
          <w:p w14:paraId="0B7543AA" w14:textId="148F7ADA" w:rsidR="00A46E30" w:rsidRPr="00A356AF" w:rsidRDefault="004C7BFE" w:rsidP="00A46E30">
            <w:pPr>
              <w:spacing w:after="0" w:line="240" w:lineRule="auto"/>
              <w:jc w:val="both"/>
              <w:rPr>
                <w:rFonts w:ascii="Times New Roman" w:eastAsia="Times New Roman" w:hAnsi="Times New Roman" w:cs="Times New Roman"/>
                <w:sz w:val="20"/>
                <w:szCs w:val="20"/>
                <w:lang w:eastAsia="lv-LV"/>
              </w:rPr>
            </w:pPr>
            <w:r w:rsidRPr="00A356AF">
              <w:rPr>
                <w:rFonts w:ascii="Times New Roman" w:eastAsia="Times New Roman" w:hAnsi="Times New Roman" w:cs="Times New Roman"/>
                <w:sz w:val="20"/>
                <w:szCs w:val="20"/>
                <w:lang w:eastAsia="lv-LV"/>
              </w:rPr>
              <w:lastRenderedPageBreak/>
              <w:t> </w:t>
            </w:r>
          </w:p>
          <w:p w14:paraId="224F102C" w14:textId="77777777" w:rsidR="00542359" w:rsidRPr="00542359" w:rsidRDefault="00542359" w:rsidP="00542359">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r w:rsidRPr="00542359">
              <w:rPr>
                <w:rFonts w:ascii="Times New Roman" w:eastAsia="Times New Roman" w:hAnsi="Times New Roman" w:cs="Times New Roman"/>
                <w:color w:val="000000" w:themeColor="text1"/>
                <w:sz w:val="20"/>
                <w:szCs w:val="20"/>
                <w:lang w:eastAsia="lv-LV"/>
              </w:rPr>
              <w:t>Izteikt 9. punktu šādā redakcijā:</w:t>
            </w:r>
          </w:p>
          <w:p w14:paraId="4EEF688D" w14:textId="46684F33" w:rsidR="00361CCC" w:rsidRPr="00361CCC" w:rsidRDefault="00361CCC" w:rsidP="00361CCC">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r w:rsidRPr="00361CCC">
              <w:rPr>
                <w:rFonts w:ascii="Times New Roman" w:eastAsia="Times New Roman" w:hAnsi="Times New Roman" w:cs="Times New Roman"/>
                <w:color w:val="000000" w:themeColor="text1"/>
                <w:sz w:val="20"/>
                <w:szCs w:val="20"/>
                <w:lang w:eastAsia="lv-LV"/>
              </w:rPr>
              <w:t xml:space="preserve">“9. Atlases kārtas īstenošanai plānotais kopējais publiskais finansējums ir 71960978 </w:t>
            </w:r>
            <w:proofErr w:type="spellStart"/>
            <w:r w:rsidRPr="00361CCC">
              <w:rPr>
                <w:rFonts w:ascii="Times New Roman" w:eastAsia="Times New Roman" w:hAnsi="Times New Roman" w:cs="Times New Roman"/>
                <w:i/>
                <w:iCs/>
                <w:color w:val="000000" w:themeColor="text1"/>
                <w:sz w:val="20"/>
                <w:szCs w:val="20"/>
                <w:lang w:eastAsia="lv-LV"/>
              </w:rPr>
              <w:t>euro</w:t>
            </w:r>
            <w:proofErr w:type="spellEnd"/>
            <w:r w:rsidRPr="00361CCC">
              <w:rPr>
                <w:rFonts w:ascii="Times New Roman" w:eastAsia="Times New Roman" w:hAnsi="Times New Roman" w:cs="Times New Roman"/>
                <w:color w:val="000000" w:themeColor="text1"/>
                <w:sz w:val="20"/>
                <w:szCs w:val="20"/>
                <w:lang w:eastAsia="lv-LV"/>
              </w:rPr>
              <w:t xml:space="preserve">, tajā skaitā Eiropas Reģionālās attīstības fonda finansējums </w:t>
            </w:r>
            <w:r w:rsidRPr="00361CCC">
              <w:rPr>
                <w:rFonts w:ascii="Times New Roman" w:eastAsia="Times New Roman" w:hAnsi="Times New Roman" w:cs="Times New Roman"/>
                <w:i/>
                <w:iCs/>
                <w:color w:val="000000" w:themeColor="text1"/>
                <w:sz w:val="20"/>
                <w:szCs w:val="20"/>
                <w:lang w:eastAsia="lv-LV"/>
              </w:rPr>
              <w:t xml:space="preserve">61166831 </w:t>
            </w:r>
            <w:proofErr w:type="spellStart"/>
            <w:r w:rsidRPr="00361CCC">
              <w:rPr>
                <w:rFonts w:ascii="Times New Roman" w:eastAsia="Times New Roman" w:hAnsi="Times New Roman" w:cs="Times New Roman"/>
                <w:i/>
                <w:iCs/>
                <w:color w:val="000000" w:themeColor="text1"/>
                <w:sz w:val="20"/>
                <w:szCs w:val="20"/>
                <w:lang w:eastAsia="lv-LV"/>
              </w:rPr>
              <w:t>euro</w:t>
            </w:r>
            <w:proofErr w:type="spellEnd"/>
            <w:r w:rsidRPr="00361CCC">
              <w:rPr>
                <w:rFonts w:ascii="Times New Roman" w:eastAsia="Times New Roman" w:hAnsi="Times New Roman" w:cs="Times New Roman"/>
                <w:color w:val="000000" w:themeColor="text1"/>
                <w:sz w:val="20"/>
                <w:szCs w:val="20"/>
                <w:lang w:eastAsia="lv-LV"/>
              </w:rPr>
              <w:t xml:space="preserve"> un valsts budžeta finansējums 10794147 </w:t>
            </w:r>
            <w:proofErr w:type="spellStart"/>
            <w:r w:rsidRPr="00361CCC">
              <w:rPr>
                <w:rFonts w:ascii="Times New Roman" w:eastAsia="Times New Roman" w:hAnsi="Times New Roman" w:cs="Times New Roman"/>
                <w:i/>
                <w:iCs/>
                <w:color w:val="000000" w:themeColor="text1"/>
                <w:sz w:val="20"/>
                <w:szCs w:val="20"/>
                <w:lang w:eastAsia="lv-LV"/>
              </w:rPr>
              <w:t>euro</w:t>
            </w:r>
            <w:proofErr w:type="spellEnd"/>
            <w:r w:rsidRPr="00361CCC">
              <w:rPr>
                <w:rFonts w:ascii="Times New Roman" w:eastAsia="Times New Roman" w:hAnsi="Times New Roman" w:cs="Times New Roman"/>
                <w:color w:val="000000" w:themeColor="text1"/>
                <w:sz w:val="20"/>
                <w:szCs w:val="20"/>
                <w:lang w:eastAsia="lv-LV"/>
              </w:rPr>
              <w:t>."</w:t>
            </w:r>
          </w:p>
          <w:p w14:paraId="1031C6CA" w14:textId="3D92F410" w:rsidR="004C7BFE" w:rsidRPr="00A356AF" w:rsidRDefault="004C7BFE" w:rsidP="000E2705">
            <w:pPr>
              <w:spacing w:after="0" w:line="240" w:lineRule="auto"/>
              <w:jc w:val="both"/>
              <w:rPr>
                <w:rFonts w:ascii="Times New Roman" w:eastAsia="Times New Roman" w:hAnsi="Times New Roman" w:cs="Times New Roman"/>
                <w:sz w:val="20"/>
                <w:szCs w:val="20"/>
                <w:lang w:eastAsia="lv-LV"/>
              </w:rPr>
            </w:pPr>
          </w:p>
        </w:tc>
      </w:tr>
      <w:tr w:rsidR="00F1267B" w:rsidRPr="00574613" w14:paraId="61758ACB"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4C327251" w14:textId="37901727" w:rsidR="00F1267B" w:rsidRPr="00A125CE" w:rsidRDefault="00530447" w:rsidP="0039271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p>
        </w:tc>
        <w:tc>
          <w:tcPr>
            <w:tcW w:w="663" w:type="pct"/>
            <w:tcBorders>
              <w:top w:val="outset" w:sz="6" w:space="0" w:color="414142"/>
              <w:left w:val="outset" w:sz="6" w:space="0" w:color="414142"/>
              <w:bottom w:val="outset" w:sz="6" w:space="0" w:color="414142"/>
              <w:right w:val="outset" w:sz="6" w:space="0" w:color="414142"/>
            </w:tcBorders>
          </w:tcPr>
          <w:p w14:paraId="465859C7" w14:textId="77777777" w:rsidR="00F1267B" w:rsidRPr="00A356AF" w:rsidRDefault="00F1267B" w:rsidP="00263E57">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72E3DE3B" w14:textId="50A01C5A" w:rsidR="002D037A" w:rsidRPr="00637A95" w:rsidRDefault="004D4FE5" w:rsidP="00C24D6F">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7C41A4FF" w14:textId="7D63C930" w:rsidR="004D4FE5" w:rsidRPr="00637A95" w:rsidRDefault="004D4FE5" w:rsidP="003C6BCB">
            <w:pPr>
              <w:spacing w:after="0" w:line="240" w:lineRule="auto"/>
              <w:jc w:val="both"/>
              <w:rPr>
                <w:rFonts w:ascii="Times New Roman" w:eastAsia="Times New Roman" w:hAnsi="Times New Roman" w:cs="Times New Roman"/>
                <w:b/>
                <w:bCs/>
                <w:sz w:val="20"/>
                <w:szCs w:val="20"/>
                <w:lang w:eastAsia="lv-LV"/>
              </w:rPr>
            </w:pPr>
            <w:r w:rsidRPr="00637A95">
              <w:rPr>
                <w:rFonts w:ascii="Times New Roman" w:hAnsi="Times New Roman" w:cs="Times New Roman"/>
                <w:sz w:val="20"/>
                <w:szCs w:val="20"/>
                <w:lang w:eastAsia="lv-LV"/>
              </w:rPr>
              <w:t>Gadījumā, ja tiek konstatēts, ka piešķirts nelikumīgs komercdarbības atbalsts, tas ir atgūstams kopā ar atgūšanas procentiem. Lai nodrošinātu nelikumīga komercdarbības atbalsta atgūšanu gadījumos, kad projekta īstenošanas laikā iepriekš minētais nosacījums netiek ievērots viennozīmīgai normas uztverei lūdzam noteikumu projektu papildināt ar punktu, ar kuru tiktu precizēts MK noteikumu Nr.534</w:t>
            </w:r>
            <w:r w:rsidRPr="00637A95">
              <w:rPr>
                <w:rStyle w:val="FootnoteReference"/>
                <w:rFonts w:cs="Times New Roman"/>
                <w:sz w:val="20"/>
                <w:szCs w:val="20"/>
                <w:lang w:eastAsia="lv-LV"/>
              </w:rPr>
              <w:footnoteReference w:id="11"/>
            </w:r>
            <w:r w:rsidRPr="00637A95">
              <w:rPr>
                <w:rFonts w:ascii="Times New Roman" w:hAnsi="Times New Roman" w:cs="Times New Roman"/>
                <w:sz w:val="20"/>
                <w:szCs w:val="20"/>
                <w:lang w:eastAsia="lv-LV"/>
              </w:rPr>
              <w:t xml:space="preserve"> 49.punkts attiecībā uz gadījumiem, kad tiek konstatēts pārkāpums projekta īstenošanas laikā. Aicinām noteikumu projekta normu izteikt, piemēram, šādā redakcijā:</w:t>
            </w:r>
            <w:r w:rsidRPr="00637A95">
              <w:rPr>
                <w:rFonts w:ascii="Times New Roman" w:hAnsi="Times New Roman" w:cs="Times New Roman"/>
                <w:i/>
                <w:sz w:val="20"/>
                <w:szCs w:val="20"/>
                <w:lang w:eastAsia="lv-LV"/>
              </w:rPr>
              <w:t xml:space="preserve">“49. Ja tiek konstatēts, ka ēkā vai ēku grupā, par kuru iesniegts projekta iesniegums, tiek veikta papildinoša saimnieciskā darbība, kas pārsniedz šo noteikumu </w:t>
            </w:r>
            <w:hyperlink r:id="rId8" w:anchor="p48" w:history="1">
              <w:r w:rsidRPr="00637A95">
                <w:rPr>
                  <w:rFonts w:ascii="Times New Roman" w:hAnsi="Times New Roman" w:cs="Times New Roman"/>
                  <w:i/>
                  <w:sz w:val="20"/>
                  <w:szCs w:val="20"/>
                  <w:lang w:eastAsia="lv-LV"/>
                </w:rPr>
                <w:t>48.</w:t>
              </w:r>
            </w:hyperlink>
            <w:r w:rsidRPr="00637A95">
              <w:rPr>
                <w:rFonts w:ascii="Times New Roman" w:hAnsi="Times New Roman" w:cs="Times New Roman"/>
                <w:i/>
                <w:sz w:val="20"/>
                <w:szCs w:val="20"/>
                <w:lang w:eastAsia="lv-LV"/>
              </w:rPr>
              <w:t xml:space="preserve">punktā minēto apmēru, vai tiek veikta saimnieciskā darbība, kas nav uzskatāma par papildinošu saimniecisko darbību, projekta iesniedzējam proporcionāli šai ēkas vai ēku grupas daļai platības, laika vai finanšu izteiksmē energoefektivitātes paaugstināšanas pasākumu izmaksas ir pienākums atmaksāt sadarbības iestādei saņemto nelikumīgo komercdarbības atbalstu kopā ar procentiem, kuru likmi publicē Eiropas Komisija saskaņā ar Komisijas 2004.gada 21.aprīļa Regulas (EK) </w:t>
            </w:r>
            <w:r w:rsidRPr="00637A95">
              <w:rPr>
                <w:rFonts w:ascii="Times New Roman" w:hAnsi="Times New Roman" w:cs="Times New Roman"/>
                <w:i/>
                <w:sz w:val="20"/>
                <w:szCs w:val="20"/>
                <w:lang w:eastAsia="lv-LV"/>
              </w:rPr>
              <w:lastRenderedPageBreak/>
              <w:t xml:space="preserve">Nr.794/2004, ar ko īsteno Padomes Regulu (ES) </w:t>
            </w:r>
            <w:hyperlink r:id="rId9" w:tgtFrame="_blank" w:history="1">
              <w:r w:rsidRPr="00637A95">
                <w:rPr>
                  <w:rFonts w:ascii="Times New Roman" w:hAnsi="Times New Roman" w:cs="Times New Roman"/>
                  <w:i/>
                  <w:sz w:val="20"/>
                  <w:szCs w:val="20"/>
                  <w:lang w:eastAsia="lv-LV"/>
                </w:rPr>
                <w:t>2015/1589</w:t>
              </w:r>
            </w:hyperlink>
            <w:r w:rsidRPr="00637A95">
              <w:rPr>
                <w:rFonts w:ascii="Times New Roman" w:hAnsi="Times New Roman" w:cs="Times New Roman"/>
                <w:i/>
                <w:sz w:val="20"/>
                <w:szCs w:val="20"/>
                <w:lang w:eastAsia="lv-LV"/>
              </w:rPr>
              <w:t xml:space="preserve">, ar ko nosaka sīki izstrādātus noteikumus Līguma par Eiropas Savienības darbību </w:t>
            </w:r>
            <w:hyperlink r:id="rId10" w:anchor="p108" w:history="1">
              <w:r w:rsidRPr="00637A95">
                <w:rPr>
                  <w:rFonts w:ascii="Times New Roman" w:hAnsi="Times New Roman" w:cs="Times New Roman"/>
                  <w:i/>
                  <w:sz w:val="20"/>
                  <w:szCs w:val="20"/>
                  <w:lang w:eastAsia="lv-LV"/>
                </w:rPr>
                <w:t>108.</w:t>
              </w:r>
            </w:hyperlink>
            <w:r w:rsidRPr="00637A95">
              <w:rPr>
                <w:rFonts w:ascii="Times New Roman" w:hAnsi="Times New Roman" w:cs="Times New Roman"/>
                <w:i/>
                <w:sz w:val="20"/>
                <w:szCs w:val="20"/>
                <w:lang w:eastAsia="lv-LV"/>
              </w:rPr>
              <w:t xml:space="preserve">panta piemērošanai (turpmāk – Komisijas regula Nr.794/2004), 10.pantu, tiem pieskaitot 100 bāzes punktus, no dienas, kad atbalsts tika izmaksāts finansējuma saņēmējam, līdz tā atgūšanas dienai, ievērojot Komisijas regulas Nr.794/2004 11. pantā noteikto procentu likmes piemērošanas metodi.”. </w:t>
            </w:r>
            <w:r w:rsidRPr="00637A95">
              <w:rPr>
                <w:rFonts w:ascii="Times New Roman" w:hAnsi="Times New Roman" w:cs="Times New Roman"/>
                <w:sz w:val="20"/>
                <w:szCs w:val="20"/>
                <w:lang w:eastAsia="lv-LV"/>
              </w:rPr>
              <w:t>L</w:t>
            </w:r>
            <w:r w:rsidRPr="00637A95">
              <w:rPr>
                <w:rFonts w:ascii="Times New Roman" w:hAnsi="Times New Roman" w:cs="Times New Roman"/>
                <w:sz w:val="20"/>
                <w:szCs w:val="20"/>
              </w:rPr>
              <w:t>ūdzam ar skaidrojumu papildināt arī anotāciju.</w:t>
            </w:r>
          </w:p>
          <w:p w14:paraId="467904A7" w14:textId="10BA34AA" w:rsidR="002D037A" w:rsidRPr="00637A95" w:rsidRDefault="002D037A" w:rsidP="003C6BCB">
            <w:pPr>
              <w:spacing w:after="0" w:line="240" w:lineRule="auto"/>
              <w:jc w:val="both"/>
              <w:rPr>
                <w:rFonts w:ascii="Times New Roman" w:eastAsia="Times New Roman" w:hAnsi="Times New Roman" w:cs="Times New Roman"/>
                <w:b/>
                <w:bCs/>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7E75F5C9" w14:textId="77777777" w:rsidR="007A1354" w:rsidRDefault="004D4FE5" w:rsidP="00F1267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p w14:paraId="2BB460F2" w14:textId="24983E43" w:rsidR="00BC0F1B" w:rsidRPr="00BC0F1B" w:rsidRDefault="00BC0F1B" w:rsidP="00F126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punkts precizēts. Ar skaidrojumiem papildināta anotācijas sadaļa.</w:t>
            </w:r>
          </w:p>
        </w:tc>
        <w:tc>
          <w:tcPr>
            <w:tcW w:w="1698" w:type="pct"/>
            <w:tcBorders>
              <w:top w:val="outset" w:sz="6" w:space="0" w:color="414142"/>
              <w:left w:val="outset" w:sz="6" w:space="0" w:color="414142"/>
              <w:bottom w:val="outset" w:sz="6" w:space="0" w:color="414142"/>
              <w:right w:val="outset" w:sz="6" w:space="0" w:color="414142"/>
            </w:tcBorders>
          </w:tcPr>
          <w:p w14:paraId="41F7FB6E" w14:textId="01126602" w:rsidR="007A1354" w:rsidRPr="00372717" w:rsidRDefault="00372717" w:rsidP="004D4FE5">
            <w:pPr>
              <w:spacing w:after="0" w:line="240" w:lineRule="auto"/>
              <w:jc w:val="both"/>
              <w:rPr>
                <w:rFonts w:ascii="Times New Roman" w:eastAsia="Times New Roman" w:hAnsi="Times New Roman" w:cs="Times New Roman"/>
                <w:sz w:val="20"/>
                <w:szCs w:val="20"/>
                <w:lang w:eastAsia="lv-LV"/>
              </w:rPr>
            </w:pPr>
            <w:r w:rsidRPr="00372717">
              <w:rPr>
                <w:rFonts w:ascii="Times New Roman" w:hAnsi="Times New Roman" w:cs="Times New Roman"/>
                <w:i/>
                <w:sz w:val="20"/>
                <w:szCs w:val="20"/>
                <w:lang w:eastAsia="lv-LV"/>
              </w:rPr>
              <w:t xml:space="preserve">“49. Ja tiek konstatēts, ka ēkā vai ēku grupā, par kuru iesniegts projekta iesniegums, tiek veikta papildinoša saimnieciskā darbība, kas pārsniedz šo noteikumu </w:t>
            </w:r>
            <w:hyperlink r:id="rId11" w:anchor="p48" w:history="1">
              <w:r w:rsidRPr="00372717">
                <w:rPr>
                  <w:rFonts w:ascii="Times New Roman" w:hAnsi="Times New Roman" w:cs="Times New Roman"/>
                  <w:i/>
                  <w:sz w:val="20"/>
                  <w:szCs w:val="20"/>
                  <w:lang w:eastAsia="lv-LV"/>
                </w:rPr>
                <w:t>48.</w:t>
              </w:r>
            </w:hyperlink>
            <w:r w:rsidRPr="00372717">
              <w:rPr>
                <w:rFonts w:ascii="Times New Roman" w:hAnsi="Times New Roman" w:cs="Times New Roman"/>
                <w:i/>
                <w:sz w:val="20"/>
                <w:szCs w:val="20"/>
                <w:lang w:eastAsia="lv-LV"/>
              </w:rPr>
              <w:t xml:space="preserve">punktā minēto apmēru, vai tiek veikta saimnieciskā darbība, kas nav uzskatāma par papildinošu saimniecisko darbību, projekta iesniedzējam proporcionāli šai ēkas vai ēku grupas daļai platības, laika vai finanšu izteiksmē ir pienākums atmaksāt sadarbības iestādei saņemto nelikumīgo komercdarbības atbalstu kopā ar procentiem, kuru likmi publicē Eiropas Komisija saskaņā ar Komisijas 2004.gada 21.aprīļa Regulas (EK) Nr.794/2004, ar ko īsteno Padomes Regulu (ES) </w:t>
            </w:r>
            <w:hyperlink r:id="rId12" w:tgtFrame="_blank" w:history="1">
              <w:r w:rsidRPr="00372717">
                <w:rPr>
                  <w:rFonts w:ascii="Times New Roman" w:hAnsi="Times New Roman" w:cs="Times New Roman"/>
                  <w:i/>
                  <w:sz w:val="20"/>
                  <w:szCs w:val="20"/>
                  <w:lang w:eastAsia="lv-LV"/>
                </w:rPr>
                <w:t>2015/1589</w:t>
              </w:r>
            </w:hyperlink>
            <w:r w:rsidRPr="00372717">
              <w:rPr>
                <w:rFonts w:ascii="Times New Roman" w:hAnsi="Times New Roman" w:cs="Times New Roman"/>
                <w:i/>
                <w:sz w:val="20"/>
                <w:szCs w:val="20"/>
                <w:lang w:eastAsia="lv-LV"/>
              </w:rPr>
              <w:t xml:space="preserve">, ar ko nosaka sīki izstrādātus noteikumus Līguma par Eiropas Savienības darbību </w:t>
            </w:r>
            <w:hyperlink r:id="rId13" w:anchor="p108" w:history="1">
              <w:r w:rsidRPr="00372717">
                <w:rPr>
                  <w:rFonts w:ascii="Times New Roman" w:hAnsi="Times New Roman" w:cs="Times New Roman"/>
                  <w:i/>
                  <w:sz w:val="20"/>
                  <w:szCs w:val="20"/>
                  <w:lang w:eastAsia="lv-LV"/>
                </w:rPr>
                <w:t>108.</w:t>
              </w:r>
            </w:hyperlink>
            <w:r w:rsidRPr="00372717">
              <w:rPr>
                <w:rFonts w:ascii="Times New Roman" w:hAnsi="Times New Roman" w:cs="Times New Roman"/>
                <w:i/>
                <w:sz w:val="20"/>
                <w:szCs w:val="20"/>
                <w:lang w:eastAsia="lv-LV"/>
              </w:rPr>
              <w:t>panta piemērošanai (turpmāk – Komisijas regula Nr.794/2004), 10.pantu, tiem pieskaitot 100 bāzes punktus, no dienas, kad atbalsts tika izmaksāts finansējuma saņēmējam, līdz tā atgūšanas dienai, ievērojot Komisijas regulas Nr.794/2004 11. pantā noteikto procentu likmes piemērošanas metodi.”.</w:t>
            </w:r>
          </w:p>
        </w:tc>
      </w:tr>
      <w:tr w:rsidR="001C60D2" w:rsidRPr="00574613" w14:paraId="4D8084AC"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3A8B8CA4" w14:textId="62EEEACE" w:rsidR="001C60D2" w:rsidRPr="00A125CE" w:rsidRDefault="00530447" w:rsidP="0039271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p>
        </w:tc>
        <w:tc>
          <w:tcPr>
            <w:tcW w:w="663" w:type="pct"/>
            <w:tcBorders>
              <w:top w:val="outset" w:sz="6" w:space="0" w:color="414142"/>
              <w:left w:val="outset" w:sz="6" w:space="0" w:color="414142"/>
              <w:bottom w:val="outset" w:sz="6" w:space="0" w:color="414142"/>
              <w:right w:val="outset" w:sz="6" w:space="0" w:color="414142"/>
            </w:tcBorders>
          </w:tcPr>
          <w:p w14:paraId="169F3CFB" w14:textId="77777777" w:rsidR="001C60D2" w:rsidRPr="00A356AF" w:rsidRDefault="001C60D2" w:rsidP="00263E57">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25EE3E95" w14:textId="080B2A0D" w:rsidR="001C60D2" w:rsidRPr="00637A95" w:rsidRDefault="002D037A" w:rsidP="00A23FF7">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3FE3ACC6" w14:textId="77777777" w:rsidR="002D037A" w:rsidRPr="00637A95" w:rsidRDefault="002D037A" w:rsidP="00637A95">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rPr>
              <w:t>Atkārtoti lūdzam precizēt noteikumu projekta 2.punktu, MK noteikumu Nr.534 36.</w:t>
            </w:r>
            <w:r w:rsidRPr="00637A95">
              <w:rPr>
                <w:rFonts w:ascii="Times New Roman" w:hAnsi="Times New Roman" w:cs="Times New Roman"/>
                <w:sz w:val="20"/>
                <w:szCs w:val="20"/>
                <w:vertAlign w:val="superscript"/>
              </w:rPr>
              <w:t>1</w:t>
            </w:r>
            <w:r w:rsidRPr="00637A95">
              <w:rPr>
                <w:rFonts w:ascii="Times New Roman" w:hAnsi="Times New Roman" w:cs="Times New Roman"/>
                <w:sz w:val="20"/>
                <w:szCs w:val="20"/>
              </w:rPr>
              <w:t xml:space="preserve">punktu izsakot šādā redakcijā: </w:t>
            </w:r>
            <w:r w:rsidRPr="00637A95">
              <w:rPr>
                <w:rFonts w:ascii="Times New Roman" w:hAnsi="Times New Roman" w:cs="Times New Roman"/>
                <w:i/>
                <w:sz w:val="20"/>
                <w:szCs w:val="20"/>
              </w:rPr>
              <w:t xml:space="preserve">“Finansējuma saņēmējs var palielināt projekta attiecināmās izmaksas pēc projekta iesnieguma iesniegšanas sadarbības iestādē līdz apstiprināšanai nosacījumu izpildes laikā, ja projekts apstiprināts ar nosacījumu, vai pēc vienošanās vai līguma noslēgšanas ar sadarbības iestādi projektā apstiprināto darbību ietvaros, t.i. </w:t>
            </w:r>
            <w:r w:rsidRPr="00637A95">
              <w:rPr>
                <w:rFonts w:ascii="Times New Roman" w:hAnsi="Times New Roman" w:cs="Times New Roman"/>
                <w:i/>
                <w:sz w:val="20"/>
                <w:szCs w:val="20"/>
                <w:u w:val="single"/>
              </w:rPr>
              <w:t>neparedzot</w:t>
            </w:r>
            <w:r w:rsidRPr="00637A95">
              <w:rPr>
                <w:rFonts w:ascii="Times New Roman" w:hAnsi="Times New Roman" w:cs="Times New Roman"/>
                <w:i/>
                <w:sz w:val="20"/>
                <w:szCs w:val="20"/>
              </w:rPr>
              <w:t xml:space="preserve"> jaunus energoefektivitātes pasākumus, kas nav iekļauti sākotnējā, ar projektu apstiprinātajā ēkas </w:t>
            </w:r>
            <w:proofErr w:type="spellStart"/>
            <w:r w:rsidRPr="00637A95">
              <w:rPr>
                <w:rFonts w:ascii="Times New Roman" w:hAnsi="Times New Roman" w:cs="Times New Roman"/>
                <w:i/>
                <w:sz w:val="20"/>
                <w:szCs w:val="20"/>
              </w:rPr>
              <w:t>energosertifikātā</w:t>
            </w:r>
            <w:proofErr w:type="spellEnd"/>
            <w:r w:rsidRPr="00637A95">
              <w:rPr>
                <w:rFonts w:ascii="Times New Roman" w:hAnsi="Times New Roman" w:cs="Times New Roman"/>
                <w:i/>
                <w:sz w:val="20"/>
                <w:szCs w:val="20"/>
              </w:rPr>
              <w:t>. Finansējuma saņēmējs sadarbības iestādē iesniedz ministrijas apliecinājumu par projekta attiecināmo izmaksu palielināšanu ministrijai piešķirtās kvotas ietvaros.”.</w:t>
            </w:r>
          </w:p>
          <w:p w14:paraId="75F33502" w14:textId="0C61B671" w:rsidR="002D037A" w:rsidRPr="00637A95" w:rsidRDefault="002D037A" w:rsidP="00637A95">
            <w:pPr>
              <w:jc w:val="both"/>
              <w:rPr>
                <w:rFonts w:ascii="Times New Roman" w:hAnsi="Times New Roman" w:cs="Times New Roman"/>
                <w:sz w:val="20"/>
                <w:szCs w:val="20"/>
                <w:lang w:eastAsia="lv-LV"/>
              </w:rPr>
            </w:pPr>
            <w:r w:rsidRPr="00637A95">
              <w:rPr>
                <w:rFonts w:ascii="Times New Roman" w:hAnsi="Times New Roman" w:cs="Times New Roman"/>
                <w:sz w:val="20"/>
                <w:szCs w:val="20"/>
              </w:rPr>
              <w:t>Vēršam uzmanību, ka MK noteikumu Nr.534 36.</w:t>
            </w:r>
            <w:r w:rsidRPr="00637A95">
              <w:rPr>
                <w:rFonts w:ascii="Times New Roman" w:hAnsi="Times New Roman" w:cs="Times New Roman"/>
                <w:sz w:val="20"/>
                <w:szCs w:val="20"/>
                <w:vertAlign w:val="superscript"/>
              </w:rPr>
              <w:t xml:space="preserve">1 </w:t>
            </w:r>
            <w:r w:rsidRPr="00637A95">
              <w:rPr>
                <w:rFonts w:ascii="Times New Roman" w:hAnsi="Times New Roman" w:cs="Times New Roman"/>
                <w:sz w:val="20"/>
                <w:szCs w:val="20"/>
              </w:rPr>
              <w:t>punkts šajos MK noteikumos tika iekļauts ar MK noteikumu grozījumiem Nr.414</w:t>
            </w:r>
            <w:r w:rsidRPr="00637A95">
              <w:rPr>
                <w:rStyle w:val="FootnoteReference"/>
                <w:rFonts w:cs="Times New Roman"/>
                <w:sz w:val="20"/>
                <w:szCs w:val="20"/>
              </w:rPr>
              <w:footnoteReference w:id="12"/>
            </w:r>
            <w:r w:rsidRPr="00637A95">
              <w:rPr>
                <w:rFonts w:ascii="Times New Roman" w:hAnsi="Times New Roman" w:cs="Times New Roman"/>
                <w:sz w:val="20"/>
                <w:szCs w:val="20"/>
              </w:rPr>
              <w:t xml:space="preserve"> (punkta redakcija precizēta ar MK grozījumiem Nr.201</w:t>
            </w:r>
            <w:r w:rsidRPr="00637A95">
              <w:rPr>
                <w:rStyle w:val="FootnoteReference"/>
                <w:rFonts w:cs="Times New Roman"/>
                <w:sz w:val="20"/>
                <w:szCs w:val="20"/>
              </w:rPr>
              <w:footnoteReference w:id="13"/>
            </w:r>
            <w:r w:rsidRPr="00637A95">
              <w:rPr>
                <w:rFonts w:ascii="Times New Roman" w:hAnsi="Times New Roman" w:cs="Times New Roman"/>
                <w:sz w:val="20"/>
                <w:szCs w:val="20"/>
              </w:rPr>
              <w:t xml:space="preserve">) un to mērķis bija atvieglot/paātrināt investīciju īstenošanu, lai, ja finansējuma saņēmējam apstiprinātajām darbībām pietrūkst finansējums, attiecīgajam resoram nav </w:t>
            </w:r>
            <w:r w:rsidRPr="00637A95">
              <w:rPr>
                <w:rFonts w:ascii="Times New Roman" w:hAnsi="Times New Roman" w:cs="Times New Roman"/>
                <w:sz w:val="20"/>
                <w:szCs w:val="20"/>
              </w:rPr>
              <w:lastRenderedPageBreak/>
              <w:t>jāsagatavo informatīvais ziņojums un tas jāiesniedz MK, kas ir laikietilpīga procedūra,  un finansējuma saņēmējs var palielināt projekta attiecināmo finansējumu, ja attiecīgajam resoram kvotas ietvaros ir pieejams finansējums. Punkta mērķis nebija finansējuma saņēmējam ļaut brīvi rīkoties ar projektā iekļauto finansējumu un radušos līdzekļu ietaupījumu pēc saviem ieskatiem. Papildus norādām, ka finansējuma saņēmēja (VAS “Valsts nekustamie īpašumi”) piedāvātā 36.</w:t>
            </w:r>
            <w:r w:rsidRPr="00637A95">
              <w:rPr>
                <w:rFonts w:ascii="Times New Roman" w:hAnsi="Times New Roman" w:cs="Times New Roman"/>
                <w:sz w:val="20"/>
                <w:szCs w:val="20"/>
                <w:vertAlign w:val="superscript"/>
              </w:rPr>
              <w:t xml:space="preserve">1 </w:t>
            </w:r>
            <w:r w:rsidRPr="00637A95">
              <w:rPr>
                <w:rFonts w:ascii="Times New Roman" w:hAnsi="Times New Roman" w:cs="Times New Roman"/>
                <w:sz w:val="20"/>
                <w:szCs w:val="20"/>
              </w:rPr>
              <w:t xml:space="preserve">punkta redakcija radīs papildus administratīvo slogu CFLA, jo vēl nepabeigtajos projektos radīsies iespēja finansējuma saņēmējam projekta ietvaros radušos ietaupījumus vai papildus finansējumu izlietot papildus darbībām, grozot sākotnējos ēkas </w:t>
            </w:r>
            <w:proofErr w:type="spellStart"/>
            <w:r w:rsidRPr="00637A95">
              <w:rPr>
                <w:rFonts w:ascii="Times New Roman" w:hAnsi="Times New Roman" w:cs="Times New Roman"/>
                <w:sz w:val="20"/>
                <w:szCs w:val="20"/>
              </w:rPr>
              <w:t>energosertifikātus</w:t>
            </w:r>
            <w:proofErr w:type="spellEnd"/>
            <w:r w:rsidRPr="00637A95">
              <w:rPr>
                <w:rFonts w:ascii="Times New Roman" w:hAnsi="Times New Roman" w:cs="Times New Roman"/>
                <w:sz w:val="20"/>
                <w:szCs w:val="20"/>
              </w:rPr>
              <w:t>, kā arī tas radīs nevienlīdzīgu attieksmi pret tiem projekta iesniedzējiem, kas jau ir pabeiguši realizēt projektus, un kuru projektos radītos finansējuma ietaupījumus un papildus finansējumu nebija ļauts izlietot papildus darbībām, kā arī atbilstoši MK protokola Nr.55</w:t>
            </w:r>
            <w:r w:rsidRPr="00637A95">
              <w:rPr>
                <w:rFonts w:ascii="Times New Roman" w:hAnsi="Times New Roman" w:cs="Times New Roman"/>
                <w:sz w:val="20"/>
                <w:szCs w:val="20"/>
                <w:vertAlign w:val="superscript"/>
              </w:rPr>
              <w:footnoteReference w:id="14"/>
            </w:r>
            <w:r w:rsidRPr="00637A95">
              <w:rPr>
                <w:rFonts w:ascii="Times New Roman" w:hAnsi="Times New Roman" w:cs="Times New Roman"/>
                <w:sz w:val="20"/>
                <w:szCs w:val="20"/>
              </w:rPr>
              <w:t xml:space="preserve"> 30§ 2.1.punktam to nepārdala citiem projektiem vai jaunām projekta darbībām, izņemot 2.2.punktā minētajos gadījumos. </w:t>
            </w:r>
          </w:p>
        </w:tc>
        <w:tc>
          <w:tcPr>
            <w:tcW w:w="712" w:type="pct"/>
            <w:tcBorders>
              <w:top w:val="outset" w:sz="6" w:space="0" w:color="414142"/>
              <w:left w:val="outset" w:sz="6" w:space="0" w:color="414142"/>
              <w:bottom w:val="outset" w:sz="6" w:space="0" w:color="414142"/>
              <w:right w:val="outset" w:sz="6" w:space="0" w:color="414142"/>
            </w:tcBorders>
          </w:tcPr>
          <w:p w14:paraId="7E5F9EE2" w14:textId="74E75341" w:rsidR="008935CD" w:rsidRPr="008935CD" w:rsidRDefault="008935CD" w:rsidP="008935CD">
            <w:pPr>
              <w:spacing w:after="0" w:line="240" w:lineRule="auto"/>
              <w:jc w:val="center"/>
              <w:rPr>
                <w:rFonts w:ascii="Times New Roman" w:eastAsia="Times New Roman" w:hAnsi="Times New Roman" w:cs="Times New Roman"/>
                <w:b/>
                <w:bCs/>
                <w:sz w:val="20"/>
                <w:szCs w:val="20"/>
                <w:lang w:eastAsia="lv-LV"/>
              </w:rPr>
            </w:pPr>
            <w:r w:rsidRPr="008935CD">
              <w:rPr>
                <w:rFonts w:ascii="Times New Roman" w:eastAsia="Times New Roman" w:hAnsi="Times New Roman" w:cs="Times New Roman"/>
                <w:b/>
                <w:bCs/>
                <w:sz w:val="20"/>
                <w:szCs w:val="20"/>
                <w:lang w:eastAsia="lv-LV"/>
              </w:rPr>
              <w:lastRenderedPageBreak/>
              <w:t>Ņemts vērā - saskaņots elektroniskās saskaņošanas procedūrā</w:t>
            </w:r>
          </w:p>
          <w:p w14:paraId="4EBC0CC4" w14:textId="77777777" w:rsidR="00141AF5" w:rsidRPr="008935CD" w:rsidRDefault="00141AF5" w:rsidP="008935CD">
            <w:pPr>
              <w:spacing w:after="0" w:line="240" w:lineRule="auto"/>
              <w:jc w:val="center"/>
              <w:rPr>
                <w:rFonts w:ascii="Times New Roman" w:eastAsia="Times New Roman" w:hAnsi="Times New Roman" w:cs="Times New Roman"/>
                <w:b/>
                <w:bCs/>
                <w:sz w:val="20"/>
                <w:szCs w:val="20"/>
                <w:lang w:eastAsia="lv-LV"/>
              </w:rPr>
            </w:pPr>
          </w:p>
          <w:p w14:paraId="0E45870A" w14:textId="77A79CF5" w:rsidR="00141AF5" w:rsidRPr="00141AF5" w:rsidRDefault="00B8563D" w:rsidP="002D037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MKN </w:t>
            </w:r>
            <w:r w:rsidRPr="00637A95">
              <w:rPr>
                <w:rFonts w:ascii="Times New Roman" w:hAnsi="Times New Roman" w:cs="Times New Roman"/>
                <w:sz w:val="20"/>
                <w:szCs w:val="20"/>
              </w:rPr>
              <w:t>534 36.</w:t>
            </w:r>
            <w:r w:rsidRPr="00637A95">
              <w:rPr>
                <w:rFonts w:ascii="Times New Roman" w:hAnsi="Times New Roman" w:cs="Times New Roman"/>
                <w:sz w:val="20"/>
                <w:szCs w:val="20"/>
                <w:vertAlign w:val="superscript"/>
              </w:rPr>
              <w:t>1</w:t>
            </w:r>
            <w:r w:rsidRPr="00637A95">
              <w:rPr>
                <w:rFonts w:ascii="Times New Roman" w:hAnsi="Times New Roman" w:cs="Times New Roman"/>
                <w:sz w:val="20"/>
                <w:szCs w:val="20"/>
              </w:rPr>
              <w:t>punkt</w:t>
            </w:r>
            <w:r>
              <w:rPr>
                <w:rFonts w:ascii="Times New Roman" w:hAnsi="Times New Roman" w:cs="Times New Roman"/>
                <w:sz w:val="20"/>
                <w:szCs w:val="20"/>
              </w:rPr>
              <w:t>s netiek mainīts.</w:t>
            </w:r>
          </w:p>
        </w:tc>
        <w:tc>
          <w:tcPr>
            <w:tcW w:w="1698" w:type="pct"/>
            <w:tcBorders>
              <w:top w:val="outset" w:sz="6" w:space="0" w:color="414142"/>
              <w:left w:val="outset" w:sz="6" w:space="0" w:color="414142"/>
              <w:bottom w:val="outset" w:sz="6" w:space="0" w:color="414142"/>
              <w:right w:val="outset" w:sz="6" w:space="0" w:color="414142"/>
            </w:tcBorders>
          </w:tcPr>
          <w:p w14:paraId="1C5A411C" w14:textId="479F4C20" w:rsidR="001C60D2" w:rsidRPr="00A356AF" w:rsidRDefault="001C60D2" w:rsidP="00E556E5">
            <w:pPr>
              <w:spacing w:after="0" w:line="240" w:lineRule="auto"/>
              <w:jc w:val="both"/>
              <w:rPr>
                <w:rFonts w:ascii="Times New Roman" w:eastAsia="Times New Roman" w:hAnsi="Times New Roman" w:cs="Times New Roman"/>
                <w:sz w:val="20"/>
                <w:szCs w:val="20"/>
                <w:lang w:eastAsia="lv-LV"/>
              </w:rPr>
            </w:pPr>
          </w:p>
        </w:tc>
      </w:tr>
      <w:tr w:rsidR="00CA06F9" w:rsidRPr="00574613" w14:paraId="27162FEA"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2B75B9E2" w14:textId="72111D77"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663" w:type="pct"/>
            <w:tcBorders>
              <w:top w:val="outset" w:sz="6" w:space="0" w:color="414142"/>
              <w:left w:val="outset" w:sz="6" w:space="0" w:color="414142"/>
              <w:bottom w:val="outset" w:sz="6" w:space="0" w:color="414142"/>
              <w:right w:val="outset" w:sz="6" w:space="0" w:color="414142"/>
            </w:tcBorders>
          </w:tcPr>
          <w:p w14:paraId="5E68D5F0"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3113C1F2" w14:textId="329971B3" w:rsidR="00CA06F9" w:rsidRPr="00E00AC3" w:rsidRDefault="00CA06F9" w:rsidP="00CA06F9">
            <w:pPr>
              <w:spacing w:after="0" w:line="240" w:lineRule="auto"/>
              <w:jc w:val="center"/>
              <w:rPr>
                <w:rFonts w:ascii="Times New Roman" w:hAnsi="Times New Roman" w:cs="Times New Roman"/>
                <w:b/>
                <w:bCs/>
                <w:sz w:val="20"/>
                <w:szCs w:val="20"/>
              </w:rPr>
            </w:pPr>
            <w:r w:rsidRPr="00E00AC3">
              <w:rPr>
                <w:rFonts w:ascii="Times New Roman" w:hAnsi="Times New Roman" w:cs="Times New Roman"/>
                <w:b/>
                <w:bCs/>
                <w:sz w:val="20"/>
                <w:szCs w:val="20"/>
              </w:rPr>
              <w:t>Finanšu ministrija</w:t>
            </w:r>
          </w:p>
          <w:p w14:paraId="76E432EC" w14:textId="0E98728C" w:rsidR="00CA06F9" w:rsidRPr="003C6BCB" w:rsidRDefault="00CA06F9" w:rsidP="00CA06F9">
            <w:pPr>
              <w:spacing w:after="0" w:line="240" w:lineRule="auto"/>
              <w:jc w:val="both"/>
              <w:rPr>
                <w:rFonts w:ascii="Times New Roman" w:hAnsi="Times New Roman" w:cs="Times New Roman"/>
                <w:sz w:val="20"/>
                <w:szCs w:val="20"/>
              </w:rPr>
            </w:pPr>
            <w:r w:rsidRPr="00E00AC3">
              <w:rPr>
                <w:rFonts w:ascii="Times New Roman" w:hAnsi="Times New Roman" w:cs="Times New Roman"/>
                <w:sz w:val="20"/>
                <w:szCs w:val="20"/>
              </w:rPr>
              <w:t xml:space="preserve">Lūdzam pārskatīt un precizēt noteikumu projekta 4.punktu, ņemot vērā, ka papildinošās saimnieciskās darbības aprēķinam nav sasaistes ar neattiecināmo izmaksu aprēķināšanas veidu, tādējādi noteikumu projekta 4.punkts nav skaidrs un ir dažādi interpretējams. Vienlaikus vēršam uzmanību, ka </w:t>
            </w:r>
            <w:r w:rsidRPr="00E00AC3">
              <w:rPr>
                <w:rFonts w:ascii="Times New Roman" w:hAnsi="Times New Roman" w:cs="Times New Roman"/>
                <w:color w:val="000000"/>
                <w:sz w:val="20"/>
                <w:szCs w:val="20"/>
                <w:lang w:eastAsia="lv-LV"/>
              </w:rPr>
              <w:t xml:space="preserve">ar piedāvāto MK noteikumu Nr.534 </w:t>
            </w:r>
            <w:r w:rsidRPr="00E00AC3">
              <w:rPr>
                <w:rFonts w:ascii="Times New Roman" w:hAnsi="Times New Roman" w:cs="Times New Roman"/>
                <w:sz w:val="20"/>
                <w:szCs w:val="20"/>
                <w:shd w:val="clear" w:color="auto" w:fill="FFFFFF"/>
              </w:rPr>
              <w:t>49.</w:t>
            </w:r>
            <w:r w:rsidRPr="00E00AC3">
              <w:rPr>
                <w:rFonts w:ascii="Times New Roman" w:hAnsi="Times New Roman" w:cs="Times New Roman"/>
                <w:sz w:val="20"/>
                <w:szCs w:val="20"/>
                <w:shd w:val="clear" w:color="auto" w:fill="FFFFFF"/>
                <w:vertAlign w:val="superscript"/>
              </w:rPr>
              <w:t>1</w:t>
            </w:r>
            <w:r w:rsidRPr="00E00AC3">
              <w:rPr>
                <w:rFonts w:ascii="Times New Roman" w:hAnsi="Times New Roman" w:cs="Times New Roman"/>
                <w:sz w:val="20"/>
                <w:szCs w:val="20"/>
                <w:shd w:val="clear" w:color="auto" w:fill="FFFFFF"/>
              </w:rPr>
              <w:t>punkta</w:t>
            </w:r>
            <w:r w:rsidRPr="00E00AC3">
              <w:rPr>
                <w:rFonts w:ascii="Times New Roman" w:hAnsi="Times New Roman" w:cs="Times New Roman"/>
                <w:color w:val="000000"/>
                <w:sz w:val="20"/>
                <w:szCs w:val="20"/>
                <w:lang w:eastAsia="lv-LV"/>
              </w:rPr>
              <w:t xml:space="preserve"> redakciju netiek novērsta konstatētā neprecizitāte, proti,</w:t>
            </w:r>
            <w:r w:rsidRPr="00E00AC3">
              <w:rPr>
                <w:rFonts w:ascii="Times New Roman" w:hAnsi="Times New Roman" w:cs="Times New Roman"/>
                <w:sz w:val="20"/>
                <w:szCs w:val="20"/>
              </w:rPr>
              <w:t xml:space="preserve"> saskaņā ar MK noteikumu Nr.534</w:t>
            </w:r>
            <w:r w:rsidRPr="00E00AC3">
              <w:rPr>
                <w:rFonts w:ascii="Times New Roman" w:hAnsi="Times New Roman" w:cs="Times New Roman"/>
                <w:sz w:val="20"/>
                <w:szCs w:val="20"/>
                <w:vertAlign w:val="superscript"/>
              </w:rPr>
              <w:t xml:space="preserve"> </w:t>
            </w:r>
            <w:r w:rsidRPr="00E00AC3">
              <w:rPr>
                <w:rFonts w:ascii="Times New Roman" w:hAnsi="Times New Roman" w:cs="Times New Roman"/>
                <w:sz w:val="20"/>
                <w:szCs w:val="20"/>
              </w:rPr>
              <w:t xml:space="preserve">48.punktu papildinošās saimnieciskās darbības aprēķinu projekta iesniedzējs var veikt </w:t>
            </w:r>
            <w:r w:rsidRPr="00E00AC3">
              <w:rPr>
                <w:rFonts w:ascii="Times New Roman" w:hAnsi="Times New Roman" w:cs="Times New Roman"/>
                <w:sz w:val="20"/>
                <w:szCs w:val="20"/>
                <w:u w:val="single"/>
              </w:rPr>
              <w:t>platības, laika vai finanšu izteiksmē</w:t>
            </w:r>
            <w:r w:rsidRPr="00E00AC3">
              <w:rPr>
                <w:rFonts w:ascii="Times New Roman" w:hAnsi="Times New Roman" w:cs="Times New Roman"/>
                <w:sz w:val="20"/>
                <w:szCs w:val="20"/>
              </w:rPr>
              <w:t xml:space="preserve">, taču saskaņā ar MK noteikumu Nr.534 49.punktu, neattiecināmās izmaksas projektā aprēķina </w:t>
            </w:r>
            <w:r w:rsidRPr="00E00AC3">
              <w:rPr>
                <w:rFonts w:ascii="Times New Roman" w:hAnsi="Times New Roman" w:cs="Times New Roman"/>
                <w:sz w:val="20"/>
                <w:szCs w:val="20"/>
              </w:rPr>
              <w:lastRenderedPageBreak/>
              <w:t xml:space="preserve">proporcionāli ēkas daļai tieši </w:t>
            </w:r>
            <w:r w:rsidRPr="00E00AC3">
              <w:rPr>
                <w:rFonts w:ascii="Times New Roman" w:hAnsi="Times New Roman" w:cs="Times New Roman"/>
                <w:sz w:val="20"/>
                <w:szCs w:val="20"/>
                <w:u w:val="single"/>
              </w:rPr>
              <w:t>platības</w:t>
            </w:r>
            <w:r w:rsidRPr="00E00AC3">
              <w:rPr>
                <w:rFonts w:ascii="Times New Roman" w:hAnsi="Times New Roman" w:cs="Times New Roman"/>
                <w:sz w:val="20"/>
                <w:szCs w:val="20"/>
              </w:rPr>
              <w:t xml:space="preserve"> izteiksmē (skatīt arī 2.iebildumu). </w:t>
            </w:r>
          </w:p>
        </w:tc>
        <w:tc>
          <w:tcPr>
            <w:tcW w:w="712" w:type="pct"/>
            <w:tcBorders>
              <w:top w:val="outset" w:sz="6" w:space="0" w:color="414142"/>
              <w:left w:val="outset" w:sz="6" w:space="0" w:color="414142"/>
              <w:bottom w:val="outset" w:sz="6" w:space="0" w:color="414142"/>
              <w:right w:val="outset" w:sz="6" w:space="0" w:color="414142"/>
            </w:tcBorders>
          </w:tcPr>
          <w:p w14:paraId="59DD87B2"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p w14:paraId="2D1BFAF7"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p>
          <w:p w14:paraId="2B8286AA" w14:textId="221E9F77" w:rsidR="00CA06F9" w:rsidRPr="00841ED5" w:rsidRDefault="00CA06F9"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n</w:t>
            </w:r>
            <w:r w:rsidRPr="00841ED5">
              <w:rPr>
                <w:rFonts w:ascii="Times New Roman" w:eastAsia="Times New Roman" w:hAnsi="Times New Roman" w:cs="Times New Roman"/>
                <w:sz w:val="20"/>
                <w:szCs w:val="20"/>
                <w:lang w:eastAsia="lv-LV"/>
              </w:rPr>
              <w:t>oteikumu punkts precizēts.</w:t>
            </w:r>
          </w:p>
        </w:tc>
        <w:tc>
          <w:tcPr>
            <w:tcW w:w="1698" w:type="pct"/>
            <w:tcBorders>
              <w:top w:val="outset" w:sz="6" w:space="0" w:color="414142"/>
              <w:left w:val="outset" w:sz="6" w:space="0" w:color="414142"/>
              <w:bottom w:val="outset" w:sz="6" w:space="0" w:color="414142"/>
              <w:right w:val="outset" w:sz="6" w:space="0" w:color="414142"/>
            </w:tcBorders>
          </w:tcPr>
          <w:p w14:paraId="3BCCD5D4" w14:textId="1C6E2014" w:rsidR="00CA06F9" w:rsidRDefault="00CA06F9" w:rsidP="00CA06F9">
            <w:pPr>
              <w:shd w:val="clear" w:color="auto" w:fill="FFFFFF"/>
              <w:spacing w:after="0" w:line="240" w:lineRule="auto"/>
              <w:jc w:val="both"/>
              <w:rPr>
                <w:rFonts w:ascii="Times New Roman" w:hAnsi="Times New Roman" w:cs="Times New Roman"/>
                <w:color w:val="414142"/>
                <w:sz w:val="20"/>
                <w:szCs w:val="20"/>
                <w:shd w:val="clear" w:color="auto" w:fill="FFFFFF"/>
              </w:rPr>
            </w:pPr>
            <w:bookmarkStart w:id="2" w:name="_Hlk67924783"/>
            <w:r w:rsidRPr="00CA06F9">
              <w:rPr>
                <w:rFonts w:ascii="Times New Roman" w:hAnsi="Times New Roman" w:cs="Times New Roman"/>
                <w:color w:val="414142"/>
                <w:sz w:val="20"/>
                <w:szCs w:val="20"/>
                <w:shd w:val="clear" w:color="auto" w:fill="FFFFFF"/>
              </w:rPr>
              <w:t>“49.</w:t>
            </w:r>
            <w:r w:rsidRPr="00CA06F9">
              <w:rPr>
                <w:rFonts w:ascii="Times New Roman" w:hAnsi="Times New Roman" w:cs="Times New Roman"/>
                <w:color w:val="414142"/>
                <w:sz w:val="20"/>
                <w:szCs w:val="20"/>
                <w:shd w:val="clear" w:color="auto" w:fill="FFFFFF"/>
                <w:vertAlign w:val="superscript"/>
              </w:rPr>
              <w:t xml:space="preserve">1 </w:t>
            </w:r>
            <w:r w:rsidRPr="00CA06F9">
              <w:rPr>
                <w:rFonts w:ascii="Times New Roman" w:hAnsi="Times New Roman" w:cs="Times New Roman"/>
                <w:color w:val="414142"/>
                <w:sz w:val="20"/>
                <w:szCs w:val="20"/>
                <w:shd w:val="clear" w:color="auto" w:fill="FFFFFF"/>
              </w:rPr>
              <w:t>Šo noteikumu</w:t>
            </w:r>
            <w:r>
              <w:rPr>
                <w:rFonts w:ascii="Times New Roman" w:hAnsi="Times New Roman" w:cs="Times New Roman"/>
                <w:color w:val="414142"/>
                <w:sz w:val="20"/>
                <w:szCs w:val="20"/>
                <w:shd w:val="clear" w:color="auto" w:fill="FFFFFF"/>
              </w:rPr>
              <w:t xml:space="preserve"> </w:t>
            </w:r>
            <w:r w:rsidRPr="00CA06F9">
              <w:rPr>
                <w:rFonts w:ascii="Times New Roman" w:hAnsi="Times New Roman" w:cs="Times New Roman"/>
                <w:color w:val="414142"/>
                <w:sz w:val="20"/>
                <w:szCs w:val="20"/>
                <w:shd w:val="clear" w:color="auto" w:fill="FFFFFF"/>
              </w:rPr>
              <w:t>48.punktā minēt</w:t>
            </w:r>
            <w:r w:rsidR="004B1DEC">
              <w:rPr>
                <w:rFonts w:ascii="Times New Roman" w:hAnsi="Times New Roman" w:cs="Times New Roman"/>
                <w:color w:val="414142"/>
                <w:sz w:val="20"/>
                <w:szCs w:val="20"/>
                <w:shd w:val="clear" w:color="auto" w:fill="FFFFFF"/>
              </w:rPr>
              <w:t xml:space="preserve">ā </w:t>
            </w:r>
            <w:r>
              <w:rPr>
                <w:rFonts w:ascii="Times New Roman" w:hAnsi="Times New Roman" w:cs="Times New Roman"/>
                <w:color w:val="414142"/>
                <w:sz w:val="20"/>
                <w:szCs w:val="20"/>
                <w:shd w:val="clear" w:color="auto" w:fill="FFFFFF"/>
              </w:rPr>
              <w:t xml:space="preserve">papildinošās saimnieciskās darbības </w:t>
            </w:r>
            <w:r>
              <w:rPr>
                <w:rFonts w:ascii="Times New Roman" w:hAnsi="Times New Roman" w:cs="Times New Roman"/>
                <w:sz w:val="20"/>
                <w:szCs w:val="20"/>
              </w:rPr>
              <w:t xml:space="preserve">aprēķina veidu </w:t>
            </w:r>
            <w:r>
              <w:rPr>
                <w:rFonts w:ascii="Times New Roman" w:hAnsi="Times New Roman" w:cs="Times New Roman"/>
                <w:color w:val="414142"/>
                <w:sz w:val="20"/>
                <w:szCs w:val="20"/>
                <w:shd w:val="clear" w:color="auto" w:fill="FFFFFF"/>
              </w:rPr>
              <w:t>nav pieļaujams mainīt projekta īstenošanas laikā</w:t>
            </w:r>
            <w:r w:rsidR="004B1DEC">
              <w:rPr>
                <w:rFonts w:ascii="Times New Roman" w:hAnsi="Times New Roman" w:cs="Times New Roman"/>
                <w:color w:val="414142"/>
                <w:sz w:val="20"/>
                <w:szCs w:val="20"/>
                <w:shd w:val="clear" w:color="auto" w:fill="FFFFFF"/>
              </w:rPr>
              <w:t>, t.i. aprēķins veicams atbilstoši sākotnēji izvēlētajam veidam</w:t>
            </w:r>
            <w:r w:rsidR="00FB4EFC">
              <w:rPr>
                <w:rFonts w:ascii="Times New Roman" w:hAnsi="Times New Roman" w:cs="Times New Roman"/>
                <w:color w:val="414142"/>
                <w:sz w:val="20"/>
                <w:szCs w:val="20"/>
                <w:shd w:val="clear" w:color="auto" w:fill="FFFFFF"/>
              </w:rPr>
              <w:t xml:space="preserve"> </w:t>
            </w:r>
            <w:r w:rsidR="004B1DEC">
              <w:rPr>
                <w:rFonts w:ascii="Times New Roman" w:hAnsi="Times New Roman" w:cs="Times New Roman"/>
                <w:color w:val="414142"/>
                <w:sz w:val="20"/>
                <w:szCs w:val="20"/>
                <w:shd w:val="clear" w:color="auto" w:fill="FFFFFF"/>
              </w:rPr>
              <w:t>pl</w:t>
            </w:r>
            <w:r w:rsidR="00FB4EFC">
              <w:rPr>
                <w:rFonts w:ascii="Times New Roman" w:hAnsi="Times New Roman" w:cs="Times New Roman"/>
                <w:color w:val="414142"/>
                <w:sz w:val="20"/>
                <w:szCs w:val="20"/>
                <w:shd w:val="clear" w:color="auto" w:fill="FFFFFF"/>
              </w:rPr>
              <w:t>atības</w:t>
            </w:r>
            <w:r w:rsidR="004B1DEC">
              <w:rPr>
                <w:rFonts w:ascii="Times New Roman" w:hAnsi="Times New Roman" w:cs="Times New Roman"/>
                <w:color w:val="414142"/>
                <w:sz w:val="20"/>
                <w:szCs w:val="20"/>
                <w:shd w:val="clear" w:color="auto" w:fill="FFFFFF"/>
              </w:rPr>
              <w:t>, laika</w:t>
            </w:r>
            <w:r w:rsidR="00FB4EFC">
              <w:rPr>
                <w:rFonts w:ascii="Times New Roman" w:hAnsi="Times New Roman" w:cs="Times New Roman"/>
                <w:color w:val="414142"/>
                <w:sz w:val="20"/>
                <w:szCs w:val="20"/>
                <w:shd w:val="clear" w:color="auto" w:fill="FFFFFF"/>
              </w:rPr>
              <w:t xml:space="preserve"> vai </w:t>
            </w:r>
            <w:r w:rsidR="004B1DEC">
              <w:rPr>
                <w:rFonts w:ascii="Times New Roman" w:hAnsi="Times New Roman" w:cs="Times New Roman"/>
                <w:color w:val="414142"/>
                <w:sz w:val="20"/>
                <w:szCs w:val="20"/>
                <w:shd w:val="clear" w:color="auto" w:fill="FFFFFF"/>
              </w:rPr>
              <w:t>finanšu izteiksmē.</w:t>
            </w:r>
            <w:r w:rsidR="000758FD">
              <w:rPr>
                <w:rFonts w:ascii="Times New Roman" w:hAnsi="Times New Roman" w:cs="Times New Roman"/>
                <w:color w:val="414142"/>
                <w:sz w:val="20"/>
                <w:szCs w:val="20"/>
                <w:shd w:val="clear" w:color="auto" w:fill="FFFFFF"/>
              </w:rPr>
              <w:t>”</w:t>
            </w:r>
          </w:p>
          <w:bookmarkEnd w:id="2"/>
          <w:p w14:paraId="3C340CD1" w14:textId="77777777" w:rsidR="00CA06F9" w:rsidRDefault="00CA06F9" w:rsidP="00CA06F9">
            <w:pPr>
              <w:shd w:val="clear" w:color="auto" w:fill="FFFFFF"/>
              <w:spacing w:after="0" w:line="240" w:lineRule="auto"/>
              <w:jc w:val="both"/>
              <w:rPr>
                <w:rFonts w:ascii="Times New Roman" w:hAnsi="Times New Roman" w:cs="Times New Roman"/>
                <w:color w:val="414142"/>
                <w:sz w:val="20"/>
                <w:szCs w:val="20"/>
                <w:shd w:val="clear" w:color="auto" w:fill="FFFFFF"/>
              </w:rPr>
            </w:pPr>
          </w:p>
          <w:p w14:paraId="33DC8FDC" w14:textId="77777777" w:rsidR="00CA06F9" w:rsidRDefault="00CA06F9" w:rsidP="00CA06F9">
            <w:pPr>
              <w:shd w:val="clear" w:color="auto" w:fill="FFFFFF"/>
              <w:spacing w:after="0" w:line="240" w:lineRule="auto"/>
              <w:jc w:val="both"/>
              <w:rPr>
                <w:rFonts w:ascii="Times New Roman" w:hAnsi="Times New Roman" w:cs="Times New Roman"/>
                <w:color w:val="414142"/>
                <w:sz w:val="20"/>
                <w:szCs w:val="20"/>
                <w:shd w:val="clear" w:color="auto" w:fill="FFFFFF"/>
              </w:rPr>
            </w:pPr>
          </w:p>
          <w:p w14:paraId="4974F635" w14:textId="60FD4357" w:rsidR="00CA06F9" w:rsidRPr="00995948" w:rsidRDefault="00CA06F9" w:rsidP="004B1DEC">
            <w:pPr>
              <w:shd w:val="clear" w:color="auto" w:fill="FFFFFF"/>
              <w:spacing w:after="0" w:line="240" w:lineRule="auto"/>
              <w:jc w:val="both"/>
              <w:rPr>
                <w:rFonts w:ascii="Times New Roman" w:hAnsi="Times New Roman" w:cs="Times New Roman"/>
                <w:sz w:val="20"/>
                <w:szCs w:val="20"/>
              </w:rPr>
            </w:pPr>
          </w:p>
        </w:tc>
      </w:tr>
      <w:tr w:rsidR="00CA06F9" w:rsidRPr="00574613" w14:paraId="5D7F306A"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E1383D2" w14:textId="0AD26905"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p>
        </w:tc>
        <w:tc>
          <w:tcPr>
            <w:tcW w:w="663" w:type="pct"/>
            <w:tcBorders>
              <w:top w:val="outset" w:sz="6" w:space="0" w:color="414142"/>
              <w:left w:val="outset" w:sz="6" w:space="0" w:color="414142"/>
              <w:bottom w:val="outset" w:sz="6" w:space="0" w:color="414142"/>
              <w:right w:val="outset" w:sz="6" w:space="0" w:color="414142"/>
            </w:tcBorders>
          </w:tcPr>
          <w:p w14:paraId="4DB50992"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4F29BB46"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0F0244C6" w14:textId="77777777" w:rsidR="00CA06F9" w:rsidRPr="00637A95" w:rsidRDefault="00CA06F9" w:rsidP="00CA06F9">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lang w:eastAsia="lv-LV"/>
              </w:rPr>
              <w:t xml:space="preserve">Lai nodrošinātu viennozīmīgu normas izpratni, ņemot vērā aktuālos saņemtos metodoloģiskos jautājumus komercdarbības atbalsta kontroles nosacījumu piemērošanas kontekstā un lai novērstu nelikumīga komercdarbības atbalsta risku saistībā ar publisko līdzekļu izmantošanu gadījumos, kad projekta ietvaros rodas neattiecināmās izmaksas, lūdzam izvērtēt iespēju papildināt noteikumu projektu ar grozījumiem MK noteikumu Nr.534 </w:t>
            </w:r>
            <w:r w:rsidRPr="00637A95">
              <w:rPr>
                <w:rFonts w:ascii="Times New Roman" w:hAnsi="Times New Roman" w:cs="Times New Roman"/>
                <w:sz w:val="20"/>
                <w:szCs w:val="20"/>
              </w:rPr>
              <w:t>30.</w:t>
            </w:r>
            <w:r w:rsidRPr="00637A95">
              <w:rPr>
                <w:rFonts w:ascii="Times New Roman" w:hAnsi="Times New Roman" w:cs="Times New Roman"/>
                <w:sz w:val="20"/>
                <w:szCs w:val="20"/>
                <w:vertAlign w:val="superscript"/>
              </w:rPr>
              <w:t>1</w:t>
            </w:r>
            <w:r w:rsidRPr="00637A95">
              <w:rPr>
                <w:rFonts w:ascii="Times New Roman" w:hAnsi="Times New Roman" w:cs="Times New Roman"/>
                <w:sz w:val="20"/>
                <w:szCs w:val="20"/>
              </w:rPr>
              <w:t xml:space="preserve"> 2.apakšpunktā, kas nodrošinātu viennozīmīgu izpratni, ka </w:t>
            </w:r>
            <w:r w:rsidRPr="00637A95">
              <w:rPr>
                <w:rFonts w:ascii="Times New Roman" w:hAnsi="Times New Roman" w:cs="Times New Roman"/>
                <w:sz w:val="20"/>
                <w:szCs w:val="20"/>
                <w:lang w:eastAsia="lv-LV"/>
              </w:rPr>
              <w:t>MK noteikumu Nr.534</w:t>
            </w:r>
            <w:r w:rsidRPr="00637A95">
              <w:rPr>
                <w:rFonts w:ascii="Times New Roman" w:hAnsi="Times New Roman" w:cs="Times New Roman"/>
                <w:sz w:val="20"/>
                <w:szCs w:val="20"/>
              </w:rPr>
              <w:t xml:space="preserve"> 30.5.apakšpunktā minētās izmaksas netiktu segtas, piemēram, no pašvaldību budžeta līdzekļiem, proti, ka tās tiktu segtas no tādiem līdzekļiem, kas iegūti saimnieciskās darbības rezultātā un kas nav uzskatāmi par publiskajiem resursiem, tostarp, piemēram, aizņēmums bankā ar pašvaldības galvojumu.</w:t>
            </w:r>
          </w:p>
          <w:p w14:paraId="353D10AA" w14:textId="27645551"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06DC70C3"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p w14:paraId="64DD588F"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p>
          <w:p w14:paraId="02B50F72" w14:textId="1F8B597B" w:rsidR="00CA06F9" w:rsidRPr="00841ED5" w:rsidRDefault="00414069" w:rsidP="0041406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CA06F9" w:rsidRPr="00841ED5">
              <w:rPr>
                <w:rFonts w:ascii="Times New Roman" w:eastAsia="Times New Roman" w:hAnsi="Times New Roman" w:cs="Times New Roman"/>
                <w:sz w:val="20"/>
                <w:szCs w:val="20"/>
                <w:lang w:eastAsia="lv-LV"/>
              </w:rPr>
              <w:t xml:space="preserve"> noteikumu punkts precizēts un izteikts jaunā redakcijā.</w:t>
            </w:r>
          </w:p>
        </w:tc>
        <w:tc>
          <w:tcPr>
            <w:tcW w:w="1698" w:type="pct"/>
            <w:tcBorders>
              <w:top w:val="outset" w:sz="6" w:space="0" w:color="414142"/>
              <w:left w:val="outset" w:sz="6" w:space="0" w:color="414142"/>
              <w:bottom w:val="outset" w:sz="6" w:space="0" w:color="414142"/>
              <w:right w:val="outset" w:sz="6" w:space="0" w:color="414142"/>
            </w:tcBorders>
          </w:tcPr>
          <w:p w14:paraId="771E390A" w14:textId="263BA61F" w:rsidR="00CA06F9" w:rsidRPr="00605BA6" w:rsidRDefault="00CA06F9" w:rsidP="00CA06F9">
            <w:pPr>
              <w:spacing w:after="0" w:line="240" w:lineRule="auto"/>
              <w:jc w:val="both"/>
              <w:rPr>
                <w:rFonts w:ascii="Times New Roman" w:eastAsia="Times New Roman" w:hAnsi="Times New Roman" w:cs="Times New Roman"/>
                <w:sz w:val="20"/>
                <w:szCs w:val="20"/>
                <w:lang w:eastAsia="lv-LV"/>
              </w:rPr>
            </w:pPr>
            <w:r w:rsidRPr="00605BA6">
              <w:rPr>
                <w:rFonts w:ascii="Times New Roman" w:hAnsi="Times New Roman" w:cs="Times New Roman"/>
                <w:color w:val="414142"/>
                <w:sz w:val="20"/>
                <w:szCs w:val="20"/>
                <w:shd w:val="clear" w:color="auto" w:fill="FFFFFF"/>
              </w:rPr>
              <w:t>“30.</w:t>
            </w:r>
            <w:r w:rsidRPr="00605BA6">
              <w:rPr>
                <w:rFonts w:ascii="Times New Roman" w:hAnsi="Times New Roman" w:cs="Times New Roman"/>
                <w:color w:val="414142"/>
                <w:sz w:val="20"/>
                <w:szCs w:val="20"/>
                <w:shd w:val="clear" w:color="auto" w:fill="FFFFFF"/>
                <w:vertAlign w:val="superscript"/>
              </w:rPr>
              <w:t>1</w:t>
            </w:r>
            <w:r w:rsidRPr="00605BA6">
              <w:rPr>
                <w:rFonts w:ascii="Times New Roman" w:hAnsi="Times New Roman" w:cs="Times New Roman"/>
                <w:color w:val="414142"/>
                <w:sz w:val="20"/>
                <w:szCs w:val="20"/>
                <w:shd w:val="clear" w:color="auto" w:fill="FFFFFF"/>
              </w:rPr>
              <w:t xml:space="preserve"> 2. šo noteikumu 30.5. apakšpunktā minētās izmaksas sedz no līdzekļiem, kas nav saistīti ar jebkādu valsts atbalstu, </w:t>
            </w:r>
            <w:r w:rsidRPr="00605BA6">
              <w:rPr>
                <w:rFonts w:ascii="Times New Roman" w:hAnsi="Times New Roman" w:cs="Times New Roman"/>
                <w:color w:val="000000"/>
                <w:sz w:val="20"/>
                <w:szCs w:val="20"/>
              </w:rPr>
              <w:t>t.sk.</w:t>
            </w:r>
            <w:r w:rsidRPr="00605BA6">
              <w:rPr>
                <w:rFonts w:ascii="Times New Roman" w:hAnsi="Times New Roman" w:cs="Times New Roman"/>
                <w:sz w:val="20"/>
                <w:szCs w:val="20"/>
              </w:rPr>
              <w:t xml:space="preserve"> no tādiem līdzekļiem, kas iegūti piemēram saimnieciskās darbības rezultātā un, nav uzskatāmi par publiskajiem resursiem</w:t>
            </w:r>
            <w:r>
              <w:rPr>
                <w:rFonts w:ascii="Times New Roman" w:hAnsi="Times New Roman" w:cs="Times New Roman"/>
                <w:sz w:val="20"/>
                <w:szCs w:val="20"/>
              </w:rPr>
              <w:t>.</w:t>
            </w:r>
            <w:r w:rsidRPr="00605BA6">
              <w:rPr>
                <w:rFonts w:ascii="Times New Roman" w:hAnsi="Times New Roman" w:cs="Times New Roman"/>
                <w:sz w:val="20"/>
                <w:szCs w:val="20"/>
              </w:rPr>
              <w:t>”</w:t>
            </w:r>
          </w:p>
        </w:tc>
      </w:tr>
      <w:tr w:rsidR="00CA06F9" w:rsidRPr="00574613" w14:paraId="76BAB59C"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17E7F09C" w14:textId="7773A659"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p>
        </w:tc>
        <w:tc>
          <w:tcPr>
            <w:tcW w:w="663" w:type="pct"/>
            <w:tcBorders>
              <w:top w:val="outset" w:sz="6" w:space="0" w:color="414142"/>
              <w:left w:val="outset" w:sz="6" w:space="0" w:color="414142"/>
              <w:bottom w:val="outset" w:sz="6" w:space="0" w:color="414142"/>
              <w:right w:val="outset" w:sz="6" w:space="0" w:color="414142"/>
            </w:tcBorders>
          </w:tcPr>
          <w:p w14:paraId="380643EC"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19C9D641"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6F2D34C8" w14:textId="280736ED" w:rsidR="00CA06F9" w:rsidRPr="00637A95" w:rsidRDefault="00CA06F9" w:rsidP="00CA06F9">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rPr>
              <w:t xml:space="preserve">Lai nodrošinātu korektu izpratni par papildinošās saimnieciskās darbības jēdzienu </w:t>
            </w:r>
            <w:r w:rsidRPr="00637A95">
              <w:rPr>
                <w:rFonts w:ascii="Times New Roman" w:hAnsi="Times New Roman" w:cs="Times New Roman"/>
                <w:sz w:val="20"/>
                <w:szCs w:val="20"/>
                <w:lang w:eastAsia="lv-LV"/>
              </w:rPr>
              <w:t>MK noteikumu Nr.534 ietvaros, lūdzam papildināt noteikumu projektu ar papildus punktu, ar kuru tiktu grozīts MK noteikumu Nr.534</w:t>
            </w:r>
            <w:r>
              <w:rPr>
                <w:rFonts w:ascii="Times New Roman" w:hAnsi="Times New Roman" w:cs="Times New Roman"/>
                <w:sz w:val="20"/>
                <w:szCs w:val="20"/>
                <w:lang w:eastAsia="lv-LV"/>
              </w:rPr>
              <w:t xml:space="preserve"> </w:t>
            </w:r>
            <w:r w:rsidRPr="00637A95">
              <w:rPr>
                <w:rFonts w:ascii="Times New Roman" w:hAnsi="Times New Roman" w:cs="Times New Roman"/>
                <w:sz w:val="20"/>
                <w:szCs w:val="20"/>
                <w:lang w:eastAsia="lv-LV"/>
              </w:rPr>
              <w:t>48.punkts, paredzot, ka ar papildinošu saimniecisku darbību saprot tādas darbības, kas ir  tieši saistītas ar  ēkas vai ēku grupas ekspluatāciju un tai nepieciešamas vai nesaraujami saistītas ar tās  galveno nesaimniecisko izmantojumu.</w:t>
            </w:r>
          </w:p>
          <w:p w14:paraId="636897DD" w14:textId="3D5C5230"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5B7AA9B2" w14:textId="77777777" w:rsidR="00CA06F9" w:rsidRDefault="00CA06F9"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Ņemts vērā</w:t>
            </w:r>
          </w:p>
          <w:p w14:paraId="3E96DF0A" w14:textId="7C076AD0" w:rsidR="00CA06F9" w:rsidRPr="00841ED5" w:rsidRDefault="00CA06F9"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noteikumu punkts precizēts.</w:t>
            </w:r>
          </w:p>
        </w:tc>
        <w:tc>
          <w:tcPr>
            <w:tcW w:w="1698" w:type="pct"/>
            <w:tcBorders>
              <w:top w:val="outset" w:sz="6" w:space="0" w:color="414142"/>
              <w:left w:val="outset" w:sz="6" w:space="0" w:color="414142"/>
              <w:bottom w:val="outset" w:sz="6" w:space="0" w:color="414142"/>
              <w:right w:val="outset" w:sz="6" w:space="0" w:color="414142"/>
            </w:tcBorders>
          </w:tcPr>
          <w:p w14:paraId="3CF74FBC" w14:textId="6A894D6E" w:rsidR="00CA06F9" w:rsidRPr="00AF4D17" w:rsidRDefault="00CA06F9" w:rsidP="00CA06F9">
            <w:pPr>
              <w:spacing w:after="0" w:line="240" w:lineRule="auto"/>
              <w:jc w:val="both"/>
              <w:rPr>
                <w:rFonts w:ascii="Times New Roman" w:eastAsia="Times New Roman" w:hAnsi="Times New Roman" w:cs="Times New Roman"/>
                <w:sz w:val="20"/>
                <w:szCs w:val="20"/>
                <w:lang w:eastAsia="lv-LV"/>
              </w:rPr>
            </w:pPr>
            <w:r w:rsidRPr="00AF4D17">
              <w:rPr>
                <w:rFonts w:ascii="Times New Roman" w:hAnsi="Times New Roman" w:cs="Times New Roman"/>
                <w:color w:val="414142"/>
                <w:sz w:val="20"/>
                <w:szCs w:val="20"/>
                <w:shd w:val="clear" w:color="auto" w:fill="FFFFFF"/>
              </w:rPr>
              <w:t>“48. Projekta iesniedzēja īpašumā, lietošanā vai valdījumā esošajā infrastruktūrā (tai skaitā ēkā vai ēku grupā), kas tiek izmantota tādu funkciju vai pārvaldes uzdevumu nodrošināšanai, kuri nav saistīti ar saimniecisko darbību, pamatlīdzekļu un ilgtermiņa ieguldījumu nolietojuma periodā pieļaujams veikt papildinošu saimniecisko darbību</w:t>
            </w:r>
            <w:r w:rsidRPr="00AF4D17">
              <w:rPr>
                <w:rFonts w:ascii="Times New Roman" w:hAnsi="Times New Roman" w:cs="Times New Roman"/>
                <w:color w:val="000000"/>
                <w:sz w:val="20"/>
                <w:szCs w:val="20"/>
                <w:shd w:val="clear" w:color="auto" w:fill="FFFFFF"/>
              </w:rPr>
              <w:t xml:space="preserve"> (</w:t>
            </w:r>
            <w:r w:rsidRPr="00AF4D17">
              <w:rPr>
                <w:rFonts w:ascii="Times New Roman" w:hAnsi="Times New Roman" w:cs="Times New Roman"/>
                <w:sz w:val="20"/>
                <w:szCs w:val="20"/>
                <w:lang w:eastAsia="lv-LV"/>
              </w:rPr>
              <w:t>darbības, kas ir  tieši saistītas ar  ēkas vai ēku grupas ekspluatāciju un tai nepieciešamas vai nesaraujami saistītas ar tās  galveno nesaimniecisko izmantojumu</w:t>
            </w:r>
            <w:r w:rsidRPr="00AF4D17">
              <w:rPr>
                <w:rFonts w:ascii="Times New Roman" w:hAnsi="Times New Roman" w:cs="Times New Roman"/>
                <w:color w:val="000000"/>
                <w:sz w:val="20"/>
                <w:szCs w:val="20"/>
              </w:rPr>
              <w:t>)</w:t>
            </w:r>
            <w:r w:rsidRPr="00AF4D17">
              <w:rPr>
                <w:rFonts w:ascii="Times New Roman" w:hAnsi="Times New Roman" w:cs="Times New Roman"/>
                <w:color w:val="414142"/>
                <w:sz w:val="20"/>
                <w:szCs w:val="20"/>
                <w:shd w:val="clear" w:color="auto" w:fill="FFFFFF"/>
              </w:rPr>
              <w:t xml:space="preserve"> 20 % apmērā no infrastruktūras gada jaudas platības, laika vai finanšu izteiksmē, lai atbalsts pasākuma ietvaros netiktu kvalificēts kā komercdarbības atbalsts</w:t>
            </w:r>
            <w:r>
              <w:rPr>
                <w:rFonts w:ascii="Times New Roman" w:hAnsi="Times New Roman" w:cs="Times New Roman"/>
                <w:color w:val="414142"/>
                <w:sz w:val="20"/>
                <w:szCs w:val="20"/>
                <w:shd w:val="clear" w:color="auto" w:fill="FFFFFF"/>
              </w:rPr>
              <w:t>.”</w:t>
            </w:r>
          </w:p>
        </w:tc>
      </w:tr>
      <w:tr w:rsidR="00CA06F9" w:rsidRPr="00574613" w14:paraId="09F6F886"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49D3A7A5" w14:textId="47FF1219"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w:t>
            </w:r>
          </w:p>
        </w:tc>
        <w:tc>
          <w:tcPr>
            <w:tcW w:w="663" w:type="pct"/>
            <w:tcBorders>
              <w:top w:val="outset" w:sz="6" w:space="0" w:color="414142"/>
              <w:left w:val="outset" w:sz="6" w:space="0" w:color="414142"/>
              <w:bottom w:val="outset" w:sz="6" w:space="0" w:color="414142"/>
              <w:right w:val="outset" w:sz="6" w:space="0" w:color="414142"/>
            </w:tcBorders>
          </w:tcPr>
          <w:p w14:paraId="57D34DEA"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1F442EE1"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185CB296" w14:textId="77777777" w:rsidR="00CA06F9" w:rsidRPr="00637A95" w:rsidRDefault="00CA06F9" w:rsidP="00CA06F9">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lang w:eastAsia="lv-LV"/>
              </w:rPr>
              <w:t>Lūdzam pārskatīt noteikumu projekta 5.punktu, nodrošinot, ka Kultūras ministrijai un Zemkopības ministrijai norādītais kopējais pieejamais finansējums atbilst norādītajai ERAF un valsts budžeta finansējuma summai.</w:t>
            </w:r>
          </w:p>
          <w:p w14:paraId="6060F634" w14:textId="1AB14F84"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44F5C999" w14:textId="77777777" w:rsidR="00CA06F9" w:rsidRPr="00841ED5" w:rsidRDefault="00CA06F9" w:rsidP="00CA06F9">
            <w:pPr>
              <w:spacing w:after="0" w:line="240" w:lineRule="auto"/>
              <w:jc w:val="center"/>
              <w:rPr>
                <w:rFonts w:ascii="Times New Roman" w:eastAsia="Times New Roman" w:hAnsi="Times New Roman" w:cs="Times New Roman"/>
                <w:b/>
                <w:bCs/>
                <w:sz w:val="20"/>
                <w:szCs w:val="20"/>
                <w:lang w:eastAsia="lv-LV"/>
              </w:rPr>
            </w:pPr>
            <w:r w:rsidRPr="00841ED5">
              <w:rPr>
                <w:rFonts w:ascii="Times New Roman" w:eastAsia="Times New Roman" w:hAnsi="Times New Roman" w:cs="Times New Roman"/>
                <w:b/>
                <w:bCs/>
                <w:sz w:val="20"/>
                <w:szCs w:val="20"/>
                <w:lang w:eastAsia="lv-LV"/>
              </w:rPr>
              <w:lastRenderedPageBreak/>
              <w:t>Ņemts vērā</w:t>
            </w:r>
          </w:p>
          <w:p w14:paraId="02D20DD3" w14:textId="7484F672" w:rsidR="00CA06F9" w:rsidRPr="00852A4B" w:rsidRDefault="00CA06F9"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punkts precizēts.</w:t>
            </w:r>
          </w:p>
        </w:tc>
        <w:tc>
          <w:tcPr>
            <w:tcW w:w="1698" w:type="pct"/>
            <w:tcBorders>
              <w:top w:val="outset" w:sz="6" w:space="0" w:color="414142"/>
              <w:left w:val="outset" w:sz="6" w:space="0" w:color="414142"/>
              <w:bottom w:val="outset" w:sz="6" w:space="0" w:color="414142"/>
              <w:right w:val="outset" w:sz="6" w:space="0" w:color="414142"/>
            </w:tcBorders>
          </w:tcPr>
          <w:p w14:paraId="4F68FE77" w14:textId="439DFEBE" w:rsidR="00CA06F9" w:rsidRPr="00A356AF"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143F17" w14:paraId="5136FFFD"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A94825F" w14:textId="65BA5BC2"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p>
        </w:tc>
        <w:tc>
          <w:tcPr>
            <w:tcW w:w="663" w:type="pct"/>
            <w:tcBorders>
              <w:top w:val="outset" w:sz="6" w:space="0" w:color="414142"/>
              <w:left w:val="outset" w:sz="6" w:space="0" w:color="414142"/>
              <w:bottom w:val="outset" w:sz="6" w:space="0" w:color="414142"/>
              <w:right w:val="outset" w:sz="6" w:space="0" w:color="414142"/>
            </w:tcBorders>
          </w:tcPr>
          <w:p w14:paraId="2E5A7CC9"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0F443EA7"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6071F1AD" w14:textId="417684F1" w:rsidR="00CA06F9" w:rsidRPr="00592572" w:rsidRDefault="00CA06F9" w:rsidP="00CA06F9">
            <w:pPr>
              <w:spacing w:after="0" w:line="240" w:lineRule="auto"/>
              <w:jc w:val="both"/>
              <w:rPr>
                <w:rFonts w:ascii="Times New Roman" w:hAnsi="Times New Roman" w:cs="Times New Roman"/>
                <w:sz w:val="20"/>
                <w:szCs w:val="20"/>
                <w:lang w:eastAsia="lv-LV"/>
              </w:rPr>
            </w:pPr>
            <w:r w:rsidRPr="00637A95">
              <w:rPr>
                <w:rFonts w:ascii="Times New Roman" w:hAnsi="Times New Roman" w:cs="Times New Roman"/>
                <w:sz w:val="20"/>
                <w:szCs w:val="20"/>
              </w:rPr>
              <w:t>Lūdzam papildināt anotāciju ar informāciju par nepieciešamajām izmaiņām iznākuma rādītājos, iekļaujot</w:t>
            </w:r>
            <w:r w:rsidRPr="00637A95">
              <w:rPr>
                <w:rFonts w:ascii="Times New Roman" w:hAnsi="Times New Roman" w:cs="Times New Roman"/>
                <w:b/>
                <w:bCs/>
                <w:sz w:val="20"/>
                <w:szCs w:val="20"/>
              </w:rPr>
              <w:t xml:space="preserve"> </w:t>
            </w:r>
            <w:r w:rsidRPr="00637A95">
              <w:rPr>
                <w:rFonts w:ascii="Times New Roman" w:hAnsi="Times New Roman" w:cs="Times New Roman"/>
                <w:sz w:val="20"/>
                <w:szCs w:val="20"/>
              </w:rPr>
              <w:t xml:space="preserve">detalizētu informāciju par pielietotajiem koeficientiem pie jauno rādītāju vērtību aprēķināšanas, jo iznākuma rādītāji tiek aprēķināti proporcionāli </w:t>
            </w:r>
            <w:r w:rsidRPr="00637A95">
              <w:rPr>
                <w:rFonts w:ascii="Times New Roman" w:hAnsi="Times New Roman" w:cs="Times New Roman"/>
                <w:sz w:val="20"/>
                <w:szCs w:val="20"/>
                <w:lang w:eastAsia="lv-LV"/>
              </w:rPr>
              <w:t xml:space="preserve">4.2.1.2.pasākuma 1.kārtas </w:t>
            </w:r>
            <w:r w:rsidRPr="00637A95">
              <w:rPr>
                <w:rFonts w:ascii="Times New Roman" w:hAnsi="Times New Roman" w:cs="Times New Roman"/>
                <w:sz w:val="20"/>
                <w:szCs w:val="20"/>
              </w:rPr>
              <w:t xml:space="preserve">īstenošanai piešķirtajam finansējuma apmēram, vai arī </w:t>
            </w:r>
            <w:r w:rsidRPr="00637A95">
              <w:rPr>
                <w:rFonts w:ascii="Times New Roman" w:hAnsi="Times New Roman" w:cs="Times New Roman"/>
                <w:bCs/>
                <w:sz w:val="20"/>
                <w:szCs w:val="20"/>
              </w:rPr>
              <w:t xml:space="preserve">skaidrot, kādēļ anotācijā netiek iekļauta šāda informācija. Vēršam uzmanību, ka anotācijas </w:t>
            </w:r>
            <w:r w:rsidRPr="00637A95">
              <w:rPr>
                <w:rFonts w:ascii="Times New Roman" w:hAnsi="Times New Roman" w:cs="Times New Roman"/>
                <w:sz w:val="20"/>
                <w:szCs w:val="20"/>
                <w:lang w:eastAsia="lv-LV"/>
              </w:rPr>
              <w:t xml:space="preserve">I sadaļā “Tiesību akta projekta izstrādes nepieciešamība” (turpmāk – anotācijas I sadaļa) norādīts ka noteikumu projekts paredz izmaiņas </w:t>
            </w:r>
            <w:r w:rsidRPr="00637A95">
              <w:rPr>
                <w:rFonts w:ascii="Times New Roman" w:hAnsi="Times New Roman" w:cs="Times New Roman"/>
                <w:bCs/>
                <w:sz w:val="20"/>
                <w:szCs w:val="20"/>
              </w:rPr>
              <w:t xml:space="preserve"> </w:t>
            </w:r>
            <w:r w:rsidRPr="00637A95">
              <w:rPr>
                <w:rFonts w:ascii="Times New Roman" w:hAnsi="Times New Roman" w:cs="Times New Roman"/>
                <w:sz w:val="20"/>
                <w:szCs w:val="20"/>
              </w:rPr>
              <w:t xml:space="preserve"> sasniedzamajos iznākuma rādītājos. </w:t>
            </w:r>
          </w:p>
        </w:tc>
        <w:tc>
          <w:tcPr>
            <w:tcW w:w="712" w:type="pct"/>
            <w:tcBorders>
              <w:top w:val="outset" w:sz="6" w:space="0" w:color="414142"/>
              <w:left w:val="outset" w:sz="6" w:space="0" w:color="414142"/>
              <w:bottom w:val="outset" w:sz="6" w:space="0" w:color="414142"/>
              <w:right w:val="outset" w:sz="6" w:space="0" w:color="414142"/>
            </w:tcBorders>
          </w:tcPr>
          <w:p w14:paraId="1CF15DD4"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sidRPr="00FE6B7E">
              <w:rPr>
                <w:rFonts w:ascii="Times New Roman" w:eastAsia="Times New Roman" w:hAnsi="Times New Roman" w:cs="Times New Roman"/>
                <w:b/>
                <w:bCs/>
                <w:sz w:val="20"/>
                <w:szCs w:val="20"/>
                <w:lang w:eastAsia="lv-LV"/>
              </w:rPr>
              <w:t>Ņemts vērā</w:t>
            </w:r>
          </w:p>
          <w:p w14:paraId="64339A12"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p>
          <w:p w14:paraId="3130E585" w14:textId="1E481785" w:rsidR="00CA06F9" w:rsidRDefault="00016675" w:rsidP="0086432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074065">
              <w:rPr>
                <w:rFonts w:ascii="Times New Roman" w:eastAsia="Times New Roman" w:hAnsi="Times New Roman" w:cs="Times New Roman"/>
                <w:sz w:val="20"/>
                <w:szCs w:val="20"/>
                <w:lang w:eastAsia="lv-LV"/>
              </w:rPr>
              <w:t>Precizēts</w:t>
            </w:r>
          </w:p>
          <w:p w14:paraId="0E515EB4" w14:textId="25A2CED0" w:rsidR="00047147" w:rsidRPr="00FE6B7E" w:rsidRDefault="00047147" w:rsidP="002075E2">
            <w:pPr>
              <w:spacing w:after="0" w:line="240" w:lineRule="auto"/>
              <w:jc w:val="both"/>
              <w:rPr>
                <w:rFonts w:ascii="Times New Roman" w:eastAsia="Times New Roman" w:hAnsi="Times New Roman" w:cs="Times New Roman"/>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tcPr>
          <w:p w14:paraId="62AAE599" w14:textId="6096ED04" w:rsidR="00CA06F9" w:rsidRPr="00143F17"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574613" w14:paraId="324A7070"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3BB143C0" w14:textId="1E9FE569"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c>
          <w:tcPr>
            <w:tcW w:w="663" w:type="pct"/>
            <w:tcBorders>
              <w:top w:val="outset" w:sz="6" w:space="0" w:color="414142"/>
              <w:left w:val="outset" w:sz="6" w:space="0" w:color="414142"/>
              <w:bottom w:val="outset" w:sz="6" w:space="0" w:color="414142"/>
              <w:right w:val="outset" w:sz="6" w:space="0" w:color="414142"/>
            </w:tcBorders>
          </w:tcPr>
          <w:p w14:paraId="1A80E775"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48244A42"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5E3C2AA6" w14:textId="4661B8AD" w:rsidR="00CA06F9" w:rsidRPr="00637A95" w:rsidRDefault="00CA06F9" w:rsidP="00CA06F9">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rPr>
              <w:t>Atkārtoti lūdzam papildināt vai precizēt anotāciju attiecībā uz plānoto finansējuma pārdali 4.2.1.1.pasākumam</w:t>
            </w:r>
            <w:r w:rsidRPr="00637A95">
              <w:rPr>
                <w:rStyle w:val="FootnoteReference"/>
                <w:rFonts w:cs="Times New Roman"/>
                <w:sz w:val="20"/>
                <w:szCs w:val="20"/>
                <w:lang w:eastAsia="lv-LV"/>
              </w:rPr>
              <w:footnoteReference w:id="15"/>
            </w:r>
            <w:r w:rsidRPr="00637A95">
              <w:rPr>
                <w:rFonts w:ascii="Times New Roman" w:hAnsi="Times New Roman" w:cs="Times New Roman"/>
                <w:sz w:val="20"/>
                <w:szCs w:val="20"/>
              </w:rPr>
              <w:t xml:space="preserve">, pamatojot šādu finansējuma pārdali, ņemot vērā MK </w:t>
            </w:r>
            <w:proofErr w:type="spellStart"/>
            <w:r w:rsidRPr="00637A95">
              <w:rPr>
                <w:rFonts w:ascii="Times New Roman" w:hAnsi="Times New Roman" w:cs="Times New Roman"/>
                <w:sz w:val="20"/>
                <w:szCs w:val="20"/>
              </w:rPr>
              <w:t>protokollēmuma</w:t>
            </w:r>
            <w:proofErr w:type="spellEnd"/>
            <w:r w:rsidRPr="00637A95">
              <w:rPr>
                <w:rFonts w:ascii="Times New Roman" w:hAnsi="Times New Roman" w:cs="Times New Roman"/>
                <w:sz w:val="20"/>
                <w:szCs w:val="20"/>
              </w:rPr>
              <w:t xml:space="preserve"> Nr.55 33.§ 3.punktā paredzēto turpmāko rīcību, proti, ka atlikušais 4.2.1.2.pasākuma 1.kārtas finansējums tiks pārdalīts 4.2.1.2.pasākuma 2.kārtas augstas gatavības projektiem.</w:t>
            </w:r>
          </w:p>
        </w:tc>
        <w:tc>
          <w:tcPr>
            <w:tcW w:w="712" w:type="pct"/>
            <w:tcBorders>
              <w:top w:val="outset" w:sz="6" w:space="0" w:color="414142"/>
              <w:left w:val="outset" w:sz="6" w:space="0" w:color="414142"/>
              <w:bottom w:val="outset" w:sz="6" w:space="0" w:color="414142"/>
              <w:right w:val="outset" w:sz="6" w:space="0" w:color="414142"/>
            </w:tcBorders>
          </w:tcPr>
          <w:p w14:paraId="0B08F077"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p w14:paraId="4E8A419C"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p>
          <w:p w14:paraId="453D1685" w14:textId="25193C64" w:rsidR="00CA06F9" w:rsidRPr="00321C5B" w:rsidRDefault="00CA06F9" w:rsidP="00CA06F9">
            <w:pPr>
              <w:spacing w:after="0" w:line="240" w:lineRule="auto"/>
              <w:jc w:val="center"/>
              <w:rPr>
                <w:rFonts w:ascii="Times New Roman" w:eastAsia="Times New Roman" w:hAnsi="Times New Roman" w:cs="Times New Roman"/>
                <w:sz w:val="20"/>
                <w:szCs w:val="20"/>
                <w:lang w:eastAsia="lv-LV"/>
              </w:rPr>
            </w:pPr>
            <w:r w:rsidRPr="00321C5B">
              <w:rPr>
                <w:rFonts w:ascii="Times New Roman" w:eastAsia="Times New Roman" w:hAnsi="Times New Roman" w:cs="Times New Roman"/>
                <w:sz w:val="20"/>
                <w:szCs w:val="20"/>
                <w:lang w:eastAsia="lv-LV"/>
              </w:rPr>
              <w:t xml:space="preserve">Anotācijas </w:t>
            </w:r>
            <w:r>
              <w:rPr>
                <w:rFonts w:ascii="Times New Roman" w:eastAsia="Times New Roman" w:hAnsi="Times New Roman" w:cs="Times New Roman"/>
                <w:sz w:val="20"/>
                <w:szCs w:val="20"/>
                <w:lang w:eastAsia="lv-LV"/>
              </w:rPr>
              <w:t>sadaļa precizēta.</w:t>
            </w:r>
          </w:p>
        </w:tc>
        <w:tc>
          <w:tcPr>
            <w:tcW w:w="1698" w:type="pct"/>
            <w:tcBorders>
              <w:top w:val="outset" w:sz="6" w:space="0" w:color="414142"/>
              <w:left w:val="outset" w:sz="6" w:space="0" w:color="414142"/>
              <w:bottom w:val="outset" w:sz="6" w:space="0" w:color="414142"/>
              <w:right w:val="outset" w:sz="6" w:space="0" w:color="414142"/>
            </w:tcBorders>
          </w:tcPr>
          <w:p w14:paraId="5395BB97" w14:textId="77777777" w:rsidR="00CA06F9" w:rsidRPr="00A356AF"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574613" w14:paraId="61DD9A9B"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919E8E9" w14:textId="7C52B46C" w:rsidR="00CA06F9" w:rsidRPr="00A125CE"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p>
        </w:tc>
        <w:tc>
          <w:tcPr>
            <w:tcW w:w="663" w:type="pct"/>
            <w:tcBorders>
              <w:top w:val="outset" w:sz="6" w:space="0" w:color="414142"/>
              <w:left w:val="outset" w:sz="6" w:space="0" w:color="414142"/>
              <w:bottom w:val="outset" w:sz="6" w:space="0" w:color="414142"/>
              <w:right w:val="outset" w:sz="6" w:space="0" w:color="414142"/>
            </w:tcBorders>
          </w:tcPr>
          <w:p w14:paraId="7209286E" w14:textId="77777777" w:rsidR="00CA06F9" w:rsidRPr="00A356AF"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48ED32BC"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6460F27A" w14:textId="19711F25" w:rsidR="00CA06F9" w:rsidRPr="00637A95" w:rsidRDefault="00CA06F9" w:rsidP="00CA06F9">
            <w:pPr>
              <w:spacing w:after="0" w:line="240" w:lineRule="auto"/>
              <w:jc w:val="both"/>
              <w:rPr>
                <w:rFonts w:ascii="Times New Roman" w:eastAsia="Times New Roman" w:hAnsi="Times New Roman" w:cs="Times New Roman"/>
                <w:b/>
                <w:bCs/>
                <w:sz w:val="20"/>
                <w:szCs w:val="20"/>
                <w:lang w:eastAsia="lv-LV"/>
              </w:rPr>
            </w:pPr>
            <w:r w:rsidRPr="00637A95">
              <w:rPr>
                <w:rFonts w:ascii="Times New Roman" w:hAnsi="Times New Roman" w:cs="Times New Roman"/>
                <w:sz w:val="20"/>
                <w:szCs w:val="20"/>
              </w:rPr>
              <w:t xml:space="preserve">Lūdzam anotācijas </w:t>
            </w:r>
            <w:r w:rsidRPr="00637A95">
              <w:rPr>
                <w:rFonts w:ascii="Times New Roman" w:hAnsi="Times New Roman" w:cs="Times New Roman"/>
                <w:sz w:val="20"/>
                <w:szCs w:val="20"/>
                <w:lang w:eastAsia="lv-LV"/>
              </w:rPr>
              <w:t>I</w:t>
            </w:r>
            <w:r>
              <w:rPr>
                <w:rFonts w:ascii="Times New Roman" w:hAnsi="Times New Roman" w:cs="Times New Roman"/>
                <w:sz w:val="20"/>
                <w:szCs w:val="20"/>
                <w:lang w:eastAsia="lv-LV"/>
              </w:rPr>
              <w:t xml:space="preserve"> </w:t>
            </w:r>
            <w:r w:rsidRPr="00637A95">
              <w:rPr>
                <w:rFonts w:ascii="Times New Roman" w:hAnsi="Times New Roman" w:cs="Times New Roman"/>
                <w:sz w:val="20"/>
                <w:szCs w:val="20"/>
                <w:lang w:eastAsia="lv-LV"/>
              </w:rPr>
              <w:t xml:space="preserve">sadaļā precizēt </w:t>
            </w:r>
            <w:r w:rsidRPr="00637A95">
              <w:rPr>
                <w:rFonts w:ascii="Times New Roman" w:hAnsi="Times New Roman" w:cs="Times New Roman"/>
                <w:sz w:val="20"/>
                <w:szCs w:val="20"/>
              </w:rPr>
              <w:t xml:space="preserve"> informāciju par</w:t>
            </w:r>
            <w:r>
              <w:rPr>
                <w:rFonts w:ascii="Times New Roman" w:hAnsi="Times New Roman" w:cs="Times New Roman"/>
                <w:sz w:val="20"/>
                <w:szCs w:val="20"/>
              </w:rPr>
              <w:t xml:space="preserve"> </w:t>
            </w:r>
            <w:r w:rsidRPr="00637A95">
              <w:rPr>
                <w:rFonts w:ascii="Times New Roman" w:hAnsi="Times New Roman" w:cs="Times New Roman"/>
                <w:sz w:val="20"/>
                <w:szCs w:val="20"/>
              </w:rPr>
              <w:t>sadalījumu starp iestāžu kvotām, jo kopsumma nesakrīt ar atsevišķi uzskaitītām kvotām, kā arī lūdzam anotācijā izmantot vienotu pieeju un uzrādīt katrai kvotai/pārdalei finansējuma sadalījumu pa finansējuma avotiem</w:t>
            </w:r>
          </w:p>
        </w:tc>
        <w:tc>
          <w:tcPr>
            <w:tcW w:w="712" w:type="pct"/>
            <w:tcBorders>
              <w:top w:val="outset" w:sz="6" w:space="0" w:color="414142"/>
              <w:left w:val="outset" w:sz="6" w:space="0" w:color="414142"/>
              <w:bottom w:val="outset" w:sz="6" w:space="0" w:color="414142"/>
              <w:right w:val="outset" w:sz="6" w:space="0" w:color="414142"/>
            </w:tcBorders>
          </w:tcPr>
          <w:p w14:paraId="17EE4CE3"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sidRPr="00A17D7A">
              <w:rPr>
                <w:rFonts w:ascii="Times New Roman" w:eastAsia="Times New Roman" w:hAnsi="Times New Roman" w:cs="Times New Roman"/>
                <w:b/>
                <w:bCs/>
                <w:sz w:val="20"/>
                <w:szCs w:val="20"/>
                <w:lang w:eastAsia="lv-LV"/>
              </w:rPr>
              <w:t>Ņemts vērā</w:t>
            </w:r>
          </w:p>
          <w:p w14:paraId="76432F86" w14:textId="048E5179" w:rsidR="00CA06F9" w:rsidRPr="004B5B26" w:rsidRDefault="00CA06F9" w:rsidP="00CA06F9">
            <w:pPr>
              <w:spacing w:after="0" w:line="240" w:lineRule="auto"/>
              <w:jc w:val="center"/>
              <w:rPr>
                <w:rFonts w:ascii="Times New Roman" w:eastAsia="Times New Roman" w:hAnsi="Times New Roman" w:cs="Times New Roman"/>
                <w:sz w:val="20"/>
                <w:szCs w:val="20"/>
                <w:lang w:eastAsia="lv-LV"/>
              </w:rPr>
            </w:pPr>
            <w:r w:rsidRPr="004B5B26">
              <w:rPr>
                <w:rFonts w:ascii="Times New Roman" w:eastAsia="Times New Roman" w:hAnsi="Times New Roman" w:cs="Times New Roman"/>
                <w:sz w:val="20"/>
                <w:szCs w:val="20"/>
                <w:lang w:eastAsia="lv-LV"/>
              </w:rPr>
              <w:t>Anotācijas I sadaļa precizēta</w:t>
            </w:r>
            <w:r>
              <w:rPr>
                <w:rFonts w:ascii="Times New Roman" w:eastAsia="Times New Roman" w:hAnsi="Times New Roman" w:cs="Times New Roman"/>
                <w:sz w:val="20"/>
                <w:szCs w:val="20"/>
                <w:lang w:eastAsia="lv-LV"/>
              </w:rPr>
              <w:t>.</w:t>
            </w:r>
          </w:p>
        </w:tc>
        <w:tc>
          <w:tcPr>
            <w:tcW w:w="1698" w:type="pct"/>
            <w:tcBorders>
              <w:top w:val="outset" w:sz="6" w:space="0" w:color="414142"/>
              <w:left w:val="outset" w:sz="6" w:space="0" w:color="414142"/>
              <w:bottom w:val="outset" w:sz="6" w:space="0" w:color="414142"/>
              <w:right w:val="outset" w:sz="6" w:space="0" w:color="414142"/>
            </w:tcBorders>
          </w:tcPr>
          <w:p w14:paraId="0A831587" w14:textId="77777777" w:rsidR="00CA06F9" w:rsidRPr="00EB4CD7"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574613" w14:paraId="5B3D374A"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29FBD57" w14:textId="4ED06AE9" w:rsidR="00CA06F9" w:rsidRPr="00BC34D3"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663" w:type="pct"/>
            <w:tcBorders>
              <w:top w:val="outset" w:sz="6" w:space="0" w:color="414142"/>
              <w:left w:val="outset" w:sz="6" w:space="0" w:color="414142"/>
              <w:bottom w:val="outset" w:sz="6" w:space="0" w:color="414142"/>
              <w:right w:val="outset" w:sz="6" w:space="0" w:color="414142"/>
            </w:tcBorders>
          </w:tcPr>
          <w:p w14:paraId="752FB0A2" w14:textId="77777777" w:rsidR="00CA06F9" w:rsidRPr="004B6D91" w:rsidRDefault="00CA06F9" w:rsidP="00CA06F9">
            <w:pPr>
              <w:suppressAutoHyphens/>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209CA647" w14:textId="53058D00" w:rsidR="00CA06F9" w:rsidRPr="00637A95" w:rsidRDefault="00CA06F9" w:rsidP="00CA06F9">
            <w:pPr>
              <w:spacing w:after="0" w:line="240" w:lineRule="auto"/>
              <w:jc w:val="center"/>
              <w:rPr>
                <w:rFonts w:ascii="Times New Roman" w:hAnsi="Times New Roman" w:cs="Times New Roman"/>
                <w:b/>
                <w:bCs/>
                <w:sz w:val="20"/>
                <w:szCs w:val="20"/>
              </w:rPr>
            </w:pPr>
            <w:r w:rsidRPr="00637A95">
              <w:rPr>
                <w:rFonts w:ascii="Times New Roman" w:hAnsi="Times New Roman" w:cs="Times New Roman"/>
                <w:b/>
                <w:bCs/>
                <w:sz w:val="20"/>
                <w:szCs w:val="20"/>
              </w:rPr>
              <w:t>Finanšu ministrija</w:t>
            </w:r>
          </w:p>
          <w:p w14:paraId="56DA7B74" w14:textId="77777777" w:rsidR="00CA06F9" w:rsidRDefault="00CA06F9" w:rsidP="00CA06F9">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rPr>
              <w:t xml:space="preserve">Atkārtoti lūdzam aizpildīt anotācijas III sadaļu “Tiesību akta projekta ietekme uz valsts budžetu un pašvaldību budžetiem”, ņemot vēra, ka noteikumu projekts paredz samazināt </w:t>
            </w:r>
            <w:r w:rsidRPr="00637A95">
              <w:rPr>
                <w:rFonts w:ascii="Times New Roman" w:hAnsi="Times New Roman" w:cs="Times New Roman"/>
                <w:sz w:val="20"/>
                <w:szCs w:val="20"/>
                <w:lang w:eastAsia="lv-LV"/>
              </w:rPr>
              <w:t xml:space="preserve">4.2.1.2.pasākuma 1.kārtas </w:t>
            </w:r>
            <w:r w:rsidRPr="00637A95">
              <w:rPr>
                <w:rFonts w:ascii="Times New Roman" w:hAnsi="Times New Roman" w:cs="Times New Roman"/>
                <w:sz w:val="20"/>
                <w:szCs w:val="20"/>
              </w:rPr>
              <w:t>paredzēto publisko finansējumu 4 104 122 </w:t>
            </w:r>
            <w:proofErr w:type="spellStart"/>
            <w:r w:rsidRPr="00637A95">
              <w:rPr>
                <w:rFonts w:ascii="Times New Roman" w:hAnsi="Times New Roman" w:cs="Times New Roman"/>
                <w:i/>
                <w:sz w:val="20"/>
                <w:szCs w:val="20"/>
              </w:rPr>
              <w:t>euro</w:t>
            </w:r>
            <w:proofErr w:type="spellEnd"/>
            <w:r w:rsidRPr="00637A95">
              <w:rPr>
                <w:rFonts w:ascii="Times New Roman" w:hAnsi="Times New Roman" w:cs="Times New Roman"/>
                <w:sz w:val="20"/>
                <w:szCs w:val="20"/>
              </w:rPr>
              <w:t xml:space="preserve"> apmērā. </w:t>
            </w:r>
          </w:p>
          <w:p w14:paraId="394E828F" w14:textId="77777777" w:rsidR="00CA06F9" w:rsidRDefault="00CA06F9" w:rsidP="00CA06F9">
            <w:pPr>
              <w:spacing w:after="0" w:line="240" w:lineRule="auto"/>
              <w:jc w:val="both"/>
              <w:rPr>
                <w:rFonts w:ascii="Times New Roman" w:hAnsi="Times New Roman" w:cs="Times New Roman"/>
                <w:sz w:val="20"/>
                <w:szCs w:val="20"/>
              </w:rPr>
            </w:pPr>
          </w:p>
          <w:p w14:paraId="419824C6" w14:textId="16BF05CF" w:rsidR="00CA06F9" w:rsidRPr="00637A95" w:rsidRDefault="00CA06F9" w:rsidP="00CA06F9">
            <w:pPr>
              <w:spacing w:after="0" w:line="240" w:lineRule="auto"/>
              <w:jc w:val="both"/>
              <w:rPr>
                <w:rFonts w:ascii="Times New Roman" w:hAnsi="Times New Roman" w:cs="Times New Roman"/>
                <w:sz w:val="20"/>
                <w:szCs w:val="20"/>
              </w:rPr>
            </w:pPr>
          </w:p>
        </w:tc>
        <w:tc>
          <w:tcPr>
            <w:tcW w:w="712" w:type="pct"/>
            <w:tcBorders>
              <w:top w:val="outset" w:sz="6" w:space="0" w:color="414142"/>
              <w:left w:val="outset" w:sz="6" w:space="0" w:color="414142"/>
              <w:bottom w:val="outset" w:sz="6" w:space="0" w:color="414142"/>
              <w:right w:val="outset" w:sz="6" w:space="0" w:color="414142"/>
            </w:tcBorders>
          </w:tcPr>
          <w:p w14:paraId="1B460759"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sidRPr="00A17D7A">
              <w:rPr>
                <w:rFonts w:ascii="Times New Roman" w:eastAsia="Times New Roman" w:hAnsi="Times New Roman" w:cs="Times New Roman"/>
                <w:b/>
                <w:bCs/>
                <w:sz w:val="20"/>
                <w:szCs w:val="20"/>
                <w:lang w:eastAsia="lv-LV"/>
              </w:rPr>
              <w:t>Ņemts vērā</w:t>
            </w:r>
          </w:p>
          <w:p w14:paraId="04C78564" w14:textId="662998CD" w:rsidR="00CA06F9" w:rsidRPr="004B5B26" w:rsidRDefault="00CA06F9"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Anotācijas III sadaļa papildināta.</w:t>
            </w:r>
            <w:r w:rsidR="00E0646D">
              <w:rPr>
                <w:rFonts w:ascii="Times New Roman" w:eastAsia="Times New Roman" w:hAnsi="Times New Roman" w:cs="Times New Roman"/>
                <w:sz w:val="20"/>
                <w:szCs w:val="20"/>
                <w:lang w:eastAsia="lv-LV"/>
              </w:rPr>
              <w:t xml:space="preserve"> </w:t>
            </w:r>
          </w:p>
        </w:tc>
        <w:tc>
          <w:tcPr>
            <w:tcW w:w="1698" w:type="pct"/>
            <w:tcBorders>
              <w:top w:val="outset" w:sz="6" w:space="0" w:color="414142"/>
              <w:left w:val="outset" w:sz="6" w:space="0" w:color="414142"/>
              <w:bottom w:val="outset" w:sz="6" w:space="0" w:color="414142"/>
              <w:right w:val="outset" w:sz="6" w:space="0" w:color="414142"/>
            </w:tcBorders>
          </w:tcPr>
          <w:p w14:paraId="75550F69" w14:textId="41B88B61" w:rsidR="00CA06F9" w:rsidRPr="004B6D91"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574613" w14:paraId="5F535C21"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07CDFB72" w14:textId="3324C8FB" w:rsidR="00CA06F9" w:rsidRPr="00BC34D3"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23</w:t>
            </w:r>
          </w:p>
        </w:tc>
        <w:tc>
          <w:tcPr>
            <w:tcW w:w="663" w:type="pct"/>
            <w:tcBorders>
              <w:top w:val="outset" w:sz="6" w:space="0" w:color="414142"/>
              <w:left w:val="outset" w:sz="6" w:space="0" w:color="414142"/>
              <w:bottom w:val="outset" w:sz="6" w:space="0" w:color="414142"/>
              <w:right w:val="outset" w:sz="6" w:space="0" w:color="414142"/>
            </w:tcBorders>
          </w:tcPr>
          <w:p w14:paraId="0434024F" w14:textId="77777777" w:rsidR="00CA06F9" w:rsidRPr="004B6D91"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2D87CCD" w14:textId="77777777" w:rsidR="00CA06F9" w:rsidRPr="00C734DA" w:rsidRDefault="00CA06F9" w:rsidP="00CA06F9">
            <w:pPr>
              <w:spacing w:after="0" w:line="240" w:lineRule="auto"/>
              <w:jc w:val="center"/>
              <w:rPr>
                <w:rFonts w:ascii="Times New Roman" w:hAnsi="Times New Roman" w:cs="Times New Roman"/>
                <w:b/>
                <w:bCs/>
                <w:sz w:val="20"/>
                <w:szCs w:val="20"/>
              </w:rPr>
            </w:pPr>
            <w:r w:rsidRPr="00C734DA">
              <w:rPr>
                <w:rFonts w:ascii="Times New Roman" w:hAnsi="Times New Roman" w:cs="Times New Roman"/>
                <w:b/>
                <w:bCs/>
                <w:sz w:val="20"/>
                <w:szCs w:val="20"/>
              </w:rPr>
              <w:t>Izglītības un zinātnes ministrija</w:t>
            </w:r>
          </w:p>
          <w:p w14:paraId="27107E93" w14:textId="77777777" w:rsidR="00CA06F9" w:rsidRPr="00C734DA" w:rsidRDefault="00CA06F9" w:rsidP="00CA06F9">
            <w:pPr>
              <w:spacing w:after="0" w:line="240" w:lineRule="auto"/>
              <w:jc w:val="both"/>
              <w:rPr>
                <w:rFonts w:ascii="Times New Roman" w:hAnsi="Times New Roman" w:cs="Times New Roman"/>
                <w:sz w:val="20"/>
                <w:szCs w:val="20"/>
              </w:rPr>
            </w:pPr>
            <w:r w:rsidRPr="00C734DA">
              <w:rPr>
                <w:rFonts w:ascii="Times New Roman" w:hAnsi="Times New Roman" w:cs="Times New Roman"/>
                <w:sz w:val="20"/>
                <w:szCs w:val="20"/>
              </w:rPr>
              <w:t>Ministrija norāda, ka Latvijas Universitāte projektā Nr.4.2.1.2/18/I/010 “Energoefektivitātes paaugstināšana ēkā Vidus prospektā 38, Jūrmalā” ir iesniegusi līguma grozījumus ar mērķi paaugstināt projekta attiecināmās izmaksas līdz EUR 290 210, tas ir, par EUR 52 135 vairāk nekā šobrīd ir pielīgts. Attiecināmo izmaksu paaugstināšana ir saskaņota ar ministriju, kā arī ministrija, 2020.gadā sniedzot Ekonomikas ministrijai aktuālās informācijas par ministrijas kvotas sadalījumu pa projektiem, ir norādījusi par summas EUR 52 135  nepieciešamību minētajam projektam (ministrijas 2020.gada 20.jūlija vēstule Nr.</w:t>
            </w:r>
            <w:r w:rsidRPr="00C734DA">
              <w:rPr>
                <w:rFonts w:ascii="Times New Roman" w:hAnsi="Times New Roman" w:cs="Times New Roman"/>
                <w:color w:val="212529"/>
                <w:sz w:val="20"/>
                <w:szCs w:val="20"/>
                <w:shd w:val="clear" w:color="auto" w:fill="FFFFFF"/>
              </w:rPr>
              <w:t>4-4.1e/20/2390, 2020.gada 24.septembra vēstule Nr.4-4.1e/20/3203, 2020.gada 30.oktobra vēstule Nr.4-4.1e/20/3726).</w:t>
            </w:r>
          </w:p>
          <w:p w14:paraId="3ED48573" w14:textId="77777777" w:rsidR="00CA06F9" w:rsidRPr="00C734DA" w:rsidRDefault="00CA06F9" w:rsidP="00CA06F9">
            <w:pPr>
              <w:spacing w:after="0" w:line="240" w:lineRule="auto"/>
              <w:ind w:firstLine="709"/>
              <w:jc w:val="both"/>
              <w:rPr>
                <w:rFonts w:ascii="Times New Roman" w:hAnsi="Times New Roman" w:cs="Times New Roman"/>
                <w:sz w:val="20"/>
                <w:szCs w:val="20"/>
              </w:rPr>
            </w:pPr>
            <w:r w:rsidRPr="00C734DA">
              <w:rPr>
                <w:rFonts w:ascii="Times New Roman" w:hAnsi="Times New Roman" w:cs="Times New Roman"/>
                <w:sz w:val="20"/>
                <w:szCs w:val="20"/>
              </w:rPr>
              <w:t>Ievērojot minēto, ministrija lūdz Ekonomikas ministriju attiecīgi precizēt Ministru kabineta noteikumu projektā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noteikto ministrijas kvotu, kā arī precizēt sākotnējās ietekmes novērtējuma ziņojumā (anotācijā) minēto ministrijas kvotas atlikumu (norādot EUR 1 445 299).</w:t>
            </w:r>
          </w:p>
          <w:p w14:paraId="5A494586" w14:textId="074450B2" w:rsidR="00CA06F9" w:rsidRPr="00C734DA" w:rsidRDefault="00CA06F9" w:rsidP="00CA06F9">
            <w:pPr>
              <w:spacing w:after="0" w:line="240" w:lineRule="auto"/>
              <w:jc w:val="both"/>
              <w:rPr>
                <w:rFonts w:ascii="Times New Roman" w:hAnsi="Times New Roman" w:cs="Times New Roman"/>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686E3B16" w14:textId="77777777" w:rsidR="00CA06F9" w:rsidRDefault="00CA06F9" w:rsidP="00CA06F9">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p w14:paraId="3F8308EC" w14:textId="77777777" w:rsidR="00CA06F9" w:rsidRDefault="00CA06F9" w:rsidP="00CA06F9">
            <w:pPr>
              <w:spacing w:after="0" w:line="240" w:lineRule="auto"/>
              <w:rPr>
                <w:rFonts w:ascii="Times New Roman" w:eastAsia="Times New Roman" w:hAnsi="Times New Roman" w:cs="Times New Roman"/>
                <w:b/>
                <w:bCs/>
                <w:sz w:val="20"/>
                <w:szCs w:val="20"/>
                <w:lang w:eastAsia="lv-LV"/>
              </w:rPr>
            </w:pPr>
          </w:p>
          <w:p w14:paraId="47FD01B1" w14:textId="1A54EA35" w:rsidR="00CA06F9" w:rsidRPr="00C734DA" w:rsidRDefault="00CA06F9" w:rsidP="00CA06F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1.pielikuma 4.punkts precizēts. Precizējumi veikti anotācijas sadaļā.</w:t>
            </w:r>
          </w:p>
        </w:tc>
        <w:tc>
          <w:tcPr>
            <w:tcW w:w="1698" w:type="pct"/>
            <w:tcBorders>
              <w:top w:val="outset" w:sz="6" w:space="0" w:color="414142"/>
              <w:left w:val="outset" w:sz="6" w:space="0" w:color="414142"/>
              <w:bottom w:val="outset" w:sz="6" w:space="0" w:color="414142"/>
              <w:right w:val="outset" w:sz="6" w:space="0" w:color="414142"/>
            </w:tcBorders>
          </w:tcPr>
          <w:p w14:paraId="5036BF3D" w14:textId="77777777" w:rsidR="00CA06F9" w:rsidRPr="004B6D91"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574613" w14:paraId="5CF8B5F1"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0B9D9186" w14:textId="77777777" w:rsidR="00CA06F9" w:rsidRDefault="00CA06F9" w:rsidP="00CA06F9">
            <w:pPr>
              <w:spacing w:after="0" w:line="240" w:lineRule="auto"/>
              <w:jc w:val="center"/>
              <w:rPr>
                <w:rFonts w:ascii="Times New Roman" w:eastAsia="Times New Roman" w:hAnsi="Times New Roman" w:cs="Times New Roman"/>
                <w:sz w:val="20"/>
                <w:szCs w:val="20"/>
                <w:lang w:eastAsia="lv-LV"/>
              </w:rPr>
            </w:pPr>
          </w:p>
          <w:p w14:paraId="73F9A203" w14:textId="77777777" w:rsidR="00CA06F9" w:rsidRDefault="00CA06F9" w:rsidP="00CA06F9">
            <w:pPr>
              <w:spacing w:after="0" w:line="240" w:lineRule="auto"/>
              <w:jc w:val="center"/>
              <w:rPr>
                <w:rFonts w:ascii="Times New Roman" w:eastAsia="Times New Roman" w:hAnsi="Times New Roman" w:cs="Times New Roman"/>
                <w:sz w:val="20"/>
                <w:szCs w:val="20"/>
                <w:lang w:eastAsia="lv-LV"/>
              </w:rPr>
            </w:pPr>
          </w:p>
          <w:p w14:paraId="27620B19" w14:textId="77777777" w:rsidR="00CA06F9" w:rsidRDefault="00CA06F9" w:rsidP="00CA06F9">
            <w:pPr>
              <w:spacing w:after="0" w:line="240" w:lineRule="auto"/>
              <w:jc w:val="center"/>
              <w:rPr>
                <w:rFonts w:ascii="Times New Roman" w:eastAsia="Times New Roman" w:hAnsi="Times New Roman" w:cs="Times New Roman"/>
                <w:sz w:val="20"/>
                <w:szCs w:val="20"/>
                <w:lang w:eastAsia="lv-LV"/>
              </w:rPr>
            </w:pPr>
          </w:p>
          <w:p w14:paraId="5E887705" w14:textId="4B1517BB" w:rsidR="00CA06F9" w:rsidRPr="00BC34D3"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p>
        </w:tc>
        <w:tc>
          <w:tcPr>
            <w:tcW w:w="663" w:type="pct"/>
            <w:tcBorders>
              <w:top w:val="outset" w:sz="6" w:space="0" w:color="414142"/>
              <w:left w:val="outset" w:sz="6" w:space="0" w:color="414142"/>
              <w:bottom w:val="outset" w:sz="6" w:space="0" w:color="414142"/>
              <w:right w:val="outset" w:sz="6" w:space="0" w:color="414142"/>
            </w:tcBorders>
          </w:tcPr>
          <w:p w14:paraId="344AEE0F" w14:textId="77777777" w:rsidR="00CA06F9" w:rsidRPr="004B6D91"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09D2D8A9" w14:textId="5CB016D3" w:rsidR="00CA06F9" w:rsidRPr="00915B36" w:rsidRDefault="00CA06F9" w:rsidP="00915B36">
            <w:pPr>
              <w:spacing w:after="0" w:line="240" w:lineRule="auto"/>
              <w:jc w:val="center"/>
              <w:rPr>
                <w:rFonts w:ascii="Times New Roman" w:hAnsi="Times New Roman" w:cs="Times New Roman"/>
                <w:b/>
                <w:bCs/>
                <w:sz w:val="24"/>
                <w:szCs w:val="24"/>
              </w:rPr>
            </w:pPr>
            <w:r w:rsidRPr="00915B36">
              <w:rPr>
                <w:rFonts w:ascii="Times New Roman" w:hAnsi="Times New Roman" w:cs="Times New Roman"/>
                <w:b/>
                <w:bCs/>
                <w:sz w:val="24"/>
                <w:szCs w:val="24"/>
              </w:rPr>
              <w:t xml:space="preserve">PRIEKŠLIKUMI </w:t>
            </w:r>
            <w:r w:rsidR="00C70E43">
              <w:rPr>
                <w:rFonts w:ascii="Times New Roman" w:hAnsi="Times New Roman" w:cs="Times New Roman"/>
                <w:b/>
                <w:bCs/>
                <w:sz w:val="24"/>
                <w:szCs w:val="24"/>
              </w:rPr>
              <w:t>17.03</w:t>
            </w:r>
            <w:r w:rsidR="00F73595" w:rsidRPr="00915B36">
              <w:rPr>
                <w:rFonts w:ascii="Times New Roman" w:hAnsi="Times New Roman" w:cs="Times New Roman"/>
                <w:b/>
                <w:bCs/>
                <w:sz w:val="24"/>
                <w:szCs w:val="24"/>
              </w:rPr>
              <w:t>.2021.</w:t>
            </w:r>
          </w:p>
          <w:p w14:paraId="78CE8C81" w14:textId="77777777" w:rsidR="00CA06F9" w:rsidRPr="00637A95" w:rsidRDefault="00CA06F9" w:rsidP="00CA06F9">
            <w:pPr>
              <w:spacing w:after="0" w:line="240" w:lineRule="auto"/>
              <w:jc w:val="both"/>
              <w:rPr>
                <w:rFonts w:ascii="Times New Roman" w:hAnsi="Times New Roman" w:cs="Times New Roman"/>
                <w:b/>
                <w:bCs/>
                <w:sz w:val="20"/>
                <w:szCs w:val="20"/>
              </w:rPr>
            </w:pPr>
          </w:p>
          <w:p w14:paraId="26F12B26" w14:textId="77777777" w:rsidR="00CA06F9" w:rsidRPr="00637A95" w:rsidRDefault="00CA06F9" w:rsidP="00CA06F9">
            <w:pPr>
              <w:spacing w:after="0" w:line="240" w:lineRule="auto"/>
              <w:jc w:val="center"/>
              <w:rPr>
                <w:rFonts w:ascii="Times New Roman" w:hAnsi="Times New Roman" w:cs="Times New Roman"/>
                <w:b/>
                <w:bCs/>
                <w:sz w:val="20"/>
                <w:szCs w:val="20"/>
              </w:rPr>
            </w:pPr>
            <w:r w:rsidRPr="00637A95">
              <w:rPr>
                <w:rFonts w:ascii="Times New Roman" w:hAnsi="Times New Roman" w:cs="Times New Roman"/>
                <w:b/>
                <w:bCs/>
                <w:sz w:val="20"/>
                <w:szCs w:val="20"/>
              </w:rPr>
              <w:t>Finanšu ministrija</w:t>
            </w:r>
          </w:p>
          <w:p w14:paraId="399B76DD" w14:textId="0D111511" w:rsidR="00CA06F9" w:rsidRPr="00637A95" w:rsidRDefault="00CA06F9" w:rsidP="00CA06F9">
            <w:pPr>
              <w:spacing w:after="0" w:line="240" w:lineRule="auto"/>
              <w:jc w:val="both"/>
              <w:rPr>
                <w:rFonts w:ascii="Times New Roman" w:hAnsi="Times New Roman" w:cs="Times New Roman"/>
                <w:sz w:val="20"/>
                <w:szCs w:val="20"/>
              </w:rPr>
            </w:pPr>
            <w:r w:rsidRPr="00637A95">
              <w:rPr>
                <w:rFonts w:ascii="Times New Roman" w:hAnsi="Times New Roman" w:cs="Times New Roman"/>
                <w:sz w:val="20"/>
                <w:szCs w:val="20"/>
              </w:rPr>
              <w:t xml:space="preserve">Atbilstoši Eiropas Komisijas paziņojuma par Līguma par Eiropas Savienības darbību 107.panta 1.punktā minēto valsts atbalsta jēdzienu (2016/C 262/01) (turpmāk – Eiropas Komisijas paziņojums) 207.punktam, piešķirot atbalstu infrastruktūras izveidei var veikt papildpakalpojumus - tādus pakalpojumus infrastruktūrā, </w:t>
            </w:r>
            <w:r w:rsidRPr="00637A95">
              <w:rPr>
                <w:rFonts w:ascii="Times New Roman" w:hAnsi="Times New Roman" w:cs="Times New Roman"/>
                <w:sz w:val="20"/>
                <w:szCs w:val="20"/>
              </w:rPr>
              <w:lastRenderedPageBreak/>
              <w:t xml:space="preserve">kurus galvenokārt izmanto tikai nesaimnieciskajai darbībai, piemēram, restorāniem, veikaliem vai maksas stāvvietām. Šādiem papildpakalpojumiem nav nepieciešams piemērot valsts atbalsta regulējumu, jo attiecībā uz tiem neizpildās valsts atbalsta ceturtā pazīme – ietekme uz Eiropas Savienības iekšējo tirgu un konkurenci, jo, piemēram, tie diez vai piesaistītu citu dalībvalstu klientus un to finansēšana diez vai izraisītu būtisku ietekmi uz pārrobežu ieguldījumiem vai uzņēmējdarbību. Papildus lūdzam skatīt Finanšu ministrijas sagatavoto skaidrojumu </w:t>
            </w:r>
            <w:hyperlink r:id="rId14" w:history="1">
              <w:r w:rsidRPr="00637A95">
                <w:rPr>
                  <w:rStyle w:val="Hyperlink"/>
                  <w:rFonts w:ascii="Times New Roman" w:hAnsi="Times New Roman" w:cs="Times New Roman"/>
                  <w:sz w:val="20"/>
                  <w:szCs w:val="20"/>
                </w:rPr>
                <w:t>https://www.fm.gov.lv/lv/media/504/download</w:t>
              </w:r>
            </w:hyperlink>
            <w:r w:rsidRPr="00637A95">
              <w:rPr>
                <w:rFonts w:ascii="Times New Roman" w:hAnsi="Times New Roman" w:cs="Times New Roman"/>
                <w:sz w:val="20"/>
                <w:szCs w:val="20"/>
              </w:rPr>
              <w:t xml:space="preserve">. Attiecīgi lūdzam atbilstoši īstenojamo projektu specifikai izvērtēt, vai MK </w:t>
            </w:r>
            <w:proofErr w:type="spellStart"/>
            <w:r w:rsidRPr="00637A95">
              <w:rPr>
                <w:rFonts w:ascii="Times New Roman" w:hAnsi="Times New Roman" w:cs="Times New Roman"/>
                <w:sz w:val="20"/>
                <w:szCs w:val="20"/>
              </w:rPr>
              <w:t>notiekumi</w:t>
            </w:r>
            <w:proofErr w:type="spellEnd"/>
            <w:r w:rsidRPr="00637A95">
              <w:rPr>
                <w:rFonts w:ascii="Times New Roman" w:hAnsi="Times New Roman" w:cs="Times New Roman"/>
                <w:sz w:val="20"/>
                <w:szCs w:val="20"/>
              </w:rPr>
              <w:t xml:space="preserve"> Nr.534 nav jāpapildina arī ar šādu iespēju – ēkā, kurā veic energoefektivitātes projektu, pieļauts veikt papildpakalpojumus, kas nav jāieskaita 20% papildinošās saimnieciskās darbības proporcijā. Attiecīgi lūdzam ar skaidrojumu papildināt arī anotāciju.</w:t>
            </w:r>
          </w:p>
        </w:tc>
        <w:tc>
          <w:tcPr>
            <w:tcW w:w="712" w:type="pct"/>
            <w:tcBorders>
              <w:top w:val="outset" w:sz="6" w:space="0" w:color="414142"/>
              <w:left w:val="outset" w:sz="6" w:space="0" w:color="414142"/>
              <w:bottom w:val="outset" w:sz="6" w:space="0" w:color="414142"/>
              <w:right w:val="outset" w:sz="6" w:space="0" w:color="414142"/>
            </w:tcBorders>
          </w:tcPr>
          <w:p w14:paraId="6E67B3E3"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p>
          <w:p w14:paraId="41629113"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p>
          <w:p w14:paraId="3EFE4BF1" w14:textId="77777777" w:rsidR="008935CD" w:rsidRPr="008935CD" w:rsidRDefault="008935CD" w:rsidP="008935CD">
            <w:pPr>
              <w:spacing w:after="0" w:line="240" w:lineRule="auto"/>
              <w:jc w:val="center"/>
              <w:rPr>
                <w:rFonts w:ascii="Times New Roman" w:eastAsia="Times New Roman" w:hAnsi="Times New Roman" w:cs="Times New Roman"/>
                <w:b/>
                <w:bCs/>
                <w:sz w:val="20"/>
                <w:szCs w:val="20"/>
                <w:lang w:eastAsia="lv-LV"/>
              </w:rPr>
            </w:pPr>
            <w:r w:rsidRPr="008935CD">
              <w:rPr>
                <w:rFonts w:ascii="Times New Roman" w:eastAsia="Times New Roman" w:hAnsi="Times New Roman" w:cs="Times New Roman"/>
                <w:b/>
                <w:bCs/>
                <w:sz w:val="20"/>
                <w:szCs w:val="20"/>
                <w:lang w:eastAsia="lv-LV"/>
              </w:rPr>
              <w:t>Ņemts vērā - saskaņots elektroniskās saskaņošanas procedūrā</w:t>
            </w:r>
          </w:p>
          <w:p w14:paraId="1C2BC5B8" w14:textId="75DEA7BA" w:rsidR="00CA06F9" w:rsidRPr="005F670B" w:rsidRDefault="00CA06F9" w:rsidP="00CA06F9">
            <w:pPr>
              <w:spacing w:after="0" w:line="240" w:lineRule="auto"/>
              <w:jc w:val="center"/>
              <w:rPr>
                <w:rFonts w:ascii="Times New Roman" w:eastAsia="Times New Roman" w:hAnsi="Times New Roman" w:cs="Times New Roman"/>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tcPr>
          <w:p w14:paraId="564CD79E" w14:textId="0A0CF68A" w:rsidR="00CA06F9" w:rsidRPr="003C1AAA" w:rsidRDefault="00CA06F9" w:rsidP="00CA06F9">
            <w:pPr>
              <w:spacing w:after="0" w:line="240" w:lineRule="auto"/>
              <w:ind w:right="35"/>
              <w:contextualSpacing/>
              <w:jc w:val="both"/>
              <w:rPr>
                <w:rFonts w:ascii="Times New Roman" w:hAnsi="Times New Roman" w:cs="Times New Roman"/>
                <w:color w:val="000000" w:themeColor="text1"/>
                <w:sz w:val="20"/>
                <w:szCs w:val="20"/>
              </w:rPr>
            </w:pPr>
          </w:p>
        </w:tc>
      </w:tr>
      <w:tr w:rsidR="00CA06F9" w:rsidRPr="00574613" w14:paraId="39377A58"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0A3542DE" w14:textId="04EEBEE4" w:rsidR="00CA06F9" w:rsidRPr="00BC34D3"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p>
        </w:tc>
        <w:tc>
          <w:tcPr>
            <w:tcW w:w="663" w:type="pct"/>
            <w:tcBorders>
              <w:top w:val="outset" w:sz="6" w:space="0" w:color="414142"/>
              <w:left w:val="outset" w:sz="6" w:space="0" w:color="414142"/>
              <w:bottom w:val="outset" w:sz="6" w:space="0" w:color="414142"/>
              <w:right w:val="outset" w:sz="6" w:space="0" w:color="414142"/>
            </w:tcBorders>
          </w:tcPr>
          <w:p w14:paraId="38530621" w14:textId="77777777" w:rsidR="00CA06F9" w:rsidRPr="004B6D91"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2C8A50B8" w14:textId="77777777" w:rsidR="00CA06F9" w:rsidRPr="00637A95" w:rsidRDefault="00CA06F9" w:rsidP="00CA06F9">
            <w:pPr>
              <w:spacing w:after="0" w:line="240" w:lineRule="auto"/>
              <w:jc w:val="center"/>
              <w:rPr>
                <w:rFonts w:ascii="Times New Roman" w:eastAsia="Times New Roman" w:hAnsi="Times New Roman" w:cs="Times New Roman"/>
                <w:b/>
                <w:bCs/>
                <w:sz w:val="20"/>
                <w:szCs w:val="20"/>
                <w:lang w:eastAsia="lv-LV"/>
              </w:rPr>
            </w:pPr>
            <w:r w:rsidRPr="00637A95">
              <w:rPr>
                <w:rFonts w:ascii="Times New Roman" w:eastAsia="Times New Roman" w:hAnsi="Times New Roman" w:cs="Times New Roman"/>
                <w:b/>
                <w:bCs/>
                <w:sz w:val="20"/>
                <w:szCs w:val="20"/>
                <w:lang w:eastAsia="lv-LV"/>
              </w:rPr>
              <w:t>Finanšu ministrija</w:t>
            </w:r>
          </w:p>
          <w:p w14:paraId="641F04C4" w14:textId="514763F5" w:rsidR="00CA06F9" w:rsidRPr="00C734DA" w:rsidRDefault="00CA06F9" w:rsidP="00CA06F9">
            <w:pPr>
              <w:spacing w:after="0" w:line="240" w:lineRule="auto"/>
              <w:rPr>
                <w:rFonts w:ascii="Times New Roman" w:hAnsi="Times New Roman" w:cs="Times New Roman"/>
                <w:b/>
                <w:bCs/>
                <w:sz w:val="20"/>
                <w:szCs w:val="20"/>
                <w:lang w:eastAsia="lv-LV"/>
              </w:rPr>
            </w:pPr>
            <w:r w:rsidRPr="00637A95">
              <w:rPr>
                <w:rFonts w:ascii="Times New Roman" w:hAnsi="Times New Roman" w:cs="Times New Roman"/>
                <w:sz w:val="20"/>
                <w:szCs w:val="20"/>
              </w:rPr>
              <w:t>Lūdzam precizēt anotācijas I sadaļas 2.punkta 1.apakšpunktā norādīto informāciju par EM pārdalīto kvotas apmēru, jo tā neatbilst 2020.gada 26.februāra vēstulē Nr.3.3-8/2020/1080N “Par finansējuma sadalījumu starp ministrijām pārdali” norādītajam.</w:t>
            </w:r>
          </w:p>
        </w:tc>
        <w:tc>
          <w:tcPr>
            <w:tcW w:w="712" w:type="pct"/>
            <w:tcBorders>
              <w:top w:val="outset" w:sz="6" w:space="0" w:color="414142"/>
              <w:left w:val="outset" w:sz="6" w:space="0" w:color="414142"/>
              <w:bottom w:val="outset" w:sz="6" w:space="0" w:color="414142"/>
              <w:right w:val="outset" w:sz="6" w:space="0" w:color="414142"/>
            </w:tcBorders>
          </w:tcPr>
          <w:p w14:paraId="542B79E6" w14:textId="77777777" w:rsidR="00CA06F9" w:rsidRDefault="00CA06F9" w:rsidP="00CA06F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p w14:paraId="1506B8CF" w14:textId="0FB51526" w:rsidR="007D65C0" w:rsidRPr="007D65C0" w:rsidRDefault="007D65C0"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Anotācijas I sadaļas p</w:t>
            </w:r>
            <w:r w:rsidRPr="007D65C0">
              <w:rPr>
                <w:rFonts w:ascii="Times New Roman" w:eastAsia="Times New Roman" w:hAnsi="Times New Roman" w:cs="Times New Roman"/>
                <w:sz w:val="20"/>
                <w:szCs w:val="20"/>
                <w:lang w:eastAsia="lv-LV"/>
              </w:rPr>
              <w:t>unkts precizēts</w:t>
            </w:r>
          </w:p>
        </w:tc>
        <w:tc>
          <w:tcPr>
            <w:tcW w:w="1698" w:type="pct"/>
            <w:tcBorders>
              <w:top w:val="outset" w:sz="6" w:space="0" w:color="414142"/>
              <w:left w:val="outset" w:sz="6" w:space="0" w:color="414142"/>
              <w:bottom w:val="outset" w:sz="6" w:space="0" w:color="414142"/>
              <w:right w:val="outset" w:sz="6" w:space="0" w:color="414142"/>
            </w:tcBorders>
          </w:tcPr>
          <w:p w14:paraId="3DEC9C5D" w14:textId="6F61C573" w:rsidR="00CA06F9" w:rsidRPr="004B6D91" w:rsidRDefault="00CA06F9" w:rsidP="00CA06F9">
            <w:pPr>
              <w:spacing w:after="0" w:line="240" w:lineRule="auto"/>
              <w:jc w:val="both"/>
              <w:rPr>
                <w:rFonts w:ascii="Times New Roman" w:eastAsia="Times New Roman" w:hAnsi="Times New Roman" w:cs="Times New Roman"/>
                <w:sz w:val="20"/>
                <w:szCs w:val="20"/>
                <w:lang w:eastAsia="lv-LV"/>
              </w:rPr>
            </w:pPr>
          </w:p>
        </w:tc>
      </w:tr>
      <w:tr w:rsidR="00CA06F9" w:rsidRPr="00574613" w14:paraId="7E2C7EBB"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45C6B704" w14:textId="77777777" w:rsidR="00CA06F9" w:rsidRDefault="00CA06F9" w:rsidP="00CA06F9">
            <w:pPr>
              <w:spacing w:after="0" w:line="240" w:lineRule="auto"/>
              <w:jc w:val="center"/>
              <w:rPr>
                <w:rFonts w:ascii="Times New Roman" w:eastAsia="Times New Roman" w:hAnsi="Times New Roman" w:cs="Times New Roman"/>
                <w:sz w:val="20"/>
                <w:szCs w:val="20"/>
                <w:lang w:eastAsia="lv-LV"/>
              </w:rPr>
            </w:pPr>
          </w:p>
          <w:p w14:paraId="753EC424" w14:textId="77777777" w:rsidR="00CB0883" w:rsidRDefault="00CB0883" w:rsidP="00CA06F9">
            <w:pPr>
              <w:spacing w:after="0" w:line="240" w:lineRule="auto"/>
              <w:jc w:val="center"/>
              <w:rPr>
                <w:rFonts w:ascii="Times New Roman" w:eastAsia="Times New Roman" w:hAnsi="Times New Roman" w:cs="Times New Roman"/>
                <w:sz w:val="20"/>
                <w:szCs w:val="20"/>
                <w:lang w:eastAsia="lv-LV"/>
              </w:rPr>
            </w:pPr>
          </w:p>
          <w:p w14:paraId="48FA5C5B" w14:textId="77777777" w:rsidR="00CB0883" w:rsidRDefault="00CB0883" w:rsidP="00CA06F9">
            <w:pPr>
              <w:spacing w:after="0" w:line="240" w:lineRule="auto"/>
              <w:jc w:val="center"/>
              <w:rPr>
                <w:rFonts w:ascii="Times New Roman" w:eastAsia="Times New Roman" w:hAnsi="Times New Roman" w:cs="Times New Roman"/>
                <w:sz w:val="20"/>
                <w:szCs w:val="20"/>
                <w:lang w:eastAsia="lv-LV"/>
              </w:rPr>
            </w:pPr>
          </w:p>
          <w:p w14:paraId="2A389FC5" w14:textId="77777777" w:rsidR="00CB0883" w:rsidRDefault="00CB0883" w:rsidP="00CA06F9">
            <w:pPr>
              <w:spacing w:after="0" w:line="240" w:lineRule="auto"/>
              <w:jc w:val="center"/>
              <w:rPr>
                <w:rFonts w:ascii="Times New Roman" w:eastAsia="Times New Roman" w:hAnsi="Times New Roman" w:cs="Times New Roman"/>
                <w:sz w:val="20"/>
                <w:szCs w:val="20"/>
                <w:lang w:eastAsia="lv-LV"/>
              </w:rPr>
            </w:pPr>
          </w:p>
          <w:p w14:paraId="557EC377" w14:textId="77777777" w:rsidR="00CB0883" w:rsidRDefault="00CB0883" w:rsidP="00CA06F9">
            <w:pPr>
              <w:spacing w:after="0" w:line="240" w:lineRule="auto"/>
              <w:jc w:val="center"/>
              <w:rPr>
                <w:rFonts w:ascii="Times New Roman" w:eastAsia="Times New Roman" w:hAnsi="Times New Roman" w:cs="Times New Roman"/>
                <w:sz w:val="20"/>
                <w:szCs w:val="20"/>
                <w:lang w:eastAsia="lv-LV"/>
              </w:rPr>
            </w:pPr>
          </w:p>
          <w:p w14:paraId="6C5D79C4" w14:textId="2940FBA3" w:rsidR="00CB0883" w:rsidRPr="00BC34D3" w:rsidRDefault="00CB0883" w:rsidP="00CB0883">
            <w:pPr>
              <w:spacing w:after="0" w:line="240" w:lineRule="auto"/>
              <w:rPr>
                <w:rFonts w:ascii="Times New Roman" w:eastAsia="Times New Roman" w:hAnsi="Times New Roman" w:cs="Times New Roman"/>
                <w:sz w:val="20"/>
                <w:szCs w:val="20"/>
                <w:lang w:eastAsia="lv-LV"/>
              </w:rPr>
            </w:pPr>
          </w:p>
        </w:tc>
        <w:tc>
          <w:tcPr>
            <w:tcW w:w="663" w:type="pct"/>
            <w:tcBorders>
              <w:top w:val="outset" w:sz="6" w:space="0" w:color="414142"/>
              <w:left w:val="outset" w:sz="6" w:space="0" w:color="414142"/>
              <w:bottom w:val="outset" w:sz="6" w:space="0" w:color="414142"/>
              <w:right w:val="outset" w:sz="6" w:space="0" w:color="414142"/>
            </w:tcBorders>
          </w:tcPr>
          <w:p w14:paraId="1843CB2B" w14:textId="77777777" w:rsidR="00CA06F9" w:rsidRDefault="00CA06F9" w:rsidP="00CA06F9">
            <w:pPr>
              <w:spacing w:after="0" w:line="240" w:lineRule="auto"/>
              <w:jc w:val="both"/>
              <w:rPr>
                <w:rFonts w:ascii="Times New Roman" w:eastAsia="Times New Roman" w:hAnsi="Times New Roman" w:cs="Times New Roman"/>
                <w:b/>
                <w:bCs/>
                <w:sz w:val="20"/>
                <w:szCs w:val="20"/>
                <w:lang w:eastAsia="lv-LV"/>
              </w:rPr>
            </w:pPr>
          </w:p>
          <w:p w14:paraId="5BBB554A" w14:textId="77777777" w:rsidR="00CB0883" w:rsidRDefault="00CB0883" w:rsidP="00CA06F9">
            <w:pPr>
              <w:spacing w:after="0" w:line="240" w:lineRule="auto"/>
              <w:jc w:val="both"/>
              <w:rPr>
                <w:rFonts w:ascii="Times New Roman" w:eastAsia="Times New Roman" w:hAnsi="Times New Roman" w:cs="Times New Roman"/>
                <w:b/>
                <w:bCs/>
                <w:sz w:val="20"/>
                <w:szCs w:val="20"/>
                <w:lang w:eastAsia="lv-LV"/>
              </w:rPr>
            </w:pPr>
          </w:p>
          <w:p w14:paraId="59153622" w14:textId="7BD5FF98" w:rsidR="00CB0883" w:rsidRPr="004B6D91" w:rsidRDefault="00CB0883"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04D0C15E" w14:textId="77777777" w:rsidR="00CA06F9" w:rsidRDefault="00CA06F9" w:rsidP="00CA06F9">
            <w:pPr>
              <w:spacing w:after="0" w:line="240" w:lineRule="auto"/>
              <w:jc w:val="both"/>
              <w:rPr>
                <w:rFonts w:ascii="Times New Roman" w:hAnsi="Times New Roman" w:cs="Times New Roman"/>
                <w:color w:val="000000" w:themeColor="text1"/>
                <w:sz w:val="20"/>
                <w:szCs w:val="20"/>
                <w:lang w:eastAsia="lv-LV"/>
              </w:rPr>
            </w:pPr>
          </w:p>
          <w:p w14:paraId="03A412A4" w14:textId="77777777" w:rsidR="00CB0883" w:rsidRDefault="00CB0883" w:rsidP="00CB0883">
            <w:pPr>
              <w:spacing w:after="0" w:line="240" w:lineRule="auto"/>
              <w:jc w:val="center"/>
              <w:rPr>
                <w:rFonts w:ascii="Times New Roman" w:eastAsia="Times New Roman" w:hAnsi="Times New Roman" w:cs="Times New Roman"/>
                <w:b/>
                <w:bCs/>
                <w:sz w:val="24"/>
                <w:szCs w:val="24"/>
                <w:lang w:eastAsia="lv-LV"/>
              </w:rPr>
            </w:pPr>
            <w:r w:rsidRPr="004D4FE5">
              <w:rPr>
                <w:rFonts w:ascii="Times New Roman" w:eastAsia="Times New Roman" w:hAnsi="Times New Roman" w:cs="Times New Roman"/>
                <w:b/>
                <w:bCs/>
                <w:sz w:val="24"/>
                <w:szCs w:val="24"/>
                <w:lang w:eastAsia="lv-LV"/>
              </w:rPr>
              <w:t>IEBILDUMI</w:t>
            </w:r>
            <w:r>
              <w:rPr>
                <w:rFonts w:ascii="Times New Roman" w:eastAsia="Times New Roman" w:hAnsi="Times New Roman" w:cs="Times New Roman"/>
                <w:b/>
                <w:bCs/>
                <w:sz w:val="24"/>
                <w:szCs w:val="24"/>
                <w:lang w:eastAsia="lv-LV"/>
              </w:rPr>
              <w:t xml:space="preserve"> </w:t>
            </w:r>
          </w:p>
          <w:p w14:paraId="4A260874" w14:textId="14C5CF08" w:rsidR="00CB0883" w:rsidRDefault="00CB0883" w:rsidP="00CB088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27.04.2021.</w:t>
            </w:r>
          </w:p>
          <w:p w14:paraId="1DCA9FC7" w14:textId="54F9F8AC" w:rsidR="00CB0883" w:rsidRPr="00637A95" w:rsidRDefault="00CB0883" w:rsidP="00CA06F9">
            <w:pPr>
              <w:spacing w:after="0" w:line="240" w:lineRule="auto"/>
              <w:jc w:val="both"/>
              <w:rPr>
                <w:rFonts w:ascii="Times New Roman" w:hAnsi="Times New Roman" w:cs="Times New Roman"/>
                <w:color w:val="000000" w:themeColor="text1"/>
                <w:sz w:val="20"/>
                <w:szCs w:val="20"/>
                <w:lang w:eastAsia="lv-LV"/>
              </w:rPr>
            </w:pPr>
            <w:r>
              <w:rPr>
                <w:rFonts w:ascii="Times New Roman" w:hAnsi="Times New Roman" w:cs="Times New Roman"/>
                <w:color w:val="000000" w:themeColor="text1"/>
                <w:sz w:val="20"/>
                <w:szCs w:val="20"/>
                <w:lang w:eastAsia="lv-LV"/>
              </w:rPr>
              <w:t xml:space="preserve">                       Elektroniskā saskaņošana</w:t>
            </w:r>
          </w:p>
        </w:tc>
        <w:tc>
          <w:tcPr>
            <w:tcW w:w="712" w:type="pct"/>
            <w:tcBorders>
              <w:top w:val="outset" w:sz="6" w:space="0" w:color="414142"/>
              <w:left w:val="outset" w:sz="6" w:space="0" w:color="414142"/>
              <w:bottom w:val="outset" w:sz="6" w:space="0" w:color="414142"/>
              <w:right w:val="outset" w:sz="6" w:space="0" w:color="414142"/>
            </w:tcBorders>
          </w:tcPr>
          <w:p w14:paraId="01605E94" w14:textId="7CFB2895" w:rsidR="00CA06F9" w:rsidRPr="004B6D91" w:rsidRDefault="00CA06F9" w:rsidP="00CA06F9">
            <w:pPr>
              <w:spacing w:after="0" w:line="240" w:lineRule="auto"/>
              <w:jc w:val="center"/>
              <w:rPr>
                <w:rFonts w:ascii="Times New Roman" w:eastAsia="Times New Roman" w:hAnsi="Times New Roman" w:cs="Times New Roman"/>
                <w:b/>
                <w:bCs/>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tcPr>
          <w:p w14:paraId="6918F99A" w14:textId="2EF4B61C" w:rsidR="00CA06F9" w:rsidRPr="003C1AAA" w:rsidRDefault="00CA06F9" w:rsidP="00CA06F9">
            <w:pPr>
              <w:spacing w:after="0" w:line="240" w:lineRule="auto"/>
              <w:ind w:right="35"/>
              <w:jc w:val="both"/>
              <w:rPr>
                <w:rFonts w:ascii="Times New Roman" w:hAnsi="Times New Roman"/>
                <w:sz w:val="20"/>
                <w:szCs w:val="20"/>
              </w:rPr>
            </w:pPr>
          </w:p>
        </w:tc>
      </w:tr>
      <w:tr w:rsidR="00CA06F9" w:rsidRPr="00574613" w14:paraId="47BA266B"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03BFC7F5" w14:textId="24CCB7D6" w:rsidR="00CA06F9" w:rsidRPr="00BC34D3"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w:t>
            </w:r>
          </w:p>
        </w:tc>
        <w:tc>
          <w:tcPr>
            <w:tcW w:w="663" w:type="pct"/>
            <w:tcBorders>
              <w:top w:val="outset" w:sz="6" w:space="0" w:color="414142"/>
              <w:left w:val="outset" w:sz="6" w:space="0" w:color="414142"/>
              <w:bottom w:val="outset" w:sz="6" w:space="0" w:color="414142"/>
              <w:right w:val="outset" w:sz="6" w:space="0" w:color="414142"/>
            </w:tcBorders>
          </w:tcPr>
          <w:p w14:paraId="6F66BB3F" w14:textId="77777777" w:rsidR="00CA06F9" w:rsidRPr="004B6D91"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0ED9D851" w14:textId="6018B828" w:rsidR="0052202C" w:rsidRPr="005C53F1" w:rsidRDefault="0052202C" w:rsidP="0052202C">
            <w:pPr>
              <w:spacing w:after="0" w:line="240" w:lineRule="auto"/>
              <w:jc w:val="center"/>
              <w:rPr>
                <w:rFonts w:ascii="Times New Roman" w:hAnsi="Times New Roman" w:cs="Times New Roman"/>
                <w:b/>
                <w:bCs/>
                <w:sz w:val="20"/>
                <w:szCs w:val="20"/>
              </w:rPr>
            </w:pPr>
            <w:r w:rsidRPr="005C53F1">
              <w:rPr>
                <w:rFonts w:ascii="Times New Roman" w:hAnsi="Times New Roman" w:cs="Times New Roman"/>
                <w:b/>
                <w:bCs/>
                <w:sz w:val="20"/>
                <w:szCs w:val="20"/>
              </w:rPr>
              <w:t>Finanšu ministrija</w:t>
            </w:r>
          </w:p>
          <w:p w14:paraId="4A6FEF16" w14:textId="77777777" w:rsidR="0052202C" w:rsidRPr="005C53F1" w:rsidRDefault="0052202C" w:rsidP="0052202C">
            <w:pPr>
              <w:spacing w:after="0" w:line="240" w:lineRule="auto"/>
              <w:jc w:val="both"/>
              <w:rPr>
                <w:rFonts w:ascii="Times New Roman" w:hAnsi="Times New Roman" w:cs="Times New Roman"/>
                <w:sz w:val="20"/>
                <w:szCs w:val="20"/>
              </w:rPr>
            </w:pPr>
          </w:p>
          <w:p w14:paraId="0B43DFD4" w14:textId="564C5BF0" w:rsidR="0052202C" w:rsidRPr="009500E8" w:rsidRDefault="0052202C" w:rsidP="0052202C">
            <w:pPr>
              <w:spacing w:after="0" w:line="240" w:lineRule="auto"/>
              <w:jc w:val="both"/>
              <w:rPr>
                <w:rFonts w:ascii="Times New Roman" w:hAnsi="Times New Roman" w:cs="Times New Roman"/>
                <w:color w:val="000000" w:themeColor="text1"/>
                <w:sz w:val="20"/>
                <w:szCs w:val="20"/>
              </w:rPr>
            </w:pPr>
            <w:r w:rsidRPr="005C53F1">
              <w:rPr>
                <w:rFonts w:ascii="Times New Roman" w:hAnsi="Times New Roman" w:cs="Times New Roman"/>
                <w:sz w:val="20"/>
                <w:szCs w:val="20"/>
              </w:rPr>
              <w:t xml:space="preserve"> Lai ievērotu 2014.gada 16.decembra MK noteikumu Nr.784 “Kārtība, kādā Eiropas Savienības struktūrfondu un Kohēzijas fonda vadībā iesaistītās institūcijas nodrošina plānošanas dokumentu sagatavošanu un šo fondu ieviešanu 2014.–2020.gada plānošanas periodā” 51.4.apakšpunktā noteikto, lūdzam papildināt noteikumu </w:t>
            </w:r>
            <w:r w:rsidRPr="005C53F1">
              <w:rPr>
                <w:rFonts w:ascii="Times New Roman" w:hAnsi="Times New Roman" w:cs="Times New Roman"/>
                <w:sz w:val="20"/>
                <w:szCs w:val="20"/>
              </w:rPr>
              <w:lastRenderedPageBreak/>
              <w:t xml:space="preserve">projektu ar </w:t>
            </w:r>
            <w:proofErr w:type="spellStart"/>
            <w:r w:rsidRPr="005C53F1">
              <w:rPr>
                <w:rFonts w:ascii="Times New Roman" w:hAnsi="Times New Roman" w:cs="Times New Roman"/>
                <w:sz w:val="20"/>
                <w:szCs w:val="20"/>
              </w:rPr>
              <w:t>protokollēmuma</w:t>
            </w:r>
            <w:proofErr w:type="spellEnd"/>
            <w:r w:rsidRPr="005C53F1">
              <w:rPr>
                <w:rFonts w:ascii="Times New Roman" w:hAnsi="Times New Roman" w:cs="Times New Roman"/>
                <w:sz w:val="20"/>
                <w:szCs w:val="20"/>
              </w:rPr>
              <w:t xml:space="preserve"> projekta punktu šādā redakcijā: </w:t>
            </w:r>
            <w:r w:rsidRPr="005C53F1">
              <w:rPr>
                <w:rFonts w:ascii="Times New Roman" w:hAnsi="Times New Roman" w:cs="Times New Roman"/>
                <w:i/>
                <w:iCs/>
                <w:sz w:val="20"/>
                <w:szCs w:val="20"/>
              </w:rPr>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5C53F1">
              <w:rPr>
                <w:rFonts w:ascii="Times New Roman" w:hAnsi="Times New Roman" w:cs="Times New Roman"/>
                <w:i/>
                <w:iCs/>
                <w:sz w:val="20"/>
                <w:szCs w:val="20"/>
                <w:vertAlign w:val="superscript"/>
              </w:rPr>
              <w:t>4</w:t>
            </w:r>
            <w:r w:rsidRPr="005C53F1">
              <w:rPr>
                <w:rFonts w:ascii="Times New Roman" w:hAnsi="Times New Roman" w:cs="Times New Roman"/>
                <w:i/>
                <w:iCs/>
                <w:sz w:val="20"/>
                <w:szCs w:val="20"/>
              </w:rPr>
              <w:t xml:space="preserve"> 7.apakšpunktu  4.2.1. specifiskā atbalsta mērķa </w:t>
            </w:r>
            <w:r w:rsidRPr="005C53F1">
              <w:rPr>
                <w:rFonts w:ascii="Times New Roman" w:hAnsi="Times New Roman" w:cs="Times New Roman"/>
                <w:i/>
                <w:iCs/>
                <w:sz w:val="20"/>
                <w:szCs w:val="20"/>
                <w:lang w:eastAsia="lv-LV"/>
              </w:rPr>
              <w:t>“Veicināt energoefektivitātes paaugstināšanu valsts un dzīvojamās ēkās” 4.2.1.2.pasākuma “Veicināt energoefektivitātes paaugstināšanu valsts ēkās"</w:t>
            </w:r>
            <w:r w:rsidRPr="005C53F1">
              <w:rPr>
                <w:rFonts w:ascii="Times New Roman" w:hAnsi="Times New Roman" w:cs="Times New Roman"/>
                <w:i/>
                <w:iCs/>
                <w:sz w:val="20"/>
                <w:szCs w:val="20"/>
              </w:rPr>
              <w:t xml:space="preserve"> pirmās atlases kārtas ietvaros pagarināt anotācijā norādīto projektu īstenošanas termiņu par laiku, kas pārsniedz sešu mēnešu termiņu, ja, izvērtējot grozījumu lietderību, pamatotību un nepieciešamību projekta sākotnējā mērķa sasniegšanai, termiņa pagarinājums ir uzskatāms par pamatotu.”.</w:t>
            </w:r>
            <w:r w:rsidRPr="005C53F1">
              <w:rPr>
                <w:rFonts w:ascii="Times New Roman" w:hAnsi="Times New Roman" w:cs="Times New Roman"/>
                <w:sz w:val="20"/>
                <w:szCs w:val="20"/>
              </w:rPr>
              <w:t xml:space="preserve"> </w:t>
            </w:r>
            <w:r w:rsidRPr="009500E8">
              <w:rPr>
                <w:rFonts w:ascii="Times New Roman" w:hAnsi="Times New Roman" w:cs="Times New Roman"/>
                <w:color w:val="000000" w:themeColor="text1"/>
                <w:sz w:val="20"/>
                <w:szCs w:val="20"/>
              </w:rPr>
              <w:t xml:space="preserve">Attiecīgi anotācijā norādāmi projekti, kam šāds pagarinājums nepieciešams. </w:t>
            </w:r>
          </w:p>
          <w:p w14:paraId="532A5766" w14:textId="45EE6C81" w:rsidR="00CA06F9" w:rsidRPr="005C53F1" w:rsidRDefault="00CA06F9" w:rsidP="00CA06F9">
            <w:pPr>
              <w:widowControl w:val="0"/>
              <w:suppressAutoHyphens/>
              <w:spacing w:after="0" w:line="240" w:lineRule="auto"/>
              <w:jc w:val="both"/>
              <w:rPr>
                <w:rFonts w:ascii="Times New Roman" w:hAnsi="Times New Roman" w:cs="Times New Roman"/>
                <w:sz w:val="20"/>
                <w:szCs w:val="20"/>
              </w:rPr>
            </w:pPr>
          </w:p>
        </w:tc>
        <w:tc>
          <w:tcPr>
            <w:tcW w:w="712" w:type="pct"/>
            <w:tcBorders>
              <w:top w:val="outset" w:sz="6" w:space="0" w:color="414142"/>
              <w:left w:val="outset" w:sz="6" w:space="0" w:color="414142"/>
              <w:bottom w:val="outset" w:sz="6" w:space="0" w:color="414142"/>
              <w:right w:val="outset" w:sz="6" w:space="0" w:color="414142"/>
            </w:tcBorders>
          </w:tcPr>
          <w:p w14:paraId="366CA73F" w14:textId="77777777" w:rsidR="00CA06F9" w:rsidRPr="005C53F1" w:rsidRDefault="0052202C" w:rsidP="00CA06F9">
            <w:pPr>
              <w:spacing w:after="0" w:line="240" w:lineRule="auto"/>
              <w:jc w:val="center"/>
              <w:rPr>
                <w:rFonts w:ascii="Times New Roman" w:eastAsia="Times New Roman" w:hAnsi="Times New Roman" w:cs="Times New Roman"/>
                <w:b/>
                <w:bCs/>
                <w:sz w:val="20"/>
                <w:szCs w:val="20"/>
                <w:lang w:eastAsia="lv-LV"/>
              </w:rPr>
            </w:pPr>
            <w:r w:rsidRPr="005C53F1">
              <w:rPr>
                <w:rFonts w:ascii="Times New Roman" w:eastAsia="Times New Roman" w:hAnsi="Times New Roman" w:cs="Times New Roman"/>
                <w:b/>
                <w:bCs/>
                <w:sz w:val="20"/>
                <w:szCs w:val="20"/>
                <w:lang w:eastAsia="lv-LV"/>
              </w:rPr>
              <w:lastRenderedPageBreak/>
              <w:t>Ņemts vērā</w:t>
            </w:r>
          </w:p>
          <w:p w14:paraId="4D16EF66" w14:textId="77777777" w:rsidR="0052202C" w:rsidRPr="005C53F1" w:rsidRDefault="0052202C" w:rsidP="00CA06F9">
            <w:pPr>
              <w:spacing w:after="0" w:line="240" w:lineRule="auto"/>
              <w:jc w:val="center"/>
              <w:rPr>
                <w:rFonts w:ascii="Times New Roman" w:eastAsia="Times New Roman" w:hAnsi="Times New Roman" w:cs="Times New Roman"/>
                <w:b/>
                <w:bCs/>
                <w:sz w:val="20"/>
                <w:szCs w:val="20"/>
                <w:lang w:eastAsia="lv-LV"/>
              </w:rPr>
            </w:pPr>
          </w:p>
          <w:p w14:paraId="1A67B31B" w14:textId="241C87E4" w:rsidR="0052202C" w:rsidRPr="005C53F1" w:rsidRDefault="0052202C" w:rsidP="00CA06F9">
            <w:pPr>
              <w:spacing w:after="0" w:line="240" w:lineRule="auto"/>
              <w:jc w:val="center"/>
              <w:rPr>
                <w:rFonts w:ascii="Times New Roman" w:eastAsia="Times New Roman" w:hAnsi="Times New Roman" w:cs="Times New Roman"/>
                <w:sz w:val="20"/>
                <w:szCs w:val="20"/>
                <w:lang w:eastAsia="lv-LV"/>
              </w:rPr>
            </w:pPr>
            <w:r w:rsidRPr="005C53F1">
              <w:rPr>
                <w:rFonts w:ascii="Times New Roman" w:eastAsia="Times New Roman" w:hAnsi="Times New Roman" w:cs="Times New Roman"/>
                <w:sz w:val="20"/>
                <w:szCs w:val="20"/>
                <w:lang w:eastAsia="lv-LV"/>
              </w:rPr>
              <w:t>Noteikumu projekts papildināts.</w:t>
            </w:r>
          </w:p>
        </w:tc>
        <w:tc>
          <w:tcPr>
            <w:tcW w:w="1698" w:type="pct"/>
            <w:tcBorders>
              <w:top w:val="outset" w:sz="6" w:space="0" w:color="414142"/>
              <w:left w:val="outset" w:sz="6" w:space="0" w:color="414142"/>
              <w:bottom w:val="outset" w:sz="6" w:space="0" w:color="414142"/>
              <w:right w:val="outset" w:sz="6" w:space="0" w:color="414142"/>
            </w:tcBorders>
          </w:tcPr>
          <w:p w14:paraId="174EDE7D" w14:textId="0F2246BA" w:rsidR="00CA06F9" w:rsidRPr="005C53F1" w:rsidRDefault="001D496D" w:rsidP="00CA06F9">
            <w:pPr>
              <w:spacing w:after="0" w:line="240" w:lineRule="auto"/>
              <w:jc w:val="both"/>
              <w:rPr>
                <w:rFonts w:ascii="Times New Roman" w:eastAsia="Times New Roman" w:hAnsi="Times New Roman" w:cs="Times New Roman"/>
                <w:sz w:val="20"/>
                <w:szCs w:val="20"/>
                <w:lang w:eastAsia="lv-LV"/>
              </w:rPr>
            </w:pPr>
            <w:bookmarkStart w:id="3" w:name="_Hlk71365153"/>
            <w:r w:rsidRPr="005C53F1">
              <w:rPr>
                <w:rFonts w:ascii="Arial" w:hAnsi="Arial" w:cs="Arial"/>
                <w:color w:val="414142"/>
                <w:sz w:val="20"/>
                <w:szCs w:val="20"/>
                <w:shd w:val="clear" w:color="auto" w:fill="FFFFFF"/>
              </w:rPr>
              <w:t>36.</w:t>
            </w:r>
            <w:r w:rsidRPr="005C53F1">
              <w:rPr>
                <w:rFonts w:ascii="Arial" w:hAnsi="Arial" w:cs="Arial"/>
                <w:color w:val="414142"/>
                <w:shd w:val="clear" w:color="auto" w:fill="FFFFFF"/>
                <w:vertAlign w:val="superscript"/>
              </w:rPr>
              <w:t>2</w:t>
            </w:r>
            <w:r w:rsidRPr="005C53F1">
              <w:rPr>
                <w:rFonts w:ascii="Arial" w:hAnsi="Arial" w:cs="Arial"/>
                <w:color w:val="414142"/>
                <w:sz w:val="20"/>
                <w:szCs w:val="20"/>
                <w:shd w:val="clear" w:color="auto" w:fill="FFFFFF"/>
              </w:rPr>
              <w:t> </w:t>
            </w:r>
            <w:r w:rsidR="00B217E4" w:rsidRPr="005C53F1">
              <w:rPr>
                <w:rFonts w:ascii="Times New Roman" w:hAnsi="Times New Roman" w:cs="Times New Roman"/>
                <w:i/>
                <w:iCs/>
                <w:sz w:val="20"/>
                <w:szCs w:val="20"/>
              </w:rPr>
              <w:t>Sadarbības iestāde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B217E4" w:rsidRPr="005C53F1">
              <w:rPr>
                <w:rFonts w:ascii="Times New Roman" w:hAnsi="Times New Roman" w:cs="Times New Roman"/>
                <w:i/>
                <w:iCs/>
                <w:sz w:val="20"/>
                <w:szCs w:val="20"/>
                <w:vertAlign w:val="superscript"/>
              </w:rPr>
              <w:t>4</w:t>
            </w:r>
            <w:r w:rsidR="00B217E4" w:rsidRPr="005C53F1">
              <w:rPr>
                <w:rFonts w:ascii="Times New Roman" w:hAnsi="Times New Roman" w:cs="Times New Roman"/>
                <w:i/>
                <w:iCs/>
                <w:sz w:val="20"/>
                <w:szCs w:val="20"/>
              </w:rPr>
              <w:t xml:space="preserve"> 7.apakšpunktu  4.2.1. specifiskā atbalsta mērķa </w:t>
            </w:r>
            <w:r w:rsidR="00B217E4" w:rsidRPr="005C53F1">
              <w:rPr>
                <w:rFonts w:ascii="Times New Roman" w:hAnsi="Times New Roman" w:cs="Times New Roman"/>
                <w:i/>
                <w:iCs/>
                <w:sz w:val="20"/>
                <w:szCs w:val="20"/>
                <w:lang w:eastAsia="lv-LV"/>
              </w:rPr>
              <w:t xml:space="preserve">“Veicināt energoefektivitātes paaugstināšanu valsts un dzīvojamās ēkās” </w:t>
            </w:r>
            <w:r w:rsidR="00B217E4" w:rsidRPr="005C53F1">
              <w:rPr>
                <w:rFonts w:ascii="Times New Roman" w:hAnsi="Times New Roman" w:cs="Times New Roman"/>
                <w:i/>
                <w:iCs/>
                <w:sz w:val="20"/>
                <w:szCs w:val="20"/>
                <w:lang w:eastAsia="lv-LV"/>
              </w:rPr>
              <w:lastRenderedPageBreak/>
              <w:t>4.2.1.2.pasākuma “Veicināt energoefektivitātes paaugstināšanu valsts ēkās"</w:t>
            </w:r>
            <w:r w:rsidR="00B217E4" w:rsidRPr="005C53F1">
              <w:rPr>
                <w:rFonts w:ascii="Times New Roman" w:hAnsi="Times New Roman" w:cs="Times New Roman"/>
                <w:i/>
                <w:iCs/>
                <w:sz w:val="20"/>
                <w:szCs w:val="20"/>
              </w:rPr>
              <w:t xml:space="preserve"> pirmās atlases kārtas ietvaros var pagarināt anotācijā norādīto projektu īstenošanas termiņu par laiku, kas pārsniedz sešu mēnešu termiņu, ja</w:t>
            </w:r>
            <w:r w:rsidR="00B217E4" w:rsidRPr="005C53F1">
              <w:rPr>
                <w:rFonts w:ascii="Times New Roman" w:hAnsi="Times New Roman" w:cs="Times New Roman"/>
                <w:i/>
                <w:iCs/>
                <w:color w:val="FF0000"/>
                <w:sz w:val="20"/>
                <w:szCs w:val="20"/>
              </w:rPr>
              <w:t xml:space="preserve"> </w:t>
            </w:r>
            <w:r w:rsidR="00B217E4" w:rsidRPr="005C53F1">
              <w:rPr>
                <w:rFonts w:ascii="Times New Roman" w:hAnsi="Times New Roman" w:cs="Times New Roman"/>
                <w:i/>
                <w:iCs/>
                <w:sz w:val="20"/>
                <w:szCs w:val="20"/>
              </w:rPr>
              <w:t>izvērtējot grozījumu lietderību, pamatotību un nepieciešamību projekta sākotnējā mērķa sasniegšanai, termiņa pagarinājums ir uzskatāms par pamatotu.”.</w:t>
            </w:r>
            <w:bookmarkEnd w:id="3"/>
          </w:p>
        </w:tc>
      </w:tr>
      <w:tr w:rsidR="00CA06F9" w:rsidRPr="00574613" w14:paraId="301746D3"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1CE10681" w14:textId="3272DEBD" w:rsidR="00CA06F9" w:rsidRPr="00BC34D3"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w:t>
            </w:r>
            <w:r w:rsidR="00CB0883">
              <w:rPr>
                <w:rFonts w:ascii="Times New Roman" w:eastAsia="Times New Roman" w:hAnsi="Times New Roman" w:cs="Times New Roman"/>
                <w:sz w:val="20"/>
                <w:szCs w:val="20"/>
                <w:lang w:eastAsia="lv-LV"/>
              </w:rPr>
              <w:t>7</w:t>
            </w:r>
          </w:p>
        </w:tc>
        <w:tc>
          <w:tcPr>
            <w:tcW w:w="663" w:type="pct"/>
            <w:tcBorders>
              <w:top w:val="outset" w:sz="6" w:space="0" w:color="414142"/>
              <w:left w:val="outset" w:sz="6" w:space="0" w:color="414142"/>
              <w:bottom w:val="outset" w:sz="6" w:space="0" w:color="414142"/>
              <w:right w:val="outset" w:sz="6" w:space="0" w:color="414142"/>
            </w:tcBorders>
          </w:tcPr>
          <w:p w14:paraId="7FC34ADE" w14:textId="77777777" w:rsidR="00CA06F9" w:rsidRPr="004B6D91" w:rsidRDefault="00CA06F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1EC06DE5" w14:textId="57449EDD" w:rsidR="00CA06F9" w:rsidRPr="00F73641" w:rsidRDefault="00F73641" w:rsidP="00F73641">
            <w:pPr>
              <w:spacing w:after="200" w:line="276" w:lineRule="auto"/>
              <w:jc w:val="center"/>
              <w:rPr>
                <w:rFonts w:ascii="Times New Roman" w:hAnsi="Times New Roman" w:cs="Times New Roman"/>
                <w:b/>
                <w:bCs/>
                <w:sz w:val="20"/>
                <w:szCs w:val="20"/>
              </w:rPr>
            </w:pPr>
            <w:r w:rsidRPr="00F73641">
              <w:rPr>
                <w:rFonts w:ascii="Times New Roman" w:hAnsi="Times New Roman" w:cs="Times New Roman"/>
                <w:b/>
                <w:bCs/>
                <w:sz w:val="20"/>
                <w:szCs w:val="20"/>
              </w:rPr>
              <w:t>Finanšu ministrija</w:t>
            </w:r>
          </w:p>
          <w:p w14:paraId="021C15D9" w14:textId="24488CF1" w:rsidR="00F73641" w:rsidRPr="00F73641" w:rsidRDefault="00F73641" w:rsidP="00F73641">
            <w:pPr>
              <w:spacing w:before="60" w:after="60" w:line="240" w:lineRule="auto"/>
              <w:jc w:val="both"/>
              <w:rPr>
                <w:rFonts w:ascii="Times New Roman" w:hAnsi="Times New Roman" w:cs="Times New Roman"/>
                <w:sz w:val="20"/>
                <w:szCs w:val="20"/>
              </w:rPr>
            </w:pPr>
            <w:r w:rsidRPr="00F73641">
              <w:rPr>
                <w:rFonts w:ascii="Times New Roman" w:hAnsi="Times New Roman" w:cs="Times New Roman"/>
                <w:sz w:val="20"/>
                <w:szCs w:val="20"/>
                <w:lang w:eastAsia="lv-LV"/>
              </w:rPr>
              <w:t xml:space="preserve">Lūdzam pārskatīt noteikumu projekta 2. un 3.punktā plānotos grozījumus, ņemot vērā, ka noteikumu projektā un EM atkāroti precizētajā noteikumu projektā </w:t>
            </w:r>
            <w:r w:rsidRPr="00F73641">
              <w:rPr>
                <w:rFonts w:ascii="Times New Roman" w:hAnsi="Times New Roman" w:cs="Times New Roman"/>
                <w:sz w:val="20"/>
                <w:szCs w:val="20"/>
              </w:rPr>
              <w:t xml:space="preserve">“Grozījumi Ministru kabineta 2018.gada 4.janvāra noteikumos Nr.13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plānotās sasniedzamās rādītāju vērtības kopsummā ir mazākas kā darbības programmā “Izaugsme un nodarbinātība” plānotās rādītāju sasniedzamās vērtības. Vienlaikus lūdzam izvērtēt nepieciešamību precizēt pasākuma 4.2.1.2.pasākuma “Veicināt energoefektivitātes paaugstināšanu valsts ēkās” (turpmāk – 4.2.1.2.pasākums) </w:t>
            </w:r>
            <w:r w:rsidRPr="00F73641">
              <w:rPr>
                <w:rFonts w:ascii="Times New Roman" w:hAnsi="Times New Roman" w:cs="Times New Roman"/>
                <w:sz w:val="20"/>
                <w:szCs w:val="20"/>
              </w:rPr>
              <w:lastRenderedPageBreak/>
              <w:t>1.kārtas un 2.kārtas sasniedzamos rādītājus, ņemot vērā nepieciešamos precizējumus finansējumā.</w:t>
            </w:r>
          </w:p>
        </w:tc>
        <w:tc>
          <w:tcPr>
            <w:tcW w:w="712" w:type="pct"/>
            <w:tcBorders>
              <w:top w:val="outset" w:sz="6" w:space="0" w:color="414142"/>
              <w:left w:val="outset" w:sz="6" w:space="0" w:color="414142"/>
              <w:bottom w:val="outset" w:sz="6" w:space="0" w:color="414142"/>
              <w:right w:val="outset" w:sz="6" w:space="0" w:color="414142"/>
            </w:tcBorders>
          </w:tcPr>
          <w:p w14:paraId="7610C4DE" w14:textId="77777777" w:rsidR="00CA06F9" w:rsidRPr="006B432C" w:rsidRDefault="00660409" w:rsidP="00CA06F9">
            <w:pPr>
              <w:spacing w:after="0" w:line="240" w:lineRule="auto"/>
              <w:jc w:val="center"/>
              <w:rPr>
                <w:rFonts w:ascii="Times New Roman" w:eastAsia="Times New Roman" w:hAnsi="Times New Roman" w:cs="Times New Roman"/>
                <w:b/>
                <w:bCs/>
                <w:sz w:val="20"/>
                <w:szCs w:val="20"/>
                <w:lang w:eastAsia="lv-LV"/>
              </w:rPr>
            </w:pPr>
            <w:r w:rsidRPr="006B432C">
              <w:rPr>
                <w:rFonts w:ascii="Times New Roman" w:eastAsia="Times New Roman" w:hAnsi="Times New Roman" w:cs="Times New Roman"/>
                <w:b/>
                <w:bCs/>
                <w:sz w:val="20"/>
                <w:szCs w:val="20"/>
                <w:lang w:eastAsia="lv-LV"/>
              </w:rPr>
              <w:lastRenderedPageBreak/>
              <w:t>Ņemts vērā</w:t>
            </w:r>
          </w:p>
          <w:p w14:paraId="29CF6AE9" w14:textId="77777777" w:rsidR="00524333" w:rsidRPr="006B432C" w:rsidRDefault="00524333" w:rsidP="00CA06F9">
            <w:pPr>
              <w:spacing w:after="0" w:line="240" w:lineRule="auto"/>
              <w:jc w:val="center"/>
              <w:rPr>
                <w:rFonts w:ascii="Times New Roman" w:eastAsia="Times New Roman" w:hAnsi="Times New Roman" w:cs="Times New Roman"/>
                <w:b/>
                <w:bCs/>
                <w:sz w:val="20"/>
                <w:szCs w:val="20"/>
                <w:lang w:eastAsia="lv-LV"/>
              </w:rPr>
            </w:pPr>
          </w:p>
          <w:p w14:paraId="0A7EC83A" w14:textId="4059638C" w:rsidR="00524333" w:rsidRPr="00201C65" w:rsidRDefault="00172C26" w:rsidP="00CA06F9">
            <w:pPr>
              <w:spacing w:after="0" w:line="240" w:lineRule="auto"/>
              <w:jc w:val="center"/>
              <w:rPr>
                <w:rFonts w:ascii="Times New Roman" w:eastAsia="Times New Roman" w:hAnsi="Times New Roman" w:cs="Times New Roman"/>
                <w:sz w:val="20"/>
                <w:szCs w:val="20"/>
                <w:highlight w:val="yellow"/>
                <w:lang w:eastAsia="lv-LV"/>
              </w:rPr>
            </w:pPr>
            <w:r w:rsidRPr="006B432C">
              <w:rPr>
                <w:rFonts w:ascii="Times New Roman" w:eastAsia="Times New Roman" w:hAnsi="Times New Roman" w:cs="Times New Roman"/>
                <w:sz w:val="20"/>
                <w:szCs w:val="20"/>
                <w:lang w:eastAsia="lv-LV"/>
              </w:rPr>
              <w:t>Rādītāji precizēti</w:t>
            </w:r>
            <w:r w:rsidR="00396676">
              <w:rPr>
                <w:rFonts w:ascii="Times New Roman" w:eastAsia="Times New Roman" w:hAnsi="Times New Roman" w:cs="Times New Roman"/>
                <w:sz w:val="20"/>
                <w:szCs w:val="20"/>
                <w:lang w:eastAsia="lv-LV"/>
              </w:rPr>
              <w:t>.</w:t>
            </w:r>
          </w:p>
        </w:tc>
        <w:tc>
          <w:tcPr>
            <w:tcW w:w="1698" w:type="pct"/>
            <w:tcBorders>
              <w:top w:val="outset" w:sz="6" w:space="0" w:color="414142"/>
              <w:left w:val="outset" w:sz="6" w:space="0" w:color="414142"/>
              <w:bottom w:val="outset" w:sz="6" w:space="0" w:color="414142"/>
              <w:right w:val="outset" w:sz="6" w:space="0" w:color="414142"/>
            </w:tcBorders>
          </w:tcPr>
          <w:p w14:paraId="3CD41ADC" w14:textId="361832E4" w:rsidR="00CA06F9" w:rsidRPr="00201C65" w:rsidRDefault="00CA06F9" w:rsidP="00CA06F9">
            <w:pPr>
              <w:spacing w:after="0" w:line="240" w:lineRule="auto"/>
              <w:jc w:val="both"/>
              <w:rPr>
                <w:rFonts w:ascii="Times New Roman" w:eastAsia="Times New Roman" w:hAnsi="Times New Roman" w:cs="Times New Roman"/>
                <w:sz w:val="20"/>
                <w:szCs w:val="20"/>
                <w:highlight w:val="yellow"/>
                <w:lang w:eastAsia="lv-LV"/>
              </w:rPr>
            </w:pPr>
          </w:p>
        </w:tc>
      </w:tr>
      <w:tr w:rsidR="00F73641" w:rsidRPr="00574613" w14:paraId="2459A0F2"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8C230C4" w14:textId="1FB3A132" w:rsidR="00F73641"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F73641">
              <w:rPr>
                <w:rFonts w:ascii="Times New Roman" w:eastAsia="Times New Roman" w:hAnsi="Times New Roman" w:cs="Times New Roman"/>
                <w:sz w:val="20"/>
                <w:szCs w:val="20"/>
                <w:lang w:eastAsia="lv-LV"/>
              </w:rPr>
              <w:t>8</w:t>
            </w:r>
          </w:p>
        </w:tc>
        <w:tc>
          <w:tcPr>
            <w:tcW w:w="663" w:type="pct"/>
            <w:tcBorders>
              <w:top w:val="outset" w:sz="6" w:space="0" w:color="414142"/>
              <w:left w:val="outset" w:sz="6" w:space="0" w:color="414142"/>
              <w:bottom w:val="outset" w:sz="6" w:space="0" w:color="414142"/>
              <w:right w:val="outset" w:sz="6" w:space="0" w:color="414142"/>
            </w:tcBorders>
          </w:tcPr>
          <w:p w14:paraId="4CD5B7E1" w14:textId="77777777" w:rsidR="00F73641" w:rsidRPr="004B6D91" w:rsidRDefault="00F73641"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75CC44B7" w14:textId="77777777" w:rsidR="00F73641" w:rsidRPr="00F73641" w:rsidRDefault="00F73641" w:rsidP="00F73641">
            <w:pPr>
              <w:spacing w:after="200" w:line="276" w:lineRule="auto"/>
              <w:jc w:val="center"/>
              <w:rPr>
                <w:rFonts w:ascii="Times New Roman" w:hAnsi="Times New Roman" w:cs="Times New Roman"/>
                <w:b/>
                <w:bCs/>
                <w:sz w:val="20"/>
                <w:szCs w:val="20"/>
              </w:rPr>
            </w:pPr>
            <w:r w:rsidRPr="00F73641">
              <w:rPr>
                <w:rFonts w:ascii="Times New Roman" w:hAnsi="Times New Roman" w:cs="Times New Roman"/>
                <w:b/>
                <w:bCs/>
                <w:sz w:val="20"/>
                <w:szCs w:val="20"/>
              </w:rPr>
              <w:t>Finanšu ministrija</w:t>
            </w:r>
          </w:p>
          <w:p w14:paraId="3DFC0323" w14:textId="4C9CD42D" w:rsidR="00F73641" w:rsidRPr="00F73641" w:rsidRDefault="00F73641" w:rsidP="00F73641">
            <w:pPr>
              <w:spacing w:after="0" w:line="240" w:lineRule="auto"/>
              <w:jc w:val="both"/>
              <w:rPr>
                <w:rFonts w:ascii="Times New Roman" w:hAnsi="Times New Roman" w:cs="Times New Roman"/>
                <w:sz w:val="20"/>
                <w:szCs w:val="20"/>
                <w:lang w:eastAsia="lv-LV"/>
              </w:rPr>
            </w:pPr>
            <w:r w:rsidRPr="00F73641">
              <w:rPr>
                <w:rFonts w:ascii="Times New Roman" w:hAnsi="Times New Roman" w:cs="Times New Roman"/>
                <w:sz w:val="20"/>
                <w:szCs w:val="20"/>
              </w:rPr>
              <w:t xml:space="preserve">Noteikumu projekta 4.punkts paredz samazināt plānoto kopējo publisko finansējumu 3 873 349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apmērā (t.sk. Eiropas reģionālas attīstības fonda (turpmāk </w:t>
            </w:r>
            <w:r w:rsidRPr="00F73641">
              <w:rPr>
                <w:rFonts w:ascii="Times New Roman" w:hAnsi="Times New Roman" w:cs="Times New Roman"/>
                <w:bCs/>
                <w:sz w:val="20"/>
                <w:szCs w:val="20"/>
              </w:rPr>
              <w:t>–</w:t>
            </w:r>
            <w:r w:rsidRPr="00F73641">
              <w:rPr>
                <w:rFonts w:ascii="Times New Roman" w:hAnsi="Times New Roman" w:cs="Times New Roman"/>
                <w:sz w:val="20"/>
                <w:szCs w:val="20"/>
              </w:rPr>
              <w:t xml:space="preserve"> ERAF) finansējums 3 295 347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un valsts budžeta (turpmāk – VB) finansējums 581 002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savukārt anotācijas III sadaļā “</w:t>
            </w:r>
            <w:r w:rsidRPr="00F73641">
              <w:rPr>
                <w:rFonts w:ascii="Times New Roman" w:hAnsi="Times New Roman" w:cs="Times New Roman"/>
                <w:bCs/>
                <w:sz w:val="20"/>
                <w:szCs w:val="20"/>
              </w:rPr>
              <w:t>Tiesību akta projekta ietekme uz valsts budžetu un pašvaldību budžetiem” (turpmāk – anotācijas III sadaļa) ir</w:t>
            </w:r>
            <w:r w:rsidRPr="00F73641">
              <w:rPr>
                <w:rFonts w:ascii="Times New Roman" w:hAnsi="Times New Roman" w:cs="Times New Roman"/>
                <w:sz w:val="20"/>
                <w:szCs w:val="20"/>
              </w:rPr>
              <w:t xml:space="preserve"> sniegta informācija par finansējuma samazinājumu 3 327 337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apmērā (t.sk. ERAF 2 828 237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un VB 499 100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Ņemot vērā minēto, lūdzam novērst minēto neprecizitāti, veicot nepieciešamos precizējumus. Vienlaikus vēršam uzmanību uz anotācijas III sadaļas 6.punktā minēto, ka atlases kārtas īstenošanai 2021.gadā nepieciešamais kopējais publiskais finansējums ir 14 473 504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Ievērojot paredzēto samazinājumu 3 327 337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apmērā, nav saprotams kā plānots nodrošināt finansējumu minētajā apmērā. </w:t>
            </w:r>
          </w:p>
        </w:tc>
        <w:tc>
          <w:tcPr>
            <w:tcW w:w="712" w:type="pct"/>
            <w:tcBorders>
              <w:top w:val="outset" w:sz="6" w:space="0" w:color="414142"/>
              <w:left w:val="outset" w:sz="6" w:space="0" w:color="414142"/>
              <w:bottom w:val="outset" w:sz="6" w:space="0" w:color="414142"/>
              <w:right w:val="outset" w:sz="6" w:space="0" w:color="414142"/>
            </w:tcBorders>
          </w:tcPr>
          <w:p w14:paraId="470E6076" w14:textId="77777777" w:rsidR="00F73641"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t>Ņemts vērā</w:t>
            </w:r>
          </w:p>
          <w:p w14:paraId="044B1CEC" w14:textId="77777777" w:rsidR="00201C65" w:rsidRDefault="00201C65" w:rsidP="00CA06F9">
            <w:pPr>
              <w:spacing w:after="0" w:line="240" w:lineRule="auto"/>
              <w:jc w:val="center"/>
              <w:rPr>
                <w:rFonts w:ascii="Times New Roman" w:eastAsia="Times New Roman" w:hAnsi="Times New Roman" w:cs="Times New Roman"/>
                <w:b/>
                <w:bCs/>
                <w:sz w:val="20"/>
                <w:szCs w:val="20"/>
                <w:lang w:eastAsia="lv-LV"/>
              </w:rPr>
            </w:pPr>
          </w:p>
          <w:p w14:paraId="656AE4A0" w14:textId="77777777" w:rsidR="00201C65" w:rsidRDefault="00AB088A"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Precizējumi veikti anotācijas III sadaļā.</w:t>
            </w:r>
          </w:p>
          <w:p w14:paraId="08112BBC" w14:textId="6E1183CB" w:rsidR="00AB088A" w:rsidRPr="00AB088A" w:rsidRDefault="00AB088A" w:rsidP="006B432C">
            <w:pPr>
              <w:spacing w:after="0" w:line="240" w:lineRule="auto"/>
              <w:rPr>
                <w:rFonts w:ascii="Times New Roman" w:hAnsi="Times New Roman"/>
                <w:color w:val="FF0000"/>
                <w:sz w:val="20"/>
                <w:szCs w:val="20"/>
              </w:rPr>
            </w:pPr>
            <w:r w:rsidRPr="00AB088A">
              <w:rPr>
                <w:rFonts w:ascii="Times New Roman" w:eastAsia="Times New Roman" w:hAnsi="Times New Roman" w:cs="Times New Roman"/>
                <w:sz w:val="20"/>
                <w:szCs w:val="20"/>
                <w:lang w:eastAsia="lv-LV"/>
              </w:rPr>
              <w:t xml:space="preserve"> </w:t>
            </w:r>
          </w:p>
        </w:tc>
        <w:tc>
          <w:tcPr>
            <w:tcW w:w="1698" w:type="pct"/>
            <w:tcBorders>
              <w:top w:val="outset" w:sz="6" w:space="0" w:color="414142"/>
              <w:left w:val="outset" w:sz="6" w:space="0" w:color="414142"/>
              <w:bottom w:val="outset" w:sz="6" w:space="0" w:color="414142"/>
              <w:right w:val="outset" w:sz="6" w:space="0" w:color="414142"/>
            </w:tcBorders>
          </w:tcPr>
          <w:p w14:paraId="15C792DB" w14:textId="77777777" w:rsidR="00F73641" w:rsidRPr="004B6D91" w:rsidRDefault="00F73641" w:rsidP="00CA06F9">
            <w:pPr>
              <w:spacing w:after="0" w:line="240" w:lineRule="auto"/>
              <w:jc w:val="both"/>
              <w:rPr>
                <w:rFonts w:ascii="Times New Roman" w:eastAsia="Times New Roman" w:hAnsi="Times New Roman" w:cs="Times New Roman"/>
                <w:sz w:val="20"/>
                <w:szCs w:val="20"/>
                <w:lang w:eastAsia="lv-LV"/>
              </w:rPr>
            </w:pPr>
          </w:p>
        </w:tc>
      </w:tr>
      <w:tr w:rsidR="00F73641" w:rsidRPr="00574613" w14:paraId="0BF3D170"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0D5B50A" w14:textId="12489403" w:rsidR="00F73641"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6D79DA">
              <w:rPr>
                <w:rFonts w:ascii="Times New Roman" w:eastAsia="Times New Roman" w:hAnsi="Times New Roman" w:cs="Times New Roman"/>
                <w:sz w:val="20"/>
                <w:szCs w:val="20"/>
                <w:lang w:eastAsia="lv-LV"/>
              </w:rPr>
              <w:t>9</w:t>
            </w:r>
          </w:p>
        </w:tc>
        <w:tc>
          <w:tcPr>
            <w:tcW w:w="663" w:type="pct"/>
            <w:tcBorders>
              <w:top w:val="outset" w:sz="6" w:space="0" w:color="414142"/>
              <w:left w:val="outset" w:sz="6" w:space="0" w:color="414142"/>
              <w:bottom w:val="outset" w:sz="6" w:space="0" w:color="414142"/>
              <w:right w:val="outset" w:sz="6" w:space="0" w:color="414142"/>
            </w:tcBorders>
          </w:tcPr>
          <w:p w14:paraId="018F20C5" w14:textId="77777777" w:rsidR="00F73641" w:rsidRPr="004B6D91" w:rsidRDefault="00F73641"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54B3623F" w14:textId="77777777" w:rsidR="00F73641" w:rsidRDefault="00F73641" w:rsidP="00F73641">
            <w:pPr>
              <w:spacing w:after="200" w:line="276" w:lineRule="auto"/>
              <w:jc w:val="center"/>
              <w:rPr>
                <w:rFonts w:ascii="Times New Roman" w:hAnsi="Times New Roman" w:cs="Times New Roman"/>
                <w:b/>
                <w:bCs/>
                <w:sz w:val="20"/>
                <w:szCs w:val="20"/>
              </w:rPr>
            </w:pPr>
            <w:r>
              <w:rPr>
                <w:rFonts w:ascii="Times New Roman" w:hAnsi="Times New Roman" w:cs="Times New Roman"/>
                <w:b/>
                <w:bCs/>
                <w:sz w:val="20"/>
                <w:szCs w:val="20"/>
              </w:rPr>
              <w:t>Finanšu ministrija</w:t>
            </w:r>
          </w:p>
          <w:p w14:paraId="6AE8DAC3" w14:textId="181ABC38" w:rsidR="00F73641" w:rsidRPr="00F73641" w:rsidRDefault="00F73641" w:rsidP="00F73641">
            <w:pPr>
              <w:spacing w:after="200" w:line="276" w:lineRule="auto"/>
              <w:jc w:val="both"/>
              <w:rPr>
                <w:rFonts w:ascii="Times New Roman" w:hAnsi="Times New Roman" w:cs="Times New Roman"/>
                <w:b/>
                <w:bCs/>
                <w:sz w:val="20"/>
                <w:szCs w:val="20"/>
              </w:rPr>
            </w:pPr>
            <w:r w:rsidRPr="00F73641">
              <w:rPr>
                <w:rFonts w:ascii="Times New Roman" w:hAnsi="Times New Roman" w:cs="Times New Roman"/>
                <w:sz w:val="20"/>
                <w:szCs w:val="20"/>
              </w:rPr>
              <w:t xml:space="preserve">Lūdzam precizēt noteikumu projekta 4.punktu, ņemot vērā, ka noteikumu projekta 10.punktā  norādītā kopējā summa atšķirsies no noteikumu projekta 4.punktā noradītā kopējā finansējuma par ietaupījumu un neatbilstoši veikto izdevumu summu, kuru jāatstāj neizmantotu 4.2.1.2.pasākuma 1.kārtā. </w:t>
            </w:r>
          </w:p>
        </w:tc>
        <w:tc>
          <w:tcPr>
            <w:tcW w:w="712" w:type="pct"/>
            <w:tcBorders>
              <w:top w:val="outset" w:sz="6" w:space="0" w:color="414142"/>
              <w:left w:val="outset" w:sz="6" w:space="0" w:color="414142"/>
              <w:bottom w:val="outset" w:sz="6" w:space="0" w:color="414142"/>
              <w:right w:val="outset" w:sz="6" w:space="0" w:color="414142"/>
            </w:tcBorders>
          </w:tcPr>
          <w:p w14:paraId="5E5F9477" w14:textId="77777777" w:rsidR="00F73641"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t>Ņemts vērā</w:t>
            </w:r>
          </w:p>
          <w:p w14:paraId="1C949C24" w14:textId="77777777" w:rsidR="00111C18" w:rsidRDefault="00111C18" w:rsidP="00CA06F9">
            <w:pPr>
              <w:spacing w:after="0" w:line="240" w:lineRule="auto"/>
              <w:jc w:val="center"/>
              <w:rPr>
                <w:rFonts w:ascii="Times New Roman" w:eastAsia="Times New Roman" w:hAnsi="Times New Roman" w:cs="Times New Roman"/>
                <w:b/>
                <w:bCs/>
                <w:sz w:val="20"/>
                <w:szCs w:val="20"/>
                <w:lang w:eastAsia="lv-LV"/>
              </w:rPr>
            </w:pPr>
          </w:p>
          <w:p w14:paraId="021D69B3" w14:textId="7707C76C" w:rsidR="00111C18" w:rsidRPr="00111C18" w:rsidRDefault="00111C18" w:rsidP="00CA06F9">
            <w:pPr>
              <w:spacing w:after="0" w:line="240" w:lineRule="auto"/>
              <w:jc w:val="center"/>
              <w:rPr>
                <w:rFonts w:ascii="Times New Roman" w:eastAsia="Times New Roman" w:hAnsi="Times New Roman" w:cs="Times New Roman"/>
                <w:sz w:val="20"/>
                <w:szCs w:val="20"/>
                <w:lang w:eastAsia="lv-LV"/>
              </w:rPr>
            </w:pPr>
            <w:r w:rsidRPr="00111C18">
              <w:rPr>
                <w:rFonts w:ascii="Times New Roman" w:eastAsia="Times New Roman" w:hAnsi="Times New Roman" w:cs="Times New Roman"/>
                <w:sz w:val="20"/>
                <w:szCs w:val="20"/>
                <w:lang w:eastAsia="lv-LV"/>
              </w:rPr>
              <w:t>Noteikumu projekt</w:t>
            </w:r>
            <w:r>
              <w:rPr>
                <w:rFonts w:ascii="Times New Roman" w:eastAsia="Times New Roman" w:hAnsi="Times New Roman" w:cs="Times New Roman"/>
                <w:sz w:val="20"/>
                <w:szCs w:val="20"/>
                <w:lang w:eastAsia="lv-LV"/>
              </w:rPr>
              <w:t>a 4. punkts precizēts, summā iekļauta summa par ietaupījumiem un neatbilstoši veiktajiem izdevumiem.</w:t>
            </w:r>
          </w:p>
        </w:tc>
        <w:tc>
          <w:tcPr>
            <w:tcW w:w="1698" w:type="pct"/>
            <w:tcBorders>
              <w:top w:val="outset" w:sz="6" w:space="0" w:color="414142"/>
              <w:left w:val="outset" w:sz="6" w:space="0" w:color="414142"/>
              <w:bottom w:val="outset" w:sz="6" w:space="0" w:color="414142"/>
              <w:right w:val="outset" w:sz="6" w:space="0" w:color="414142"/>
            </w:tcBorders>
          </w:tcPr>
          <w:p w14:paraId="562923F6" w14:textId="77777777" w:rsidR="00A95064" w:rsidRPr="00361CCC" w:rsidRDefault="00A95064" w:rsidP="00A95064">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r w:rsidRPr="00361CCC">
              <w:rPr>
                <w:rFonts w:ascii="Times New Roman" w:eastAsia="Times New Roman" w:hAnsi="Times New Roman" w:cs="Times New Roman"/>
                <w:color w:val="000000" w:themeColor="text1"/>
                <w:sz w:val="20"/>
                <w:szCs w:val="20"/>
                <w:lang w:eastAsia="lv-LV"/>
              </w:rPr>
              <w:t xml:space="preserve">“9. Atlases kārtas īstenošanai plānotais kopējais publiskais finansējums ir 71960978 </w:t>
            </w:r>
            <w:proofErr w:type="spellStart"/>
            <w:r w:rsidRPr="00361CCC">
              <w:rPr>
                <w:rFonts w:ascii="Times New Roman" w:eastAsia="Times New Roman" w:hAnsi="Times New Roman" w:cs="Times New Roman"/>
                <w:i/>
                <w:iCs/>
                <w:color w:val="000000" w:themeColor="text1"/>
                <w:sz w:val="20"/>
                <w:szCs w:val="20"/>
                <w:lang w:eastAsia="lv-LV"/>
              </w:rPr>
              <w:t>euro</w:t>
            </w:r>
            <w:proofErr w:type="spellEnd"/>
            <w:r w:rsidRPr="00361CCC">
              <w:rPr>
                <w:rFonts w:ascii="Times New Roman" w:eastAsia="Times New Roman" w:hAnsi="Times New Roman" w:cs="Times New Roman"/>
                <w:color w:val="000000" w:themeColor="text1"/>
                <w:sz w:val="20"/>
                <w:szCs w:val="20"/>
                <w:lang w:eastAsia="lv-LV"/>
              </w:rPr>
              <w:t xml:space="preserve">, tajā skaitā Eiropas Reģionālās attīstības fonda finansējums </w:t>
            </w:r>
            <w:r w:rsidRPr="00361CCC">
              <w:rPr>
                <w:rFonts w:ascii="Times New Roman" w:eastAsia="Times New Roman" w:hAnsi="Times New Roman" w:cs="Times New Roman"/>
                <w:i/>
                <w:iCs/>
                <w:color w:val="000000" w:themeColor="text1"/>
                <w:sz w:val="20"/>
                <w:szCs w:val="20"/>
                <w:lang w:eastAsia="lv-LV"/>
              </w:rPr>
              <w:t xml:space="preserve">61166831 </w:t>
            </w:r>
            <w:proofErr w:type="spellStart"/>
            <w:r w:rsidRPr="00361CCC">
              <w:rPr>
                <w:rFonts w:ascii="Times New Roman" w:eastAsia="Times New Roman" w:hAnsi="Times New Roman" w:cs="Times New Roman"/>
                <w:i/>
                <w:iCs/>
                <w:color w:val="000000" w:themeColor="text1"/>
                <w:sz w:val="20"/>
                <w:szCs w:val="20"/>
                <w:lang w:eastAsia="lv-LV"/>
              </w:rPr>
              <w:t>euro</w:t>
            </w:r>
            <w:proofErr w:type="spellEnd"/>
            <w:r w:rsidRPr="00361CCC">
              <w:rPr>
                <w:rFonts w:ascii="Times New Roman" w:eastAsia="Times New Roman" w:hAnsi="Times New Roman" w:cs="Times New Roman"/>
                <w:color w:val="000000" w:themeColor="text1"/>
                <w:sz w:val="20"/>
                <w:szCs w:val="20"/>
                <w:lang w:eastAsia="lv-LV"/>
              </w:rPr>
              <w:t xml:space="preserve"> un valsts budžeta finansējums 10794147 </w:t>
            </w:r>
            <w:proofErr w:type="spellStart"/>
            <w:r w:rsidRPr="00361CCC">
              <w:rPr>
                <w:rFonts w:ascii="Times New Roman" w:eastAsia="Times New Roman" w:hAnsi="Times New Roman" w:cs="Times New Roman"/>
                <w:i/>
                <w:iCs/>
                <w:color w:val="000000" w:themeColor="text1"/>
                <w:sz w:val="20"/>
                <w:szCs w:val="20"/>
                <w:lang w:eastAsia="lv-LV"/>
              </w:rPr>
              <w:t>euro</w:t>
            </w:r>
            <w:proofErr w:type="spellEnd"/>
            <w:r w:rsidRPr="00361CCC">
              <w:rPr>
                <w:rFonts w:ascii="Times New Roman" w:eastAsia="Times New Roman" w:hAnsi="Times New Roman" w:cs="Times New Roman"/>
                <w:color w:val="000000" w:themeColor="text1"/>
                <w:sz w:val="20"/>
                <w:szCs w:val="20"/>
                <w:lang w:eastAsia="lv-LV"/>
              </w:rPr>
              <w:t>."</w:t>
            </w:r>
          </w:p>
          <w:p w14:paraId="3D6CA49C" w14:textId="77777777" w:rsidR="00F73641" w:rsidRPr="004B6D91" w:rsidRDefault="00F73641" w:rsidP="00CA06F9">
            <w:pPr>
              <w:spacing w:after="0" w:line="240" w:lineRule="auto"/>
              <w:jc w:val="both"/>
              <w:rPr>
                <w:rFonts w:ascii="Times New Roman" w:eastAsia="Times New Roman" w:hAnsi="Times New Roman" w:cs="Times New Roman"/>
                <w:sz w:val="20"/>
                <w:szCs w:val="20"/>
                <w:lang w:eastAsia="lv-LV"/>
              </w:rPr>
            </w:pPr>
          </w:p>
        </w:tc>
      </w:tr>
      <w:tr w:rsidR="00F73641" w:rsidRPr="00574613" w14:paraId="068E158C"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2F472557" w14:textId="6700FB40" w:rsidR="00F73641" w:rsidRDefault="0053044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663" w:type="pct"/>
            <w:tcBorders>
              <w:top w:val="outset" w:sz="6" w:space="0" w:color="414142"/>
              <w:left w:val="outset" w:sz="6" w:space="0" w:color="414142"/>
              <w:bottom w:val="outset" w:sz="6" w:space="0" w:color="414142"/>
              <w:right w:val="outset" w:sz="6" w:space="0" w:color="414142"/>
            </w:tcBorders>
          </w:tcPr>
          <w:p w14:paraId="57705292" w14:textId="77777777" w:rsidR="00F73641" w:rsidRPr="004B6D91" w:rsidRDefault="00F73641"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07582B38" w14:textId="77777777" w:rsidR="00F73641" w:rsidRPr="00F73641" w:rsidRDefault="00F73641" w:rsidP="00F73641">
            <w:pPr>
              <w:spacing w:after="200" w:line="276" w:lineRule="auto"/>
              <w:jc w:val="center"/>
              <w:rPr>
                <w:rFonts w:ascii="Times New Roman" w:hAnsi="Times New Roman" w:cs="Times New Roman"/>
                <w:b/>
                <w:bCs/>
                <w:sz w:val="20"/>
                <w:szCs w:val="20"/>
              </w:rPr>
            </w:pPr>
            <w:r w:rsidRPr="00F73641">
              <w:rPr>
                <w:rFonts w:ascii="Times New Roman" w:hAnsi="Times New Roman" w:cs="Times New Roman"/>
                <w:b/>
                <w:bCs/>
                <w:sz w:val="20"/>
                <w:szCs w:val="20"/>
              </w:rPr>
              <w:t>Finanšu ministrija</w:t>
            </w:r>
          </w:p>
          <w:p w14:paraId="5C7EC102" w14:textId="77777777" w:rsidR="00F73641" w:rsidRPr="00F73641" w:rsidRDefault="00F73641" w:rsidP="00F73641">
            <w:pPr>
              <w:spacing w:before="60" w:after="60" w:line="240" w:lineRule="auto"/>
              <w:jc w:val="both"/>
              <w:rPr>
                <w:rFonts w:ascii="Times New Roman" w:hAnsi="Times New Roman" w:cs="Times New Roman"/>
                <w:sz w:val="20"/>
                <w:szCs w:val="20"/>
              </w:rPr>
            </w:pPr>
            <w:r w:rsidRPr="00F73641">
              <w:rPr>
                <w:rFonts w:ascii="Times New Roman" w:hAnsi="Times New Roman" w:cs="Times New Roman"/>
                <w:sz w:val="20"/>
                <w:szCs w:val="20"/>
              </w:rPr>
              <w:t xml:space="preserve">Vēršam uzmanību, ka uz 2021.gada 29.aprīli kopējā 4.2.1.2.pasākuma 1.kārtas projektu summa ir 60 585 710,61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(ERAF) un kopējie atlikumi ir 3 295 936,39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(ERAF) (no tiem 326 953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 xml:space="preserve">, kurus nevar pārdalīt), līdz ar to lūdzam veikt precizējumus </w:t>
            </w:r>
            <w:r w:rsidRPr="00F73641">
              <w:rPr>
                <w:rFonts w:ascii="Times New Roman" w:hAnsi="Times New Roman" w:cs="Times New Roman"/>
                <w:sz w:val="20"/>
                <w:szCs w:val="20"/>
              </w:rPr>
              <w:lastRenderedPageBreak/>
              <w:t xml:space="preserve">atsevišķu ministriju norādītājā finansējumā noteikumu projekta 10.punktā: </w:t>
            </w:r>
          </w:p>
          <w:p w14:paraId="05BF5660" w14:textId="77777777" w:rsidR="00F73641" w:rsidRPr="00F73641" w:rsidRDefault="00F73641" w:rsidP="00F73641">
            <w:pPr>
              <w:pStyle w:val="ListParagraph"/>
              <w:numPr>
                <w:ilvl w:val="1"/>
                <w:numId w:val="13"/>
              </w:numPr>
              <w:spacing w:before="60" w:after="60" w:line="240" w:lineRule="auto"/>
              <w:contextualSpacing w:val="0"/>
              <w:jc w:val="both"/>
              <w:rPr>
                <w:rFonts w:ascii="Times New Roman" w:hAnsi="Times New Roman" w:cs="Times New Roman"/>
                <w:sz w:val="20"/>
                <w:szCs w:val="20"/>
              </w:rPr>
            </w:pPr>
            <w:r w:rsidRPr="00F73641">
              <w:rPr>
                <w:rFonts w:ascii="Times New Roman" w:hAnsi="Times New Roman" w:cs="Times New Roman"/>
                <w:sz w:val="20"/>
                <w:szCs w:val="20"/>
              </w:rPr>
              <w:t xml:space="preserve">Izglītības un zinātnes ministrijas ERAF finansējums: 27 063 946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w:t>
            </w:r>
          </w:p>
          <w:p w14:paraId="186162E4" w14:textId="77777777" w:rsidR="00F73641" w:rsidRPr="00F73641" w:rsidRDefault="00F73641" w:rsidP="00F73641">
            <w:pPr>
              <w:pStyle w:val="ListParagraph"/>
              <w:numPr>
                <w:ilvl w:val="1"/>
                <w:numId w:val="13"/>
              </w:numPr>
              <w:spacing w:before="60" w:after="60" w:line="240" w:lineRule="auto"/>
              <w:contextualSpacing w:val="0"/>
              <w:jc w:val="both"/>
              <w:rPr>
                <w:rFonts w:ascii="Times New Roman" w:hAnsi="Times New Roman" w:cs="Times New Roman"/>
                <w:sz w:val="20"/>
                <w:szCs w:val="20"/>
              </w:rPr>
            </w:pPr>
            <w:r w:rsidRPr="00F73641">
              <w:rPr>
                <w:rFonts w:ascii="Times New Roman" w:hAnsi="Times New Roman" w:cs="Times New Roman"/>
                <w:sz w:val="20"/>
                <w:szCs w:val="20"/>
              </w:rPr>
              <w:t xml:space="preserve">Labklājības ministrijas ERAF finansējums: 5 980 458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w:t>
            </w:r>
          </w:p>
          <w:p w14:paraId="6B1B7947" w14:textId="77777777" w:rsidR="00F73641" w:rsidRPr="00F73641" w:rsidRDefault="00F73641" w:rsidP="00F73641">
            <w:pPr>
              <w:pStyle w:val="ListParagraph"/>
              <w:numPr>
                <w:ilvl w:val="1"/>
                <w:numId w:val="13"/>
              </w:numPr>
              <w:spacing w:before="60" w:after="60" w:line="240" w:lineRule="auto"/>
              <w:contextualSpacing w:val="0"/>
              <w:jc w:val="both"/>
              <w:rPr>
                <w:rFonts w:ascii="Times New Roman" w:hAnsi="Times New Roman" w:cs="Times New Roman"/>
                <w:sz w:val="20"/>
                <w:szCs w:val="20"/>
              </w:rPr>
            </w:pPr>
            <w:r w:rsidRPr="00F73641">
              <w:rPr>
                <w:rFonts w:ascii="Times New Roman" w:hAnsi="Times New Roman" w:cs="Times New Roman"/>
                <w:sz w:val="20"/>
                <w:szCs w:val="20"/>
              </w:rPr>
              <w:t xml:space="preserve">Tieslietu ministrijas ERAF finansējums: 1 902 686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w:t>
            </w:r>
          </w:p>
          <w:p w14:paraId="18087854" w14:textId="77777777" w:rsidR="00F73641" w:rsidRPr="00F73641" w:rsidRDefault="00F73641" w:rsidP="00F73641">
            <w:pPr>
              <w:pStyle w:val="ListParagraph"/>
              <w:numPr>
                <w:ilvl w:val="1"/>
                <w:numId w:val="13"/>
              </w:numPr>
              <w:spacing w:before="60" w:after="60" w:line="240" w:lineRule="auto"/>
              <w:contextualSpacing w:val="0"/>
              <w:jc w:val="both"/>
              <w:rPr>
                <w:rFonts w:ascii="Times New Roman" w:hAnsi="Times New Roman" w:cs="Times New Roman"/>
                <w:sz w:val="20"/>
                <w:szCs w:val="20"/>
              </w:rPr>
            </w:pPr>
            <w:r w:rsidRPr="00F73641">
              <w:rPr>
                <w:rFonts w:ascii="Times New Roman" w:hAnsi="Times New Roman" w:cs="Times New Roman"/>
                <w:sz w:val="20"/>
                <w:szCs w:val="20"/>
              </w:rPr>
              <w:t xml:space="preserve">Veselības ministrijas ERAF finansējums: 2 477 033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w:t>
            </w:r>
          </w:p>
          <w:p w14:paraId="17FCF8C6" w14:textId="77777777" w:rsidR="00F73641" w:rsidRPr="00F73641" w:rsidRDefault="00F73641" w:rsidP="00F73641">
            <w:pPr>
              <w:pStyle w:val="ListParagraph"/>
              <w:numPr>
                <w:ilvl w:val="1"/>
                <w:numId w:val="13"/>
              </w:numPr>
              <w:spacing w:before="60" w:after="60" w:line="240" w:lineRule="auto"/>
              <w:contextualSpacing w:val="0"/>
              <w:jc w:val="both"/>
              <w:rPr>
                <w:rFonts w:ascii="Times New Roman" w:hAnsi="Times New Roman" w:cs="Times New Roman"/>
                <w:sz w:val="20"/>
                <w:szCs w:val="20"/>
              </w:rPr>
            </w:pPr>
            <w:r w:rsidRPr="00F73641">
              <w:rPr>
                <w:rFonts w:ascii="Times New Roman" w:hAnsi="Times New Roman" w:cs="Times New Roman"/>
                <w:sz w:val="20"/>
                <w:szCs w:val="20"/>
              </w:rPr>
              <w:t xml:space="preserve">Zemkopības ministrijas ERAF finansējums: 4 226 631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w:t>
            </w:r>
          </w:p>
          <w:p w14:paraId="5EE077A1" w14:textId="77777777" w:rsidR="00F73641" w:rsidRPr="00F73641" w:rsidRDefault="00F73641" w:rsidP="00F73641">
            <w:pPr>
              <w:pStyle w:val="ListParagraph"/>
              <w:numPr>
                <w:ilvl w:val="1"/>
                <w:numId w:val="13"/>
              </w:numPr>
              <w:spacing w:before="60" w:after="60" w:line="240" w:lineRule="auto"/>
              <w:contextualSpacing w:val="0"/>
              <w:jc w:val="both"/>
              <w:rPr>
                <w:rFonts w:ascii="Times New Roman" w:hAnsi="Times New Roman" w:cs="Times New Roman"/>
                <w:sz w:val="20"/>
                <w:szCs w:val="20"/>
              </w:rPr>
            </w:pPr>
            <w:r w:rsidRPr="00F73641">
              <w:rPr>
                <w:rFonts w:ascii="Times New Roman" w:hAnsi="Times New Roman" w:cs="Times New Roman"/>
                <w:sz w:val="20"/>
                <w:szCs w:val="20"/>
              </w:rPr>
              <w:t xml:space="preserve">Valsts akciju sabiedrības “Valsts nekustamie īpašumi” ERAF finansējums: 3 073 699 </w:t>
            </w:r>
            <w:proofErr w:type="spellStart"/>
            <w:r w:rsidRPr="00F73641">
              <w:rPr>
                <w:rFonts w:ascii="Times New Roman" w:hAnsi="Times New Roman" w:cs="Times New Roman"/>
                <w:i/>
                <w:iCs/>
                <w:sz w:val="20"/>
                <w:szCs w:val="20"/>
              </w:rPr>
              <w:t>euro</w:t>
            </w:r>
            <w:proofErr w:type="spellEnd"/>
            <w:r w:rsidRPr="00F73641">
              <w:rPr>
                <w:rFonts w:ascii="Times New Roman" w:hAnsi="Times New Roman" w:cs="Times New Roman"/>
                <w:sz w:val="20"/>
                <w:szCs w:val="20"/>
              </w:rPr>
              <w:t>.</w:t>
            </w:r>
          </w:p>
          <w:p w14:paraId="0B1C8E53" w14:textId="08091A06" w:rsidR="00F73641" w:rsidRPr="00F73641" w:rsidRDefault="00F73641" w:rsidP="00F73641">
            <w:pPr>
              <w:spacing w:before="60" w:after="60"/>
              <w:rPr>
                <w:rFonts w:ascii="Times New Roman" w:hAnsi="Times New Roman" w:cs="Times New Roman"/>
                <w:color w:val="000000" w:themeColor="text1"/>
                <w:sz w:val="20"/>
                <w:szCs w:val="20"/>
              </w:rPr>
            </w:pPr>
            <w:r w:rsidRPr="00F73641">
              <w:rPr>
                <w:rFonts w:ascii="Times New Roman" w:hAnsi="Times New Roman" w:cs="Times New Roman"/>
                <w:sz w:val="20"/>
                <w:szCs w:val="20"/>
              </w:rPr>
              <w:t>Lūdzam attiecīgi precizēt arī VB un kopējo finansējumu, kā arī attiecīgi palielināt Kultūras ministrijas un Labklājības ministrijas finansējumu, ņemot vērā anotācijā norādīto nepieciešamību pēc papildus finansējuma, jo šobrīd šī summa nav iekļauta noteikumu projekta 10.punktā. Papildus vēršam uzmanību, ka noteikumu projekta 10.punktā norādītais Tieslietu ministrijai un Zemkopības ministrijai pieejamais kopējais finansējums, kas norādīts kolonnā “</w:t>
            </w:r>
            <w:r w:rsidRPr="00F73641">
              <w:rPr>
                <w:rFonts w:ascii="Times New Roman" w:hAnsi="Times New Roman" w:cs="Times New Roman"/>
                <w:color w:val="000000" w:themeColor="text1"/>
                <w:sz w:val="20"/>
                <w:szCs w:val="20"/>
              </w:rPr>
              <w:t>ERAF un valsts budžeta finansējums kopā, EUR” neatbilst ERAF un VB finansējuma summai.</w:t>
            </w:r>
          </w:p>
        </w:tc>
        <w:tc>
          <w:tcPr>
            <w:tcW w:w="712" w:type="pct"/>
            <w:tcBorders>
              <w:top w:val="outset" w:sz="6" w:space="0" w:color="414142"/>
              <w:left w:val="outset" w:sz="6" w:space="0" w:color="414142"/>
              <w:bottom w:val="outset" w:sz="6" w:space="0" w:color="414142"/>
              <w:right w:val="outset" w:sz="6" w:space="0" w:color="414142"/>
            </w:tcBorders>
          </w:tcPr>
          <w:p w14:paraId="285FC949" w14:textId="77777777" w:rsidR="00F73641" w:rsidRPr="00FD3815" w:rsidRDefault="00660409" w:rsidP="00CA06F9">
            <w:pPr>
              <w:spacing w:after="0" w:line="240" w:lineRule="auto"/>
              <w:jc w:val="center"/>
              <w:rPr>
                <w:rFonts w:ascii="Times New Roman" w:eastAsia="Times New Roman" w:hAnsi="Times New Roman" w:cs="Times New Roman"/>
                <w:b/>
                <w:bCs/>
                <w:color w:val="000000" w:themeColor="text1"/>
                <w:sz w:val="20"/>
                <w:szCs w:val="20"/>
                <w:lang w:eastAsia="lv-LV"/>
              </w:rPr>
            </w:pPr>
            <w:r w:rsidRPr="00FD3815">
              <w:rPr>
                <w:rFonts w:ascii="Times New Roman" w:eastAsia="Times New Roman" w:hAnsi="Times New Roman" w:cs="Times New Roman"/>
                <w:b/>
                <w:bCs/>
                <w:color w:val="000000" w:themeColor="text1"/>
                <w:sz w:val="20"/>
                <w:szCs w:val="20"/>
                <w:lang w:eastAsia="lv-LV"/>
              </w:rPr>
              <w:lastRenderedPageBreak/>
              <w:t>Ņemts vērā</w:t>
            </w:r>
          </w:p>
          <w:p w14:paraId="5BF8D23B" w14:textId="77777777" w:rsidR="008058FE" w:rsidRPr="00FD3815" w:rsidRDefault="008058FE" w:rsidP="00CA06F9">
            <w:pPr>
              <w:spacing w:after="0" w:line="240" w:lineRule="auto"/>
              <w:jc w:val="center"/>
              <w:rPr>
                <w:rFonts w:ascii="Times New Roman" w:eastAsia="Times New Roman" w:hAnsi="Times New Roman" w:cs="Times New Roman"/>
                <w:b/>
                <w:bCs/>
                <w:color w:val="000000" w:themeColor="text1"/>
                <w:sz w:val="20"/>
                <w:szCs w:val="20"/>
                <w:lang w:eastAsia="lv-LV"/>
              </w:rPr>
            </w:pPr>
          </w:p>
          <w:p w14:paraId="2690DD1C" w14:textId="02114F93" w:rsidR="007D4AD6" w:rsidRPr="00FD3815" w:rsidRDefault="008058FE" w:rsidP="007D4AD6">
            <w:pPr>
              <w:spacing w:after="0" w:line="240" w:lineRule="auto"/>
              <w:jc w:val="center"/>
              <w:rPr>
                <w:rFonts w:ascii="Times New Roman" w:eastAsia="Times New Roman" w:hAnsi="Times New Roman" w:cs="Times New Roman"/>
                <w:color w:val="000000" w:themeColor="text1"/>
                <w:sz w:val="20"/>
                <w:szCs w:val="20"/>
                <w:lang w:eastAsia="lv-LV"/>
              </w:rPr>
            </w:pPr>
            <w:r w:rsidRPr="00FD3815">
              <w:rPr>
                <w:rFonts w:ascii="Times New Roman" w:eastAsia="Times New Roman" w:hAnsi="Times New Roman" w:cs="Times New Roman"/>
                <w:color w:val="000000" w:themeColor="text1"/>
                <w:sz w:val="20"/>
                <w:szCs w:val="20"/>
                <w:lang w:eastAsia="lv-LV"/>
              </w:rPr>
              <w:t xml:space="preserve">Noteikumu projekts precizēts. </w:t>
            </w:r>
            <w:r w:rsidR="00FD3815" w:rsidRPr="00FD3815">
              <w:rPr>
                <w:rFonts w:ascii="Times New Roman" w:eastAsia="Times New Roman" w:hAnsi="Times New Roman" w:cs="Times New Roman"/>
                <w:color w:val="000000" w:themeColor="text1"/>
                <w:sz w:val="20"/>
                <w:szCs w:val="20"/>
                <w:lang w:eastAsia="lv-LV"/>
              </w:rPr>
              <w:t>A</w:t>
            </w:r>
            <w:r w:rsidR="00FD3815" w:rsidRPr="00FD3815">
              <w:rPr>
                <w:rFonts w:ascii="Times New Roman" w:hAnsi="Times New Roman" w:cs="Times New Roman"/>
                <w:color w:val="000000" w:themeColor="text1"/>
                <w:sz w:val="20"/>
                <w:szCs w:val="20"/>
              </w:rPr>
              <w:t>tliku</w:t>
            </w:r>
            <w:r w:rsidR="008D263C">
              <w:rPr>
                <w:rFonts w:ascii="Times New Roman" w:hAnsi="Times New Roman" w:cs="Times New Roman"/>
                <w:color w:val="000000" w:themeColor="text1"/>
                <w:sz w:val="20"/>
                <w:szCs w:val="20"/>
              </w:rPr>
              <w:t>mu</w:t>
            </w:r>
            <w:r w:rsidR="00FD3815" w:rsidRPr="00FD3815">
              <w:rPr>
                <w:rFonts w:ascii="Times New Roman" w:hAnsi="Times New Roman" w:cs="Times New Roman"/>
                <w:color w:val="000000" w:themeColor="text1"/>
                <w:sz w:val="20"/>
                <w:szCs w:val="20"/>
              </w:rPr>
              <w:t xml:space="preserve"> 3193902 EUR (ERAF 2714816; VB 479086) plānots pārdalīt </w:t>
            </w:r>
            <w:r w:rsidR="00FD3815" w:rsidRPr="00FD3815">
              <w:rPr>
                <w:rFonts w:ascii="Times New Roman" w:hAnsi="Times New Roman" w:cs="Times New Roman"/>
                <w:color w:val="000000" w:themeColor="text1"/>
                <w:sz w:val="20"/>
                <w:szCs w:val="20"/>
              </w:rPr>
              <w:lastRenderedPageBreak/>
              <w:t>4.2.1.2. pasākuma otrās iesniegumu atlases kārtas augstas gatavības projektu īstenošanai</w:t>
            </w:r>
            <w:r w:rsidR="0016735D">
              <w:rPr>
                <w:rFonts w:ascii="Times New Roman" w:hAnsi="Times New Roman" w:cs="Times New Roman"/>
                <w:color w:val="000000" w:themeColor="text1"/>
                <w:sz w:val="20"/>
                <w:szCs w:val="20"/>
              </w:rPr>
              <w:t>.</w:t>
            </w:r>
          </w:p>
          <w:p w14:paraId="618CAD1D" w14:textId="32448033" w:rsidR="008058FE" w:rsidRPr="00FD3815" w:rsidRDefault="008058FE" w:rsidP="00CA06F9">
            <w:pPr>
              <w:spacing w:after="0" w:line="240" w:lineRule="auto"/>
              <w:jc w:val="center"/>
              <w:rPr>
                <w:rFonts w:ascii="Times New Roman" w:eastAsia="Times New Roman" w:hAnsi="Times New Roman" w:cs="Times New Roman"/>
                <w:color w:val="000000" w:themeColor="text1"/>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tcPr>
          <w:p w14:paraId="035579C0" w14:textId="77777777" w:rsidR="00A95064" w:rsidRPr="00FD3815" w:rsidRDefault="00A95064" w:rsidP="00A95064">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r w:rsidRPr="00FD3815">
              <w:rPr>
                <w:rFonts w:ascii="Times New Roman" w:eastAsia="Times New Roman" w:hAnsi="Times New Roman" w:cs="Times New Roman"/>
                <w:color w:val="000000" w:themeColor="text1"/>
                <w:sz w:val="20"/>
                <w:szCs w:val="20"/>
                <w:lang w:eastAsia="lv-LV"/>
              </w:rPr>
              <w:lastRenderedPageBreak/>
              <w:t xml:space="preserve">“9. Atlases kārtas īstenošanai plānotais kopējais publiskais finansējums ir 71960978 </w:t>
            </w:r>
            <w:proofErr w:type="spellStart"/>
            <w:r w:rsidRPr="00FD3815">
              <w:rPr>
                <w:rFonts w:ascii="Times New Roman" w:eastAsia="Times New Roman" w:hAnsi="Times New Roman" w:cs="Times New Roman"/>
                <w:i/>
                <w:iCs/>
                <w:color w:val="000000" w:themeColor="text1"/>
                <w:sz w:val="20"/>
                <w:szCs w:val="20"/>
                <w:lang w:eastAsia="lv-LV"/>
              </w:rPr>
              <w:t>euro</w:t>
            </w:r>
            <w:proofErr w:type="spellEnd"/>
            <w:r w:rsidRPr="00FD3815">
              <w:rPr>
                <w:rFonts w:ascii="Times New Roman" w:eastAsia="Times New Roman" w:hAnsi="Times New Roman" w:cs="Times New Roman"/>
                <w:color w:val="000000" w:themeColor="text1"/>
                <w:sz w:val="20"/>
                <w:szCs w:val="20"/>
                <w:lang w:eastAsia="lv-LV"/>
              </w:rPr>
              <w:t xml:space="preserve">, tajā skaitā Eiropas Reģionālās attīstības fonda finansējums </w:t>
            </w:r>
            <w:r w:rsidRPr="00FD3815">
              <w:rPr>
                <w:rFonts w:ascii="Times New Roman" w:eastAsia="Times New Roman" w:hAnsi="Times New Roman" w:cs="Times New Roman"/>
                <w:i/>
                <w:iCs/>
                <w:color w:val="000000" w:themeColor="text1"/>
                <w:sz w:val="20"/>
                <w:szCs w:val="20"/>
                <w:lang w:eastAsia="lv-LV"/>
              </w:rPr>
              <w:t xml:space="preserve">61166831 </w:t>
            </w:r>
            <w:proofErr w:type="spellStart"/>
            <w:r w:rsidRPr="00FD3815">
              <w:rPr>
                <w:rFonts w:ascii="Times New Roman" w:eastAsia="Times New Roman" w:hAnsi="Times New Roman" w:cs="Times New Roman"/>
                <w:i/>
                <w:iCs/>
                <w:color w:val="000000" w:themeColor="text1"/>
                <w:sz w:val="20"/>
                <w:szCs w:val="20"/>
                <w:lang w:eastAsia="lv-LV"/>
              </w:rPr>
              <w:t>euro</w:t>
            </w:r>
            <w:proofErr w:type="spellEnd"/>
            <w:r w:rsidRPr="00FD3815">
              <w:rPr>
                <w:rFonts w:ascii="Times New Roman" w:eastAsia="Times New Roman" w:hAnsi="Times New Roman" w:cs="Times New Roman"/>
                <w:color w:val="000000" w:themeColor="text1"/>
                <w:sz w:val="20"/>
                <w:szCs w:val="20"/>
                <w:lang w:eastAsia="lv-LV"/>
              </w:rPr>
              <w:t xml:space="preserve"> un valsts budžeta finansējums 10794147 </w:t>
            </w:r>
            <w:proofErr w:type="spellStart"/>
            <w:r w:rsidRPr="00FD3815">
              <w:rPr>
                <w:rFonts w:ascii="Times New Roman" w:eastAsia="Times New Roman" w:hAnsi="Times New Roman" w:cs="Times New Roman"/>
                <w:i/>
                <w:iCs/>
                <w:color w:val="000000" w:themeColor="text1"/>
                <w:sz w:val="20"/>
                <w:szCs w:val="20"/>
                <w:lang w:eastAsia="lv-LV"/>
              </w:rPr>
              <w:t>euro</w:t>
            </w:r>
            <w:proofErr w:type="spellEnd"/>
            <w:r w:rsidRPr="00FD3815">
              <w:rPr>
                <w:rFonts w:ascii="Times New Roman" w:eastAsia="Times New Roman" w:hAnsi="Times New Roman" w:cs="Times New Roman"/>
                <w:color w:val="000000" w:themeColor="text1"/>
                <w:sz w:val="20"/>
                <w:szCs w:val="20"/>
                <w:lang w:eastAsia="lv-LV"/>
              </w:rPr>
              <w:t>."</w:t>
            </w:r>
          </w:p>
          <w:p w14:paraId="0B547967" w14:textId="77777777" w:rsidR="00F73641" w:rsidRPr="00FD3815" w:rsidRDefault="00F73641" w:rsidP="00CA06F9">
            <w:pPr>
              <w:spacing w:after="0" w:line="240" w:lineRule="auto"/>
              <w:jc w:val="both"/>
              <w:rPr>
                <w:rFonts w:ascii="Times New Roman" w:eastAsia="Times New Roman" w:hAnsi="Times New Roman" w:cs="Times New Roman"/>
                <w:color w:val="000000" w:themeColor="text1"/>
                <w:sz w:val="20"/>
                <w:szCs w:val="20"/>
                <w:lang w:eastAsia="lv-LV"/>
              </w:rPr>
            </w:pPr>
          </w:p>
          <w:p w14:paraId="2CD06A35" w14:textId="77777777" w:rsidR="00FD3815" w:rsidRPr="00FD3815" w:rsidRDefault="00FD3815" w:rsidP="00CA06F9">
            <w:pPr>
              <w:spacing w:after="0" w:line="240" w:lineRule="auto"/>
              <w:jc w:val="both"/>
              <w:rPr>
                <w:rFonts w:ascii="Times New Roman" w:eastAsia="Times New Roman" w:hAnsi="Times New Roman" w:cs="Times New Roman"/>
                <w:color w:val="000000" w:themeColor="text1"/>
                <w:sz w:val="20"/>
                <w:szCs w:val="20"/>
                <w:lang w:eastAsia="lv-LV"/>
              </w:rPr>
            </w:pPr>
          </w:p>
          <w:p w14:paraId="6CDA1CC1" w14:textId="42C22348" w:rsidR="00FD3815" w:rsidRPr="00FD3815" w:rsidRDefault="00FD3815" w:rsidP="00CA06F9">
            <w:pPr>
              <w:spacing w:after="0" w:line="240" w:lineRule="auto"/>
              <w:jc w:val="both"/>
              <w:rPr>
                <w:rFonts w:ascii="Times New Roman" w:eastAsia="Times New Roman" w:hAnsi="Times New Roman" w:cs="Times New Roman"/>
                <w:color w:val="000000" w:themeColor="text1"/>
                <w:sz w:val="20"/>
                <w:szCs w:val="20"/>
                <w:lang w:eastAsia="lv-LV"/>
              </w:rPr>
            </w:pPr>
          </w:p>
        </w:tc>
      </w:tr>
      <w:tr w:rsidR="00F73641" w:rsidRPr="00574613" w14:paraId="2699276F"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3D7FECE" w14:textId="22D8948A" w:rsidR="00F73641" w:rsidRDefault="007030BB"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1</w:t>
            </w:r>
          </w:p>
        </w:tc>
        <w:tc>
          <w:tcPr>
            <w:tcW w:w="663" w:type="pct"/>
            <w:tcBorders>
              <w:top w:val="outset" w:sz="6" w:space="0" w:color="414142"/>
              <w:left w:val="outset" w:sz="6" w:space="0" w:color="414142"/>
              <w:bottom w:val="outset" w:sz="6" w:space="0" w:color="414142"/>
              <w:right w:val="outset" w:sz="6" w:space="0" w:color="414142"/>
            </w:tcBorders>
          </w:tcPr>
          <w:p w14:paraId="40571621" w14:textId="77777777" w:rsidR="00F73641" w:rsidRPr="004B6D91" w:rsidRDefault="00F73641"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363C1108" w14:textId="77777777" w:rsidR="00DC6B73" w:rsidRPr="00DC6B73" w:rsidRDefault="00F73641" w:rsidP="00DC6B73">
            <w:pPr>
              <w:spacing w:after="200" w:line="276" w:lineRule="auto"/>
              <w:jc w:val="center"/>
              <w:rPr>
                <w:rFonts w:ascii="Times New Roman" w:hAnsi="Times New Roman" w:cs="Times New Roman"/>
                <w:b/>
                <w:bCs/>
                <w:sz w:val="20"/>
                <w:szCs w:val="20"/>
              </w:rPr>
            </w:pPr>
            <w:r w:rsidRPr="00DC6B73">
              <w:rPr>
                <w:rFonts w:ascii="Times New Roman" w:hAnsi="Times New Roman" w:cs="Times New Roman"/>
                <w:b/>
                <w:bCs/>
                <w:sz w:val="20"/>
                <w:szCs w:val="20"/>
              </w:rPr>
              <w:t>Finanšu ministrija</w:t>
            </w:r>
          </w:p>
          <w:p w14:paraId="55F35562" w14:textId="77777777" w:rsidR="00F73641" w:rsidRDefault="00DC6B73" w:rsidP="00DC6B73">
            <w:pPr>
              <w:spacing w:after="200" w:line="276" w:lineRule="auto"/>
              <w:jc w:val="center"/>
              <w:rPr>
                <w:rFonts w:ascii="Times New Roman" w:hAnsi="Times New Roman" w:cs="Times New Roman"/>
                <w:sz w:val="20"/>
                <w:szCs w:val="20"/>
              </w:rPr>
            </w:pPr>
            <w:r w:rsidRPr="00DC6B73">
              <w:rPr>
                <w:rFonts w:ascii="Times New Roman" w:hAnsi="Times New Roman" w:cs="Times New Roman"/>
                <w:sz w:val="20"/>
                <w:szCs w:val="20"/>
              </w:rPr>
              <w:t xml:space="preserve">Uz 2021.gada 29.aprīli kopējie 4.2.1.2.pasākuma 1.kārtas projektu ietaupījumi un neatbilstoši veiktie izdevumi, kas ir atskaitīti no projektu attiecināmajām izmaksā, un kurus nevar izmantot un pārdalīt citiem projektiem/darbībām (atbilstoši 2020.gada 22.septembra </w:t>
            </w:r>
            <w:proofErr w:type="spellStart"/>
            <w:r w:rsidRPr="00DC6B73">
              <w:rPr>
                <w:rFonts w:ascii="Times New Roman" w:hAnsi="Times New Roman" w:cs="Times New Roman"/>
                <w:sz w:val="20"/>
                <w:szCs w:val="20"/>
              </w:rPr>
              <w:t>protokollēmuma</w:t>
            </w:r>
            <w:proofErr w:type="spellEnd"/>
            <w:r w:rsidRPr="00DC6B73">
              <w:rPr>
                <w:rFonts w:ascii="Times New Roman" w:hAnsi="Times New Roman" w:cs="Times New Roman"/>
                <w:sz w:val="20"/>
                <w:szCs w:val="20"/>
              </w:rPr>
              <w:t xml:space="preserve"> 30.paragrāfa 2.1.apakšpunktam) sastāda 326 953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 xml:space="preserve"> </w:t>
            </w:r>
            <w:r w:rsidRPr="00DC6B73">
              <w:rPr>
                <w:rFonts w:ascii="Times New Roman" w:hAnsi="Times New Roman" w:cs="Times New Roman"/>
                <w:sz w:val="20"/>
                <w:szCs w:val="20"/>
              </w:rPr>
              <w:lastRenderedPageBreak/>
              <w:t>(ERAF), līdz ar to lūdzam šo summu nepārdalīt uz 2.kārtu, bet gan atstāt 1.kārtas kopējā finansējumā</w:t>
            </w:r>
            <w:r>
              <w:rPr>
                <w:rFonts w:ascii="Times New Roman" w:hAnsi="Times New Roman" w:cs="Times New Roman"/>
                <w:sz w:val="20"/>
                <w:szCs w:val="20"/>
              </w:rPr>
              <w:t>.</w:t>
            </w:r>
          </w:p>
          <w:p w14:paraId="198508BB" w14:textId="77777777" w:rsidR="00DC6B73" w:rsidRDefault="00DC6B73" w:rsidP="00DC6B73">
            <w:pPr>
              <w:spacing w:after="200" w:line="276" w:lineRule="auto"/>
              <w:jc w:val="center"/>
              <w:rPr>
                <w:rFonts w:ascii="Times New Roman" w:hAnsi="Times New Roman" w:cs="Times New Roman"/>
                <w:sz w:val="20"/>
                <w:szCs w:val="20"/>
              </w:rPr>
            </w:pPr>
          </w:p>
          <w:p w14:paraId="67F8BC0A" w14:textId="731F7980" w:rsidR="00DC6B73" w:rsidRPr="00DC6B73" w:rsidRDefault="00DC6B73" w:rsidP="00DC6B73">
            <w:pPr>
              <w:spacing w:after="200" w:line="276" w:lineRule="auto"/>
              <w:jc w:val="center"/>
              <w:rPr>
                <w:rFonts w:ascii="Times New Roman" w:hAnsi="Times New Roman" w:cs="Times New Roman"/>
                <w:sz w:val="20"/>
                <w:szCs w:val="20"/>
              </w:rPr>
            </w:pPr>
          </w:p>
        </w:tc>
        <w:tc>
          <w:tcPr>
            <w:tcW w:w="712" w:type="pct"/>
            <w:tcBorders>
              <w:top w:val="outset" w:sz="6" w:space="0" w:color="414142"/>
              <w:left w:val="outset" w:sz="6" w:space="0" w:color="414142"/>
              <w:bottom w:val="outset" w:sz="6" w:space="0" w:color="414142"/>
              <w:right w:val="outset" w:sz="6" w:space="0" w:color="414142"/>
            </w:tcBorders>
          </w:tcPr>
          <w:p w14:paraId="50AF15C6" w14:textId="77777777" w:rsidR="00F73641"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lastRenderedPageBreak/>
              <w:t>Ņemts vērā</w:t>
            </w:r>
          </w:p>
          <w:p w14:paraId="13F39B78" w14:textId="77777777" w:rsidR="00BD7C68" w:rsidRDefault="00BD7C68" w:rsidP="00CA06F9">
            <w:pPr>
              <w:spacing w:after="0" w:line="240" w:lineRule="auto"/>
              <w:jc w:val="center"/>
              <w:rPr>
                <w:rFonts w:ascii="Times New Roman" w:eastAsia="Times New Roman" w:hAnsi="Times New Roman" w:cs="Times New Roman"/>
                <w:b/>
                <w:bCs/>
                <w:sz w:val="20"/>
                <w:szCs w:val="20"/>
                <w:lang w:eastAsia="lv-LV"/>
              </w:rPr>
            </w:pPr>
          </w:p>
          <w:p w14:paraId="4C52B37C" w14:textId="700CB7D4" w:rsidR="00BD7C68" w:rsidRPr="00BD7C68" w:rsidRDefault="00BD7C68" w:rsidP="00BD7C6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projekts precizēts, summa iekļauta pirmās kārtas kopējā finansējumā.</w:t>
            </w:r>
          </w:p>
        </w:tc>
        <w:tc>
          <w:tcPr>
            <w:tcW w:w="1698" w:type="pct"/>
            <w:tcBorders>
              <w:top w:val="outset" w:sz="6" w:space="0" w:color="414142"/>
              <w:left w:val="outset" w:sz="6" w:space="0" w:color="414142"/>
              <w:bottom w:val="outset" w:sz="6" w:space="0" w:color="414142"/>
              <w:right w:val="outset" w:sz="6" w:space="0" w:color="414142"/>
            </w:tcBorders>
          </w:tcPr>
          <w:p w14:paraId="70E0F2F0" w14:textId="77777777" w:rsidR="00F73641" w:rsidRDefault="00F73641" w:rsidP="00CA06F9">
            <w:pPr>
              <w:spacing w:after="0" w:line="240" w:lineRule="auto"/>
              <w:jc w:val="both"/>
              <w:rPr>
                <w:rFonts w:ascii="Times New Roman" w:eastAsia="Times New Roman" w:hAnsi="Times New Roman" w:cs="Times New Roman"/>
                <w:sz w:val="20"/>
                <w:szCs w:val="20"/>
                <w:lang w:eastAsia="lv-LV"/>
              </w:rPr>
            </w:pPr>
          </w:p>
          <w:p w14:paraId="1BBC6C73" w14:textId="01ECB4CE" w:rsidR="00BD7C68" w:rsidRPr="004B6D91" w:rsidRDefault="00BD7C68" w:rsidP="000A6FB1">
            <w:pPr>
              <w:shd w:val="clear" w:color="auto" w:fill="FFFFFF"/>
              <w:spacing w:after="0" w:line="240" w:lineRule="auto"/>
              <w:jc w:val="both"/>
              <w:rPr>
                <w:rFonts w:ascii="Times New Roman" w:eastAsia="Times New Roman" w:hAnsi="Times New Roman" w:cs="Times New Roman"/>
                <w:sz w:val="20"/>
                <w:szCs w:val="20"/>
                <w:lang w:eastAsia="lv-LV"/>
              </w:rPr>
            </w:pPr>
          </w:p>
        </w:tc>
      </w:tr>
      <w:tr w:rsidR="00F73641" w:rsidRPr="00574613" w14:paraId="5830C36F"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238FC9B8" w14:textId="77777777" w:rsidR="00F73641" w:rsidRDefault="00F73641" w:rsidP="00CA06F9">
            <w:pPr>
              <w:spacing w:after="0" w:line="240" w:lineRule="auto"/>
              <w:jc w:val="center"/>
              <w:rPr>
                <w:rFonts w:ascii="Times New Roman" w:eastAsia="Times New Roman" w:hAnsi="Times New Roman" w:cs="Times New Roman"/>
                <w:sz w:val="20"/>
                <w:szCs w:val="20"/>
                <w:lang w:eastAsia="lv-LV"/>
              </w:rPr>
            </w:pPr>
          </w:p>
        </w:tc>
        <w:tc>
          <w:tcPr>
            <w:tcW w:w="663" w:type="pct"/>
            <w:tcBorders>
              <w:top w:val="outset" w:sz="6" w:space="0" w:color="414142"/>
              <w:left w:val="outset" w:sz="6" w:space="0" w:color="414142"/>
              <w:bottom w:val="outset" w:sz="6" w:space="0" w:color="414142"/>
              <w:right w:val="outset" w:sz="6" w:space="0" w:color="414142"/>
            </w:tcBorders>
          </w:tcPr>
          <w:p w14:paraId="5E3A55A8" w14:textId="77777777" w:rsidR="00F73641" w:rsidRPr="004B6D91" w:rsidRDefault="00F73641"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7EF5089C" w14:textId="0E273D44" w:rsidR="00F73641" w:rsidRPr="00005B48" w:rsidRDefault="00DC6B73" w:rsidP="00F73641">
            <w:pPr>
              <w:spacing w:after="200" w:line="276" w:lineRule="auto"/>
              <w:jc w:val="center"/>
              <w:rPr>
                <w:rFonts w:ascii="Times New Roman" w:hAnsi="Times New Roman" w:cs="Times New Roman"/>
                <w:b/>
                <w:bCs/>
                <w:sz w:val="24"/>
                <w:szCs w:val="24"/>
              </w:rPr>
            </w:pPr>
            <w:r w:rsidRPr="00005B48">
              <w:rPr>
                <w:rFonts w:ascii="Times New Roman" w:hAnsi="Times New Roman" w:cs="Times New Roman"/>
                <w:b/>
                <w:bCs/>
                <w:sz w:val="24"/>
                <w:szCs w:val="24"/>
              </w:rPr>
              <w:t xml:space="preserve">Priekšlikumi </w:t>
            </w:r>
            <w:r w:rsidR="00005B48">
              <w:rPr>
                <w:rFonts w:ascii="Times New Roman" w:hAnsi="Times New Roman" w:cs="Times New Roman"/>
                <w:b/>
                <w:bCs/>
                <w:sz w:val="24"/>
                <w:szCs w:val="24"/>
              </w:rPr>
              <w:t>27.04.2021.</w:t>
            </w:r>
          </w:p>
        </w:tc>
        <w:tc>
          <w:tcPr>
            <w:tcW w:w="712" w:type="pct"/>
            <w:tcBorders>
              <w:top w:val="outset" w:sz="6" w:space="0" w:color="414142"/>
              <w:left w:val="outset" w:sz="6" w:space="0" w:color="414142"/>
              <w:bottom w:val="outset" w:sz="6" w:space="0" w:color="414142"/>
              <w:right w:val="outset" w:sz="6" w:space="0" w:color="414142"/>
            </w:tcBorders>
          </w:tcPr>
          <w:p w14:paraId="19584F2C" w14:textId="77777777" w:rsidR="00F73641" w:rsidRPr="00E17183" w:rsidRDefault="00F73641" w:rsidP="00CA06F9">
            <w:pPr>
              <w:spacing w:after="0" w:line="240" w:lineRule="auto"/>
              <w:jc w:val="center"/>
              <w:rPr>
                <w:rFonts w:ascii="Times New Roman" w:eastAsia="Times New Roman" w:hAnsi="Times New Roman" w:cs="Times New Roman"/>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tcPr>
          <w:p w14:paraId="6BE20042" w14:textId="77777777" w:rsidR="00F73641" w:rsidRPr="004B6D91" w:rsidRDefault="00F73641" w:rsidP="00CA06F9">
            <w:pPr>
              <w:spacing w:after="0" w:line="240" w:lineRule="auto"/>
              <w:jc w:val="both"/>
              <w:rPr>
                <w:rFonts w:ascii="Times New Roman" w:eastAsia="Times New Roman" w:hAnsi="Times New Roman" w:cs="Times New Roman"/>
                <w:sz w:val="20"/>
                <w:szCs w:val="20"/>
                <w:lang w:eastAsia="lv-LV"/>
              </w:rPr>
            </w:pPr>
          </w:p>
        </w:tc>
      </w:tr>
      <w:tr w:rsidR="00F73641" w:rsidRPr="00574613" w14:paraId="4C11871C"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2C453321" w14:textId="1D4D260C" w:rsidR="00F73641" w:rsidRDefault="007030BB"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2</w:t>
            </w:r>
          </w:p>
        </w:tc>
        <w:tc>
          <w:tcPr>
            <w:tcW w:w="663" w:type="pct"/>
            <w:tcBorders>
              <w:top w:val="outset" w:sz="6" w:space="0" w:color="414142"/>
              <w:left w:val="outset" w:sz="6" w:space="0" w:color="414142"/>
              <w:bottom w:val="outset" w:sz="6" w:space="0" w:color="414142"/>
              <w:right w:val="outset" w:sz="6" w:space="0" w:color="414142"/>
            </w:tcBorders>
          </w:tcPr>
          <w:p w14:paraId="75C747F6" w14:textId="77777777" w:rsidR="00F73641" w:rsidRPr="004B6D91" w:rsidRDefault="00F73641"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B8729A2" w14:textId="634135F3" w:rsidR="00F73641" w:rsidRDefault="00DC6B73" w:rsidP="00F73641">
            <w:pPr>
              <w:spacing w:after="200" w:line="276" w:lineRule="auto"/>
              <w:jc w:val="center"/>
              <w:rPr>
                <w:rFonts w:ascii="Times New Roman" w:hAnsi="Times New Roman" w:cs="Times New Roman"/>
                <w:b/>
                <w:bCs/>
                <w:sz w:val="20"/>
                <w:szCs w:val="20"/>
              </w:rPr>
            </w:pPr>
            <w:r>
              <w:rPr>
                <w:rFonts w:ascii="Times New Roman" w:hAnsi="Times New Roman" w:cs="Times New Roman"/>
                <w:b/>
                <w:bCs/>
                <w:sz w:val="20"/>
                <w:szCs w:val="20"/>
              </w:rPr>
              <w:t>Finanšu ministrija</w:t>
            </w:r>
          </w:p>
          <w:p w14:paraId="6DB26FE8" w14:textId="77777777" w:rsidR="00DC6B73" w:rsidRPr="00DC6B73" w:rsidRDefault="00DC6B73" w:rsidP="00DC6B73">
            <w:pPr>
              <w:spacing w:before="60" w:after="60" w:line="240" w:lineRule="auto"/>
              <w:jc w:val="both"/>
              <w:rPr>
                <w:rFonts w:ascii="Times New Roman" w:hAnsi="Times New Roman" w:cs="Times New Roman"/>
                <w:sz w:val="20"/>
                <w:szCs w:val="20"/>
              </w:rPr>
            </w:pPr>
            <w:r w:rsidRPr="00DC6B73">
              <w:rPr>
                <w:rFonts w:ascii="Times New Roman" w:hAnsi="Times New Roman" w:cs="Times New Roman"/>
                <w:sz w:val="20"/>
                <w:szCs w:val="20"/>
              </w:rPr>
              <w:t xml:space="preserve">Ņemot vērā katrai ministrijai piešķirto kvotu un kopējās projektu summas, lūdzam anotācijā precizēt informāciju, sekojošu ministriju kvotu atlikumus norādot šādi: </w:t>
            </w:r>
          </w:p>
          <w:p w14:paraId="717C0D71" w14:textId="77777777" w:rsidR="00DC6B73" w:rsidRPr="00DC6B73" w:rsidRDefault="00DC6B73" w:rsidP="00DC6B73">
            <w:pPr>
              <w:pStyle w:val="ListParagraph"/>
              <w:numPr>
                <w:ilvl w:val="1"/>
                <w:numId w:val="14"/>
              </w:numPr>
              <w:spacing w:before="60" w:after="60" w:line="240" w:lineRule="auto"/>
              <w:contextualSpacing w:val="0"/>
              <w:jc w:val="both"/>
              <w:rPr>
                <w:rFonts w:ascii="Times New Roman" w:hAnsi="Times New Roman" w:cs="Times New Roman"/>
                <w:sz w:val="20"/>
                <w:szCs w:val="20"/>
              </w:rPr>
            </w:pPr>
            <w:proofErr w:type="spellStart"/>
            <w:r w:rsidRPr="00DC6B73">
              <w:rPr>
                <w:rFonts w:ascii="Times New Roman" w:hAnsi="Times New Roman" w:cs="Times New Roman"/>
                <w:sz w:val="20"/>
                <w:szCs w:val="20"/>
              </w:rPr>
              <w:t>Iekšlietu</w:t>
            </w:r>
            <w:proofErr w:type="spellEnd"/>
            <w:r w:rsidRPr="00DC6B73">
              <w:rPr>
                <w:rFonts w:ascii="Times New Roman" w:hAnsi="Times New Roman" w:cs="Times New Roman"/>
                <w:sz w:val="20"/>
                <w:szCs w:val="20"/>
              </w:rPr>
              <w:t xml:space="preserve"> ministrija ERAF 976 906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w:t>
            </w:r>
          </w:p>
          <w:p w14:paraId="3F1C9320" w14:textId="77777777" w:rsidR="00DC6B73" w:rsidRPr="00DC6B73" w:rsidRDefault="00DC6B73" w:rsidP="00DC6B73">
            <w:pPr>
              <w:pStyle w:val="ListParagraph"/>
              <w:numPr>
                <w:ilvl w:val="1"/>
                <w:numId w:val="14"/>
              </w:numPr>
              <w:spacing w:before="60" w:after="60" w:line="240" w:lineRule="auto"/>
              <w:contextualSpacing w:val="0"/>
              <w:jc w:val="both"/>
              <w:rPr>
                <w:rFonts w:ascii="Times New Roman" w:hAnsi="Times New Roman" w:cs="Times New Roman"/>
                <w:sz w:val="20"/>
                <w:szCs w:val="20"/>
              </w:rPr>
            </w:pPr>
            <w:r w:rsidRPr="00DC6B73">
              <w:rPr>
                <w:rFonts w:ascii="Times New Roman" w:hAnsi="Times New Roman" w:cs="Times New Roman"/>
                <w:sz w:val="20"/>
                <w:szCs w:val="20"/>
              </w:rPr>
              <w:t xml:space="preserve">Izglītības un zinātnes ministrija ERAF 1 232 376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w:t>
            </w:r>
          </w:p>
          <w:p w14:paraId="4644FBD4" w14:textId="77777777" w:rsidR="00DC6B73" w:rsidRPr="00DC6B73" w:rsidRDefault="00DC6B73" w:rsidP="00DC6B73">
            <w:pPr>
              <w:pStyle w:val="ListParagraph"/>
              <w:numPr>
                <w:ilvl w:val="1"/>
                <w:numId w:val="14"/>
              </w:numPr>
              <w:spacing w:before="60" w:after="60" w:line="240" w:lineRule="auto"/>
              <w:contextualSpacing w:val="0"/>
              <w:jc w:val="both"/>
              <w:rPr>
                <w:rFonts w:ascii="Times New Roman" w:hAnsi="Times New Roman" w:cs="Times New Roman"/>
                <w:sz w:val="20"/>
                <w:szCs w:val="20"/>
              </w:rPr>
            </w:pPr>
            <w:r w:rsidRPr="00DC6B73">
              <w:rPr>
                <w:rFonts w:ascii="Times New Roman" w:hAnsi="Times New Roman" w:cs="Times New Roman"/>
                <w:sz w:val="20"/>
                <w:szCs w:val="20"/>
              </w:rPr>
              <w:t xml:space="preserve">Labklājības ministrija ERAF 54 425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w:t>
            </w:r>
          </w:p>
          <w:p w14:paraId="5F7DDF9C" w14:textId="77777777" w:rsidR="00DC6B73" w:rsidRPr="00DC6B73" w:rsidRDefault="00DC6B73" w:rsidP="00DC6B73">
            <w:pPr>
              <w:pStyle w:val="ListParagraph"/>
              <w:numPr>
                <w:ilvl w:val="1"/>
                <w:numId w:val="14"/>
              </w:numPr>
              <w:spacing w:before="60" w:after="60" w:line="240" w:lineRule="auto"/>
              <w:contextualSpacing w:val="0"/>
              <w:jc w:val="both"/>
              <w:rPr>
                <w:rFonts w:ascii="Times New Roman" w:hAnsi="Times New Roman" w:cs="Times New Roman"/>
                <w:sz w:val="20"/>
                <w:szCs w:val="20"/>
              </w:rPr>
            </w:pPr>
            <w:r w:rsidRPr="00DC6B73">
              <w:rPr>
                <w:rFonts w:ascii="Times New Roman" w:hAnsi="Times New Roman" w:cs="Times New Roman"/>
                <w:sz w:val="20"/>
                <w:szCs w:val="20"/>
              </w:rPr>
              <w:t xml:space="preserve">Tieslietu ministrija ERAF 46 808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w:t>
            </w:r>
          </w:p>
          <w:p w14:paraId="7AF85D94" w14:textId="77777777" w:rsidR="00DC6B73" w:rsidRPr="00DC6B73" w:rsidRDefault="00DC6B73" w:rsidP="00DC6B73">
            <w:pPr>
              <w:pStyle w:val="ListParagraph"/>
              <w:numPr>
                <w:ilvl w:val="1"/>
                <w:numId w:val="14"/>
              </w:numPr>
              <w:spacing w:before="60" w:after="60" w:line="240" w:lineRule="auto"/>
              <w:contextualSpacing w:val="0"/>
              <w:jc w:val="both"/>
              <w:rPr>
                <w:rFonts w:ascii="Times New Roman" w:hAnsi="Times New Roman" w:cs="Times New Roman"/>
                <w:sz w:val="20"/>
                <w:szCs w:val="20"/>
              </w:rPr>
            </w:pPr>
            <w:r w:rsidRPr="00DC6B73">
              <w:rPr>
                <w:rFonts w:ascii="Times New Roman" w:hAnsi="Times New Roman" w:cs="Times New Roman"/>
                <w:sz w:val="20"/>
                <w:szCs w:val="20"/>
              </w:rPr>
              <w:t xml:space="preserve">Veselības ministrija ERAF 5 953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w:t>
            </w:r>
          </w:p>
          <w:p w14:paraId="252AE4EA" w14:textId="77777777" w:rsidR="00DC6B73" w:rsidRPr="00DC6B73" w:rsidRDefault="00DC6B73" w:rsidP="00DC6B73">
            <w:pPr>
              <w:pStyle w:val="ListParagraph"/>
              <w:numPr>
                <w:ilvl w:val="1"/>
                <w:numId w:val="14"/>
              </w:numPr>
              <w:spacing w:before="60" w:after="60" w:line="240" w:lineRule="auto"/>
              <w:contextualSpacing w:val="0"/>
              <w:jc w:val="both"/>
              <w:rPr>
                <w:rFonts w:ascii="Times New Roman" w:hAnsi="Times New Roman" w:cs="Times New Roman"/>
                <w:sz w:val="20"/>
                <w:szCs w:val="20"/>
              </w:rPr>
            </w:pPr>
            <w:r w:rsidRPr="00DC6B73">
              <w:rPr>
                <w:rFonts w:ascii="Times New Roman" w:hAnsi="Times New Roman" w:cs="Times New Roman"/>
                <w:sz w:val="20"/>
                <w:szCs w:val="20"/>
              </w:rPr>
              <w:t xml:space="preserve">Vides aizsardzības ministrija ERAF 14 886 </w:t>
            </w:r>
            <w:proofErr w:type="spellStart"/>
            <w:r w:rsidRPr="00DC6B73">
              <w:rPr>
                <w:rFonts w:ascii="Times New Roman" w:hAnsi="Times New Roman" w:cs="Times New Roman"/>
                <w:i/>
                <w:iCs/>
                <w:sz w:val="20"/>
                <w:szCs w:val="20"/>
              </w:rPr>
              <w:t>euro</w:t>
            </w:r>
            <w:proofErr w:type="spellEnd"/>
            <w:r w:rsidRPr="00DC6B73">
              <w:rPr>
                <w:rFonts w:ascii="Times New Roman" w:hAnsi="Times New Roman" w:cs="Times New Roman"/>
                <w:sz w:val="20"/>
                <w:szCs w:val="20"/>
              </w:rPr>
              <w:t>;</w:t>
            </w:r>
          </w:p>
          <w:p w14:paraId="79209370" w14:textId="23440B72" w:rsidR="00DC6B73" w:rsidRPr="00DC6B73" w:rsidRDefault="00DC6B73" w:rsidP="00DC6B73">
            <w:pPr>
              <w:spacing w:after="200" w:line="276" w:lineRule="auto"/>
              <w:jc w:val="center"/>
              <w:rPr>
                <w:rFonts w:ascii="Times New Roman" w:hAnsi="Times New Roman" w:cs="Times New Roman"/>
                <w:b/>
                <w:bCs/>
                <w:sz w:val="20"/>
                <w:szCs w:val="20"/>
              </w:rPr>
            </w:pPr>
            <w:r w:rsidRPr="00DC6B73">
              <w:rPr>
                <w:rFonts w:ascii="Times New Roman" w:hAnsi="Times New Roman" w:cs="Times New Roman"/>
                <w:sz w:val="20"/>
                <w:szCs w:val="20"/>
              </w:rPr>
              <w:t xml:space="preserve">Zemkopības ministrija ERAF 725 064 </w:t>
            </w:r>
            <w:proofErr w:type="spellStart"/>
            <w:r w:rsidRPr="00DC6B73">
              <w:rPr>
                <w:rFonts w:ascii="Times New Roman" w:hAnsi="Times New Roman" w:cs="Times New Roman"/>
                <w:i/>
                <w:iCs/>
                <w:sz w:val="20"/>
                <w:szCs w:val="20"/>
              </w:rPr>
              <w:t>euro</w:t>
            </w:r>
            <w:proofErr w:type="spellEnd"/>
          </w:p>
        </w:tc>
        <w:tc>
          <w:tcPr>
            <w:tcW w:w="712" w:type="pct"/>
            <w:tcBorders>
              <w:top w:val="outset" w:sz="6" w:space="0" w:color="414142"/>
              <w:left w:val="outset" w:sz="6" w:space="0" w:color="414142"/>
              <w:bottom w:val="outset" w:sz="6" w:space="0" w:color="414142"/>
              <w:right w:val="outset" w:sz="6" w:space="0" w:color="414142"/>
            </w:tcBorders>
          </w:tcPr>
          <w:p w14:paraId="7A9F8404" w14:textId="77777777" w:rsidR="00F73641"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t>Ņemts vērā</w:t>
            </w:r>
          </w:p>
          <w:p w14:paraId="7903F46E" w14:textId="77777777" w:rsidR="000A6FB1" w:rsidRDefault="000A6FB1" w:rsidP="00CA06F9">
            <w:pPr>
              <w:spacing w:after="0" w:line="240" w:lineRule="auto"/>
              <w:jc w:val="center"/>
              <w:rPr>
                <w:rFonts w:ascii="Times New Roman" w:eastAsia="Times New Roman" w:hAnsi="Times New Roman" w:cs="Times New Roman"/>
                <w:b/>
                <w:bCs/>
                <w:sz w:val="20"/>
                <w:szCs w:val="20"/>
                <w:lang w:eastAsia="lv-LV"/>
              </w:rPr>
            </w:pPr>
          </w:p>
          <w:p w14:paraId="71C51F41" w14:textId="0A0572C1" w:rsidR="000A6FB1" w:rsidRPr="000A6FB1" w:rsidRDefault="000A6FB1" w:rsidP="00CA06F9">
            <w:pPr>
              <w:spacing w:after="0" w:line="240" w:lineRule="auto"/>
              <w:jc w:val="center"/>
              <w:rPr>
                <w:rFonts w:ascii="Times New Roman" w:eastAsia="Times New Roman" w:hAnsi="Times New Roman" w:cs="Times New Roman"/>
                <w:sz w:val="20"/>
                <w:szCs w:val="20"/>
                <w:lang w:eastAsia="lv-LV"/>
              </w:rPr>
            </w:pPr>
            <w:r w:rsidRPr="000A6FB1">
              <w:rPr>
                <w:rFonts w:ascii="Times New Roman" w:eastAsia="Times New Roman" w:hAnsi="Times New Roman" w:cs="Times New Roman"/>
                <w:sz w:val="20"/>
                <w:szCs w:val="20"/>
                <w:lang w:eastAsia="lv-LV"/>
              </w:rPr>
              <w:t>A</w:t>
            </w:r>
            <w:r>
              <w:rPr>
                <w:rFonts w:ascii="Times New Roman" w:eastAsia="Times New Roman" w:hAnsi="Times New Roman" w:cs="Times New Roman"/>
                <w:sz w:val="20"/>
                <w:szCs w:val="20"/>
                <w:lang w:eastAsia="lv-LV"/>
              </w:rPr>
              <w:t>notācijā ministriju a</w:t>
            </w:r>
            <w:r w:rsidRPr="000A6FB1">
              <w:rPr>
                <w:rFonts w:ascii="Times New Roman" w:eastAsia="Times New Roman" w:hAnsi="Times New Roman" w:cs="Times New Roman"/>
                <w:sz w:val="20"/>
                <w:szCs w:val="20"/>
                <w:lang w:eastAsia="lv-LV"/>
              </w:rPr>
              <w:t>tlikumi precizēti.</w:t>
            </w:r>
          </w:p>
        </w:tc>
        <w:tc>
          <w:tcPr>
            <w:tcW w:w="1698" w:type="pct"/>
            <w:tcBorders>
              <w:top w:val="outset" w:sz="6" w:space="0" w:color="414142"/>
              <w:left w:val="outset" w:sz="6" w:space="0" w:color="414142"/>
              <w:bottom w:val="outset" w:sz="6" w:space="0" w:color="414142"/>
              <w:right w:val="outset" w:sz="6" w:space="0" w:color="414142"/>
            </w:tcBorders>
          </w:tcPr>
          <w:p w14:paraId="404593AD"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sz w:val="20"/>
                <w:szCs w:val="20"/>
              </w:rPr>
            </w:pPr>
            <w:r w:rsidRPr="00392FEF">
              <w:rPr>
                <w:rFonts w:ascii="Times New Roman" w:hAnsi="Times New Roman"/>
                <w:sz w:val="20"/>
                <w:szCs w:val="20"/>
              </w:rPr>
              <w:t>Aizsardzības ministrija 272 415 EUR (ERAF 231553;VB 40862);</w:t>
            </w:r>
          </w:p>
          <w:p w14:paraId="483F17E2"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color w:val="000000" w:themeColor="text1"/>
                <w:sz w:val="20"/>
                <w:szCs w:val="20"/>
              </w:rPr>
            </w:pPr>
            <w:proofErr w:type="spellStart"/>
            <w:r w:rsidRPr="00392FEF">
              <w:rPr>
                <w:rFonts w:ascii="Times New Roman" w:hAnsi="Times New Roman"/>
                <w:sz w:val="20"/>
                <w:szCs w:val="20"/>
              </w:rPr>
              <w:t>Iekšlietu</w:t>
            </w:r>
            <w:proofErr w:type="spellEnd"/>
            <w:r w:rsidRPr="00392FEF">
              <w:rPr>
                <w:rFonts w:ascii="Times New Roman" w:hAnsi="Times New Roman"/>
                <w:sz w:val="20"/>
                <w:szCs w:val="20"/>
              </w:rPr>
              <w:t xml:space="preserve"> ministrija</w:t>
            </w:r>
            <w:r w:rsidRPr="00392FEF">
              <w:rPr>
                <w:rFonts w:ascii="Times New Roman" w:hAnsi="Times New Roman"/>
                <w:color w:val="000000" w:themeColor="text1"/>
                <w:sz w:val="20"/>
                <w:szCs w:val="20"/>
              </w:rPr>
              <w:t xml:space="preserve"> 1149302 EUR ( ERAF 976906; VB 172396 );</w:t>
            </w:r>
          </w:p>
          <w:p w14:paraId="3784103E"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strike/>
                <w:color w:val="000000" w:themeColor="text1"/>
                <w:sz w:val="20"/>
                <w:szCs w:val="20"/>
              </w:rPr>
            </w:pPr>
            <w:r w:rsidRPr="00392FEF">
              <w:rPr>
                <w:rFonts w:ascii="Times New Roman" w:hAnsi="Times New Roman"/>
                <w:color w:val="000000" w:themeColor="text1"/>
                <w:sz w:val="20"/>
                <w:szCs w:val="20"/>
              </w:rPr>
              <w:t>Izglītības un zinātnes ministrija 1449853 EUR (ERAF1232375;VB 217478);</w:t>
            </w:r>
          </w:p>
          <w:p w14:paraId="606FFDE0"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color w:val="000000" w:themeColor="text1"/>
                <w:sz w:val="20"/>
                <w:szCs w:val="20"/>
              </w:rPr>
            </w:pPr>
            <w:r w:rsidRPr="00392FEF">
              <w:rPr>
                <w:rFonts w:ascii="Times New Roman" w:hAnsi="Times New Roman"/>
                <w:color w:val="000000" w:themeColor="text1"/>
                <w:sz w:val="20"/>
                <w:szCs w:val="20"/>
              </w:rPr>
              <w:t>Labklājības ministrija 64030 EUR (ERAF 54425; VB 9605);</w:t>
            </w:r>
          </w:p>
          <w:p w14:paraId="436B7508"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strike/>
                <w:color w:val="000000" w:themeColor="text1"/>
                <w:sz w:val="20"/>
                <w:szCs w:val="20"/>
              </w:rPr>
            </w:pPr>
            <w:r w:rsidRPr="00392FEF">
              <w:rPr>
                <w:rFonts w:ascii="Times New Roman" w:hAnsi="Times New Roman"/>
                <w:color w:val="000000" w:themeColor="text1"/>
                <w:sz w:val="20"/>
                <w:szCs w:val="20"/>
              </w:rPr>
              <w:t>Tieslietu ministrija 55068 EUR  (ERAF 46807;VB 8261);</w:t>
            </w:r>
          </w:p>
          <w:p w14:paraId="0C759B03" w14:textId="77777777" w:rsidR="00392FEF" w:rsidRPr="00392FEF" w:rsidRDefault="00392FEF" w:rsidP="00392FEF">
            <w:pPr>
              <w:pStyle w:val="ListParagraph"/>
              <w:numPr>
                <w:ilvl w:val="0"/>
                <w:numId w:val="19"/>
              </w:numPr>
              <w:spacing w:after="0" w:line="240" w:lineRule="auto"/>
              <w:ind w:left="502"/>
              <w:jc w:val="both"/>
              <w:rPr>
                <w:rFonts w:ascii="Times New Roman" w:eastAsia="Calibri" w:hAnsi="Times New Roman" w:cs="Times New Roman"/>
                <w:strike/>
                <w:color w:val="000000" w:themeColor="text1"/>
                <w:sz w:val="20"/>
                <w:szCs w:val="20"/>
              </w:rPr>
            </w:pPr>
            <w:r w:rsidRPr="00392FEF">
              <w:rPr>
                <w:rFonts w:ascii="Times New Roman" w:hAnsi="Times New Roman"/>
                <w:color w:val="000000" w:themeColor="text1"/>
                <w:sz w:val="20"/>
                <w:szCs w:val="20"/>
              </w:rPr>
              <w:t>Veselības ministrija 7004 EUR (ERAF 5953; VB 1051);</w:t>
            </w:r>
          </w:p>
          <w:p w14:paraId="16C8732C"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color w:val="000000" w:themeColor="text1"/>
                <w:sz w:val="20"/>
                <w:szCs w:val="20"/>
              </w:rPr>
            </w:pPr>
            <w:r w:rsidRPr="00392FEF">
              <w:rPr>
                <w:rFonts w:ascii="Times New Roman" w:hAnsi="Times New Roman"/>
                <w:color w:val="000000" w:themeColor="text1"/>
                <w:sz w:val="20"/>
                <w:szCs w:val="20"/>
              </w:rPr>
              <w:t>Vides aizsardzības ministrija 17513 EUR ( ERAF 14886; VB 2627):</w:t>
            </w:r>
          </w:p>
          <w:p w14:paraId="22F7117D" w14:textId="77777777" w:rsidR="00392FEF" w:rsidRPr="00392FEF" w:rsidRDefault="00392FEF" w:rsidP="00392FEF">
            <w:pPr>
              <w:pStyle w:val="ListParagraph"/>
              <w:numPr>
                <w:ilvl w:val="0"/>
                <w:numId w:val="19"/>
              </w:numPr>
              <w:spacing w:after="0" w:line="240" w:lineRule="auto"/>
              <w:ind w:left="502"/>
              <w:jc w:val="both"/>
              <w:rPr>
                <w:rFonts w:ascii="Times New Roman" w:hAnsi="Times New Roman"/>
                <w:sz w:val="20"/>
                <w:szCs w:val="20"/>
              </w:rPr>
            </w:pPr>
            <w:r w:rsidRPr="00392FEF">
              <w:rPr>
                <w:rFonts w:ascii="Times New Roman" w:hAnsi="Times New Roman"/>
                <w:color w:val="000000" w:themeColor="text1"/>
                <w:sz w:val="20"/>
                <w:szCs w:val="20"/>
              </w:rPr>
              <w:t>Zemkopības ministrija 853016 EUR ( ERAF 725063; VB 127953);</w:t>
            </w:r>
          </w:p>
          <w:p w14:paraId="7B66AC38" w14:textId="77777777" w:rsidR="00392FEF" w:rsidRPr="00392FEF" w:rsidRDefault="00392FEF" w:rsidP="00392FEF">
            <w:pPr>
              <w:pStyle w:val="ListParagraph"/>
              <w:numPr>
                <w:ilvl w:val="0"/>
                <w:numId w:val="7"/>
              </w:numPr>
              <w:spacing w:after="0" w:line="240" w:lineRule="auto"/>
              <w:jc w:val="both"/>
              <w:rPr>
                <w:rFonts w:ascii="Times New Roman" w:hAnsi="Times New Roman"/>
                <w:color w:val="000000" w:themeColor="text1"/>
                <w:sz w:val="20"/>
                <w:szCs w:val="20"/>
              </w:rPr>
            </w:pPr>
            <w:r w:rsidRPr="00392FEF">
              <w:rPr>
                <w:rFonts w:ascii="Times New Roman" w:hAnsi="Times New Roman"/>
                <w:sz w:val="20"/>
                <w:szCs w:val="20"/>
              </w:rPr>
              <w:t xml:space="preserve">VAS “Valsts nekustamie īpašumi” 9370 EUR </w:t>
            </w:r>
            <w:r w:rsidRPr="00392FEF">
              <w:rPr>
                <w:rFonts w:ascii="Times New Roman" w:hAnsi="Times New Roman"/>
                <w:color w:val="000000" w:themeColor="text1"/>
                <w:sz w:val="20"/>
                <w:szCs w:val="20"/>
              </w:rPr>
              <w:t>( ERAF 7964; VB 1406).</w:t>
            </w:r>
          </w:p>
          <w:p w14:paraId="324CEC49" w14:textId="77777777" w:rsidR="00F73641" w:rsidRPr="000A6FB1" w:rsidRDefault="00F73641" w:rsidP="00CA06F9">
            <w:pPr>
              <w:spacing w:after="0" w:line="240" w:lineRule="auto"/>
              <w:jc w:val="both"/>
              <w:rPr>
                <w:rFonts w:ascii="Times New Roman" w:eastAsia="Times New Roman" w:hAnsi="Times New Roman" w:cs="Times New Roman"/>
                <w:sz w:val="20"/>
                <w:szCs w:val="20"/>
                <w:lang w:eastAsia="lv-LV"/>
              </w:rPr>
            </w:pPr>
          </w:p>
        </w:tc>
      </w:tr>
      <w:tr w:rsidR="00DC6B73" w:rsidRPr="00574613" w14:paraId="69D61124"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41FD4BF6" w14:textId="675357C2" w:rsidR="00DC6B73" w:rsidRDefault="007030BB"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3</w:t>
            </w:r>
          </w:p>
        </w:tc>
        <w:tc>
          <w:tcPr>
            <w:tcW w:w="663" w:type="pct"/>
            <w:tcBorders>
              <w:top w:val="outset" w:sz="6" w:space="0" w:color="414142"/>
              <w:left w:val="outset" w:sz="6" w:space="0" w:color="414142"/>
              <w:bottom w:val="outset" w:sz="6" w:space="0" w:color="414142"/>
              <w:right w:val="outset" w:sz="6" w:space="0" w:color="414142"/>
            </w:tcBorders>
          </w:tcPr>
          <w:p w14:paraId="2D57FEF9" w14:textId="77777777" w:rsidR="00DC6B73" w:rsidRPr="004B6D91" w:rsidRDefault="00DC6B73"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5BBB7E8A" w14:textId="13C26AC0" w:rsidR="00DC6B73" w:rsidRPr="00DC6B73" w:rsidRDefault="00DC6B73" w:rsidP="00DC6B73">
            <w:pPr>
              <w:spacing w:before="60" w:after="60" w:line="240" w:lineRule="auto"/>
              <w:jc w:val="center"/>
              <w:rPr>
                <w:rFonts w:ascii="Times New Roman" w:hAnsi="Times New Roman" w:cs="Times New Roman"/>
                <w:b/>
                <w:bCs/>
                <w:sz w:val="20"/>
                <w:szCs w:val="20"/>
              </w:rPr>
            </w:pPr>
            <w:r w:rsidRPr="00DC6B73">
              <w:rPr>
                <w:rFonts w:ascii="Times New Roman" w:hAnsi="Times New Roman" w:cs="Times New Roman"/>
                <w:b/>
                <w:bCs/>
                <w:sz w:val="20"/>
                <w:szCs w:val="20"/>
              </w:rPr>
              <w:t>Finanšu ministrija</w:t>
            </w:r>
          </w:p>
          <w:p w14:paraId="23DD71CC" w14:textId="7108052D" w:rsidR="00DC6B73" w:rsidRPr="00DC6B73" w:rsidRDefault="00DC6B73" w:rsidP="00DC6B73">
            <w:pPr>
              <w:spacing w:before="60" w:after="60" w:line="240" w:lineRule="auto"/>
              <w:jc w:val="both"/>
              <w:rPr>
                <w:rFonts w:ascii="Times New Roman" w:hAnsi="Times New Roman" w:cs="Times New Roman"/>
                <w:sz w:val="20"/>
                <w:szCs w:val="20"/>
              </w:rPr>
            </w:pPr>
            <w:r w:rsidRPr="00DC6B73">
              <w:rPr>
                <w:rFonts w:ascii="Times New Roman" w:hAnsi="Times New Roman" w:cs="Times New Roman"/>
                <w:sz w:val="20"/>
                <w:szCs w:val="20"/>
              </w:rPr>
              <w:t xml:space="preserve">Lūdzam anotācijā precizēt informāciju par kopējo neizlietoto finansējumu un pārdalāmo finansējumu, ņemot vērā 4.iebildumā norādīto informāciju. Papildus vēršam uzmanību, ka pirms finansējuma atlikumu pārdales no 4.2.1.2.pasākuma 1.kārtas uz 2.kārtu, 1.kārtas kopējam finansējumam ir jāpieskaita Kultūras ministrijas un Labklājības ministrijas papildus nepieciešamais </w:t>
            </w:r>
            <w:r w:rsidRPr="00DC6B73">
              <w:rPr>
                <w:rFonts w:ascii="Times New Roman" w:hAnsi="Times New Roman" w:cs="Times New Roman"/>
                <w:sz w:val="20"/>
                <w:szCs w:val="20"/>
              </w:rPr>
              <w:lastRenderedPageBreak/>
              <w:t>finansējums un jāatņem 4.iebildumā norādīto finansējumu, kuru nevar pārdalīt.</w:t>
            </w:r>
          </w:p>
        </w:tc>
        <w:tc>
          <w:tcPr>
            <w:tcW w:w="712" w:type="pct"/>
            <w:tcBorders>
              <w:top w:val="outset" w:sz="6" w:space="0" w:color="414142"/>
              <w:left w:val="outset" w:sz="6" w:space="0" w:color="414142"/>
              <w:bottom w:val="outset" w:sz="6" w:space="0" w:color="414142"/>
              <w:right w:val="outset" w:sz="6" w:space="0" w:color="414142"/>
            </w:tcBorders>
          </w:tcPr>
          <w:p w14:paraId="2B3CBA0A" w14:textId="77777777" w:rsidR="00DC6B73"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lastRenderedPageBreak/>
              <w:t>Ņemts vērā</w:t>
            </w:r>
          </w:p>
          <w:p w14:paraId="016362B3" w14:textId="14814C84" w:rsidR="00165A4E" w:rsidRPr="00165A4E" w:rsidRDefault="00165A4E"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Anotācijā kopējais neizlietotais finansējums precizēts.</w:t>
            </w:r>
          </w:p>
        </w:tc>
        <w:tc>
          <w:tcPr>
            <w:tcW w:w="1698" w:type="pct"/>
            <w:tcBorders>
              <w:top w:val="outset" w:sz="6" w:space="0" w:color="414142"/>
              <w:left w:val="outset" w:sz="6" w:space="0" w:color="414142"/>
              <w:bottom w:val="outset" w:sz="6" w:space="0" w:color="414142"/>
              <w:right w:val="outset" w:sz="6" w:space="0" w:color="414142"/>
            </w:tcBorders>
          </w:tcPr>
          <w:p w14:paraId="5CCE1A5C" w14:textId="77777777" w:rsidR="00DC6B73" w:rsidRPr="004B6D91" w:rsidRDefault="00DC6B73" w:rsidP="00CA06F9">
            <w:pPr>
              <w:spacing w:after="0" w:line="240" w:lineRule="auto"/>
              <w:jc w:val="both"/>
              <w:rPr>
                <w:rFonts w:ascii="Times New Roman" w:eastAsia="Times New Roman" w:hAnsi="Times New Roman" w:cs="Times New Roman"/>
                <w:sz w:val="20"/>
                <w:szCs w:val="20"/>
                <w:lang w:eastAsia="lv-LV"/>
              </w:rPr>
            </w:pPr>
          </w:p>
        </w:tc>
      </w:tr>
      <w:tr w:rsidR="00DC6B73" w:rsidRPr="00574613" w14:paraId="5F17D9BD"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130613C3" w14:textId="43B83814" w:rsidR="00DC6B73" w:rsidRDefault="007030BB" w:rsidP="007030B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4</w:t>
            </w:r>
          </w:p>
        </w:tc>
        <w:tc>
          <w:tcPr>
            <w:tcW w:w="663" w:type="pct"/>
            <w:tcBorders>
              <w:top w:val="outset" w:sz="6" w:space="0" w:color="414142"/>
              <w:left w:val="outset" w:sz="6" w:space="0" w:color="414142"/>
              <w:bottom w:val="outset" w:sz="6" w:space="0" w:color="414142"/>
              <w:right w:val="outset" w:sz="6" w:space="0" w:color="414142"/>
            </w:tcBorders>
          </w:tcPr>
          <w:p w14:paraId="6B30EA3E" w14:textId="77777777" w:rsidR="00DC6B73" w:rsidRPr="004B6D91" w:rsidRDefault="00DC6B73"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328E68C" w14:textId="77777777" w:rsidR="00DC6B73" w:rsidRDefault="00DC6B73" w:rsidP="00F73641">
            <w:pPr>
              <w:spacing w:after="200" w:line="276" w:lineRule="auto"/>
              <w:jc w:val="center"/>
              <w:rPr>
                <w:rFonts w:ascii="Times New Roman" w:hAnsi="Times New Roman" w:cs="Times New Roman"/>
                <w:b/>
                <w:bCs/>
                <w:sz w:val="20"/>
                <w:szCs w:val="20"/>
              </w:rPr>
            </w:pPr>
            <w:r>
              <w:rPr>
                <w:rFonts w:ascii="Times New Roman" w:hAnsi="Times New Roman" w:cs="Times New Roman"/>
                <w:b/>
                <w:bCs/>
                <w:sz w:val="20"/>
                <w:szCs w:val="20"/>
              </w:rPr>
              <w:t>Finanšu ministrija</w:t>
            </w:r>
          </w:p>
          <w:p w14:paraId="6286C338" w14:textId="77777777" w:rsidR="00DC6B73" w:rsidRDefault="00DC6B73" w:rsidP="00DC6B73">
            <w:pPr>
              <w:spacing w:before="60" w:after="60" w:line="240" w:lineRule="auto"/>
              <w:jc w:val="both"/>
              <w:rPr>
                <w:rFonts w:ascii="Times New Roman" w:hAnsi="Times New Roman" w:cs="Times New Roman"/>
                <w:sz w:val="20"/>
                <w:szCs w:val="20"/>
              </w:rPr>
            </w:pPr>
            <w:r w:rsidRPr="00DC6B73">
              <w:rPr>
                <w:rFonts w:ascii="Times New Roman" w:hAnsi="Times New Roman" w:cs="Times New Roman"/>
                <w:sz w:val="20"/>
                <w:szCs w:val="20"/>
              </w:rPr>
              <w:t xml:space="preserve">Lūdzam anotācijā precizēt vai svītrot teikuma daļu </w:t>
            </w:r>
            <w:r w:rsidRPr="00DC6B73">
              <w:rPr>
                <w:rFonts w:ascii="Times New Roman" w:hAnsi="Times New Roman" w:cs="Times New Roman"/>
                <w:i/>
                <w:iCs/>
                <w:sz w:val="20"/>
                <w:szCs w:val="20"/>
              </w:rPr>
              <w:t>“Skaidrojam, ka Kultūras ministrijai norādītais finansējuma pārpalikums [..]”,</w:t>
            </w:r>
            <w:r w:rsidRPr="00DC6B73">
              <w:rPr>
                <w:rFonts w:ascii="Times New Roman" w:hAnsi="Times New Roman" w:cs="Times New Roman"/>
                <w:sz w:val="20"/>
                <w:szCs w:val="20"/>
              </w:rPr>
              <w:t xml:space="preserve"> jo Kultūras ministrijai nav finansējuma pārpalikuma. </w:t>
            </w:r>
          </w:p>
          <w:p w14:paraId="73911208" w14:textId="77777777" w:rsidR="00DC6B73" w:rsidRDefault="00DC6B73" w:rsidP="00DC6B73">
            <w:pPr>
              <w:spacing w:before="60" w:after="60" w:line="240" w:lineRule="auto"/>
              <w:jc w:val="both"/>
              <w:rPr>
                <w:rFonts w:ascii="Times New Roman" w:hAnsi="Times New Roman" w:cs="Times New Roman"/>
                <w:sz w:val="20"/>
                <w:szCs w:val="20"/>
              </w:rPr>
            </w:pPr>
          </w:p>
          <w:p w14:paraId="4E973486" w14:textId="66FC2E82" w:rsidR="00DC6B73" w:rsidRPr="00DC6B73" w:rsidRDefault="00DC6B73" w:rsidP="00DC6B73">
            <w:pPr>
              <w:spacing w:before="60" w:after="60" w:line="240" w:lineRule="auto"/>
              <w:jc w:val="both"/>
              <w:rPr>
                <w:rFonts w:ascii="Times New Roman" w:hAnsi="Times New Roman" w:cs="Times New Roman"/>
                <w:sz w:val="20"/>
                <w:szCs w:val="20"/>
              </w:rPr>
            </w:pPr>
          </w:p>
        </w:tc>
        <w:tc>
          <w:tcPr>
            <w:tcW w:w="712" w:type="pct"/>
            <w:tcBorders>
              <w:top w:val="outset" w:sz="6" w:space="0" w:color="414142"/>
              <w:left w:val="outset" w:sz="6" w:space="0" w:color="414142"/>
              <w:bottom w:val="outset" w:sz="6" w:space="0" w:color="414142"/>
              <w:right w:val="outset" w:sz="6" w:space="0" w:color="414142"/>
            </w:tcBorders>
          </w:tcPr>
          <w:p w14:paraId="73018C39" w14:textId="77777777" w:rsidR="00DC6B73"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t>Ņemts vērā</w:t>
            </w:r>
          </w:p>
          <w:p w14:paraId="19C6D704" w14:textId="20446AC8" w:rsidR="00F466DD" w:rsidRPr="00F466DD" w:rsidRDefault="00F466DD" w:rsidP="00CA06F9">
            <w:pPr>
              <w:spacing w:after="0" w:line="240" w:lineRule="auto"/>
              <w:jc w:val="center"/>
              <w:rPr>
                <w:rFonts w:ascii="Times New Roman" w:eastAsia="Times New Roman" w:hAnsi="Times New Roman" w:cs="Times New Roman"/>
                <w:sz w:val="20"/>
                <w:szCs w:val="20"/>
                <w:lang w:eastAsia="lv-LV"/>
              </w:rPr>
            </w:pPr>
            <w:r w:rsidRPr="00F466DD">
              <w:rPr>
                <w:rFonts w:ascii="Times New Roman" w:eastAsia="Times New Roman" w:hAnsi="Times New Roman" w:cs="Times New Roman"/>
                <w:sz w:val="20"/>
                <w:szCs w:val="20"/>
                <w:lang w:eastAsia="lv-LV"/>
              </w:rPr>
              <w:t>Anotācijas sadaļa precizēta.</w:t>
            </w:r>
          </w:p>
        </w:tc>
        <w:tc>
          <w:tcPr>
            <w:tcW w:w="1698" w:type="pct"/>
            <w:tcBorders>
              <w:top w:val="outset" w:sz="6" w:space="0" w:color="414142"/>
              <w:left w:val="outset" w:sz="6" w:space="0" w:color="414142"/>
              <w:bottom w:val="outset" w:sz="6" w:space="0" w:color="414142"/>
              <w:right w:val="outset" w:sz="6" w:space="0" w:color="414142"/>
            </w:tcBorders>
          </w:tcPr>
          <w:p w14:paraId="7C33823A" w14:textId="77777777" w:rsidR="00DC6B73" w:rsidRPr="004B6D91" w:rsidRDefault="00DC6B73" w:rsidP="00CA06F9">
            <w:pPr>
              <w:spacing w:after="0" w:line="240" w:lineRule="auto"/>
              <w:jc w:val="both"/>
              <w:rPr>
                <w:rFonts w:ascii="Times New Roman" w:eastAsia="Times New Roman" w:hAnsi="Times New Roman" w:cs="Times New Roman"/>
                <w:sz w:val="20"/>
                <w:szCs w:val="20"/>
                <w:lang w:eastAsia="lv-LV"/>
              </w:rPr>
            </w:pPr>
          </w:p>
        </w:tc>
      </w:tr>
      <w:tr w:rsidR="00DC6B73" w:rsidRPr="00574613" w14:paraId="2419BBD3"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2F2440AA" w14:textId="40E794C1" w:rsidR="00DC6B73" w:rsidRDefault="007030BB"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5</w:t>
            </w:r>
          </w:p>
        </w:tc>
        <w:tc>
          <w:tcPr>
            <w:tcW w:w="663" w:type="pct"/>
            <w:tcBorders>
              <w:top w:val="outset" w:sz="6" w:space="0" w:color="414142"/>
              <w:left w:val="outset" w:sz="6" w:space="0" w:color="414142"/>
              <w:bottom w:val="outset" w:sz="6" w:space="0" w:color="414142"/>
              <w:right w:val="outset" w:sz="6" w:space="0" w:color="414142"/>
            </w:tcBorders>
          </w:tcPr>
          <w:p w14:paraId="1CD177F4" w14:textId="77777777" w:rsidR="00DC6B73" w:rsidRPr="004B6D91" w:rsidRDefault="00DC6B73"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2F6158B6" w14:textId="77777777" w:rsidR="00DC6B73" w:rsidRPr="00DC6B73" w:rsidRDefault="00DC6B73" w:rsidP="00F73641">
            <w:pPr>
              <w:spacing w:after="200" w:line="276" w:lineRule="auto"/>
              <w:jc w:val="center"/>
              <w:rPr>
                <w:rFonts w:ascii="Times New Roman" w:hAnsi="Times New Roman" w:cs="Times New Roman"/>
                <w:b/>
                <w:bCs/>
                <w:sz w:val="20"/>
                <w:szCs w:val="20"/>
              </w:rPr>
            </w:pPr>
            <w:r w:rsidRPr="00DC6B73">
              <w:rPr>
                <w:rFonts w:ascii="Times New Roman" w:hAnsi="Times New Roman" w:cs="Times New Roman"/>
                <w:b/>
                <w:bCs/>
                <w:sz w:val="20"/>
                <w:szCs w:val="20"/>
              </w:rPr>
              <w:t>Finanšu ministrija</w:t>
            </w:r>
          </w:p>
          <w:p w14:paraId="2AF383CD" w14:textId="65D8698E" w:rsidR="00DC6B73" w:rsidRPr="00DC6B73" w:rsidRDefault="00DC6B73" w:rsidP="00DC6B73">
            <w:pPr>
              <w:spacing w:after="0" w:line="240" w:lineRule="auto"/>
              <w:jc w:val="both"/>
              <w:rPr>
                <w:rFonts w:ascii="Times New Roman" w:hAnsi="Times New Roman" w:cs="Times New Roman"/>
                <w:sz w:val="20"/>
                <w:szCs w:val="20"/>
              </w:rPr>
            </w:pPr>
            <w:r w:rsidRPr="00DC6B73">
              <w:rPr>
                <w:rFonts w:ascii="Times New Roman" w:hAnsi="Times New Roman" w:cs="Times New Roman"/>
                <w:sz w:val="20"/>
                <w:szCs w:val="20"/>
              </w:rPr>
              <w:t>Izziņas 14.punktā norādīts, ka tiek daļēji ņemts vērā priekšlikums ietvert noteikumos arī papildpakalpojumu sniegšanas iespējas projektā attīstītajā ēkā, tomēr ne anotācijā, ne noteikumos nav atrodamas nekādas norādes par papildpakalpojumiem. Atkārtoti lūdzam izvērtēt iespēju papildināt noteikumu projektu (piemēram, papildinot MK noteikumus</w:t>
            </w:r>
            <w:r w:rsidRPr="00DC6B73">
              <w:rPr>
                <w:rStyle w:val="FootnoteReference"/>
                <w:rFonts w:cs="Times New Roman"/>
                <w:sz w:val="20"/>
                <w:szCs w:val="20"/>
              </w:rPr>
              <w:footnoteReference w:id="16"/>
            </w:r>
            <w:r w:rsidRPr="00DC6B73">
              <w:rPr>
                <w:rFonts w:ascii="Times New Roman" w:hAnsi="Times New Roman" w:cs="Times New Roman"/>
                <w:sz w:val="20"/>
                <w:szCs w:val="20"/>
              </w:rPr>
              <w:t xml:space="preserve"> ar 48.</w:t>
            </w:r>
            <w:r w:rsidRPr="00DC6B73">
              <w:rPr>
                <w:rFonts w:ascii="Times New Roman" w:hAnsi="Times New Roman" w:cs="Times New Roman"/>
                <w:sz w:val="20"/>
                <w:szCs w:val="20"/>
                <w:vertAlign w:val="superscript"/>
              </w:rPr>
              <w:t>1</w:t>
            </w:r>
            <w:r w:rsidRPr="00DC6B73">
              <w:rPr>
                <w:rFonts w:ascii="Times New Roman" w:hAnsi="Times New Roman" w:cs="Times New Roman"/>
                <w:sz w:val="20"/>
                <w:szCs w:val="20"/>
              </w:rPr>
              <w:t xml:space="preserve"> punktu), kas paredzētu, ka ēkā, kurā veic energoefektivitātes projektu, ir pieļaujams veikt papildpakalpojumus, kas nav jāieskaita 20% papildinošās saimnieciskās darbības proporcijā (tādus pakalpojumus infrastruktūrā, kurus galvenokārt izmanto tikai nesaimnieciskajai darbībai, piemēram, telpu iznomāšana ēdnīcas vajadzībām, kur pakalpojumus var saņemt ēkā strādājošie vai izglītojamie), un kuriem pašiem par sevi nebūtu ietekme uz tirdzniecību un konkurenci Eiropas Savienības iekšējā tirgū). Attiecīgi lūdzam ar skaidrojumu papildināt arī anotāciju un attiecīgi nepieciešamības gadījumā papildināt papildinošās saimnieciskās darbības aprēķina metodiku.</w:t>
            </w:r>
            <w:r w:rsidRPr="00DC6B73">
              <w:rPr>
                <w:rFonts w:ascii="Times New Roman" w:hAnsi="Times New Roman" w:cs="Times New Roman"/>
                <w:sz w:val="20"/>
                <w:szCs w:val="20"/>
                <w:highlight w:val="yellow"/>
              </w:rPr>
              <w:t xml:space="preserve"> </w:t>
            </w:r>
          </w:p>
        </w:tc>
        <w:tc>
          <w:tcPr>
            <w:tcW w:w="712" w:type="pct"/>
            <w:tcBorders>
              <w:top w:val="outset" w:sz="6" w:space="0" w:color="414142"/>
              <w:left w:val="outset" w:sz="6" w:space="0" w:color="414142"/>
              <w:bottom w:val="outset" w:sz="6" w:space="0" w:color="414142"/>
              <w:right w:val="outset" w:sz="6" w:space="0" w:color="414142"/>
            </w:tcBorders>
          </w:tcPr>
          <w:p w14:paraId="0086DCE1" w14:textId="77777777" w:rsidR="00DC6B73"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t>Ņemts vērā</w:t>
            </w:r>
          </w:p>
          <w:p w14:paraId="7CEC0D1B" w14:textId="77777777" w:rsidR="00B2431E" w:rsidRDefault="00B2431E" w:rsidP="00CA06F9">
            <w:pPr>
              <w:spacing w:after="0" w:line="240" w:lineRule="auto"/>
              <w:jc w:val="center"/>
              <w:rPr>
                <w:rFonts w:ascii="Times New Roman" w:eastAsia="Times New Roman" w:hAnsi="Times New Roman" w:cs="Times New Roman"/>
                <w:b/>
                <w:bCs/>
                <w:sz w:val="20"/>
                <w:szCs w:val="20"/>
                <w:lang w:eastAsia="lv-LV"/>
              </w:rPr>
            </w:pPr>
          </w:p>
          <w:p w14:paraId="5B141B7C" w14:textId="577CF378" w:rsidR="00B2431E" w:rsidRPr="00B2431E" w:rsidRDefault="00B2431E" w:rsidP="00CA06F9">
            <w:pPr>
              <w:spacing w:after="0" w:line="240" w:lineRule="auto"/>
              <w:jc w:val="center"/>
              <w:rPr>
                <w:rFonts w:ascii="Times New Roman" w:eastAsia="Times New Roman" w:hAnsi="Times New Roman" w:cs="Times New Roman"/>
                <w:sz w:val="20"/>
                <w:szCs w:val="20"/>
                <w:lang w:eastAsia="lv-LV"/>
              </w:rPr>
            </w:pPr>
            <w:r w:rsidRPr="00B2431E">
              <w:rPr>
                <w:rFonts w:ascii="Times New Roman" w:eastAsia="Times New Roman" w:hAnsi="Times New Roman" w:cs="Times New Roman"/>
                <w:sz w:val="20"/>
                <w:szCs w:val="20"/>
                <w:lang w:eastAsia="lv-LV"/>
              </w:rPr>
              <w:t>Noteikumu projekts papildināts, precizēta anotācija</w:t>
            </w:r>
            <w:r w:rsidR="00B1312D">
              <w:rPr>
                <w:rFonts w:ascii="Times New Roman" w:eastAsia="Times New Roman" w:hAnsi="Times New Roman" w:cs="Times New Roman"/>
                <w:sz w:val="20"/>
                <w:szCs w:val="20"/>
                <w:lang w:eastAsia="lv-LV"/>
              </w:rPr>
              <w:t>, tiks precizēta metodika.</w:t>
            </w:r>
          </w:p>
        </w:tc>
        <w:tc>
          <w:tcPr>
            <w:tcW w:w="1698" w:type="pct"/>
            <w:tcBorders>
              <w:top w:val="outset" w:sz="6" w:space="0" w:color="414142"/>
              <w:left w:val="outset" w:sz="6" w:space="0" w:color="414142"/>
              <w:bottom w:val="outset" w:sz="6" w:space="0" w:color="414142"/>
              <w:right w:val="outset" w:sz="6" w:space="0" w:color="414142"/>
            </w:tcBorders>
          </w:tcPr>
          <w:p w14:paraId="0433FA2A" w14:textId="77777777" w:rsidR="00DC6B73" w:rsidRDefault="00DC6B73" w:rsidP="00CA06F9">
            <w:pPr>
              <w:spacing w:after="0" w:line="240" w:lineRule="auto"/>
              <w:jc w:val="both"/>
              <w:rPr>
                <w:rFonts w:ascii="Times New Roman" w:eastAsia="Times New Roman" w:hAnsi="Times New Roman" w:cs="Times New Roman"/>
                <w:sz w:val="20"/>
                <w:szCs w:val="20"/>
                <w:lang w:eastAsia="lv-LV"/>
              </w:rPr>
            </w:pPr>
          </w:p>
          <w:p w14:paraId="4892AA03" w14:textId="77777777" w:rsidR="002736AC" w:rsidRPr="002736AC" w:rsidRDefault="002736AC" w:rsidP="002736AC">
            <w:pPr>
              <w:shd w:val="clear" w:color="auto" w:fill="FFFFFF"/>
              <w:spacing w:after="0" w:line="240" w:lineRule="auto"/>
              <w:jc w:val="both"/>
              <w:rPr>
                <w:rFonts w:ascii="Times New Roman" w:hAnsi="Times New Roman" w:cs="Times New Roman"/>
                <w:sz w:val="20"/>
                <w:szCs w:val="20"/>
              </w:rPr>
            </w:pPr>
            <w:r w:rsidRPr="002736AC">
              <w:rPr>
                <w:rFonts w:ascii="Times New Roman" w:hAnsi="Times New Roman" w:cs="Times New Roman"/>
                <w:sz w:val="20"/>
                <w:szCs w:val="20"/>
              </w:rPr>
              <w:t>“48.</w:t>
            </w:r>
            <w:r w:rsidRPr="002736AC">
              <w:rPr>
                <w:rFonts w:ascii="Times New Roman" w:hAnsi="Times New Roman" w:cs="Times New Roman"/>
                <w:sz w:val="20"/>
                <w:szCs w:val="20"/>
                <w:vertAlign w:val="superscript"/>
              </w:rPr>
              <w:t>1</w:t>
            </w:r>
            <w:r w:rsidRPr="002736AC">
              <w:rPr>
                <w:rFonts w:ascii="Times New Roman" w:hAnsi="Times New Roman" w:cs="Times New Roman"/>
                <w:sz w:val="20"/>
                <w:szCs w:val="20"/>
              </w:rPr>
              <w:t xml:space="preserve"> ēkā, kurā veic energoefektivitātes projektu, ir pieļaujams veikt papildpakalpojumus, kas nav jāieskaita 20% papildinošās saimnieciskās darbības proporcijā, t.i. tādus pakalpojumus infrastruktūrā, kurus galvenokārt izmanto tikai nesaimnieciskajai darbībai, un kuriem pašiem par sevi nebūtu ietekme uz tirdzniecību un konkurenci Eiropas Savienības iekšējā tirgū.”</w:t>
            </w:r>
          </w:p>
          <w:p w14:paraId="2D6F5B99" w14:textId="118A5D8F" w:rsidR="002736AC" w:rsidRPr="004B6D91" w:rsidRDefault="002736AC" w:rsidP="00CA06F9">
            <w:pPr>
              <w:spacing w:after="0" w:line="240" w:lineRule="auto"/>
              <w:jc w:val="both"/>
              <w:rPr>
                <w:rFonts w:ascii="Times New Roman" w:eastAsia="Times New Roman" w:hAnsi="Times New Roman" w:cs="Times New Roman"/>
                <w:sz w:val="20"/>
                <w:szCs w:val="20"/>
                <w:lang w:eastAsia="lv-LV"/>
              </w:rPr>
            </w:pPr>
          </w:p>
        </w:tc>
      </w:tr>
      <w:tr w:rsidR="00DC6B73" w:rsidRPr="00660409" w14:paraId="6B1C4150"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72F8BCB" w14:textId="065CEB32" w:rsidR="00DC6B73" w:rsidRPr="00660409" w:rsidRDefault="007030BB"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6</w:t>
            </w:r>
          </w:p>
        </w:tc>
        <w:tc>
          <w:tcPr>
            <w:tcW w:w="663" w:type="pct"/>
            <w:tcBorders>
              <w:top w:val="outset" w:sz="6" w:space="0" w:color="414142"/>
              <w:left w:val="outset" w:sz="6" w:space="0" w:color="414142"/>
              <w:bottom w:val="outset" w:sz="6" w:space="0" w:color="414142"/>
              <w:right w:val="outset" w:sz="6" w:space="0" w:color="414142"/>
            </w:tcBorders>
          </w:tcPr>
          <w:p w14:paraId="2612E688" w14:textId="77777777" w:rsidR="00DC6B73" w:rsidRPr="00660409" w:rsidRDefault="00DC6B73"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D421E0B" w14:textId="77777777" w:rsidR="00DC6B73" w:rsidRPr="00660409" w:rsidRDefault="00660409" w:rsidP="00F73641">
            <w:pPr>
              <w:spacing w:after="200" w:line="276" w:lineRule="auto"/>
              <w:jc w:val="center"/>
              <w:rPr>
                <w:rFonts w:ascii="Times New Roman" w:hAnsi="Times New Roman" w:cs="Times New Roman"/>
                <w:b/>
                <w:bCs/>
                <w:sz w:val="20"/>
                <w:szCs w:val="20"/>
              </w:rPr>
            </w:pPr>
            <w:r w:rsidRPr="00660409">
              <w:rPr>
                <w:rFonts w:ascii="Times New Roman" w:hAnsi="Times New Roman" w:cs="Times New Roman"/>
                <w:b/>
                <w:bCs/>
                <w:sz w:val="20"/>
                <w:szCs w:val="20"/>
              </w:rPr>
              <w:t>Finanšu ministrija</w:t>
            </w:r>
          </w:p>
          <w:p w14:paraId="3E22A594" w14:textId="137CBBEC" w:rsidR="00660409" w:rsidRPr="00660409" w:rsidRDefault="00660409" w:rsidP="00660409">
            <w:pPr>
              <w:spacing w:after="200" w:line="276" w:lineRule="auto"/>
              <w:jc w:val="both"/>
              <w:rPr>
                <w:rFonts w:ascii="Times New Roman" w:hAnsi="Times New Roman" w:cs="Times New Roman"/>
                <w:b/>
                <w:bCs/>
                <w:sz w:val="20"/>
                <w:szCs w:val="20"/>
              </w:rPr>
            </w:pPr>
            <w:r w:rsidRPr="00660409">
              <w:rPr>
                <w:rFonts w:ascii="Times New Roman" w:hAnsi="Times New Roman" w:cs="Times New Roman"/>
                <w:sz w:val="20"/>
                <w:szCs w:val="20"/>
              </w:rPr>
              <w:lastRenderedPageBreak/>
              <w:t>Līdzšinējā prakse, interpretējot MK noteikumu 36.</w:t>
            </w:r>
            <w:r w:rsidRPr="00660409">
              <w:rPr>
                <w:rFonts w:ascii="Times New Roman" w:hAnsi="Times New Roman" w:cs="Times New Roman"/>
                <w:sz w:val="20"/>
                <w:szCs w:val="20"/>
                <w:vertAlign w:val="superscript"/>
              </w:rPr>
              <w:t xml:space="preserve">1 </w:t>
            </w:r>
            <w:r w:rsidRPr="00660409">
              <w:rPr>
                <w:rFonts w:ascii="Times New Roman" w:hAnsi="Times New Roman" w:cs="Times New Roman"/>
                <w:sz w:val="20"/>
                <w:szCs w:val="20"/>
              </w:rPr>
              <w:t xml:space="preserve">punkta teikuma daļu “projektā apstiprināto darbību ietvaros” ir bijusi, ka projekta īstenošanas laikā ēkas </w:t>
            </w:r>
            <w:proofErr w:type="spellStart"/>
            <w:r w:rsidRPr="00660409">
              <w:rPr>
                <w:rFonts w:ascii="Times New Roman" w:hAnsi="Times New Roman" w:cs="Times New Roman"/>
                <w:sz w:val="20"/>
                <w:szCs w:val="20"/>
              </w:rPr>
              <w:t>energosertifikātu</w:t>
            </w:r>
            <w:proofErr w:type="spellEnd"/>
            <w:r w:rsidRPr="00660409">
              <w:rPr>
                <w:rFonts w:ascii="Times New Roman" w:hAnsi="Times New Roman" w:cs="Times New Roman"/>
                <w:sz w:val="20"/>
                <w:szCs w:val="20"/>
              </w:rPr>
              <w:t xml:space="preserve"> mainīt/precizēt nevar un ir jāīsteno tie energoefektivitātes pasākumi/darbības, kas bija plānoti projektu apstiprinot. Šī brīža situācija liecina, ka EM turpmāk atļauj projekta īstenošanas laikā mainīt ēkas </w:t>
            </w:r>
            <w:proofErr w:type="spellStart"/>
            <w:r w:rsidRPr="00660409">
              <w:rPr>
                <w:rFonts w:ascii="Times New Roman" w:hAnsi="Times New Roman" w:cs="Times New Roman"/>
                <w:sz w:val="20"/>
                <w:szCs w:val="20"/>
              </w:rPr>
              <w:t>energosertifikātu</w:t>
            </w:r>
            <w:proofErr w:type="spellEnd"/>
            <w:r w:rsidRPr="00660409">
              <w:rPr>
                <w:rFonts w:ascii="Times New Roman" w:hAnsi="Times New Roman" w:cs="Times New Roman"/>
                <w:sz w:val="20"/>
                <w:szCs w:val="20"/>
              </w:rPr>
              <w:t xml:space="preserve"> un papildus iekļaut jaunus energoefektivitātes pasākumus/darbības, ieviešot līdzīgu praksi, kas ir 4.2.1.2.pasākuma 2.kārtas ietvaros. Lūdzam prakses maiņu/skaidrojumu iekļaut anotācijā, kurā tiek skaidrota līdzšinējās prakses maiņa un kas tiek turpmāk saprasts ar “projektā apstiprināto darbību ietvaros” un, ja nepieciešams, precizēt MK noteikumu 36.</w:t>
            </w:r>
            <w:r w:rsidRPr="00660409">
              <w:rPr>
                <w:rFonts w:ascii="Times New Roman" w:hAnsi="Times New Roman" w:cs="Times New Roman"/>
                <w:sz w:val="20"/>
                <w:szCs w:val="20"/>
                <w:vertAlign w:val="superscript"/>
              </w:rPr>
              <w:t>1</w:t>
            </w:r>
            <w:r w:rsidRPr="00660409">
              <w:rPr>
                <w:rFonts w:ascii="Times New Roman" w:hAnsi="Times New Roman" w:cs="Times New Roman"/>
                <w:sz w:val="20"/>
                <w:szCs w:val="20"/>
              </w:rPr>
              <w:t>punktu, svītrojot teikuma daļu “projektā apstiprināto darbību ietvaros”, vienlaikus nodrošinot redakcijas saskaņotību ar 4.2.1.2.pasākuma 2.kārtas MK noteikumu 46.</w:t>
            </w:r>
            <w:r w:rsidRPr="00660409">
              <w:rPr>
                <w:rFonts w:ascii="Times New Roman" w:hAnsi="Times New Roman" w:cs="Times New Roman"/>
                <w:sz w:val="20"/>
                <w:szCs w:val="20"/>
                <w:vertAlign w:val="superscript"/>
              </w:rPr>
              <w:t>1</w:t>
            </w:r>
            <w:r w:rsidRPr="00660409">
              <w:rPr>
                <w:rFonts w:ascii="Times New Roman" w:hAnsi="Times New Roman" w:cs="Times New Roman"/>
                <w:sz w:val="20"/>
                <w:szCs w:val="20"/>
              </w:rPr>
              <w:t>punktu.</w:t>
            </w:r>
          </w:p>
        </w:tc>
        <w:tc>
          <w:tcPr>
            <w:tcW w:w="712" w:type="pct"/>
            <w:tcBorders>
              <w:top w:val="outset" w:sz="6" w:space="0" w:color="414142"/>
              <w:left w:val="outset" w:sz="6" w:space="0" w:color="414142"/>
              <w:bottom w:val="outset" w:sz="6" w:space="0" w:color="414142"/>
              <w:right w:val="outset" w:sz="6" w:space="0" w:color="414142"/>
            </w:tcBorders>
          </w:tcPr>
          <w:p w14:paraId="6A1849A7" w14:textId="77777777" w:rsidR="00695566" w:rsidRPr="008935CD" w:rsidRDefault="00695566" w:rsidP="00695566">
            <w:pPr>
              <w:spacing w:after="0" w:line="240" w:lineRule="auto"/>
              <w:jc w:val="center"/>
              <w:rPr>
                <w:rFonts w:ascii="Times New Roman" w:eastAsia="Times New Roman" w:hAnsi="Times New Roman" w:cs="Times New Roman"/>
                <w:b/>
                <w:bCs/>
                <w:sz w:val="20"/>
                <w:szCs w:val="20"/>
                <w:lang w:eastAsia="lv-LV"/>
              </w:rPr>
            </w:pPr>
            <w:r w:rsidRPr="008935CD">
              <w:rPr>
                <w:rFonts w:ascii="Times New Roman" w:eastAsia="Times New Roman" w:hAnsi="Times New Roman" w:cs="Times New Roman"/>
                <w:b/>
                <w:bCs/>
                <w:sz w:val="20"/>
                <w:szCs w:val="20"/>
                <w:lang w:eastAsia="lv-LV"/>
              </w:rPr>
              <w:lastRenderedPageBreak/>
              <w:t xml:space="preserve">Ņemts vērā - saskaņots elektroniskās </w:t>
            </w:r>
            <w:r w:rsidRPr="008935CD">
              <w:rPr>
                <w:rFonts w:ascii="Times New Roman" w:eastAsia="Times New Roman" w:hAnsi="Times New Roman" w:cs="Times New Roman"/>
                <w:b/>
                <w:bCs/>
                <w:sz w:val="20"/>
                <w:szCs w:val="20"/>
                <w:lang w:eastAsia="lv-LV"/>
              </w:rPr>
              <w:lastRenderedPageBreak/>
              <w:t>saskaņošanas procedūrā</w:t>
            </w:r>
          </w:p>
          <w:p w14:paraId="669B354B" w14:textId="77777777" w:rsidR="002736AC" w:rsidRDefault="002736AC" w:rsidP="00CA06F9">
            <w:pPr>
              <w:spacing w:after="0" w:line="240" w:lineRule="auto"/>
              <w:jc w:val="center"/>
              <w:rPr>
                <w:rFonts w:ascii="Times New Roman" w:eastAsia="Times New Roman" w:hAnsi="Times New Roman" w:cs="Times New Roman"/>
                <w:b/>
                <w:bCs/>
                <w:sz w:val="20"/>
                <w:szCs w:val="20"/>
                <w:lang w:eastAsia="lv-LV"/>
              </w:rPr>
            </w:pPr>
          </w:p>
          <w:p w14:paraId="5237051E" w14:textId="4DA51F38" w:rsidR="002736AC" w:rsidRPr="00660409" w:rsidRDefault="002736AC"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Noteikumu projekta </w:t>
            </w:r>
            <w:r w:rsidRPr="00660409">
              <w:rPr>
                <w:rFonts w:ascii="Times New Roman" w:hAnsi="Times New Roman" w:cs="Times New Roman"/>
                <w:sz w:val="20"/>
                <w:szCs w:val="20"/>
              </w:rPr>
              <w:t>36.</w:t>
            </w:r>
            <w:r w:rsidRPr="00660409">
              <w:rPr>
                <w:rFonts w:ascii="Times New Roman" w:hAnsi="Times New Roman" w:cs="Times New Roman"/>
                <w:sz w:val="20"/>
                <w:szCs w:val="20"/>
                <w:vertAlign w:val="superscript"/>
              </w:rPr>
              <w:t xml:space="preserve">1 </w:t>
            </w:r>
            <w:r w:rsidRPr="00660409">
              <w:rPr>
                <w:rFonts w:ascii="Times New Roman" w:hAnsi="Times New Roman" w:cs="Times New Roman"/>
                <w:sz w:val="20"/>
                <w:szCs w:val="20"/>
              </w:rPr>
              <w:t>punkt</w:t>
            </w:r>
            <w:r>
              <w:rPr>
                <w:rFonts w:ascii="Times New Roman" w:hAnsi="Times New Roman" w:cs="Times New Roman"/>
                <w:sz w:val="20"/>
                <w:szCs w:val="20"/>
              </w:rPr>
              <w:t>s netiek mainīts.</w:t>
            </w:r>
          </w:p>
        </w:tc>
        <w:tc>
          <w:tcPr>
            <w:tcW w:w="1698" w:type="pct"/>
            <w:tcBorders>
              <w:top w:val="outset" w:sz="6" w:space="0" w:color="414142"/>
              <w:left w:val="outset" w:sz="6" w:space="0" w:color="414142"/>
              <w:bottom w:val="outset" w:sz="6" w:space="0" w:color="414142"/>
              <w:right w:val="outset" w:sz="6" w:space="0" w:color="414142"/>
            </w:tcBorders>
          </w:tcPr>
          <w:p w14:paraId="23CC2E63" w14:textId="77777777" w:rsidR="00DC6B73" w:rsidRPr="00660409" w:rsidRDefault="00DC6B73" w:rsidP="00CA06F9">
            <w:pPr>
              <w:spacing w:after="0" w:line="240" w:lineRule="auto"/>
              <w:jc w:val="both"/>
              <w:rPr>
                <w:rFonts w:ascii="Times New Roman" w:eastAsia="Times New Roman" w:hAnsi="Times New Roman" w:cs="Times New Roman"/>
                <w:sz w:val="20"/>
                <w:szCs w:val="20"/>
                <w:lang w:eastAsia="lv-LV"/>
              </w:rPr>
            </w:pPr>
          </w:p>
        </w:tc>
      </w:tr>
      <w:tr w:rsidR="00660409" w:rsidRPr="00660409" w14:paraId="274B5ECE"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3B15308" w14:textId="5F6B2748" w:rsidR="00660409" w:rsidRPr="00660409" w:rsidRDefault="007030BB"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6D79DA">
              <w:rPr>
                <w:rFonts w:ascii="Times New Roman" w:eastAsia="Times New Roman" w:hAnsi="Times New Roman" w:cs="Times New Roman"/>
                <w:sz w:val="20"/>
                <w:szCs w:val="20"/>
                <w:lang w:eastAsia="lv-LV"/>
              </w:rPr>
              <w:t>7</w:t>
            </w:r>
          </w:p>
        </w:tc>
        <w:tc>
          <w:tcPr>
            <w:tcW w:w="663" w:type="pct"/>
            <w:tcBorders>
              <w:top w:val="outset" w:sz="6" w:space="0" w:color="414142"/>
              <w:left w:val="outset" w:sz="6" w:space="0" w:color="414142"/>
              <w:bottom w:val="outset" w:sz="6" w:space="0" w:color="414142"/>
              <w:right w:val="outset" w:sz="6" w:space="0" w:color="414142"/>
            </w:tcBorders>
          </w:tcPr>
          <w:p w14:paraId="24CB3698" w14:textId="77777777" w:rsidR="00660409" w:rsidRPr="00660409" w:rsidRDefault="0066040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33913320" w14:textId="77777777" w:rsidR="00660409" w:rsidRDefault="00660409" w:rsidP="00F73641">
            <w:pPr>
              <w:spacing w:after="200" w:line="276" w:lineRule="auto"/>
              <w:jc w:val="center"/>
              <w:rPr>
                <w:rFonts w:ascii="Times New Roman" w:hAnsi="Times New Roman" w:cs="Times New Roman"/>
                <w:b/>
                <w:bCs/>
                <w:sz w:val="20"/>
                <w:szCs w:val="20"/>
              </w:rPr>
            </w:pPr>
            <w:r>
              <w:rPr>
                <w:rFonts w:ascii="Times New Roman" w:hAnsi="Times New Roman" w:cs="Times New Roman"/>
                <w:b/>
                <w:bCs/>
                <w:sz w:val="20"/>
                <w:szCs w:val="20"/>
              </w:rPr>
              <w:t>Finanšu ministrija</w:t>
            </w:r>
          </w:p>
          <w:p w14:paraId="22FA3325" w14:textId="323D24F3" w:rsidR="00660409" w:rsidRPr="00660409" w:rsidRDefault="00660409" w:rsidP="00660409">
            <w:pPr>
              <w:spacing w:before="60" w:after="60" w:line="240" w:lineRule="auto"/>
              <w:jc w:val="both"/>
              <w:rPr>
                <w:rFonts w:ascii="Times New Roman" w:hAnsi="Times New Roman" w:cs="Times New Roman"/>
                <w:sz w:val="20"/>
                <w:szCs w:val="20"/>
              </w:rPr>
            </w:pPr>
            <w:r w:rsidRPr="00660409">
              <w:rPr>
                <w:rFonts w:ascii="Times New Roman" w:hAnsi="Times New Roman" w:cs="Times New Roman"/>
                <w:sz w:val="20"/>
                <w:szCs w:val="20"/>
              </w:rPr>
              <w:t>Lūdzam veikt tehniskus precizējumus anotācijā – atšifrēt izmantoto saīsinājumu “</w:t>
            </w:r>
            <w:r w:rsidRPr="00660409">
              <w:rPr>
                <w:rFonts w:ascii="Times New Roman" w:hAnsi="Times New Roman" w:cs="Times New Roman"/>
                <w:color w:val="000000" w:themeColor="text1"/>
                <w:sz w:val="20"/>
                <w:szCs w:val="20"/>
              </w:rPr>
              <w:t xml:space="preserve">4.2.1.2. II kārtā” </w:t>
            </w:r>
            <w:r w:rsidRPr="00660409">
              <w:rPr>
                <w:rFonts w:ascii="Times New Roman" w:hAnsi="Times New Roman" w:cs="Times New Roman"/>
                <w:sz w:val="20"/>
                <w:szCs w:val="20"/>
              </w:rPr>
              <w:t xml:space="preserve">un vārdus “Pirmajā iesniegumu atlases kārtā” un “Otrajā iesniegumu atlases kārtā” izteikt kā “Pirmajā projektu iesniegumu atlases kārtā” un “Otrajā projektu iesniegumu atlases kārtā”. </w:t>
            </w:r>
          </w:p>
        </w:tc>
        <w:tc>
          <w:tcPr>
            <w:tcW w:w="712" w:type="pct"/>
            <w:tcBorders>
              <w:top w:val="outset" w:sz="6" w:space="0" w:color="414142"/>
              <w:left w:val="outset" w:sz="6" w:space="0" w:color="414142"/>
              <w:bottom w:val="outset" w:sz="6" w:space="0" w:color="414142"/>
              <w:right w:val="outset" w:sz="6" w:space="0" w:color="414142"/>
            </w:tcBorders>
          </w:tcPr>
          <w:p w14:paraId="4E9E1977" w14:textId="77777777" w:rsidR="00660409" w:rsidRDefault="00660409" w:rsidP="00CA06F9">
            <w:pPr>
              <w:spacing w:after="0" w:line="240" w:lineRule="auto"/>
              <w:jc w:val="center"/>
              <w:rPr>
                <w:rFonts w:ascii="Times New Roman" w:eastAsia="Times New Roman" w:hAnsi="Times New Roman" w:cs="Times New Roman"/>
                <w:b/>
                <w:bCs/>
                <w:sz w:val="20"/>
                <w:szCs w:val="20"/>
                <w:lang w:eastAsia="lv-LV"/>
              </w:rPr>
            </w:pPr>
            <w:r w:rsidRPr="00660409">
              <w:rPr>
                <w:rFonts w:ascii="Times New Roman" w:eastAsia="Times New Roman" w:hAnsi="Times New Roman" w:cs="Times New Roman"/>
                <w:b/>
                <w:bCs/>
                <w:sz w:val="20"/>
                <w:szCs w:val="20"/>
                <w:lang w:eastAsia="lv-LV"/>
              </w:rPr>
              <w:t>Ņemts vērā</w:t>
            </w:r>
          </w:p>
          <w:p w14:paraId="1EA002E0" w14:textId="77777777" w:rsidR="00545E58" w:rsidRDefault="00545E58" w:rsidP="00CA06F9">
            <w:pPr>
              <w:spacing w:after="0" w:line="240" w:lineRule="auto"/>
              <w:jc w:val="center"/>
              <w:rPr>
                <w:rFonts w:ascii="Times New Roman" w:eastAsia="Times New Roman" w:hAnsi="Times New Roman" w:cs="Times New Roman"/>
                <w:b/>
                <w:bCs/>
                <w:sz w:val="20"/>
                <w:szCs w:val="20"/>
                <w:lang w:eastAsia="lv-LV"/>
              </w:rPr>
            </w:pPr>
          </w:p>
          <w:p w14:paraId="7388E8AE" w14:textId="7E59A2DF" w:rsidR="00545E58" w:rsidRPr="00545E58" w:rsidRDefault="00545E58" w:rsidP="00CA06F9">
            <w:pPr>
              <w:spacing w:after="0" w:line="240" w:lineRule="auto"/>
              <w:jc w:val="center"/>
              <w:rPr>
                <w:rFonts w:ascii="Times New Roman" w:eastAsia="Times New Roman" w:hAnsi="Times New Roman" w:cs="Times New Roman"/>
                <w:sz w:val="20"/>
                <w:szCs w:val="20"/>
                <w:lang w:eastAsia="lv-LV"/>
              </w:rPr>
            </w:pPr>
            <w:r w:rsidRPr="00545E58">
              <w:rPr>
                <w:rFonts w:ascii="Times New Roman" w:eastAsia="Times New Roman" w:hAnsi="Times New Roman" w:cs="Times New Roman"/>
                <w:sz w:val="20"/>
                <w:szCs w:val="20"/>
                <w:lang w:eastAsia="lv-LV"/>
              </w:rPr>
              <w:t>Anotācija precizēta</w:t>
            </w:r>
            <w:r>
              <w:rPr>
                <w:rFonts w:ascii="Times New Roman" w:eastAsia="Times New Roman" w:hAnsi="Times New Roman" w:cs="Times New Roman"/>
                <w:sz w:val="20"/>
                <w:szCs w:val="20"/>
                <w:lang w:eastAsia="lv-LV"/>
              </w:rPr>
              <w:t>.</w:t>
            </w:r>
          </w:p>
        </w:tc>
        <w:tc>
          <w:tcPr>
            <w:tcW w:w="1698" w:type="pct"/>
            <w:tcBorders>
              <w:top w:val="outset" w:sz="6" w:space="0" w:color="414142"/>
              <w:left w:val="outset" w:sz="6" w:space="0" w:color="414142"/>
              <w:bottom w:val="outset" w:sz="6" w:space="0" w:color="414142"/>
              <w:right w:val="outset" w:sz="6" w:space="0" w:color="414142"/>
            </w:tcBorders>
          </w:tcPr>
          <w:p w14:paraId="66535E09" w14:textId="77777777" w:rsidR="00660409" w:rsidRPr="00660409" w:rsidRDefault="00660409" w:rsidP="00CA06F9">
            <w:pPr>
              <w:spacing w:after="0" w:line="240" w:lineRule="auto"/>
              <w:jc w:val="both"/>
              <w:rPr>
                <w:rFonts w:ascii="Times New Roman" w:eastAsia="Times New Roman" w:hAnsi="Times New Roman" w:cs="Times New Roman"/>
                <w:sz w:val="20"/>
                <w:szCs w:val="20"/>
                <w:lang w:eastAsia="lv-LV"/>
              </w:rPr>
            </w:pPr>
          </w:p>
        </w:tc>
      </w:tr>
      <w:tr w:rsidR="00660409" w:rsidRPr="00660409" w14:paraId="3EA92C83"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04A87B8" w14:textId="77777777" w:rsidR="00660409" w:rsidRPr="00660409" w:rsidRDefault="00660409" w:rsidP="00CA06F9">
            <w:pPr>
              <w:spacing w:after="0" w:line="240" w:lineRule="auto"/>
              <w:jc w:val="center"/>
              <w:rPr>
                <w:rFonts w:ascii="Times New Roman" w:eastAsia="Times New Roman" w:hAnsi="Times New Roman" w:cs="Times New Roman"/>
                <w:sz w:val="20"/>
                <w:szCs w:val="20"/>
                <w:lang w:eastAsia="lv-LV"/>
              </w:rPr>
            </w:pPr>
          </w:p>
        </w:tc>
        <w:tc>
          <w:tcPr>
            <w:tcW w:w="663" w:type="pct"/>
            <w:tcBorders>
              <w:top w:val="outset" w:sz="6" w:space="0" w:color="414142"/>
              <w:left w:val="outset" w:sz="6" w:space="0" w:color="414142"/>
              <w:bottom w:val="outset" w:sz="6" w:space="0" w:color="414142"/>
              <w:right w:val="outset" w:sz="6" w:space="0" w:color="414142"/>
            </w:tcBorders>
          </w:tcPr>
          <w:p w14:paraId="264576DC" w14:textId="77777777" w:rsidR="00660409" w:rsidRPr="00660409" w:rsidRDefault="00660409"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D2BA48F" w14:textId="77777777" w:rsidR="00CC0237" w:rsidRDefault="00CC0237" w:rsidP="00CC0237">
            <w:pPr>
              <w:spacing w:after="0" w:line="240" w:lineRule="auto"/>
              <w:jc w:val="center"/>
              <w:rPr>
                <w:rFonts w:ascii="Times New Roman" w:eastAsia="Times New Roman" w:hAnsi="Times New Roman" w:cs="Times New Roman"/>
                <w:b/>
                <w:bCs/>
                <w:sz w:val="24"/>
                <w:szCs w:val="24"/>
                <w:lang w:eastAsia="lv-LV"/>
              </w:rPr>
            </w:pPr>
            <w:r w:rsidRPr="004D4FE5">
              <w:rPr>
                <w:rFonts w:ascii="Times New Roman" w:eastAsia="Times New Roman" w:hAnsi="Times New Roman" w:cs="Times New Roman"/>
                <w:b/>
                <w:bCs/>
                <w:sz w:val="24"/>
                <w:szCs w:val="24"/>
                <w:lang w:eastAsia="lv-LV"/>
              </w:rPr>
              <w:t>IEBILDUMI</w:t>
            </w:r>
            <w:r>
              <w:rPr>
                <w:rFonts w:ascii="Times New Roman" w:eastAsia="Times New Roman" w:hAnsi="Times New Roman" w:cs="Times New Roman"/>
                <w:b/>
                <w:bCs/>
                <w:sz w:val="24"/>
                <w:szCs w:val="24"/>
                <w:lang w:eastAsia="lv-LV"/>
              </w:rPr>
              <w:t xml:space="preserve"> </w:t>
            </w:r>
          </w:p>
          <w:p w14:paraId="3E54F5DD" w14:textId="7537F303" w:rsidR="00CC0237" w:rsidRDefault="00CC0237" w:rsidP="00CC023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13.05.2021.</w:t>
            </w:r>
          </w:p>
          <w:p w14:paraId="51EDA7AB" w14:textId="64048965" w:rsidR="00660409" w:rsidRPr="00660409" w:rsidRDefault="00CC0237" w:rsidP="00CC0237">
            <w:pPr>
              <w:spacing w:after="200" w:line="276" w:lineRule="auto"/>
              <w:jc w:val="center"/>
              <w:rPr>
                <w:rFonts w:ascii="Times New Roman" w:hAnsi="Times New Roman" w:cs="Times New Roman"/>
                <w:b/>
                <w:bCs/>
                <w:sz w:val="20"/>
                <w:szCs w:val="20"/>
              </w:rPr>
            </w:pPr>
            <w:r>
              <w:rPr>
                <w:rFonts w:ascii="Times New Roman" w:hAnsi="Times New Roman" w:cs="Times New Roman"/>
                <w:color w:val="000000" w:themeColor="text1"/>
                <w:sz w:val="20"/>
                <w:szCs w:val="20"/>
                <w:lang w:eastAsia="lv-LV"/>
              </w:rPr>
              <w:t xml:space="preserve">          Elektroniskā saskaņošana</w:t>
            </w:r>
          </w:p>
        </w:tc>
        <w:tc>
          <w:tcPr>
            <w:tcW w:w="712" w:type="pct"/>
            <w:tcBorders>
              <w:top w:val="outset" w:sz="6" w:space="0" w:color="414142"/>
              <w:left w:val="outset" w:sz="6" w:space="0" w:color="414142"/>
              <w:bottom w:val="outset" w:sz="6" w:space="0" w:color="414142"/>
              <w:right w:val="outset" w:sz="6" w:space="0" w:color="414142"/>
            </w:tcBorders>
          </w:tcPr>
          <w:p w14:paraId="25462B7B" w14:textId="77777777" w:rsidR="00660409" w:rsidRPr="00660409" w:rsidRDefault="00660409" w:rsidP="00CA06F9">
            <w:pPr>
              <w:spacing w:after="0" w:line="240" w:lineRule="auto"/>
              <w:jc w:val="center"/>
              <w:rPr>
                <w:rFonts w:ascii="Times New Roman" w:eastAsia="Times New Roman" w:hAnsi="Times New Roman" w:cs="Times New Roman"/>
                <w:sz w:val="20"/>
                <w:szCs w:val="20"/>
                <w:lang w:eastAsia="lv-LV"/>
              </w:rPr>
            </w:pPr>
          </w:p>
        </w:tc>
        <w:tc>
          <w:tcPr>
            <w:tcW w:w="1698" w:type="pct"/>
            <w:tcBorders>
              <w:top w:val="outset" w:sz="6" w:space="0" w:color="414142"/>
              <w:left w:val="outset" w:sz="6" w:space="0" w:color="414142"/>
              <w:bottom w:val="outset" w:sz="6" w:space="0" w:color="414142"/>
              <w:right w:val="outset" w:sz="6" w:space="0" w:color="414142"/>
            </w:tcBorders>
          </w:tcPr>
          <w:p w14:paraId="0FFED7CA" w14:textId="77777777" w:rsidR="00660409" w:rsidRPr="00660409" w:rsidRDefault="00660409" w:rsidP="00CA06F9">
            <w:pPr>
              <w:spacing w:after="0" w:line="240" w:lineRule="auto"/>
              <w:jc w:val="both"/>
              <w:rPr>
                <w:rFonts w:ascii="Times New Roman" w:eastAsia="Times New Roman" w:hAnsi="Times New Roman" w:cs="Times New Roman"/>
                <w:sz w:val="20"/>
                <w:szCs w:val="20"/>
                <w:lang w:eastAsia="lv-LV"/>
              </w:rPr>
            </w:pPr>
          </w:p>
        </w:tc>
      </w:tr>
      <w:tr w:rsidR="00CC0237" w:rsidRPr="00660409" w14:paraId="026A12C9"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A203C3E" w14:textId="78803964" w:rsidR="00CC0237" w:rsidRPr="00660409" w:rsidRDefault="00CC023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w:t>
            </w:r>
          </w:p>
        </w:tc>
        <w:tc>
          <w:tcPr>
            <w:tcW w:w="663" w:type="pct"/>
            <w:tcBorders>
              <w:top w:val="outset" w:sz="6" w:space="0" w:color="414142"/>
              <w:left w:val="outset" w:sz="6" w:space="0" w:color="414142"/>
              <w:bottom w:val="outset" w:sz="6" w:space="0" w:color="414142"/>
              <w:right w:val="outset" w:sz="6" w:space="0" w:color="414142"/>
            </w:tcBorders>
          </w:tcPr>
          <w:p w14:paraId="71B3FDFF" w14:textId="77777777" w:rsidR="00CC0237" w:rsidRPr="00660409" w:rsidRDefault="00CC0237"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BAE783F" w14:textId="77777777" w:rsidR="00CC0237" w:rsidRDefault="00CC0237" w:rsidP="00CC023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Finanšu ministrija</w:t>
            </w:r>
          </w:p>
          <w:p w14:paraId="16865AB1" w14:textId="77777777" w:rsidR="00CC0237" w:rsidRPr="00CC0237" w:rsidRDefault="00CC0237" w:rsidP="00CC0237">
            <w:pPr>
              <w:spacing w:after="0" w:line="240" w:lineRule="auto"/>
              <w:jc w:val="both"/>
              <w:rPr>
                <w:rFonts w:ascii="Times New Roman" w:hAnsi="Times New Roman" w:cs="Times New Roman"/>
                <w:sz w:val="20"/>
                <w:szCs w:val="20"/>
              </w:rPr>
            </w:pPr>
            <w:r w:rsidRPr="00CC0237">
              <w:rPr>
                <w:rFonts w:ascii="Times New Roman" w:hAnsi="Times New Roman" w:cs="Times New Roman"/>
                <w:sz w:val="20"/>
                <w:szCs w:val="20"/>
              </w:rPr>
              <w:t xml:space="preserve">Lai nodrošinātu korektu normu interpretāciju, lūdzam veikt redakcionālus labojumus noteikumu projekta 9.punktā, lai būtu skaidrs, ka infrastruktūra ir tāda, kuru galvenokārt izmanto tikai nesaimnieciskajai darbībai, </w:t>
            </w:r>
            <w:r w:rsidRPr="00CC0237">
              <w:rPr>
                <w:rFonts w:ascii="Times New Roman" w:hAnsi="Times New Roman" w:cs="Times New Roman"/>
                <w:sz w:val="20"/>
                <w:szCs w:val="20"/>
              </w:rPr>
              <w:lastRenderedPageBreak/>
              <w:t xml:space="preserve">nevis pakalpojumi ir tādi, kurus galvenokārt izmanto tikai nesaimnieciskajai darbībai. Attiecīgi lūdzam papildināt arī anotāciju. Vienlaikus lūdzam noteikumu projekta 9.punktā svītrot piebildi “kas nav jāieskaita 20% papildinošās saimnieciskās darbības proporcijā”, ņemot vērā to, ka “papildpakalpojumu” un “papildinošās saimnieciskās darbības” jēdzieni ir atšķirīgi un savā starpā nesaistīti, tāpēc norāde par cita jēdziena nosacījumu nepiemērošanu, nav nepieciešama. </w:t>
            </w:r>
          </w:p>
          <w:p w14:paraId="212419EC" w14:textId="18F78B7A" w:rsidR="00CC0237" w:rsidRPr="004D4FE5" w:rsidRDefault="00CC0237" w:rsidP="00CC0237">
            <w:pPr>
              <w:spacing w:after="0" w:line="240" w:lineRule="auto"/>
              <w:jc w:val="center"/>
              <w:rPr>
                <w:rFonts w:ascii="Times New Roman" w:eastAsia="Times New Roman" w:hAnsi="Times New Roman" w:cs="Times New Roman"/>
                <w:b/>
                <w:bCs/>
                <w:sz w:val="24"/>
                <w:szCs w:val="24"/>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32804379" w14:textId="77777777" w:rsidR="00CC0237" w:rsidRDefault="00CC0237" w:rsidP="00CA06F9">
            <w:pPr>
              <w:spacing w:after="0" w:line="240" w:lineRule="auto"/>
              <w:jc w:val="center"/>
              <w:rPr>
                <w:rFonts w:ascii="Times New Roman" w:eastAsia="Times New Roman" w:hAnsi="Times New Roman" w:cs="Times New Roman"/>
                <w:sz w:val="20"/>
                <w:szCs w:val="20"/>
                <w:lang w:eastAsia="lv-LV"/>
              </w:rPr>
            </w:pPr>
          </w:p>
          <w:p w14:paraId="5A3637FB" w14:textId="77777777" w:rsidR="00AA0208" w:rsidRDefault="00AA0208" w:rsidP="00CA06F9">
            <w:pPr>
              <w:spacing w:after="0" w:line="240" w:lineRule="auto"/>
              <w:jc w:val="center"/>
              <w:rPr>
                <w:rFonts w:ascii="Times New Roman" w:eastAsia="Times New Roman" w:hAnsi="Times New Roman" w:cs="Times New Roman"/>
                <w:b/>
                <w:bCs/>
                <w:sz w:val="20"/>
                <w:szCs w:val="20"/>
                <w:lang w:eastAsia="lv-LV"/>
              </w:rPr>
            </w:pPr>
            <w:r w:rsidRPr="00AA0208">
              <w:rPr>
                <w:rFonts w:ascii="Times New Roman" w:eastAsia="Times New Roman" w:hAnsi="Times New Roman" w:cs="Times New Roman"/>
                <w:b/>
                <w:bCs/>
                <w:sz w:val="20"/>
                <w:szCs w:val="20"/>
                <w:lang w:eastAsia="lv-LV"/>
              </w:rPr>
              <w:t>Ņemts vērā</w:t>
            </w:r>
          </w:p>
          <w:p w14:paraId="01033700" w14:textId="6D0E8CD8" w:rsidR="00257531" w:rsidRPr="00660409" w:rsidRDefault="00257531" w:rsidP="00CA06F9">
            <w:pPr>
              <w:spacing w:after="0" w:line="240" w:lineRule="auto"/>
              <w:jc w:val="center"/>
              <w:rPr>
                <w:rFonts w:ascii="Times New Roman" w:eastAsia="Times New Roman" w:hAnsi="Times New Roman" w:cs="Times New Roman"/>
                <w:sz w:val="20"/>
                <w:szCs w:val="20"/>
                <w:lang w:eastAsia="lv-LV"/>
              </w:rPr>
            </w:pPr>
            <w:r w:rsidRPr="00257531">
              <w:rPr>
                <w:rFonts w:ascii="Times New Roman" w:eastAsia="Times New Roman" w:hAnsi="Times New Roman" w:cs="Times New Roman"/>
                <w:sz w:val="20"/>
                <w:szCs w:val="20"/>
                <w:lang w:eastAsia="lv-LV"/>
              </w:rPr>
              <w:t>Noteikumu projekts precizēts</w:t>
            </w:r>
          </w:p>
        </w:tc>
        <w:tc>
          <w:tcPr>
            <w:tcW w:w="1698" w:type="pct"/>
            <w:tcBorders>
              <w:top w:val="outset" w:sz="6" w:space="0" w:color="414142"/>
              <w:left w:val="outset" w:sz="6" w:space="0" w:color="414142"/>
              <w:bottom w:val="outset" w:sz="6" w:space="0" w:color="414142"/>
              <w:right w:val="outset" w:sz="6" w:space="0" w:color="414142"/>
            </w:tcBorders>
          </w:tcPr>
          <w:p w14:paraId="400F499A" w14:textId="77777777" w:rsidR="00E05E56" w:rsidRPr="00E05E56" w:rsidRDefault="00E05E56" w:rsidP="00E05E56">
            <w:pPr>
              <w:shd w:val="clear" w:color="auto" w:fill="FFFFFF"/>
              <w:spacing w:after="0" w:line="240" w:lineRule="auto"/>
              <w:jc w:val="both"/>
              <w:rPr>
                <w:rFonts w:ascii="Times New Roman" w:hAnsi="Times New Roman" w:cs="Times New Roman"/>
                <w:sz w:val="20"/>
                <w:szCs w:val="20"/>
              </w:rPr>
            </w:pPr>
            <w:r w:rsidRPr="00E05E56">
              <w:rPr>
                <w:rFonts w:ascii="Times New Roman" w:hAnsi="Times New Roman" w:cs="Times New Roman"/>
                <w:sz w:val="20"/>
                <w:szCs w:val="20"/>
              </w:rPr>
              <w:t>48.</w:t>
            </w:r>
            <w:r w:rsidRPr="00E05E56">
              <w:rPr>
                <w:rFonts w:ascii="Times New Roman" w:hAnsi="Times New Roman" w:cs="Times New Roman"/>
                <w:sz w:val="20"/>
                <w:szCs w:val="20"/>
                <w:vertAlign w:val="superscript"/>
              </w:rPr>
              <w:t>1</w:t>
            </w:r>
            <w:r w:rsidRPr="00E05E56">
              <w:rPr>
                <w:rFonts w:ascii="Times New Roman" w:hAnsi="Times New Roman" w:cs="Times New Roman"/>
                <w:sz w:val="20"/>
                <w:szCs w:val="20"/>
              </w:rPr>
              <w:t xml:space="preserve"> </w:t>
            </w:r>
            <w:r w:rsidRPr="00E05E56">
              <w:rPr>
                <w:rFonts w:ascii="Times New Roman" w:hAnsi="Times New Roman" w:cs="Times New Roman"/>
                <w:color w:val="000000" w:themeColor="text1"/>
                <w:sz w:val="20"/>
                <w:szCs w:val="20"/>
              </w:rPr>
              <w:t>ēkā</w:t>
            </w:r>
            <w:r w:rsidRPr="00E05E56">
              <w:rPr>
                <w:rFonts w:ascii="Times New Roman" w:hAnsi="Times New Roman" w:cs="Times New Roman"/>
                <w:iCs/>
                <w:color w:val="000000" w:themeColor="text1"/>
                <w:sz w:val="20"/>
                <w:szCs w:val="20"/>
                <w:lang w:eastAsia="lv-LV"/>
              </w:rPr>
              <w:t xml:space="preserve"> vai ēku grupā</w:t>
            </w:r>
            <w:r w:rsidRPr="00E05E56">
              <w:rPr>
                <w:rFonts w:ascii="Times New Roman" w:hAnsi="Times New Roman" w:cs="Times New Roman"/>
                <w:color w:val="000000" w:themeColor="text1"/>
                <w:sz w:val="20"/>
                <w:szCs w:val="20"/>
              </w:rPr>
              <w:t xml:space="preserve">, kurā </w:t>
            </w:r>
            <w:r w:rsidRPr="00E05E56">
              <w:rPr>
                <w:rFonts w:ascii="Times New Roman" w:hAnsi="Times New Roman" w:cs="Times New Roman"/>
                <w:sz w:val="20"/>
                <w:szCs w:val="20"/>
              </w:rPr>
              <w:t xml:space="preserve">veic energoefektivitātes projektu, ir pieļaujams veikt papildpakalpojumus, t.i. tādus pakalpojumus infrastruktūrā, kurus galvenokārt izmanto tikai nesaimnieciskajai darbībai, un kuriem pašiem par sevi </w:t>
            </w:r>
            <w:r w:rsidRPr="00E05E56">
              <w:rPr>
                <w:rFonts w:ascii="Times New Roman" w:hAnsi="Times New Roman" w:cs="Times New Roman"/>
                <w:sz w:val="20"/>
                <w:szCs w:val="20"/>
              </w:rPr>
              <w:lastRenderedPageBreak/>
              <w:t>nebūtu ietekme uz tirdzniecību un konkurenci Eiropas Savienības iekšējā tirgū.”</w:t>
            </w:r>
          </w:p>
          <w:p w14:paraId="73619A51" w14:textId="77777777" w:rsidR="00CC0237" w:rsidRPr="00660409" w:rsidRDefault="00CC0237" w:rsidP="00CA06F9">
            <w:pPr>
              <w:spacing w:after="0" w:line="240" w:lineRule="auto"/>
              <w:jc w:val="both"/>
              <w:rPr>
                <w:rFonts w:ascii="Times New Roman" w:eastAsia="Times New Roman" w:hAnsi="Times New Roman" w:cs="Times New Roman"/>
                <w:sz w:val="20"/>
                <w:szCs w:val="20"/>
                <w:lang w:eastAsia="lv-LV"/>
              </w:rPr>
            </w:pPr>
          </w:p>
        </w:tc>
      </w:tr>
      <w:tr w:rsidR="00CC0237" w:rsidRPr="00660409" w14:paraId="4C8BB1AF"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FDE37CC" w14:textId="662F32C2" w:rsidR="00CC0237" w:rsidRDefault="003E7EB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39</w:t>
            </w:r>
          </w:p>
        </w:tc>
        <w:tc>
          <w:tcPr>
            <w:tcW w:w="663" w:type="pct"/>
            <w:tcBorders>
              <w:top w:val="outset" w:sz="6" w:space="0" w:color="414142"/>
              <w:left w:val="outset" w:sz="6" w:space="0" w:color="414142"/>
              <w:bottom w:val="outset" w:sz="6" w:space="0" w:color="414142"/>
              <w:right w:val="outset" w:sz="6" w:space="0" w:color="414142"/>
            </w:tcBorders>
          </w:tcPr>
          <w:p w14:paraId="0B0F9914" w14:textId="77777777" w:rsidR="00CC0237" w:rsidRPr="00660409" w:rsidRDefault="00CC0237"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5AE29FBB" w14:textId="77777777" w:rsidR="00CC0237" w:rsidRDefault="00CC0237" w:rsidP="00CC023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Finanšu ministrija</w:t>
            </w:r>
          </w:p>
          <w:p w14:paraId="55B48002" w14:textId="77777777" w:rsidR="00CC0237" w:rsidRPr="00CC0237" w:rsidRDefault="00CC0237" w:rsidP="00CC0237">
            <w:pPr>
              <w:spacing w:after="0" w:line="240" w:lineRule="auto"/>
              <w:jc w:val="both"/>
              <w:rPr>
                <w:rFonts w:ascii="Times New Roman" w:hAnsi="Times New Roman" w:cs="Times New Roman"/>
                <w:sz w:val="20"/>
                <w:szCs w:val="20"/>
              </w:rPr>
            </w:pPr>
            <w:r w:rsidRPr="00CC0237">
              <w:rPr>
                <w:rFonts w:ascii="Times New Roman" w:hAnsi="Times New Roman" w:cs="Times New Roman"/>
                <w:sz w:val="20"/>
                <w:szCs w:val="20"/>
              </w:rPr>
              <w:t xml:space="preserve">Lūdzam precizēt noteikumu projekta 10.punktā iekļauto nelikumīga atbalsta atgūšanas normu atbilstoši veiktajiem papildinājumiem par atļauju veikt papildpakalpojumus, jo arī tad, ja tiks konstatēts, ka ēkā vai ēku grupā tiek veikta saimnieciskā darbība, kas nav uzskatāma par papildpakalpojumu, projekta iesniedzējam ir pienākums atmaksāt sadarbības iestādei saņemto nelikumīgo komercdarbības atbalstu kopā ar procentiem. </w:t>
            </w:r>
          </w:p>
          <w:p w14:paraId="7070536D" w14:textId="0805A048" w:rsidR="00CC0237" w:rsidRDefault="00CC0237" w:rsidP="00CC0237">
            <w:pPr>
              <w:spacing w:after="0" w:line="240" w:lineRule="auto"/>
              <w:jc w:val="center"/>
              <w:rPr>
                <w:rFonts w:ascii="Times New Roman" w:eastAsia="Times New Roman" w:hAnsi="Times New Roman" w:cs="Times New Roman"/>
                <w:b/>
                <w:bCs/>
                <w:sz w:val="24"/>
                <w:szCs w:val="24"/>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23A4B0EC" w14:textId="77777777" w:rsidR="00CC0237" w:rsidRDefault="00CC0237" w:rsidP="00CA06F9">
            <w:pPr>
              <w:spacing w:after="0" w:line="240" w:lineRule="auto"/>
              <w:jc w:val="center"/>
              <w:rPr>
                <w:rFonts w:ascii="Times New Roman" w:eastAsia="Times New Roman" w:hAnsi="Times New Roman" w:cs="Times New Roman"/>
                <w:sz w:val="20"/>
                <w:szCs w:val="20"/>
                <w:lang w:eastAsia="lv-LV"/>
              </w:rPr>
            </w:pPr>
          </w:p>
          <w:p w14:paraId="09162086" w14:textId="77777777" w:rsidR="00AA0208" w:rsidRDefault="00AA0208" w:rsidP="00CA06F9">
            <w:pPr>
              <w:spacing w:after="0" w:line="240" w:lineRule="auto"/>
              <w:jc w:val="center"/>
              <w:rPr>
                <w:rFonts w:ascii="Times New Roman" w:eastAsia="Times New Roman" w:hAnsi="Times New Roman" w:cs="Times New Roman"/>
                <w:b/>
                <w:bCs/>
                <w:sz w:val="20"/>
                <w:szCs w:val="20"/>
                <w:lang w:eastAsia="lv-LV"/>
              </w:rPr>
            </w:pPr>
            <w:r w:rsidRPr="00AA0208">
              <w:rPr>
                <w:rFonts w:ascii="Times New Roman" w:eastAsia="Times New Roman" w:hAnsi="Times New Roman" w:cs="Times New Roman"/>
                <w:b/>
                <w:bCs/>
                <w:sz w:val="20"/>
                <w:szCs w:val="20"/>
                <w:lang w:eastAsia="lv-LV"/>
              </w:rPr>
              <w:t>Ņemts vērā</w:t>
            </w:r>
          </w:p>
          <w:p w14:paraId="203D8186" w14:textId="3B3D3EB0" w:rsidR="00257531" w:rsidRPr="00257531" w:rsidRDefault="00257531" w:rsidP="00CA06F9">
            <w:pPr>
              <w:spacing w:after="0" w:line="240" w:lineRule="auto"/>
              <w:jc w:val="center"/>
              <w:rPr>
                <w:rFonts w:ascii="Times New Roman" w:eastAsia="Times New Roman" w:hAnsi="Times New Roman" w:cs="Times New Roman"/>
                <w:sz w:val="20"/>
                <w:szCs w:val="20"/>
                <w:lang w:eastAsia="lv-LV"/>
              </w:rPr>
            </w:pPr>
            <w:r w:rsidRPr="00257531">
              <w:rPr>
                <w:rFonts w:ascii="Times New Roman" w:eastAsia="Times New Roman" w:hAnsi="Times New Roman" w:cs="Times New Roman"/>
                <w:sz w:val="20"/>
                <w:szCs w:val="20"/>
                <w:lang w:eastAsia="lv-LV"/>
              </w:rPr>
              <w:t>Noteikumu projekts precizēts</w:t>
            </w:r>
          </w:p>
        </w:tc>
        <w:tc>
          <w:tcPr>
            <w:tcW w:w="1698" w:type="pct"/>
            <w:tcBorders>
              <w:top w:val="outset" w:sz="6" w:space="0" w:color="414142"/>
              <w:left w:val="outset" w:sz="6" w:space="0" w:color="414142"/>
              <w:bottom w:val="outset" w:sz="6" w:space="0" w:color="414142"/>
              <w:right w:val="outset" w:sz="6" w:space="0" w:color="414142"/>
            </w:tcBorders>
          </w:tcPr>
          <w:p w14:paraId="64229248" w14:textId="77777777" w:rsidR="00F02FCB" w:rsidRPr="00F02FCB" w:rsidRDefault="00F02FCB" w:rsidP="00F02FCB">
            <w:pPr>
              <w:jc w:val="both"/>
              <w:rPr>
                <w:rFonts w:ascii="Times New Roman" w:hAnsi="Times New Roman" w:cs="Times New Roman"/>
                <w:iCs/>
                <w:color w:val="000000" w:themeColor="text1"/>
                <w:sz w:val="20"/>
                <w:szCs w:val="20"/>
                <w:lang w:eastAsia="lv-LV"/>
              </w:rPr>
            </w:pPr>
            <w:r w:rsidRPr="00F02FCB">
              <w:rPr>
                <w:rFonts w:ascii="Times New Roman" w:hAnsi="Times New Roman" w:cs="Times New Roman"/>
                <w:iCs/>
                <w:color w:val="000000" w:themeColor="text1"/>
                <w:sz w:val="20"/>
                <w:szCs w:val="20"/>
                <w:lang w:eastAsia="lv-LV"/>
              </w:rPr>
              <w:t>“49. Ja tiek konstatēts, ka ēkā vai ēku grupā, par kuru iesniegts projekta iesniegums,</w:t>
            </w:r>
            <w:r w:rsidRPr="00F02FCB">
              <w:rPr>
                <w:rFonts w:ascii="Times New Roman" w:hAnsi="Times New Roman" w:cs="Times New Roman"/>
                <w:color w:val="FF0000"/>
                <w:sz w:val="20"/>
                <w:szCs w:val="20"/>
                <w:lang w:eastAsia="lv-LV"/>
              </w:rPr>
              <w:t xml:space="preserve"> </w:t>
            </w:r>
            <w:r w:rsidRPr="00F02FCB">
              <w:rPr>
                <w:rFonts w:ascii="Times New Roman" w:hAnsi="Times New Roman" w:cs="Times New Roman"/>
                <w:color w:val="000000" w:themeColor="text1"/>
                <w:sz w:val="20"/>
                <w:szCs w:val="20"/>
                <w:lang w:eastAsia="lv-LV"/>
              </w:rPr>
              <w:t>tiek veikta saimnieciskā darbība, kas nav uzskatāma par papildpakalpojumu, vai</w:t>
            </w:r>
            <w:r w:rsidRPr="00F02FCB">
              <w:rPr>
                <w:rFonts w:ascii="Times New Roman" w:hAnsi="Times New Roman" w:cs="Times New Roman"/>
                <w:iCs/>
                <w:color w:val="000000" w:themeColor="text1"/>
                <w:sz w:val="20"/>
                <w:szCs w:val="20"/>
                <w:lang w:eastAsia="lv-LV"/>
              </w:rPr>
              <w:t xml:space="preserve"> tiek veikta papildinoša saimnieciskā darbība, kas pārsniedz šo noteikumu </w:t>
            </w:r>
            <w:hyperlink r:id="rId15" w:anchor="p48" w:history="1">
              <w:r w:rsidRPr="00F02FCB">
                <w:rPr>
                  <w:rFonts w:ascii="Times New Roman" w:hAnsi="Times New Roman" w:cs="Times New Roman"/>
                  <w:iCs/>
                  <w:color w:val="000000" w:themeColor="text1"/>
                  <w:sz w:val="20"/>
                  <w:szCs w:val="20"/>
                  <w:lang w:eastAsia="lv-LV"/>
                </w:rPr>
                <w:t>48.</w:t>
              </w:r>
            </w:hyperlink>
            <w:r w:rsidRPr="00F02FCB">
              <w:rPr>
                <w:rFonts w:ascii="Times New Roman" w:hAnsi="Times New Roman" w:cs="Times New Roman"/>
                <w:iCs/>
                <w:color w:val="000000" w:themeColor="text1"/>
                <w:sz w:val="20"/>
                <w:szCs w:val="20"/>
                <w:lang w:eastAsia="lv-LV"/>
              </w:rPr>
              <w:t xml:space="preserve">punktā minēto apmēru, vai tiek veikta saimnieciskā darbība, kas nav uzskatāma par papildinošu saimniecisko darbību, projekta iesniedzējam proporcionāli šai ēkas vai ēku grupas daļai platības, laika vai finanšu izteiksmē ir pienākums atmaksāt sadarbības iestādei saņemto nelikumīgo komercdarbības atbalstu kopā ar procentiem, kuru likmi publicē Eiropas Komisija saskaņā ar Komisijas 2004.gada 21.aprīļa Regulas (EK) Nr.794/2004, ar ko īsteno Padomes Regulu (ES) </w:t>
            </w:r>
            <w:hyperlink r:id="rId16" w:tgtFrame="_blank" w:history="1">
              <w:r w:rsidRPr="00F02FCB">
                <w:rPr>
                  <w:rFonts w:ascii="Times New Roman" w:hAnsi="Times New Roman" w:cs="Times New Roman"/>
                  <w:iCs/>
                  <w:color w:val="000000" w:themeColor="text1"/>
                  <w:sz w:val="20"/>
                  <w:szCs w:val="20"/>
                  <w:lang w:eastAsia="lv-LV"/>
                </w:rPr>
                <w:t>2015/1589</w:t>
              </w:r>
            </w:hyperlink>
            <w:r w:rsidRPr="00F02FCB">
              <w:rPr>
                <w:rFonts w:ascii="Times New Roman" w:hAnsi="Times New Roman" w:cs="Times New Roman"/>
                <w:iCs/>
                <w:color w:val="000000" w:themeColor="text1"/>
                <w:sz w:val="20"/>
                <w:szCs w:val="20"/>
                <w:lang w:eastAsia="lv-LV"/>
              </w:rPr>
              <w:t xml:space="preserve">, ar ko nosaka sīki izstrādātus noteikumus Līguma par Eiropas Savienības darbību </w:t>
            </w:r>
            <w:hyperlink r:id="rId17" w:anchor="p108" w:history="1">
              <w:r w:rsidRPr="00F02FCB">
                <w:rPr>
                  <w:rFonts w:ascii="Times New Roman" w:hAnsi="Times New Roman" w:cs="Times New Roman"/>
                  <w:iCs/>
                  <w:color w:val="000000" w:themeColor="text1"/>
                  <w:sz w:val="20"/>
                  <w:szCs w:val="20"/>
                  <w:lang w:eastAsia="lv-LV"/>
                </w:rPr>
                <w:t>108.</w:t>
              </w:r>
            </w:hyperlink>
            <w:r w:rsidRPr="00F02FCB">
              <w:rPr>
                <w:rFonts w:ascii="Times New Roman" w:hAnsi="Times New Roman" w:cs="Times New Roman"/>
                <w:iCs/>
                <w:color w:val="000000" w:themeColor="text1"/>
                <w:sz w:val="20"/>
                <w:szCs w:val="20"/>
                <w:lang w:eastAsia="lv-LV"/>
              </w:rPr>
              <w:t>panta piemērošanai (turpmāk – Komisijas regula Nr.794/2004), 10.pantu, tiem pieskaitot 100 bāzes punktus, no dienas, kad atbalsts tika izmaksāts finansējuma saņēmējam, līdz tā atgūšanas dienai, ievērojot Komisijas regulas Nr.794/2004 11. pantā noteikto procentu likmes piemērošanas metodi.”</w:t>
            </w:r>
          </w:p>
          <w:p w14:paraId="729EAE25" w14:textId="29BA1E21" w:rsidR="00CC0237" w:rsidRPr="00F02FCB" w:rsidRDefault="00CC0237" w:rsidP="00CA06F9">
            <w:pPr>
              <w:spacing w:after="0" w:line="240" w:lineRule="auto"/>
              <w:jc w:val="both"/>
              <w:rPr>
                <w:rFonts w:ascii="Times New Roman" w:eastAsia="Times New Roman" w:hAnsi="Times New Roman" w:cs="Times New Roman"/>
                <w:sz w:val="20"/>
                <w:szCs w:val="20"/>
                <w:lang w:eastAsia="lv-LV"/>
              </w:rPr>
            </w:pPr>
          </w:p>
        </w:tc>
      </w:tr>
      <w:tr w:rsidR="00CC0237" w:rsidRPr="00660409" w14:paraId="2305D8D6"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7210A645" w14:textId="181F5BE1" w:rsidR="00CC0237" w:rsidRDefault="003E7EB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c>
          <w:tcPr>
            <w:tcW w:w="663" w:type="pct"/>
            <w:tcBorders>
              <w:top w:val="outset" w:sz="6" w:space="0" w:color="414142"/>
              <w:left w:val="outset" w:sz="6" w:space="0" w:color="414142"/>
              <w:bottom w:val="outset" w:sz="6" w:space="0" w:color="414142"/>
              <w:right w:val="outset" w:sz="6" w:space="0" w:color="414142"/>
            </w:tcBorders>
          </w:tcPr>
          <w:p w14:paraId="03C79AA2" w14:textId="77777777" w:rsidR="00CC0237" w:rsidRPr="00660409" w:rsidRDefault="00CC0237"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3C85258" w14:textId="77777777" w:rsidR="00CC0237" w:rsidRDefault="00CC0237" w:rsidP="00CC023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Finanšu ministrija</w:t>
            </w:r>
          </w:p>
          <w:p w14:paraId="3F4D3564" w14:textId="77777777" w:rsidR="00CC0237" w:rsidRPr="00CC0237" w:rsidRDefault="00CC0237" w:rsidP="00CC0237">
            <w:pPr>
              <w:spacing w:after="0" w:line="240" w:lineRule="auto"/>
              <w:jc w:val="both"/>
              <w:rPr>
                <w:rFonts w:ascii="Times New Roman" w:hAnsi="Times New Roman" w:cs="Times New Roman"/>
                <w:sz w:val="20"/>
                <w:szCs w:val="20"/>
              </w:rPr>
            </w:pPr>
            <w:r w:rsidRPr="00CC0237">
              <w:rPr>
                <w:rFonts w:ascii="Times New Roman" w:hAnsi="Times New Roman" w:cs="Times New Roman"/>
                <w:sz w:val="20"/>
                <w:szCs w:val="20"/>
              </w:rPr>
              <w:t xml:space="preserve">Lai nodrošinātu, ka noteikumu projektā iekļautais papildpakalpojuma jēdziens ir skaidrs gan atbalsta sniedzējam, gan atbalsta saņēmējam, lūdzam papildināt anotāciju vismaz ar dažiem piemēriem, ko noteikumu </w:t>
            </w:r>
            <w:r w:rsidRPr="00CC0237">
              <w:rPr>
                <w:rFonts w:ascii="Times New Roman" w:hAnsi="Times New Roman" w:cs="Times New Roman"/>
                <w:sz w:val="20"/>
                <w:szCs w:val="20"/>
              </w:rPr>
              <w:lastRenderedPageBreak/>
              <w:t xml:space="preserve">ietvaros saprot ar papildpakalpojumu. Šajā saistībā lūdzam skatīt Komisijas paziņojuma par Līguma par Eiropas Savienības darbību 107.panta 1.punktā minēto valsts atbalsta jēdzienu (2016/C 262/01) 207.punktu. </w:t>
            </w:r>
          </w:p>
          <w:p w14:paraId="1B83EC2E" w14:textId="25F5DA66" w:rsidR="00CC0237" w:rsidRDefault="00CC0237" w:rsidP="00CC0237">
            <w:pPr>
              <w:spacing w:after="0" w:line="240" w:lineRule="auto"/>
              <w:jc w:val="center"/>
              <w:rPr>
                <w:rFonts w:ascii="Times New Roman" w:eastAsia="Times New Roman" w:hAnsi="Times New Roman" w:cs="Times New Roman"/>
                <w:b/>
                <w:bCs/>
                <w:sz w:val="24"/>
                <w:szCs w:val="24"/>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7FC58F9C" w14:textId="77777777" w:rsidR="00CC0237" w:rsidRDefault="00AA0208" w:rsidP="00CA06F9">
            <w:pPr>
              <w:spacing w:after="0" w:line="240" w:lineRule="auto"/>
              <w:jc w:val="center"/>
              <w:rPr>
                <w:rFonts w:ascii="Times New Roman" w:eastAsia="Times New Roman" w:hAnsi="Times New Roman" w:cs="Times New Roman"/>
                <w:b/>
                <w:bCs/>
                <w:sz w:val="20"/>
                <w:szCs w:val="20"/>
                <w:lang w:eastAsia="lv-LV"/>
              </w:rPr>
            </w:pPr>
            <w:r w:rsidRPr="00AA0208">
              <w:rPr>
                <w:rFonts w:ascii="Times New Roman" w:eastAsia="Times New Roman" w:hAnsi="Times New Roman" w:cs="Times New Roman"/>
                <w:b/>
                <w:bCs/>
                <w:sz w:val="20"/>
                <w:szCs w:val="20"/>
                <w:lang w:eastAsia="lv-LV"/>
              </w:rPr>
              <w:lastRenderedPageBreak/>
              <w:t>Ņemts vērā</w:t>
            </w:r>
          </w:p>
          <w:p w14:paraId="2F086473" w14:textId="30608061" w:rsidR="00257531" w:rsidRPr="00AA0208" w:rsidRDefault="003E3381" w:rsidP="00CA06F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Veikti precizējumi anotācijā</w:t>
            </w:r>
          </w:p>
        </w:tc>
        <w:tc>
          <w:tcPr>
            <w:tcW w:w="1698" w:type="pct"/>
            <w:tcBorders>
              <w:top w:val="outset" w:sz="6" w:space="0" w:color="414142"/>
              <w:left w:val="outset" w:sz="6" w:space="0" w:color="414142"/>
              <w:bottom w:val="outset" w:sz="6" w:space="0" w:color="414142"/>
              <w:right w:val="outset" w:sz="6" w:space="0" w:color="414142"/>
            </w:tcBorders>
          </w:tcPr>
          <w:p w14:paraId="70024B0B" w14:textId="77777777" w:rsidR="00CC0237" w:rsidRPr="00AA0208" w:rsidRDefault="00CC0237" w:rsidP="00CA06F9">
            <w:pPr>
              <w:spacing w:after="0" w:line="240" w:lineRule="auto"/>
              <w:jc w:val="both"/>
              <w:rPr>
                <w:rFonts w:ascii="Times New Roman" w:eastAsia="Times New Roman" w:hAnsi="Times New Roman" w:cs="Times New Roman"/>
                <w:b/>
                <w:bCs/>
                <w:sz w:val="20"/>
                <w:szCs w:val="20"/>
                <w:lang w:eastAsia="lv-LV"/>
              </w:rPr>
            </w:pPr>
          </w:p>
        </w:tc>
      </w:tr>
      <w:tr w:rsidR="00CC0237" w:rsidRPr="00660409" w14:paraId="44129589"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558B868D" w14:textId="5B50B9C3" w:rsidR="00CC0237" w:rsidRDefault="003E7EB7"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w:t>
            </w:r>
          </w:p>
        </w:tc>
        <w:tc>
          <w:tcPr>
            <w:tcW w:w="663" w:type="pct"/>
            <w:tcBorders>
              <w:top w:val="outset" w:sz="6" w:space="0" w:color="414142"/>
              <w:left w:val="outset" w:sz="6" w:space="0" w:color="414142"/>
              <w:bottom w:val="outset" w:sz="6" w:space="0" w:color="414142"/>
              <w:right w:val="outset" w:sz="6" w:space="0" w:color="414142"/>
            </w:tcBorders>
          </w:tcPr>
          <w:p w14:paraId="64B5C396" w14:textId="77777777" w:rsidR="00CC0237" w:rsidRPr="00660409" w:rsidRDefault="00CC0237" w:rsidP="00CA06F9">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234E81CF" w14:textId="786132D9" w:rsidR="00CC0237" w:rsidRPr="008851D8" w:rsidRDefault="00AA0208" w:rsidP="00CC0237">
            <w:pPr>
              <w:spacing w:after="0" w:line="240" w:lineRule="auto"/>
              <w:jc w:val="center"/>
              <w:rPr>
                <w:rFonts w:ascii="Times New Roman" w:eastAsia="Times New Roman" w:hAnsi="Times New Roman" w:cs="Times New Roman"/>
                <w:b/>
                <w:bCs/>
                <w:sz w:val="20"/>
                <w:szCs w:val="20"/>
                <w:lang w:eastAsia="lv-LV"/>
              </w:rPr>
            </w:pPr>
            <w:r w:rsidRPr="008851D8">
              <w:rPr>
                <w:rFonts w:ascii="Times New Roman" w:eastAsia="Times New Roman" w:hAnsi="Times New Roman" w:cs="Times New Roman"/>
                <w:b/>
                <w:bCs/>
                <w:sz w:val="20"/>
                <w:szCs w:val="20"/>
                <w:lang w:eastAsia="lv-LV"/>
              </w:rPr>
              <w:t>Priekšlikumi 13.05.2021.</w:t>
            </w:r>
          </w:p>
          <w:p w14:paraId="43E89BB4" w14:textId="5C543BE3" w:rsidR="00AA0208" w:rsidRPr="008851D8" w:rsidRDefault="00AA0208" w:rsidP="00CC0237">
            <w:pPr>
              <w:spacing w:after="0" w:line="240" w:lineRule="auto"/>
              <w:jc w:val="center"/>
              <w:rPr>
                <w:rFonts w:ascii="Times New Roman" w:eastAsia="Times New Roman" w:hAnsi="Times New Roman" w:cs="Times New Roman"/>
                <w:b/>
                <w:bCs/>
                <w:sz w:val="20"/>
                <w:szCs w:val="20"/>
                <w:lang w:eastAsia="lv-LV"/>
              </w:rPr>
            </w:pPr>
            <w:r w:rsidRPr="008851D8">
              <w:rPr>
                <w:rFonts w:ascii="Times New Roman" w:eastAsia="Times New Roman" w:hAnsi="Times New Roman" w:cs="Times New Roman"/>
                <w:b/>
                <w:bCs/>
                <w:sz w:val="20"/>
                <w:szCs w:val="20"/>
                <w:lang w:eastAsia="lv-LV"/>
              </w:rPr>
              <w:t>Finanšu ministrija</w:t>
            </w:r>
          </w:p>
          <w:p w14:paraId="5EAA228F" w14:textId="77777777" w:rsidR="008851D8" w:rsidRPr="008851D8" w:rsidRDefault="008851D8" w:rsidP="008851D8">
            <w:pPr>
              <w:autoSpaceDE w:val="0"/>
              <w:autoSpaceDN w:val="0"/>
              <w:spacing w:after="0" w:line="240" w:lineRule="auto"/>
              <w:jc w:val="both"/>
              <w:rPr>
                <w:rFonts w:ascii="Times New Roman" w:hAnsi="Times New Roman" w:cs="Times New Roman"/>
                <w:sz w:val="20"/>
                <w:szCs w:val="20"/>
                <w:lang w:eastAsia="lv-LV"/>
              </w:rPr>
            </w:pPr>
            <w:r w:rsidRPr="008851D8">
              <w:rPr>
                <w:rFonts w:ascii="Times New Roman" w:hAnsi="Times New Roman" w:cs="Times New Roman"/>
                <w:sz w:val="20"/>
                <w:szCs w:val="20"/>
              </w:rPr>
              <w:t xml:space="preserve">Lūdzam svītrot noteikumu projekta 6.punktu, jo minētā tiesību norma nav MK noteikumu jautājums, jo regulē procesu līguma/vienošanās grozījumu vērtēšanas procesa ietvaros. Vēršam uzmanību, ka atbilstoši Valsts kancelejas izstrādātajai rokasgrāmatai “Normatīvo aktu projektu izstrādes rokasgrāmata” normatīvā akta tekstam ir raksturīgs vispārīgs izteiksmes stils, un tas regulē procesu un jomu kopumā, savukārt atbilstoši MK 2009.gada 7.aprīļa noteikumiem Nr.300 “Ministru kabineta kārtības rullis” MK </w:t>
            </w:r>
            <w:proofErr w:type="spellStart"/>
            <w:r w:rsidRPr="008851D8">
              <w:rPr>
                <w:rFonts w:ascii="Times New Roman" w:hAnsi="Times New Roman" w:cs="Times New Roman"/>
                <w:sz w:val="20"/>
                <w:szCs w:val="20"/>
              </w:rPr>
              <w:t>protokollēmums</w:t>
            </w:r>
            <w:proofErr w:type="spellEnd"/>
            <w:r w:rsidRPr="008851D8">
              <w:rPr>
                <w:rFonts w:ascii="Times New Roman" w:hAnsi="Times New Roman" w:cs="Times New Roman"/>
                <w:sz w:val="20"/>
                <w:szCs w:val="20"/>
              </w:rPr>
              <w:t xml:space="preserve"> ir tiesību akts ar kuru ministrijai vai citai institūcijai uzdod uzdevuma izpildi. </w:t>
            </w:r>
          </w:p>
          <w:p w14:paraId="2C1D2EB4" w14:textId="523DAE24" w:rsidR="00AA0208" w:rsidRPr="008851D8" w:rsidRDefault="00AA0208" w:rsidP="00CC0237">
            <w:pPr>
              <w:spacing w:after="0" w:line="240" w:lineRule="auto"/>
              <w:jc w:val="center"/>
              <w:rPr>
                <w:rFonts w:ascii="Times New Roman" w:eastAsia="Times New Roman" w:hAnsi="Times New Roman" w:cs="Times New Roman"/>
                <w:b/>
                <w:bCs/>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4A76A9CB" w14:textId="77777777" w:rsidR="00CC0237" w:rsidRDefault="00CC0237" w:rsidP="00CA06F9">
            <w:pPr>
              <w:spacing w:after="0" w:line="240" w:lineRule="auto"/>
              <w:jc w:val="center"/>
              <w:rPr>
                <w:rFonts w:ascii="Times New Roman" w:eastAsia="Times New Roman" w:hAnsi="Times New Roman" w:cs="Times New Roman"/>
                <w:sz w:val="20"/>
                <w:szCs w:val="20"/>
                <w:lang w:eastAsia="lv-LV"/>
              </w:rPr>
            </w:pPr>
          </w:p>
          <w:p w14:paraId="11A1104B" w14:textId="77777777" w:rsidR="00AA0208" w:rsidRDefault="00AA0208" w:rsidP="00CA06F9">
            <w:pPr>
              <w:spacing w:after="0" w:line="240" w:lineRule="auto"/>
              <w:jc w:val="center"/>
              <w:rPr>
                <w:rFonts w:ascii="Times New Roman" w:eastAsia="Times New Roman" w:hAnsi="Times New Roman" w:cs="Times New Roman"/>
                <w:sz w:val="20"/>
                <w:szCs w:val="20"/>
                <w:lang w:eastAsia="lv-LV"/>
              </w:rPr>
            </w:pPr>
          </w:p>
          <w:p w14:paraId="6DDA4123" w14:textId="77777777" w:rsidR="00AA0208" w:rsidRDefault="00AA0208" w:rsidP="00CA06F9">
            <w:pPr>
              <w:spacing w:after="0" w:line="240" w:lineRule="auto"/>
              <w:jc w:val="center"/>
              <w:rPr>
                <w:rFonts w:ascii="Times New Roman" w:eastAsia="Times New Roman" w:hAnsi="Times New Roman" w:cs="Times New Roman"/>
                <w:b/>
                <w:bCs/>
                <w:sz w:val="20"/>
                <w:szCs w:val="20"/>
                <w:lang w:eastAsia="lv-LV"/>
              </w:rPr>
            </w:pPr>
            <w:r w:rsidRPr="00AA0208">
              <w:rPr>
                <w:rFonts w:ascii="Times New Roman" w:eastAsia="Times New Roman" w:hAnsi="Times New Roman" w:cs="Times New Roman"/>
                <w:b/>
                <w:bCs/>
                <w:sz w:val="20"/>
                <w:szCs w:val="20"/>
                <w:lang w:eastAsia="lv-LV"/>
              </w:rPr>
              <w:t>Ņemts vērā</w:t>
            </w:r>
          </w:p>
          <w:p w14:paraId="769587BA" w14:textId="519A3808" w:rsidR="00F164E5" w:rsidRPr="00F164E5" w:rsidRDefault="00F164E5" w:rsidP="00CA06F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punkts svītrots.</w:t>
            </w:r>
          </w:p>
        </w:tc>
        <w:tc>
          <w:tcPr>
            <w:tcW w:w="1698" w:type="pct"/>
            <w:tcBorders>
              <w:top w:val="outset" w:sz="6" w:space="0" w:color="414142"/>
              <w:left w:val="outset" w:sz="6" w:space="0" w:color="414142"/>
              <w:bottom w:val="outset" w:sz="6" w:space="0" w:color="414142"/>
              <w:right w:val="outset" w:sz="6" w:space="0" w:color="414142"/>
            </w:tcBorders>
          </w:tcPr>
          <w:p w14:paraId="79199666" w14:textId="77777777" w:rsidR="00CC0237" w:rsidRDefault="00CC0237" w:rsidP="00CA06F9">
            <w:pPr>
              <w:spacing w:after="0" w:line="240" w:lineRule="auto"/>
              <w:jc w:val="both"/>
              <w:rPr>
                <w:rFonts w:ascii="Times New Roman" w:eastAsia="Times New Roman" w:hAnsi="Times New Roman" w:cs="Times New Roman"/>
                <w:sz w:val="20"/>
                <w:szCs w:val="20"/>
                <w:lang w:eastAsia="lv-LV"/>
              </w:rPr>
            </w:pPr>
          </w:p>
          <w:p w14:paraId="08C62624" w14:textId="77777777" w:rsidR="008851D8" w:rsidRDefault="008851D8" w:rsidP="00CA06F9">
            <w:pPr>
              <w:spacing w:after="0" w:line="240" w:lineRule="auto"/>
              <w:jc w:val="both"/>
              <w:rPr>
                <w:rFonts w:ascii="Times New Roman" w:eastAsia="Times New Roman" w:hAnsi="Times New Roman" w:cs="Times New Roman"/>
                <w:sz w:val="20"/>
                <w:szCs w:val="20"/>
                <w:lang w:eastAsia="lv-LV"/>
              </w:rPr>
            </w:pPr>
          </w:p>
          <w:p w14:paraId="6184F0B1" w14:textId="06237E82" w:rsidR="008851D8" w:rsidRPr="00660409" w:rsidRDefault="008851D8" w:rsidP="00CA06F9">
            <w:pPr>
              <w:spacing w:after="0" w:line="240" w:lineRule="auto"/>
              <w:jc w:val="both"/>
              <w:rPr>
                <w:rFonts w:ascii="Times New Roman" w:eastAsia="Times New Roman" w:hAnsi="Times New Roman" w:cs="Times New Roman"/>
                <w:sz w:val="20"/>
                <w:szCs w:val="20"/>
                <w:lang w:eastAsia="lv-LV"/>
              </w:rPr>
            </w:pPr>
          </w:p>
        </w:tc>
      </w:tr>
      <w:tr w:rsidR="008851D8" w:rsidRPr="00660409" w14:paraId="0F3EF8FC"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6E2F6F1C" w14:textId="0C92B30C" w:rsidR="008851D8" w:rsidRDefault="003E7EB7" w:rsidP="008851D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p>
        </w:tc>
        <w:tc>
          <w:tcPr>
            <w:tcW w:w="663" w:type="pct"/>
            <w:tcBorders>
              <w:top w:val="outset" w:sz="6" w:space="0" w:color="414142"/>
              <w:left w:val="outset" w:sz="6" w:space="0" w:color="414142"/>
              <w:bottom w:val="outset" w:sz="6" w:space="0" w:color="414142"/>
              <w:right w:val="outset" w:sz="6" w:space="0" w:color="414142"/>
            </w:tcBorders>
          </w:tcPr>
          <w:p w14:paraId="2CC6774A" w14:textId="77777777" w:rsidR="008851D8" w:rsidRPr="00660409" w:rsidRDefault="008851D8" w:rsidP="008851D8">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73C7A003" w14:textId="77777777" w:rsidR="008851D8" w:rsidRDefault="008851D8" w:rsidP="008851D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Finanšu ministrija</w:t>
            </w:r>
          </w:p>
          <w:p w14:paraId="3BF672FC" w14:textId="77777777" w:rsidR="008851D8" w:rsidRPr="008851D8" w:rsidRDefault="008851D8" w:rsidP="008851D8">
            <w:pPr>
              <w:spacing w:after="0" w:line="240" w:lineRule="auto"/>
              <w:jc w:val="both"/>
              <w:rPr>
                <w:rFonts w:ascii="Times New Roman" w:hAnsi="Times New Roman" w:cs="Times New Roman"/>
                <w:sz w:val="20"/>
                <w:szCs w:val="20"/>
              </w:rPr>
            </w:pPr>
            <w:r w:rsidRPr="008851D8">
              <w:rPr>
                <w:rFonts w:ascii="Times New Roman" w:hAnsi="Times New Roman" w:cs="Times New Roman"/>
                <w:sz w:val="20"/>
                <w:szCs w:val="20"/>
              </w:rPr>
              <w:t>Lūdzam papildināt anotāciju atbilstoši izziņas par atzinumos sniegtajiem iebildumiem 26.punktā minētajam EM viedoklim, anotācijā skaidrojot līdzšinējās prakses maiņu, un to, kas turpmāk tiek saprasts ar vārdiem “projektā apstiprināto darbību ietvaros” un, ja nepieciešams, precizēt MK noteikumu Nr.534</w:t>
            </w:r>
            <w:r w:rsidRPr="008851D8">
              <w:rPr>
                <w:rStyle w:val="FootnoteReference"/>
                <w:rFonts w:cs="Times New Roman"/>
                <w:sz w:val="20"/>
                <w:szCs w:val="20"/>
              </w:rPr>
              <w:footnoteReference w:id="17"/>
            </w:r>
            <w:r w:rsidRPr="008851D8">
              <w:rPr>
                <w:rFonts w:ascii="Times New Roman" w:hAnsi="Times New Roman" w:cs="Times New Roman"/>
                <w:sz w:val="20"/>
                <w:szCs w:val="20"/>
              </w:rPr>
              <w:t xml:space="preserve"> 36.</w:t>
            </w:r>
            <w:r w:rsidRPr="008851D8">
              <w:rPr>
                <w:rFonts w:ascii="Times New Roman" w:hAnsi="Times New Roman" w:cs="Times New Roman"/>
                <w:sz w:val="20"/>
                <w:szCs w:val="20"/>
                <w:vertAlign w:val="superscript"/>
              </w:rPr>
              <w:t>1</w:t>
            </w:r>
            <w:r w:rsidRPr="008851D8">
              <w:rPr>
                <w:rFonts w:ascii="Times New Roman" w:hAnsi="Times New Roman" w:cs="Times New Roman"/>
                <w:sz w:val="20"/>
                <w:szCs w:val="20"/>
              </w:rPr>
              <w:t>punktu, svītrojot teikuma daļu “projektā apstiprināto darbību ietvaros”, vienlaikus nodrošinot redakcijas saskaņotību ar MK noteikumu Nr.13</w:t>
            </w:r>
            <w:r w:rsidRPr="008851D8">
              <w:rPr>
                <w:rStyle w:val="FootnoteReference"/>
                <w:rFonts w:cs="Times New Roman"/>
                <w:sz w:val="20"/>
                <w:szCs w:val="20"/>
              </w:rPr>
              <w:footnoteReference w:id="18"/>
            </w:r>
            <w:r w:rsidRPr="008851D8">
              <w:rPr>
                <w:rFonts w:ascii="Times New Roman" w:hAnsi="Times New Roman" w:cs="Times New Roman"/>
                <w:sz w:val="20"/>
                <w:szCs w:val="20"/>
              </w:rPr>
              <w:t xml:space="preserve"> 46.</w:t>
            </w:r>
            <w:r w:rsidRPr="008851D8">
              <w:rPr>
                <w:rFonts w:ascii="Times New Roman" w:hAnsi="Times New Roman" w:cs="Times New Roman"/>
                <w:sz w:val="20"/>
                <w:szCs w:val="20"/>
                <w:vertAlign w:val="superscript"/>
              </w:rPr>
              <w:t>1</w:t>
            </w:r>
            <w:r w:rsidRPr="008851D8">
              <w:rPr>
                <w:rFonts w:ascii="Times New Roman" w:hAnsi="Times New Roman" w:cs="Times New Roman"/>
                <w:sz w:val="20"/>
                <w:szCs w:val="20"/>
              </w:rPr>
              <w:t>punktu.</w:t>
            </w:r>
          </w:p>
          <w:p w14:paraId="78A5F5D9" w14:textId="77777777" w:rsidR="008851D8" w:rsidRPr="008851D8" w:rsidRDefault="008851D8" w:rsidP="008851D8">
            <w:pPr>
              <w:jc w:val="both"/>
              <w:rPr>
                <w:rFonts w:ascii="Times New Roman" w:hAnsi="Times New Roman" w:cs="Times New Roman"/>
                <w:sz w:val="20"/>
                <w:szCs w:val="20"/>
              </w:rPr>
            </w:pPr>
            <w:r w:rsidRPr="008851D8">
              <w:rPr>
                <w:rFonts w:ascii="Times New Roman" w:hAnsi="Times New Roman" w:cs="Times New Roman"/>
                <w:sz w:val="20"/>
                <w:szCs w:val="20"/>
              </w:rPr>
              <w:t xml:space="preserve">Vēršam uzmanību, ka izziņas par atzinumos sniegtajiem iebildumiem 26.punktā EM norāda, ka minētais priekšlikums ir daļēji ņemts vērā un ka MK noteikumu </w:t>
            </w:r>
            <w:r w:rsidRPr="008851D8">
              <w:rPr>
                <w:rFonts w:ascii="Times New Roman" w:hAnsi="Times New Roman" w:cs="Times New Roman"/>
                <w:sz w:val="20"/>
                <w:szCs w:val="20"/>
              </w:rPr>
              <w:lastRenderedPageBreak/>
              <w:t>Nr.534 36.</w:t>
            </w:r>
            <w:r w:rsidRPr="008851D8">
              <w:rPr>
                <w:rFonts w:ascii="Times New Roman" w:hAnsi="Times New Roman" w:cs="Times New Roman"/>
                <w:sz w:val="20"/>
                <w:szCs w:val="20"/>
                <w:vertAlign w:val="superscript"/>
              </w:rPr>
              <w:t>1</w:t>
            </w:r>
            <w:r w:rsidRPr="008851D8">
              <w:rPr>
                <w:rFonts w:ascii="Times New Roman" w:hAnsi="Times New Roman" w:cs="Times New Roman"/>
                <w:sz w:val="20"/>
                <w:szCs w:val="20"/>
              </w:rPr>
              <w:t xml:space="preserve">punkts netiek mainīts, savukārt no noteikumu projekta nav secināms, kas tieši ir ņemts vērā, jo anotācijā nav sniegts skaidrojums par līdzšinējās prakses maiņu, un kas tiek turpmāk saprasts ar “projektā apstiprināto darbību ietvaros”. </w:t>
            </w:r>
          </w:p>
          <w:p w14:paraId="54DB1DEF" w14:textId="70B8920B" w:rsidR="008851D8" w:rsidRDefault="008851D8" w:rsidP="008851D8">
            <w:pPr>
              <w:spacing w:after="0" w:line="240" w:lineRule="auto"/>
              <w:jc w:val="center"/>
              <w:rPr>
                <w:rFonts w:ascii="Times New Roman" w:eastAsia="Times New Roman" w:hAnsi="Times New Roman" w:cs="Times New Roman"/>
                <w:b/>
                <w:bCs/>
                <w:sz w:val="24"/>
                <w:szCs w:val="24"/>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18F0F65E" w14:textId="77777777" w:rsidR="006C38FE" w:rsidRPr="008935CD" w:rsidRDefault="006C38FE" w:rsidP="006C38FE">
            <w:pPr>
              <w:spacing w:after="0" w:line="240" w:lineRule="auto"/>
              <w:jc w:val="center"/>
              <w:rPr>
                <w:rFonts w:ascii="Times New Roman" w:eastAsia="Times New Roman" w:hAnsi="Times New Roman" w:cs="Times New Roman"/>
                <w:b/>
                <w:bCs/>
                <w:sz w:val="20"/>
                <w:szCs w:val="20"/>
                <w:lang w:eastAsia="lv-LV"/>
              </w:rPr>
            </w:pPr>
            <w:r w:rsidRPr="008935CD">
              <w:rPr>
                <w:rFonts w:ascii="Times New Roman" w:eastAsia="Times New Roman" w:hAnsi="Times New Roman" w:cs="Times New Roman"/>
                <w:b/>
                <w:bCs/>
                <w:sz w:val="20"/>
                <w:szCs w:val="20"/>
                <w:lang w:eastAsia="lv-LV"/>
              </w:rPr>
              <w:lastRenderedPageBreak/>
              <w:t>Ņemts vērā - saskaņots elektroniskās saskaņošanas procedūrā</w:t>
            </w:r>
          </w:p>
          <w:p w14:paraId="5EF2CC09" w14:textId="77777777" w:rsidR="00EB6A5E" w:rsidRDefault="00EB6A5E" w:rsidP="008851D8">
            <w:pPr>
              <w:spacing w:after="0" w:line="240" w:lineRule="auto"/>
              <w:jc w:val="center"/>
              <w:rPr>
                <w:rFonts w:ascii="Times New Roman" w:eastAsia="Times New Roman" w:hAnsi="Times New Roman" w:cs="Times New Roman"/>
                <w:sz w:val="20"/>
                <w:szCs w:val="20"/>
                <w:lang w:eastAsia="lv-LV"/>
              </w:rPr>
            </w:pPr>
          </w:p>
          <w:p w14:paraId="751841AC" w14:textId="238A4EBC" w:rsidR="00EB6A5E" w:rsidRDefault="00EB6A5E" w:rsidP="008851D8">
            <w:pPr>
              <w:spacing w:after="0" w:line="240" w:lineRule="auto"/>
              <w:jc w:val="center"/>
              <w:rPr>
                <w:rFonts w:ascii="Times New Roman" w:eastAsia="Times New Roman" w:hAnsi="Times New Roman" w:cs="Times New Roman"/>
                <w:sz w:val="20"/>
                <w:szCs w:val="20"/>
                <w:lang w:eastAsia="lv-LV"/>
              </w:rPr>
            </w:pPr>
            <w:r w:rsidRPr="008851D8">
              <w:rPr>
                <w:rFonts w:ascii="Times New Roman" w:hAnsi="Times New Roman" w:cs="Times New Roman"/>
                <w:sz w:val="20"/>
                <w:szCs w:val="20"/>
              </w:rPr>
              <w:t>36.</w:t>
            </w:r>
            <w:r w:rsidRPr="008851D8">
              <w:rPr>
                <w:rFonts w:ascii="Times New Roman" w:hAnsi="Times New Roman" w:cs="Times New Roman"/>
                <w:sz w:val="20"/>
                <w:szCs w:val="20"/>
                <w:vertAlign w:val="superscript"/>
              </w:rPr>
              <w:t>1</w:t>
            </w:r>
            <w:r w:rsidRPr="008851D8">
              <w:rPr>
                <w:rFonts w:ascii="Times New Roman" w:hAnsi="Times New Roman" w:cs="Times New Roman"/>
                <w:sz w:val="20"/>
                <w:szCs w:val="20"/>
              </w:rPr>
              <w:t>punkts netiek mainīts</w:t>
            </w:r>
          </w:p>
        </w:tc>
        <w:tc>
          <w:tcPr>
            <w:tcW w:w="1698" w:type="pct"/>
            <w:tcBorders>
              <w:top w:val="outset" w:sz="6" w:space="0" w:color="414142"/>
              <w:left w:val="outset" w:sz="6" w:space="0" w:color="414142"/>
              <w:bottom w:val="outset" w:sz="6" w:space="0" w:color="414142"/>
              <w:right w:val="outset" w:sz="6" w:space="0" w:color="414142"/>
            </w:tcBorders>
          </w:tcPr>
          <w:p w14:paraId="3E9C5A3F" w14:textId="77777777" w:rsidR="008851D8" w:rsidRDefault="008851D8" w:rsidP="008851D8">
            <w:pPr>
              <w:spacing w:after="0" w:line="240" w:lineRule="auto"/>
              <w:jc w:val="both"/>
              <w:rPr>
                <w:rFonts w:ascii="Times New Roman" w:eastAsia="Times New Roman" w:hAnsi="Times New Roman" w:cs="Times New Roman"/>
                <w:sz w:val="20"/>
                <w:szCs w:val="20"/>
                <w:lang w:eastAsia="lv-LV"/>
              </w:rPr>
            </w:pPr>
          </w:p>
        </w:tc>
      </w:tr>
      <w:tr w:rsidR="008851D8" w:rsidRPr="00660409" w14:paraId="26D74661" w14:textId="77777777" w:rsidTr="00361CCC">
        <w:trPr>
          <w:trHeight w:val="200"/>
        </w:trPr>
        <w:tc>
          <w:tcPr>
            <w:tcW w:w="249" w:type="pct"/>
            <w:tcBorders>
              <w:top w:val="outset" w:sz="6" w:space="0" w:color="414142"/>
              <w:left w:val="outset" w:sz="6" w:space="0" w:color="414142"/>
              <w:bottom w:val="outset" w:sz="6" w:space="0" w:color="414142"/>
              <w:right w:val="outset" w:sz="6" w:space="0" w:color="414142"/>
            </w:tcBorders>
          </w:tcPr>
          <w:p w14:paraId="427808C8" w14:textId="50D16F37" w:rsidR="008851D8" w:rsidRDefault="003E7EB7" w:rsidP="008851D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43</w:t>
            </w:r>
          </w:p>
        </w:tc>
        <w:tc>
          <w:tcPr>
            <w:tcW w:w="663" w:type="pct"/>
            <w:tcBorders>
              <w:top w:val="outset" w:sz="6" w:space="0" w:color="414142"/>
              <w:left w:val="outset" w:sz="6" w:space="0" w:color="414142"/>
              <w:bottom w:val="outset" w:sz="6" w:space="0" w:color="414142"/>
              <w:right w:val="outset" w:sz="6" w:space="0" w:color="414142"/>
            </w:tcBorders>
          </w:tcPr>
          <w:p w14:paraId="11F5C714" w14:textId="77777777" w:rsidR="008851D8" w:rsidRPr="00660409" w:rsidRDefault="008851D8" w:rsidP="008851D8">
            <w:pPr>
              <w:spacing w:after="0" w:line="240" w:lineRule="auto"/>
              <w:jc w:val="both"/>
              <w:rPr>
                <w:rFonts w:ascii="Times New Roman" w:eastAsia="Times New Roman" w:hAnsi="Times New Roman" w:cs="Times New Roman"/>
                <w:b/>
                <w:bCs/>
                <w:sz w:val="20"/>
                <w:szCs w:val="20"/>
                <w:lang w:eastAsia="lv-LV"/>
              </w:rPr>
            </w:pPr>
          </w:p>
        </w:tc>
        <w:tc>
          <w:tcPr>
            <w:tcW w:w="1678" w:type="pct"/>
            <w:tcBorders>
              <w:top w:val="outset" w:sz="6" w:space="0" w:color="414142"/>
              <w:left w:val="outset" w:sz="6" w:space="0" w:color="414142"/>
              <w:bottom w:val="outset" w:sz="6" w:space="0" w:color="414142"/>
              <w:right w:val="outset" w:sz="6" w:space="0" w:color="414142"/>
            </w:tcBorders>
          </w:tcPr>
          <w:p w14:paraId="669AD6CD" w14:textId="77777777" w:rsidR="008851D8" w:rsidRDefault="008851D8" w:rsidP="008851D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Finanšu ministrija</w:t>
            </w:r>
          </w:p>
          <w:p w14:paraId="7D17487D" w14:textId="77777777" w:rsidR="008851D8" w:rsidRPr="008851D8" w:rsidRDefault="008851D8" w:rsidP="008851D8">
            <w:pPr>
              <w:spacing w:after="0" w:line="240" w:lineRule="auto"/>
              <w:jc w:val="both"/>
              <w:rPr>
                <w:rFonts w:ascii="Times New Roman" w:hAnsi="Times New Roman" w:cs="Times New Roman"/>
                <w:sz w:val="20"/>
                <w:szCs w:val="20"/>
              </w:rPr>
            </w:pPr>
            <w:r w:rsidRPr="008851D8">
              <w:rPr>
                <w:rFonts w:ascii="Times New Roman" w:hAnsi="Times New Roman" w:cs="Times New Roman"/>
                <w:sz w:val="20"/>
                <w:szCs w:val="20"/>
              </w:rPr>
              <w:t xml:space="preserve">Lūdzam veikt tehnisku precizējumu anotācijas 4.lp., precizējot adresi Kultūras ministrijas ēkai, kurai ir nepieciešams papildu finansējums 101 385 </w:t>
            </w:r>
            <w:proofErr w:type="spellStart"/>
            <w:r w:rsidRPr="008851D8">
              <w:rPr>
                <w:rFonts w:ascii="Times New Roman" w:hAnsi="Times New Roman" w:cs="Times New Roman"/>
                <w:i/>
                <w:iCs/>
                <w:sz w:val="20"/>
                <w:szCs w:val="20"/>
              </w:rPr>
              <w:t>euro</w:t>
            </w:r>
            <w:proofErr w:type="spellEnd"/>
            <w:r w:rsidRPr="008851D8">
              <w:rPr>
                <w:rFonts w:ascii="Times New Roman" w:hAnsi="Times New Roman" w:cs="Times New Roman"/>
                <w:sz w:val="20"/>
                <w:szCs w:val="20"/>
              </w:rPr>
              <w:t xml:space="preserve"> apmērā.  </w:t>
            </w:r>
          </w:p>
          <w:p w14:paraId="1CE2FA13" w14:textId="6E58FACF" w:rsidR="008851D8" w:rsidRDefault="008851D8" w:rsidP="008851D8">
            <w:pPr>
              <w:spacing w:after="0" w:line="240" w:lineRule="auto"/>
              <w:jc w:val="center"/>
              <w:rPr>
                <w:rFonts w:ascii="Times New Roman" w:eastAsia="Times New Roman" w:hAnsi="Times New Roman" w:cs="Times New Roman"/>
                <w:b/>
                <w:bCs/>
                <w:sz w:val="24"/>
                <w:szCs w:val="24"/>
                <w:lang w:eastAsia="lv-LV"/>
              </w:rPr>
            </w:pPr>
          </w:p>
        </w:tc>
        <w:tc>
          <w:tcPr>
            <w:tcW w:w="712" w:type="pct"/>
            <w:tcBorders>
              <w:top w:val="outset" w:sz="6" w:space="0" w:color="414142"/>
              <w:left w:val="outset" w:sz="6" w:space="0" w:color="414142"/>
              <w:bottom w:val="outset" w:sz="6" w:space="0" w:color="414142"/>
              <w:right w:val="outset" w:sz="6" w:space="0" w:color="414142"/>
            </w:tcBorders>
          </w:tcPr>
          <w:p w14:paraId="7C6E328A" w14:textId="77777777" w:rsidR="008851D8" w:rsidRDefault="008851D8" w:rsidP="008851D8">
            <w:pPr>
              <w:spacing w:after="0" w:line="240" w:lineRule="auto"/>
              <w:jc w:val="center"/>
              <w:rPr>
                <w:rFonts w:ascii="Times New Roman" w:eastAsia="Times New Roman" w:hAnsi="Times New Roman" w:cs="Times New Roman"/>
                <w:b/>
                <w:bCs/>
                <w:sz w:val="20"/>
                <w:szCs w:val="20"/>
                <w:lang w:eastAsia="lv-LV"/>
              </w:rPr>
            </w:pPr>
            <w:r w:rsidRPr="009430F5">
              <w:rPr>
                <w:rFonts w:ascii="Times New Roman" w:eastAsia="Times New Roman" w:hAnsi="Times New Roman" w:cs="Times New Roman"/>
                <w:b/>
                <w:bCs/>
                <w:sz w:val="20"/>
                <w:szCs w:val="20"/>
                <w:lang w:eastAsia="lv-LV"/>
              </w:rPr>
              <w:t>Ņemts vērā</w:t>
            </w:r>
          </w:p>
          <w:p w14:paraId="4DEA5768" w14:textId="77777777" w:rsidR="000C2870" w:rsidRDefault="000C2870" w:rsidP="008851D8">
            <w:pPr>
              <w:spacing w:after="0" w:line="240" w:lineRule="auto"/>
              <w:jc w:val="center"/>
              <w:rPr>
                <w:rFonts w:ascii="Times New Roman" w:eastAsia="Times New Roman" w:hAnsi="Times New Roman" w:cs="Times New Roman"/>
                <w:sz w:val="20"/>
                <w:szCs w:val="20"/>
                <w:lang w:eastAsia="lv-LV"/>
              </w:rPr>
            </w:pPr>
          </w:p>
          <w:p w14:paraId="4AA05A08" w14:textId="0710E39D" w:rsidR="000C2870" w:rsidRDefault="000C2870" w:rsidP="008851D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Precizējumi veikti anotācijas sadaļā.</w:t>
            </w:r>
          </w:p>
        </w:tc>
        <w:tc>
          <w:tcPr>
            <w:tcW w:w="1698" w:type="pct"/>
            <w:tcBorders>
              <w:top w:val="outset" w:sz="6" w:space="0" w:color="414142"/>
              <w:left w:val="outset" w:sz="6" w:space="0" w:color="414142"/>
              <w:bottom w:val="outset" w:sz="6" w:space="0" w:color="414142"/>
              <w:right w:val="outset" w:sz="6" w:space="0" w:color="414142"/>
            </w:tcBorders>
          </w:tcPr>
          <w:p w14:paraId="04AAC86A" w14:textId="77777777" w:rsidR="008851D8" w:rsidRDefault="008851D8" w:rsidP="008851D8">
            <w:pPr>
              <w:spacing w:after="0" w:line="240" w:lineRule="auto"/>
              <w:jc w:val="both"/>
              <w:rPr>
                <w:rFonts w:ascii="Times New Roman" w:eastAsia="Times New Roman" w:hAnsi="Times New Roman" w:cs="Times New Roman"/>
                <w:sz w:val="20"/>
                <w:szCs w:val="20"/>
                <w:lang w:eastAsia="lv-LV"/>
              </w:rPr>
            </w:pPr>
          </w:p>
        </w:tc>
      </w:tr>
    </w:tbl>
    <w:p w14:paraId="22A178BC" w14:textId="4ABF0FF5" w:rsidR="009975EC" w:rsidRDefault="009975EC" w:rsidP="006A1706">
      <w:pPr>
        <w:spacing w:after="0" w:line="240" w:lineRule="auto"/>
        <w:rPr>
          <w:rFonts w:ascii="Times New Roman" w:hAnsi="Times New Roman" w:cs="Times New Roman"/>
          <w:sz w:val="20"/>
          <w:szCs w:val="20"/>
        </w:rPr>
      </w:pPr>
    </w:p>
    <w:tbl>
      <w:tblPr>
        <w:tblW w:w="5000" w:type="pct"/>
        <w:tblCellMar>
          <w:top w:w="20" w:type="dxa"/>
          <w:left w:w="20" w:type="dxa"/>
          <w:bottom w:w="20" w:type="dxa"/>
          <w:right w:w="20" w:type="dxa"/>
        </w:tblCellMar>
        <w:tblLook w:val="04A0" w:firstRow="1" w:lastRow="0" w:firstColumn="1" w:lastColumn="0" w:noHBand="0" w:noVBand="1"/>
      </w:tblPr>
      <w:tblGrid>
        <w:gridCol w:w="4606"/>
        <w:gridCol w:w="9352"/>
      </w:tblGrid>
      <w:tr w:rsidR="0052438E" w:rsidRPr="002B689B" w14:paraId="78D974DD" w14:textId="77777777" w:rsidTr="00AD1A31">
        <w:trPr>
          <w:trHeight w:val="300"/>
        </w:trPr>
        <w:tc>
          <w:tcPr>
            <w:tcW w:w="1650" w:type="pct"/>
            <w:tcBorders>
              <w:top w:val="nil"/>
              <w:left w:val="nil"/>
              <w:bottom w:val="nil"/>
              <w:right w:val="nil"/>
            </w:tcBorders>
            <w:noWrap/>
            <w:vAlign w:val="bottom"/>
            <w:hideMark/>
          </w:tcPr>
          <w:p w14:paraId="2024D629" w14:textId="77777777" w:rsidR="00B3105B" w:rsidRDefault="00B3105B" w:rsidP="00AD1A31">
            <w:pPr>
              <w:spacing w:after="0" w:line="240" w:lineRule="auto"/>
              <w:rPr>
                <w:rFonts w:ascii="Times New Roman" w:eastAsia="Times New Roman" w:hAnsi="Times New Roman" w:cs="Times New Roman"/>
                <w:sz w:val="20"/>
                <w:szCs w:val="20"/>
                <w:lang w:eastAsia="lv-LV"/>
              </w:rPr>
            </w:pPr>
          </w:p>
          <w:p w14:paraId="7C63A57E" w14:textId="1CA279BC" w:rsidR="0052438E" w:rsidRDefault="0052438E" w:rsidP="00AD1A31">
            <w:pPr>
              <w:spacing w:after="0" w:line="240" w:lineRule="auto"/>
              <w:rPr>
                <w:rFonts w:ascii="Times New Roman" w:hAnsi="Times New Roman"/>
                <w:sz w:val="20"/>
                <w:szCs w:val="20"/>
              </w:rPr>
            </w:pPr>
            <w:r w:rsidRPr="002B689B">
              <w:rPr>
                <w:rFonts w:ascii="Times New Roman" w:eastAsia="Times New Roman" w:hAnsi="Times New Roman" w:cs="Times New Roman"/>
                <w:sz w:val="20"/>
                <w:szCs w:val="20"/>
                <w:lang w:eastAsia="lv-LV"/>
              </w:rPr>
              <w:t>Atbildīgā amatpersona</w:t>
            </w:r>
            <w:r>
              <w:rPr>
                <w:rFonts w:ascii="Times New Roman" w:eastAsia="Times New Roman" w:hAnsi="Times New Roman" w:cs="Times New Roman"/>
                <w:sz w:val="20"/>
                <w:szCs w:val="20"/>
                <w:lang w:eastAsia="lv-LV"/>
              </w:rPr>
              <w:t xml:space="preserve">        </w:t>
            </w:r>
            <w:r>
              <w:rPr>
                <w:rFonts w:ascii="Times New Roman" w:hAnsi="Times New Roman"/>
                <w:noProof/>
                <w:sz w:val="20"/>
                <w:szCs w:val="20"/>
              </w:rPr>
              <w:t>Cauna,</w:t>
            </w:r>
            <w:r>
              <w:rPr>
                <w:rFonts w:ascii="Times New Roman" w:hAnsi="Times New Roman"/>
                <w:sz w:val="20"/>
                <w:szCs w:val="20"/>
              </w:rPr>
              <w:t xml:space="preserve"> </w:t>
            </w:r>
            <w:r>
              <w:rPr>
                <w:rFonts w:ascii="Times New Roman" w:hAnsi="Times New Roman"/>
                <w:noProof/>
                <w:sz w:val="20"/>
                <w:szCs w:val="20"/>
              </w:rPr>
              <w:t>67013298</w:t>
            </w:r>
          </w:p>
          <w:p w14:paraId="15D0D48D" w14:textId="77777777" w:rsidR="0052438E" w:rsidRPr="002B689B" w:rsidRDefault="0052438E" w:rsidP="00AD1A31">
            <w:pPr>
              <w:widowControl w:val="0"/>
              <w:spacing w:after="0" w:line="240" w:lineRule="auto"/>
              <w:rPr>
                <w:rFonts w:ascii="Times New Roman" w:eastAsia="Times New Roman" w:hAnsi="Times New Roman" w:cs="Times New Roman"/>
                <w:sz w:val="20"/>
                <w:szCs w:val="20"/>
                <w:lang w:eastAsia="lv-LV"/>
              </w:rPr>
            </w:pPr>
            <w:r>
              <w:rPr>
                <w:rFonts w:ascii="Times New Roman" w:eastAsia="Calibri" w:hAnsi="Times New Roman" w:cs="Times New Roman"/>
                <w:noProof/>
                <w:sz w:val="20"/>
                <w:szCs w:val="20"/>
              </w:rPr>
              <w:t xml:space="preserve">                                            </w:t>
            </w:r>
          </w:p>
        </w:tc>
        <w:tc>
          <w:tcPr>
            <w:tcW w:w="3350" w:type="pct"/>
            <w:tcBorders>
              <w:top w:val="nil"/>
              <w:left w:val="nil"/>
              <w:bottom w:val="single" w:sz="6" w:space="0" w:color="414142"/>
              <w:right w:val="nil"/>
            </w:tcBorders>
            <w:hideMark/>
          </w:tcPr>
          <w:p w14:paraId="0776EFC8" w14:textId="77777777" w:rsidR="0052438E" w:rsidRPr="002B689B" w:rsidRDefault="0052438E" w:rsidP="00AD1A31">
            <w:pPr>
              <w:spacing w:after="0" w:line="240" w:lineRule="auto"/>
              <w:jc w:val="both"/>
              <w:rPr>
                <w:rFonts w:ascii="Times New Roman" w:eastAsia="Times New Roman" w:hAnsi="Times New Roman" w:cs="Times New Roman"/>
                <w:sz w:val="20"/>
                <w:szCs w:val="20"/>
                <w:lang w:eastAsia="lv-LV"/>
              </w:rPr>
            </w:pPr>
            <w:r w:rsidRPr="002B689B">
              <w:rPr>
                <w:rFonts w:ascii="Times New Roman" w:eastAsia="Times New Roman" w:hAnsi="Times New Roman" w:cs="Times New Roman"/>
                <w:sz w:val="20"/>
                <w:szCs w:val="20"/>
                <w:lang w:eastAsia="lv-LV"/>
              </w:rPr>
              <w:t>  </w:t>
            </w:r>
          </w:p>
        </w:tc>
      </w:tr>
      <w:tr w:rsidR="0052438E" w:rsidRPr="00255AE9" w14:paraId="3AF13B5B" w14:textId="77777777" w:rsidTr="00AD1A31">
        <w:tc>
          <w:tcPr>
            <w:tcW w:w="1650" w:type="pct"/>
            <w:tcBorders>
              <w:top w:val="nil"/>
              <w:left w:val="nil"/>
              <w:bottom w:val="nil"/>
              <w:right w:val="nil"/>
            </w:tcBorders>
            <w:hideMark/>
          </w:tcPr>
          <w:p w14:paraId="49653EBE" w14:textId="77777777" w:rsidR="0052438E" w:rsidRPr="00255AE9" w:rsidRDefault="0052438E" w:rsidP="00AD1A31">
            <w:pPr>
              <w:spacing w:after="0" w:line="240" w:lineRule="auto"/>
              <w:rPr>
                <w:rFonts w:ascii="Times New Roman" w:eastAsia="Times New Roman" w:hAnsi="Times New Roman" w:cs="Times New Roman"/>
                <w:sz w:val="20"/>
                <w:szCs w:val="20"/>
                <w:lang w:eastAsia="lv-LV"/>
              </w:rPr>
            </w:pPr>
            <w:r w:rsidRPr="00255AE9">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4C24CD9F" w14:textId="77777777" w:rsidR="0052438E" w:rsidRPr="00255AE9" w:rsidRDefault="0052438E" w:rsidP="00AD1A31">
            <w:pPr>
              <w:spacing w:after="0" w:line="240" w:lineRule="auto"/>
              <w:jc w:val="center"/>
              <w:rPr>
                <w:rFonts w:ascii="Times New Roman" w:eastAsia="Times New Roman" w:hAnsi="Times New Roman" w:cs="Times New Roman"/>
                <w:sz w:val="20"/>
                <w:szCs w:val="20"/>
                <w:lang w:eastAsia="lv-LV"/>
              </w:rPr>
            </w:pPr>
            <w:r w:rsidRPr="00255AE9">
              <w:rPr>
                <w:rFonts w:ascii="Times New Roman" w:eastAsia="Times New Roman" w:hAnsi="Times New Roman" w:cs="Times New Roman"/>
                <w:sz w:val="20"/>
                <w:szCs w:val="20"/>
                <w:lang w:eastAsia="lv-LV"/>
              </w:rPr>
              <w:t>(paraksts)*</w:t>
            </w:r>
          </w:p>
        </w:tc>
      </w:tr>
    </w:tbl>
    <w:p w14:paraId="537EEFCB" w14:textId="77777777" w:rsidR="0052438E" w:rsidRPr="00255AE9" w:rsidRDefault="0052438E" w:rsidP="0052438E">
      <w:pPr>
        <w:shd w:val="clear" w:color="auto" w:fill="FFFFFF"/>
        <w:spacing w:after="0" w:line="293" w:lineRule="atLeast"/>
        <w:ind w:firstLine="300"/>
        <w:jc w:val="both"/>
        <w:rPr>
          <w:rFonts w:ascii="Times New Roman" w:hAnsi="Times New Roman" w:cs="Times New Roman"/>
          <w:sz w:val="20"/>
          <w:szCs w:val="20"/>
        </w:rPr>
      </w:pPr>
      <w:r w:rsidRPr="00255AE9">
        <w:rPr>
          <w:rFonts w:ascii="Times New Roman" w:eastAsia="Times New Roman" w:hAnsi="Times New Roman" w:cs="Times New Roman"/>
          <w:sz w:val="20"/>
          <w:szCs w:val="20"/>
          <w:lang w:eastAsia="lv-LV"/>
        </w:rPr>
        <w:t xml:space="preserve">Piezīme. </w:t>
      </w:r>
    </w:p>
    <w:p w14:paraId="1ED40AF7" w14:textId="77777777" w:rsidR="00B56808" w:rsidRPr="00660409" w:rsidRDefault="00B56808" w:rsidP="0052438E">
      <w:pPr>
        <w:spacing w:after="0" w:line="240" w:lineRule="auto"/>
        <w:rPr>
          <w:rFonts w:ascii="Times New Roman" w:hAnsi="Times New Roman" w:cs="Times New Roman"/>
          <w:sz w:val="20"/>
          <w:szCs w:val="20"/>
        </w:rPr>
      </w:pPr>
    </w:p>
    <w:sectPr w:rsidR="00B56808" w:rsidRPr="00660409" w:rsidSect="008C1AEC">
      <w:headerReference w:type="default" r:id="rId18"/>
      <w:footerReference w:type="default" r:id="rId19"/>
      <w:footerReference w:type="first" r:id="rId20"/>
      <w:pgSz w:w="16838" w:h="11906" w:orient="landscape"/>
      <w:pgMar w:top="851"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D29E" w14:textId="77777777" w:rsidR="00CA28D7" w:rsidRDefault="00CA28D7" w:rsidP="00E864C4">
      <w:pPr>
        <w:spacing w:after="0" w:line="240" w:lineRule="auto"/>
      </w:pPr>
      <w:r>
        <w:separator/>
      </w:r>
    </w:p>
  </w:endnote>
  <w:endnote w:type="continuationSeparator" w:id="0">
    <w:p w14:paraId="64495C1B" w14:textId="77777777" w:rsidR="00CA28D7" w:rsidRDefault="00CA28D7" w:rsidP="00E864C4">
      <w:pPr>
        <w:spacing w:after="0" w:line="240" w:lineRule="auto"/>
      </w:pPr>
      <w:r>
        <w:continuationSeparator/>
      </w:r>
    </w:p>
  </w:endnote>
  <w:endnote w:type="continuationNotice" w:id="1">
    <w:p w14:paraId="7F1C4455" w14:textId="77777777" w:rsidR="00CA28D7" w:rsidRDefault="00CA2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92953"/>
      <w:docPartObj>
        <w:docPartGallery w:val="Page Numbers (Bottom of Page)"/>
        <w:docPartUnique/>
      </w:docPartObj>
    </w:sdtPr>
    <w:sdtEndPr>
      <w:rPr>
        <w:noProof/>
      </w:rPr>
    </w:sdtEndPr>
    <w:sdtContent>
      <w:p w14:paraId="1BFE9499" w14:textId="63A6F0DC" w:rsidR="00041FBF" w:rsidRDefault="00F8772A" w:rsidP="008C1AEC">
        <w:pPr>
          <w:pStyle w:val="Footer"/>
        </w:pPr>
        <w:r>
          <w:fldChar w:fldCharType="begin"/>
        </w:r>
        <w:r>
          <w:instrText xml:space="preserve"> FILENAME \* MERGEFORMAT </w:instrText>
        </w:r>
        <w:r>
          <w:fldChar w:fldCharType="separate"/>
        </w:r>
        <w:r w:rsidR="008C1AEC">
          <w:rPr>
            <w:noProof/>
          </w:rPr>
          <w:t>EMIzz_</w:t>
        </w:r>
        <w:r w:rsidR="00F54CE5">
          <w:rPr>
            <w:noProof/>
          </w:rPr>
          <w:t>0306</w:t>
        </w:r>
        <w:r w:rsidR="008C1AEC">
          <w:rPr>
            <w:noProof/>
          </w:rPr>
          <w:t>2021_Groz53</w:t>
        </w:r>
        <w:r w:rsidR="003F2D30">
          <w:rPr>
            <w:noProof/>
          </w:rPr>
          <w:t>4</w:t>
        </w:r>
        <w:r w:rsidR="008C1AEC">
          <w:rPr>
            <w:noProof/>
          </w:rPr>
          <w:t>_.docx</w:t>
        </w:r>
        <w:r>
          <w:rPr>
            <w:noProof/>
          </w:rPr>
          <w:fldChar w:fldCharType="end"/>
        </w:r>
        <w:r w:rsidR="00041FBF">
          <w:fldChar w:fldCharType="begin"/>
        </w:r>
        <w:r w:rsidR="00041FBF">
          <w:instrText xml:space="preserve"> PAGE   \* MERGEFORMAT </w:instrText>
        </w:r>
        <w:r w:rsidR="00041FBF">
          <w:fldChar w:fldCharType="separate"/>
        </w:r>
        <w:r w:rsidR="00041FBF">
          <w:rPr>
            <w:noProof/>
          </w:rPr>
          <w:t>2</w:t>
        </w:r>
        <w:r w:rsidR="00041FBF">
          <w:rPr>
            <w:noProof/>
          </w:rPr>
          <w:fldChar w:fldCharType="end"/>
        </w:r>
      </w:p>
    </w:sdtContent>
  </w:sdt>
  <w:p w14:paraId="011C56BC" w14:textId="77777777" w:rsidR="00041FBF" w:rsidRDefault="0004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3F92" w14:textId="0B416CDF" w:rsidR="008C1AEC" w:rsidRDefault="00F8772A">
    <w:pPr>
      <w:pStyle w:val="Footer"/>
    </w:pPr>
    <w:r>
      <w:fldChar w:fldCharType="begin"/>
    </w:r>
    <w:r>
      <w:instrText xml:space="preserve"> FILENAME \* MERGEFORMAT </w:instrText>
    </w:r>
    <w:r>
      <w:fldChar w:fldCharType="separate"/>
    </w:r>
    <w:r w:rsidR="008C1AEC">
      <w:rPr>
        <w:noProof/>
      </w:rPr>
      <w:t>EMIzz_</w:t>
    </w:r>
    <w:r w:rsidR="007D28B0">
      <w:rPr>
        <w:noProof/>
      </w:rPr>
      <w:t>0306</w:t>
    </w:r>
    <w:r w:rsidR="008C1AEC">
      <w:rPr>
        <w:noProof/>
      </w:rPr>
      <w:t>2021_Groz5</w:t>
    </w:r>
    <w:r w:rsidR="003F2D30">
      <w:rPr>
        <w:noProof/>
      </w:rPr>
      <w:t>3</w:t>
    </w:r>
    <w:r w:rsidR="008C1AEC">
      <w:rPr>
        <w:noProof/>
      </w:rPr>
      <w:t>4_.docx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04E4" w14:textId="77777777" w:rsidR="00CA28D7" w:rsidRDefault="00CA28D7" w:rsidP="00E864C4">
      <w:pPr>
        <w:spacing w:after="0" w:line="240" w:lineRule="auto"/>
      </w:pPr>
      <w:r>
        <w:separator/>
      </w:r>
    </w:p>
  </w:footnote>
  <w:footnote w:type="continuationSeparator" w:id="0">
    <w:p w14:paraId="0F1BA411" w14:textId="77777777" w:rsidR="00CA28D7" w:rsidRDefault="00CA28D7" w:rsidP="00E864C4">
      <w:pPr>
        <w:spacing w:after="0" w:line="240" w:lineRule="auto"/>
      </w:pPr>
      <w:r>
        <w:continuationSeparator/>
      </w:r>
    </w:p>
  </w:footnote>
  <w:footnote w:type="continuationNotice" w:id="1">
    <w:p w14:paraId="53A38168" w14:textId="77777777" w:rsidR="00CA28D7" w:rsidRDefault="00CA28D7">
      <w:pPr>
        <w:spacing w:after="0" w:line="240" w:lineRule="auto"/>
      </w:pPr>
    </w:p>
  </w:footnote>
  <w:footnote w:id="2">
    <w:p w14:paraId="710F8F46" w14:textId="77777777" w:rsidR="00282431" w:rsidRDefault="00282431" w:rsidP="00282431">
      <w:pPr>
        <w:pStyle w:val="FootnoteText"/>
      </w:pPr>
      <w:r>
        <w:rPr>
          <w:rStyle w:val="FootnoteReference"/>
        </w:rPr>
        <w:footnoteRef/>
      </w:r>
      <w:r>
        <w:t xml:space="preserve"> </w:t>
      </w:r>
      <w:r w:rsidRPr="001C4491">
        <w:t>Darbības programmas “Izaugsme un nodarbinātība”</w:t>
      </w:r>
      <w:r>
        <w:t xml:space="preserve"> 4.2.1.specifiskās atbalsta mērķa “</w:t>
      </w:r>
      <w:r w:rsidRPr="006C6140">
        <w:t>Veicināt energoefektivitātes paaugstināšanu valsts un dzīvojamās ēkās</w:t>
      </w:r>
      <w:r>
        <w:t>”</w:t>
      </w:r>
      <w:r w:rsidRPr="001C4491">
        <w:t xml:space="preserve"> 4.2.1.2.pasākums “Veicināt energoefektivitātes paaugstināšanu valsts ēkās”.</w:t>
      </w:r>
    </w:p>
  </w:footnote>
  <w:footnote w:id="3">
    <w:p w14:paraId="7CF8659D" w14:textId="77777777" w:rsidR="00282431" w:rsidRDefault="00282431" w:rsidP="00282431">
      <w:pPr>
        <w:pStyle w:val="FootnoteText"/>
      </w:pPr>
      <w:r>
        <w:rPr>
          <w:rStyle w:val="FootnoteReference"/>
        </w:rPr>
        <w:footnoteRef/>
      </w:r>
      <w:r>
        <w:t xml:space="preserve"> Darbības programmas “Izaugsme un nodarbinātība” 4.2.1.specifiskās atbalsta mērķa “</w:t>
      </w:r>
      <w:r w:rsidRPr="006C6140">
        <w:t>Veicināt energoefektivitātes paaugstināšanu valsts un dzīvojamās ēkās</w:t>
      </w:r>
      <w:r>
        <w:t>” 4.2.1.1.pasākums “</w:t>
      </w:r>
      <w:r w:rsidRPr="008C2C6E">
        <w:t>Veicināt energoefektivitātes paaugstināšanu dzīvojamās ēkās</w:t>
      </w:r>
      <w:r>
        <w:t>”</w:t>
      </w:r>
    </w:p>
    <w:p w14:paraId="605F3B88" w14:textId="77777777" w:rsidR="00282431" w:rsidRDefault="00282431" w:rsidP="00282431">
      <w:pPr>
        <w:pStyle w:val="FootnoteText"/>
      </w:pPr>
    </w:p>
  </w:footnote>
  <w:footnote w:id="4">
    <w:p w14:paraId="49CF1053" w14:textId="77777777" w:rsidR="00282431" w:rsidRDefault="00282431" w:rsidP="00282431">
      <w:pPr>
        <w:pStyle w:val="FootnoteText"/>
      </w:pPr>
      <w:r>
        <w:rPr>
          <w:rStyle w:val="FootnoteReference"/>
        </w:rPr>
        <w:footnoteRef/>
      </w:r>
      <w:r>
        <w:t xml:space="preserve"> MK 2020.gada 22.septembra .protokols Nr.55</w:t>
      </w:r>
      <w:r w:rsidRPr="00C73111">
        <w:t xml:space="preserve"> </w:t>
      </w:r>
      <w:bookmarkStart w:id="0" w:name="30"/>
      <w:r w:rsidRPr="00C73111">
        <w:t>30</w:t>
      </w:r>
      <w:bookmarkEnd w:id="0"/>
      <w:r w:rsidRPr="00C73111">
        <w:t>.§ “</w:t>
      </w:r>
      <w:r>
        <w:t>Informatīvais ziņojums “</w:t>
      </w:r>
      <w:r w:rsidRPr="00C73111">
        <w:t xml:space="preserve">Par Kohēzijas politikas Eiropas Savienības fondu investīciju </w:t>
      </w:r>
      <w:r>
        <w:t>aktualitātēm (pusgada ziņojums)”.</w:t>
      </w:r>
    </w:p>
  </w:footnote>
  <w:footnote w:id="5">
    <w:p w14:paraId="021CAE5B" w14:textId="77777777" w:rsidR="0050558A" w:rsidRPr="00956B39" w:rsidRDefault="0050558A" w:rsidP="0050558A">
      <w:pPr>
        <w:rPr>
          <w:sz w:val="20"/>
        </w:rPr>
      </w:pPr>
      <w:r w:rsidRPr="00715D06">
        <w:rPr>
          <w:sz w:val="20"/>
          <w:vertAlign w:val="superscript"/>
        </w:rPr>
        <w:footnoteRef/>
      </w:r>
      <w:r>
        <w:t xml:space="preserve"> </w:t>
      </w:r>
      <w:r w:rsidRPr="00956B39">
        <w:rPr>
          <w:sz w:val="20"/>
        </w:rPr>
        <w:t>MK 2016.gada 9.augusta noteikumi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w:t>
      </w:r>
      <w:r>
        <w:rPr>
          <w:sz w:val="20"/>
        </w:rPr>
        <w:t>”.</w:t>
      </w:r>
    </w:p>
  </w:footnote>
  <w:footnote w:id="6">
    <w:p w14:paraId="124F8664" w14:textId="77777777" w:rsidR="0050558A" w:rsidRPr="001C4491" w:rsidRDefault="0050558A" w:rsidP="0050558A">
      <w:pPr>
        <w:pStyle w:val="FootnoteText"/>
      </w:pPr>
      <w:r w:rsidRPr="00B6732C">
        <w:rPr>
          <w:vertAlign w:val="superscript"/>
        </w:rPr>
        <w:footnoteRef/>
      </w:r>
      <w:r>
        <w:t xml:space="preserve"> </w:t>
      </w:r>
      <w:r w:rsidRPr="001C4491">
        <w:t>MK 2009. gada 15. decembra instrukcija Nr.19 “Tiesību akta projekta sākotnējās ietekmes izvērtēšanas kārtība”.</w:t>
      </w:r>
    </w:p>
  </w:footnote>
  <w:footnote w:id="7">
    <w:p w14:paraId="69216683" w14:textId="77777777" w:rsidR="0050558A" w:rsidRPr="00EF0307" w:rsidRDefault="0050558A" w:rsidP="0050558A">
      <w:pPr>
        <w:spacing w:after="280"/>
        <w:outlineLvl w:val="0"/>
        <w:rPr>
          <w:sz w:val="20"/>
        </w:rPr>
      </w:pPr>
      <w:r w:rsidRPr="00B6732C">
        <w:rPr>
          <w:sz w:val="20"/>
          <w:vertAlign w:val="superscript"/>
        </w:rPr>
        <w:footnoteRef/>
      </w:r>
      <w:r w:rsidRPr="00B6732C">
        <w:rPr>
          <w:sz w:val="20"/>
          <w:vertAlign w:val="superscript"/>
        </w:rPr>
        <w:t xml:space="preserve"> </w:t>
      </w:r>
      <w:r>
        <w:rPr>
          <w:sz w:val="20"/>
        </w:rPr>
        <w:t xml:space="preserve">MK 2020.gda 22.septembra </w:t>
      </w:r>
      <w:r w:rsidRPr="00EF0307">
        <w:rPr>
          <w:sz w:val="20"/>
        </w:rPr>
        <w:t>protokols Nr.55 31.§ “</w:t>
      </w:r>
      <w:r>
        <w:rPr>
          <w:sz w:val="20"/>
        </w:rPr>
        <w:t>Informatīvais ziņojums “</w:t>
      </w:r>
      <w:r w:rsidRPr="00EF0307">
        <w:rPr>
          <w:sz w:val="20"/>
        </w:rPr>
        <w:t>Par darbības p</w:t>
      </w:r>
      <w:r>
        <w:rPr>
          <w:sz w:val="20"/>
        </w:rPr>
        <w:t>rogrammas “Izaugsme un nodarbinātība” 4.2.1.2.pasākuma “</w:t>
      </w:r>
      <w:r w:rsidRPr="00EF0307">
        <w:rPr>
          <w:sz w:val="20"/>
        </w:rPr>
        <w:t>Veicināt energoefektivit</w:t>
      </w:r>
      <w:r>
        <w:rPr>
          <w:sz w:val="20"/>
        </w:rPr>
        <w:t>ātes paaugstināšanu valsts ēkās”</w:t>
      </w:r>
      <w:r w:rsidRPr="00EF0307">
        <w:rPr>
          <w:sz w:val="20"/>
        </w:rPr>
        <w:t xml:space="preserve"> pirmās un otrās projektu iesniegumu atlases kārta</w:t>
      </w:r>
      <w:r>
        <w:rPr>
          <w:sz w:val="20"/>
        </w:rPr>
        <w:t>s īstenošanas progresu</w:t>
      </w:r>
      <w:r w:rsidRPr="00EF0307">
        <w:rPr>
          <w:sz w:val="20"/>
        </w:rPr>
        <w:t>”</w:t>
      </w:r>
    </w:p>
  </w:footnote>
  <w:footnote w:id="8">
    <w:p w14:paraId="4166AB12" w14:textId="77777777" w:rsidR="0050558A" w:rsidRPr="001E628F" w:rsidRDefault="0050558A" w:rsidP="0050558A">
      <w:pPr>
        <w:pStyle w:val="FootnoteText"/>
      </w:pPr>
      <w:r w:rsidRPr="00EF0307">
        <w:rPr>
          <w:vertAlign w:val="superscript"/>
        </w:rPr>
        <w:footnoteRef/>
      </w:r>
      <w:r w:rsidRPr="00EF0307">
        <w:rPr>
          <w:vertAlign w:val="superscript"/>
        </w:rPr>
        <w:t xml:space="preserve"> </w:t>
      </w:r>
      <w:r w:rsidRPr="001E628F">
        <w:t>Grozījumi Ministru kabineta 2016.gada 15.marta noteikumos Nr.160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w:t>
      </w:r>
    </w:p>
  </w:footnote>
  <w:footnote w:id="9">
    <w:p w14:paraId="38795A05" w14:textId="77777777" w:rsidR="00A362B1" w:rsidRDefault="00A362B1" w:rsidP="00A362B1">
      <w:pPr>
        <w:pStyle w:val="FootnoteText"/>
      </w:pPr>
      <w:r>
        <w:rPr>
          <w:rStyle w:val="FootnoteReference"/>
        </w:rPr>
        <w:footnoteRef/>
      </w:r>
      <w:r>
        <w:t xml:space="preserve"> </w:t>
      </w:r>
      <w:r>
        <w:rPr>
          <w:szCs w:val="24"/>
        </w:rPr>
        <w:t xml:space="preserve">MK </w:t>
      </w:r>
      <w:r w:rsidRPr="0058590D">
        <w:rPr>
          <w:szCs w:val="24"/>
        </w:rPr>
        <w:t xml:space="preserve"> 20</w:t>
      </w:r>
      <w:r>
        <w:rPr>
          <w:szCs w:val="24"/>
        </w:rPr>
        <w:t>14. gada 16. decembra noteikumi</w:t>
      </w:r>
      <w:r w:rsidRPr="0058590D">
        <w:rPr>
          <w:szCs w:val="24"/>
        </w:rPr>
        <w:t xml:space="preserve"> Nr. 784 “Kārtība, kādā Eiropas Savienības struktūrfondu un Kohēzijas fonda vadībā iesaistītās institūcijas nodrošina plānošanas dokumentu sagatavošanu un šo fondu ieviešanu 2014.-2020.gada plānošanas periodā”</w:t>
      </w:r>
      <w:r>
        <w:rPr>
          <w:szCs w:val="24"/>
        </w:rPr>
        <w:t>.</w:t>
      </w:r>
    </w:p>
  </w:footnote>
  <w:footnote w:id="10">
    <w:p w14:paraId="5E823B2E" w14:textId="77777777" w:rsidR="004D4FE5" w:rsidRPr="00110494" w:rsidRDefault="004D4FE5" w:rsidP="004D4FE5">
      <w:pPr>
        <w:pStyle w:val="FootnoteText"/>
        <w:rPr>
          <w:sz w:val="16"/>
          <w:szCs w:val="16"/>
        </w:rPr>
      </w:pPr>
      <w:r w:rsidRPr="00110494">
        <w:rPr>
          <w:rStyle w:val="FootnoteReference"/>
          <w:sz w:val="16"/>
          <w:szCs w:val="16"/>
        </w:rPr>
        <w:footnoteRef/>
      </w:r>
      <w:r w:rsidRPr="00110494">
        <w:rPr>
          <w:sz w:val="16"/>
          <w:szCs w:val="16"/>
        </w:rPr>
        <w:t xml:space="preserve"> Darbības programmas “Izaugsme un nodarbinātība” 4.2.1.specifiskās atbalsta mērķa “Veicināt energoefektivitātes paaugstināšanu valsts un dzīvojamās ēkās” 4.2.1.2.pasākums “Veicināt energoefektivitātes paaugstināšanu valsts ēkās”.</w:t>
      </w:r>
    </w:p>
  </w:footnote>
  <w:footnote w:id="11">
    <w:p w14:paraId="782A2EB2" w14:textId="77777777" w:rsidR="004D4FE5" w:rsidRPr="00EA0742" w:rsidRDefault="004D4FE5" w:rsidP="004D4FE5">
      <w:pPr>
        <w:pStyle w:val="FootnoteText"/>
        <w:rPr>
          <w:sz w:val="16"/>
          <w:szCs w:val="16"/>
        </w:rPr>
      </w:pPr>
      <w:r w:rsidRPr="00EA0742">
        <w:rPr>
          <w:rStyle w:val="FootnoteReference"/>
          <w:sz w:val="16"/>
          <w:szCs w:val="16"/>
        </w:rPr>
        <w:footnoteRef/>
      </w:r>
      <w:r w:rsidRPr="00EA0742">
        <w:rPr>
          <w:sz w:val="16"/>
          <w:szCs w:val="16"/>
        </w:rPr>
        <w:t xml:space="preserve"> MK 2016.gada 9.augusta noteikumi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w:t>
      </w:r>
    </w:p>
  </w:footnote>
  <w:footnote w:id="12">
    <w:p w14:paraId="5F1B3D16" w14:textId="77777777" w:rsidR="002D037A" w:rsidRDefault="002D037A" w:rsidP="002D037A">
      <w:pPr>
        <w:pStyle w:val="liknoteik"/>
        <w:shd w:val="clear" w:color="auto" w:fill="FFFFFF"/>
        <w:spacing w:before="0" w:beforeAutospacing="0" w:after="0" w:afterAutospacing="0"/>
        <w:jc w:val="both"/>
      </w:pPr>
      <w:r w:rsidRPr="006B359D">
        <w:rPr>
          <w:rStyle w:val="FootnoteReference"/>
          <w:sz w:val="16"/>
          <w:szCs w:val="16"/>
        </w:rPr>
        <w:footnoteRef/>
      </w:r>
      <w:r w:rsidRPr="006B359D">
        <w:rPr>
          <w:sz w:val="16"/>
          <w:szCs w:val="16"/>
        </w:rPr>
        <w:t xml:space="preserve"> </w:t>
      </w:r>
      <w:r>
        <w:rPr>
          <w:rStyle w:val="FootnoteReference"/>
          <w:sz w:val="16"/>
          <w:szCs w:val="16"/>
          <w:lang w:eastAsia="en-US"/>
        </w:rPr>
        <w:t>MK</w:t>
      </w:r>
      <w:r w:rsidRPr="006B359D">
        <w:rPr>
          <w:rStyle w:val="FootnoteReference"/>
          <w:sz w:val="16"/>
          <w:szCs w:val="16"/>
          <w:lang w:eastAsia="en-US"/>
        </w:rPr>
        <w:t xml:space="preserve"> </w:t>
      </w:r>
      <w:r>
        <w:rPr>
          <w:rStyle w:val="FootnoteReference"/>
          <w:sz w:val="16"/>
          <w:szCs w:val="16"/>
          <w:lang w:eastAsia="en-US"/>
        </w:rPr>
        <w:t>2018.</w:t>
      </w:r>
      <w:r w:rsidRPr="006B359D">
        <w:rPr>
          <w:rStyle w:val="FootnoteReference"/>
          <w:sz w:val="16"/>
          <w:szCs w:val="16"/>
          <w:lang w:eastAsia="en-US"/>
        </w:rPr>
        <w:t>gada 10.jūlij</w:t>
      </w:r>
      <w:r>
        <w:rPr>
          <w:sz w:val="16"/>
          <w:szCs w:val="16"/>
          <w:lang w:eastAsia="en-US"/>
        </w:rPr>
        <w:t>a</w:t>
      </w:r>
      <w:r w:rsidRPr="006B359D">
        <w:rPr>
          <w:rStyle w:val="FootnoteReference"/>
          <w:sz w:val="16"/>
          <w:szCs w:val="16"/>
          <w:lang w:eastAsia="en-US"/>
        </w:rPr>
        <w:t xml:space="preserve"> noteikumi Nr.414 “Grozījumi Ministru kabineta 2016.</w:t>
      </w:r>
      <w:r>
        <w:rPr>
          <w:rStyle w:val="FootnoteReference"/>
          <w:sz w:val="16"/>
          <w:szCs w:val="16"/>
          <w:lang w:eastAsia="en-US"/>
        </w:rPr>
        <w:t>gada 9.augusta noteikumos Nr.</w:t>
      </w:r>
      <w:r w:rsidRPr="006B359D">
        <w:rPr>
          <w:rStyle w:val="FootnoteReference"/>
          <w:sz w:val="16"/>
          <w:szCs w:val="16"/>
          <w:lang w:eastAsia="en-US"/>
        </w:rPr>
        <w:t xml:space="preserve">534 </w:t>
      </w:r>
      <w:r>
        <w:rPr>
          <w:rStyle w:val="FootnoteReference"/>
          <w:sz w:val="16"/>
          <w:szCs w:val="16"/>
          <w:lang w:eastAsia="en-US"/>
        </w:rPr>
        <w:t>“</w:t>
      </w:r>
      <w:hyperlink r:id="rId1" w:tgtFrame="_blank" w:history="1">
        <w:r>
          <w:rPr>
            <w:rStyle w:val="FootnoteReference"/>
            <w:sz w:val="16"/>
            <w:szCs w:val="16"/>
            <w:lang w:eastAsia="en-US"/>
          </w:rPr>
          <w:t>Darbības programmas “Izaugsme un nodarbinātība” 4.2.1.</w:t>
        </w:r>
        <w:r w:rsidRPr="006B359D">
          <w:rPr>
            <w:rStyle w:val="FootnoteReference"/>
            <w:sz w:val="16"/>
            <w:szCs w:val="16"/>
            <w:lang w:eastAsia="en-US"/>
          </w:rPr>
          <w:t>specifiskā atbalsta mērķa "Veicināt energoefektivitātes paaugstin</w:t>
        </w:r>
        <w:r>
          <w:rPr>
            <w:rStyle w:val="FootnoteReference"/>
            <w:sz w:val="16"/>
            <w:szCs w:val="16"/>
            <w:lang w:eastAsia="en-US"/>
          </w:rPr>
          <w:t>āšanu valsts un dzīvojamās ēkās” 4.2.1.2.pasākuma “</w:t>
        </w:r>
        <w:r w:rsidRPr="006B359D">
          <w:rPr>
            <w:rStyle w:val="FootnoteReference"/>
            <w:sz w:val="16"/>
            <w:szCs w:val="16"/>
            <w:lang w:eastAsia="en-US"/>
          </w:rPr>
          <w:t>Veicināt energoefektivitātes paaugstināšanu v</w:t>
        </w:r>
        <w:r>
          <w:rPr>
            <w:rStyle w:val="FootnoteReference"/>
            <w:sz w:val="16"/>
            <w:szCs w:val="16"/>
            <w:lang w:eastAsia="en-US"/>
          </w:rPr>
          <w:t>alsts ēkās”</w:t>
        </w:r>
        <w:r w:rsidRPr="006B359D">
          <w:rPr>
            <w:rStyle w:val="FootnoteReference"/>
            <w:sz w:val="16"/>
            <w:szCs w:val="16"/>
            <w:lang w:eastAsia="en-US"/>
          </w:rPr>
          <w:t xml:space="preserve"> pirmās projektu iesniegumu atlases kārtas īstenošanas noteikumi</w:t>
        </w:r>
      </w:hyperlink>
      <w:r>
        <w:rPr>
          <w:rStyle w:val="FootnoteReference"/>
          <w:sz w:val="16"/>
          <w:szCs w:val="16"/>
          <w:lang w:eastAsia="en-US"/>
        </w:rPr>
        <w:t>””</w:t>
      </w:r>
    </w:p>
  </w:footnote>
  <w:footnote w:id="13">
    <w:p w14:paraId="33036BFB" w14:textId="77777777" w:rsidR="002D037A" w:rsidRPr="006B359D" w:rsidRDefault="002D037A" w:rsidP="002D037A">
      <w:pPr>
        <w:pStyle w:val="FootnoteText"/>
        <w:rPr>
          <w:rStyle w:val="FootnoteReference"/>
          <w:sz w:val="16"/>
          <w:szCs w:val="16"/>
        </w:rPr>
      </w:pPr>
      <w:r w:rsidRPr="006B359D">
        <w:rPr>
          <w:rStyle w:val="FootnoteReference"/>
          <w:sz w:val="16"/>
          <w:szCs w:val="16"/>
        </w:rPr>
        <w:footnoteRef/>
      </w:r>
      <w:r w:rsidRPr="006B359D">
        <w:rPr>
          <w:rStyle w:val="FootnoteReference"/>
          <w:sz w:val="16"/>
          <w:szCs w:val="16"/>
        </w:rPr>
        <w:t xml:space="preserve"> </w:t>
      </w:r>
      <w:r>
        <w:rPr>
          <w:rStyle w:val="FootnoteReference"/>
          <w:sz w:val="16"/>
          <w:szCs w:val="16"/>
        </w:rPr>
        <w:t>MK</w:t>
      </w:r>
      <w:r w:rsidRPr="006B359D">
        <w:rPr>
          <w:rStyle w:val="FootnoteReference"/>
          <w:sz w:val="16"/>
          <w:szCs w:val="16"/>
        </w:rPr>
        <w:t xml:space="preserve"> </w:t>
      </w:r>
      <w:r>
        <w:rPr>
          <w:rStyle w:val="FootnoteReference"/>
          <w:sz w:val="16"/>
          <w:szCs w:val="16"/>
        </w:rPr>
        <w:t>2019.gada 21</w:t>
      </w:r>
      <w:r w:rsidRPr="006B359D">
        <w:rPr>
          <w:rStyle w:val="FootnoteReference"/>
          <w:sz w:val="16"/>
          <w:szCs w:val="16"/>
        </w:rPr>
        <w:t xml:space="preserve"> maija  </w:t>
      </w:r>
      <w:r>
        <w:rPr>
          <w:rStyle w:val="FootnoteReference"/>
          <w:sz w:val="16"/>
          <w:szCs w:val="16"/>
        </w:rPr>
        <w:t>noteikumi Nr.</w:t>
      </w:r>
      <w:r w:rsidRPr="006B359D">
        <w:rPr>
          <w:rStyle w:val="FootnoteReference"/>
          <w:sz w:val="16"/>
          <w:szCs w:val="16"/>
        </w:rPr>
        <w:t>201</w:t>
      </w:r>
      <w:r w:rsidRPr="006B359D">
        <w:rPr>
          <w:sz w:val="16"/>
          <w:szCs w:val="16"/>
        </w:rPr>
        <w:t xml:space="preserve"> “</w:t>
      </w:r>
      <w:r w:rsidRPr="006B359D">
        <w:rPr>
          <w:rStyle w:val="FootnoteReference"/>
          <w:sz w:val="16"/>
          <w:szCs w:val="16"/>
        </w:rPr>
        <w:t>Grozījumi Ministru kabineta 2016.</w:t>
      </w:r>
      <w:r>
        <w:rPr>
          <w:rStyle w:val="FootnoteReference"/>
          <w:sz w:val="16"/>
          <w:szCs w:val="16"/>
        </w:rPr>
        <w:t>gada 9.augusta noteikumos Nr.534 “</w:t>
      </w:r>
      <w:hyperlink r:id="rId2" w:tgtFrame="_blank" w:history="1">
        <w:r>
          <w:rPr>
            <w:rStyle w:val="FootnoteReference"/>
            <w:sz w:val="16"/>
            <w:szCs w:val="16"/>
          </w:rPr>
          <w:t>Darbības programmas “Izaugsme un nodarbinātība” 4.2.1.</w:t>
        </w:r>
        <w:r w:rsidRPr="006B359D">
          <w:rPr>
            <w:rStyle w:val="FootnoteReference"/>
            <w:sz w:val="16"/>
            <w:szCs w:val="16"/>
          </w:rPr>
          <w:t xml:space="preserve">specifiskā </w:t>
        </w:r>
        <w:r>
          <w:rPr>
            <w:rStyle w:val="FootnoteReference"/>
            <w:sz w:val="16"/>
            <w:szCs w:val="16"/>
          </w:rPr>
          <w:t>atbalsta mērķa “</w:t>
        </w:r>
        <w:r w:rsidRPr="006B359D">
          <w:rPr>
            <w:rStyle w:val="FootnoteReference"/>
            <w:sz w:val="16"/>
            <w:szCs w:val="16"/>
          </w:rPr>
          <w:t>Veicināt energoefektivitātes paaugstin</w:t>
        </w:r>
        <w:r>
          <w:rPr>
            <w:rStyle w:val="FootnoteReference"/>
            <w:sz w:val="16"/>
            <w:szCs w:val="16"/>
          </w:rPr>
          <w:t>āšanu valsts un dzīvojamās ēkās” 4.2.1.2.pasākuma “</w:t>
        </w:r>
        <w:r w:rsidRPr="006B359D">
          <w:rPr>
            <w:rStyle w:val="FootnoteReference"/>
            <w:sz w:val="16"/>
            <w:szCs w:val="16"/>
          </w:rPr>
          <w:t>Veicināt energoefektivit</w:t>
        </w:r>
        <w:r>
          <w:rPr>
            <w:rStyle w:val="FootnoteReference"/>
            <w:sz w:val="16"/>
            <w:szCs w:val="16"/>
          </w:rPr>
          <w:t>ātes paaugstināšanu valsts ēkās”</w:t>
        </w:r>
        <w:r w:rsidRPr="006B359D">
          <w:rPr>
            <w:rStyle w:val="FootnoteReference"/>
            <w:sz w:val="16"/>
            <w:szCs w:val="16"/>
          </w:rPr>
          <w:t xml:space="preserve"> pirmās projektu iesniegumu atlases kārtas īstenošanas noteikumi</w:t>
        </w:r>
      </w:hyperlink>
      <w:r>
        <w:rPr>
          <w:rStyle w:val="FootnoteReference"/>
          <w:sz w:val="16"/>
          <w:szCs w:val="16"/>
        </w:rPr>
        <w:t>””</w:t>
      </w:r>
    </w:p>
    <w:p w14:paraId="255240BF" w14:textId="77777777" w:rsidR="002D037A" w:rsidRDefault="002D037A" w:rsidP="002D037A">
      <w:pPr>
        <w:pStyle w:val="FootnoteText"/>
      </w:pPr>
    </w:p>
  </w:footnote>
  <w:footnote w:id="14">
    <w:p w14:paraId="5F8A9A94" w14:textId="77777777" w:rsidR="002D037A" w:rsidRPr="006B359D" w:rsidRDefault="002D037A" w:rsidP="002D037A">
      <w:pPr>
        <w:pStyle w:val="FootnoteText"/>
        <w:rPr>
          <w:sz w:val="16"/>
          <w:szCs w:val="16"/>
        </w:rPr>
      </w:pPr>
      <w:r w:rsidRPr="006B359D">
        <w:rPr>
          <w:rStyle w:val="FootnoteReference"/>
          <w:sz w:val="16"/>
          <w:szCs w:val="16"/>
        </w:rPr>
        <w:footnoteRef/>
      </w:r>
      <w:r>
        <w:rPr>
          <w:sz w:val="16"/>
          <w:szCs w:val="16"/>
        </w:rPr>
        <w:t xml:space="preserve"> MK 2020.gada 22.septembra </w:t>
      </w:r>
      <w:r w:rsidRPr="006B359D">
        <w:rPr>
          <w:sz w:val="16"/>
          <w:szCs w:val="16"/>
        </w:rPr>
        <w:t>protokols Nr.55 “Informatīvais ziņojums “Par Kohēzijas politikas Eiropas Savienības fondu investīciju a</w:t>
      </w:r>
      <w:r>
        <w:rPr>
          <w:sz w:val="16"/>
          <w:szCs w:val="16"/>
        </w:rPr>
        <w:t>ktualitātēm (pusgada ziņojums)”</w:t>
      </w:r>
    </w:p>
  </w:footnote>
  <w:footnote w:id="15">
    <w:p w14:paraId="2C41C894" w14:textId="77777777" w:rsidR="00CA06F9" w:rsidRPr="006B359D" w:rsidRDefault="00CA06F9" w:rsidP="00A17D7A">
      <w:pPr>
        <w:pStyle w:val="FootnoteText"/>
        <w:rPr>
          <w:sz w:val="16"/>
          <w:szCs w:val="16"/>
        </w:rPr>
      </w:pPr>
      <w:r w:rsidRPr="006B359D">
        <w:rPr>
          <w:rStyle w:val="FootnoteReference"/>
          <w:sz w:val="16"/>
          <w:szCs w:val="16"/>
        </w:rPr>
        <w:footnoteRef/>
      </w:r>
      <w:r w:rsidRPr="006B359D">
        <w:rPr>
          <w:sz w:val="16"/>
          <w:szCs w:val="16"/>
        </w:rPr>
        <w:t xml:space="preserve"> Darbības programmas “Izaugsme un nodarbinātība” 4.2.1.specifiskās atbalsta mērķa “Veicināt energoefektivitātes paaugstināšanu valsts un dzīvojamās ēkās” 4.2.1.1.pasākums “Veicināt energoefektivitātes paaugstināšanu dzīvojamās ēkās”</w:t>
      </w:r>
    </w:p>
  </w:footnote>
  <w:footnote w:id="16">
    <w:p w14:paraId="4B92153A" w14:textId="77777777" w:rsidR="00DC6B73" w:rsidRDefault="00DC6B73" w:rsidP="00DC6B73">
      <w:pPr>
        <w:pStyle w:val="FootnoteText"/>
      </w:pPr>
      <w:r>
        <w:rPr>
          <w:rStyle w:val="FootnoteReference"/>
        </w:rPr>
        <w:footnoteRef/>
      </w:r>
      <w:r>
        <w:t xml:space="preserve"> </w:t>
      </w:r>
      <w:r>
        <w:rPr>
          <w:szCs w:val="24"/>
        </w:rPr>
        <w:t>MK</w:t>
      </w:r>
      <w:r w:rsidRPr="00FE7378">
        <w:rPr>
          <w:szCs w:val="24"/>
        </w:rPr>
        <w:t xml:space="preserve"> 2016.gada 9.augusta noteikum</w:t>
      </w:r>
      <w:r>
        <w:rPr>
          <w:szCs w:val="24"/>
        </w:rPr>
        <w:t>i</w:t>
      </w:r>
      <w:r w:rsidRPr="00FE7378">
        <w:rPr>
          <w:szCs w:val="24"/>
        </w:rPr>
        <w:t xml:space="preserve">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w:t>
      </w:r>
    </w:p>
  </w:footnote>
  <w:footnote w:id="17">
    <w:p w14:paraId="11D590E7" w14:textId="77777777" w:rsidR="008851D8" w:rsidRDefault="008851D8" w:rsidP="008851D8">
      <w:pPr>
        <w:pStyle w:val="FootnoteText"/>
      </w:pPr>
      <w:r>
        <w:rPr>
          <w:rStyle w:val="FootnoteReference"/>
        </w:rPr>
        <w:footnoteRef/>
      </w:r>
      <w:r>
        <w:t xml:space="preserve"> </w:t>
      </w:r>
      <w:r>
        <w:rPr>
          <w:szCs w:val="24"/>
        </w:rPr>
        <w:t>MK</w:t>
      </w:r>
      <w:r w:rsidRPr="00FE7378">
        <w:rPr>
          <w:szCs w:val="24"/>
        </w:rPr>
        <w:t xml:space="preserve"> 2016.gada 9.augusta noteikum</w:t>
      </w:r>
      <w:r>
        <w:rPr>
          <w:szCs w:val="24"/>
        </w:rPr>
        <w:t>i</w:t>
      </w:r>
      <w:r w:rsidRPr="00FE7378">
        <w:rPr>
          <w:szCs w:val="24"/>
        </w:rPr>
        <w:t xml:space="preserve">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w:t>
      </w:r>
    </w:p>
  </w:footnote>
  <w:footnote w:id="18">
    <w:p w14:paraId="4924A630" w14:textId="77777777" w:rsidR="008851D8" w:rsidRDefault="008851D8" w:rsidP="008851D8">
      <w:pPr>
        <w:pStyle w:val="FootnoteText"/>
      </w:pPr>
      <w:r>
        <w:rPr>
          <w:rStyle w:val="FootnoteReference"/>
        </w:rPr>
        <w:footnoteRef/>
      </w:r>
      <w:r>
        <w:t xml:space="preserve"> </w:t>
      </w:r>
      <w:r>
        <w:rPr>
          <w:rStyle w:val="FootnoteReference"/>
        </w:rPr>
        <w:t>M</w:t>
      </w:r>
      <w:r>
        <w:t>K</w:t>
      </w:r>
      <w:r w:rsidRPr="00787D68">
        <w:rPr>
          <w:rStyle w:val="FootnoteReference"/>
        </w:rPr>
        <w:t xml:space="preserve"> 2018.gada 4.</w:t>
      </w:r>
      <w:r>
        <w:rPr>
          <w:rStyle w:val="FootnoteReference"/>
        </w:rPr>
        <w:t>j</w:t>
      </w:r>
      <w:r w:rsidRPr="00787D68">
        <w:rPr>
          <w:rStyle w:val="FootnoteReference"/>
        </w:rPr>
        <w:t xml:space="preserve">anvāra noteikumi Nr.13 </w:t>
      </w:r>
      <w:r>
        <w:rPr>
          <w:rStyle w:val="FootnoteReference"/>
        </w:rPr>
        <w:t>“</w:t>
      </w:r>
      <w:r w:rsidRPr="00787D68">
        <w:rPr>
          <w:rStyle w:val="FootnoteReference"/>
        </w:rPr>
        <w:t xml:space="preserve">Darbības programmas </w:t>
      </w:r>
      <w:r>
        <w:rPr>
          <w:rStyle w:val="FootnoteReference"/>
        </w:rPr>
        <w:t>“</w:t>
      </w:r>
      <w:r w:rsidRPr="00787D68">
        <w:rPr>
          <w:rStyle w:val="FootnoteReference"/>
        </w:rPr>
        <w:t>Izaugsme un nodarbinātība</w:t>
      </w:r>
      <w:r>
        <w:rPr>
          <w:rStyle w:val="FootnoteReference"/>
        </w:rPr>
        <w:t>”</w:t>
      </w:r>
      <w:r w:rsidRPr="00787D68">
        <w:rPr>
          <w:rStyle w:val="FootnoteReference"/>
        </w:rPr>
        <w:t xml:space="preserve"> 4.2.1.specifiskā atbalsta mērķa </w:t>
      </w:r>
      <w:r>
        <w:rPr>
          <w:rStyle w:val="FootnoteReference"/>
        </w:rPr>
        <w:t>“</w:t>
      </w:r>
      <w:r w:rsidRPr="00787D68">
        <w:rPr>
          <w:rStyle w:val="FootnoteReference"/>
        </w:rPr>
        <w:t>Veicināt energoefektivitātes paaugstināšanu valsts un dzīvojamās ēkās</w:t>
      </w:r>
      <w:r>
        <w:rPr>
          <w:rStyle w:val="FootnoteReference"/>
        </w:rPr>
        <w:t>”</w:t>
      </w:r>
      <w:r w:rsidRPr="00787D68">
        <w:rPr>
          <w:rStyle w:val="FootnoteReference"/>
        </w:rPr>
        <w:t xml:space="preserve"> 4.2.1.2.pasākuma </w:t>
      </w:r>
      <w:r>
        <w:rPr>
          <w:rStyle w:val="FootnoteReference"/>
        </w:rPr>
        <w:t>“</w:t>
      </w:r>
      <w:r w:rsidRPr="00787D68">
        <w:rPr>
          <w:rStyle w:val="FootnoteReference"/>
        </w:rPr>
        <w:t>Veicināt energoefektivitātes paaugstināšanu valsts ēkās</w:t>
      </w:r>
      <w:r>
        <w:rPr>
          <w:rStyle w:val="FootnoteReference"/>
        </w:rPr>
        <w:t>”</w:t>
      </w:r>
      <w:r w:rsidRPr="00787D68">
        <w:rPr>
          <w:rStyle w:val="FootnoteReference"/>
        </w:rPr>
        <w:t xml:space="preserve"> otrās projektu iesniegumu atlases kārtas īstenošanas noteikumi</w:t>
      </w:r>
      <w:r>
        <w:rPr>
          <w:rStyle w:val="FootnoteReferenc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9315"/>
      <w:docPartObj>
        <w:docPartGallery w:val="Page Numbers (Top of Page)"/>
        <w:docPartUnique/>
      </w:docPartObj>
    </w:sdtPr>
    <w:sdtEndPr>
      <w:rPr>
        <w:noProof/>
      </w:rPr>
    </w:sdtEndPr>
    <w:sdtContent>
      <w:p w14:paraId="65ECDC58" w14:textId="5BD466EE" w:rsidR="008C1AEC" w:rsidRDefault="008C1A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7A1563" w14:textId="77777777" w:rsidR="008C1AEC" w:rsidRDefault="008C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13AB"/>
    <w:multiLevelType w:val="multilevel"/>
    <w:tmpl w:val="C63A5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01D6386"/>
    <w:multiLevelType w:val="hybridMultilevel"/>
    <w:tmpl w:val="F110A0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AC24E9"/>
    <w:multiLevelType w:val="hybridMultilevel"/>
    <w:tmpl w:val="1C44AFB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2D3984"/>
    <w:multiLevelType w:val="hybridMultilevel"/>
    <w:tmpl w:val="414A1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5" w15:restartNumberingAfterBreak="0">
    <w:nsid w:val="27E00494"/>
    <w:multiLevelType w:val="hybridMultilevel"/>
    <w:tmpl w:val="98EAC2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D3A43D8"/>
    <w:multiLevelType w:val="multilevel"/>
    <w:tmpl w:val="C63A5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8" w15:restartNumberingAfterBreak="0">
    <w:nsid w:val="3335380F"/>
    <w:multiLevelType w:val="multilevel"/>
    <w:tmpl w:val="C63A5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33AD2865"/>
    <w:multiLevelType w:val="hybridMultilevel"/>
    <w:tmpl w:val="6EF4EEEA"/>
    <w:lvl w:ilvl="0" w:tplc="1A940A60">
      <w:start w:val="3"/>
      <w:numFmt w:val="bullet"/>
      <w:lvlText w:val="-"/>
      <w:lvlJc w:val="left"/>
      <w:pPr>
        <w:ind w:left="510" w:hanging="360"/>
      </w:pPr>
      <w:rPr>
        <w:rFonts w:ascii="Calibri" w:eastAsia="Calibri" w:hAnsi="Calibri" w:cs="Calibri"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10" w15:restartNumberingAfterBreak="0">
    <w:nsid w:val="39C503B6"/>
    <w:multiLevelType w:val="multilevel"/>
    <w:tmpl w:val="C63A5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DF929F3"/>
    <w:multiLevelType w:val="hybridMultilevel"/>
    <w:tmpl w:val="EE361DD4"/>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2B1175"/>
    <w:multiLevelType w:val="hybridMultilevel"/>
    <w:tmpl w:val="47981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AEB509D"/>
    <w:multiLevelType w:val="hybridMultilevel"/>
    <w:tmpl w:val="D9180B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B5F2E0A"/>
    <w:multiLevelType w:val="multilevel"/>
    <w:tmpl w:val="C63A5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4FB8097A"/>
    <w:multiLevelType w:val="hybridMultilevel"/>
    <w:tmpl w:val="9522D526"/>
    <w:lvl w:ilvl="0" w:tplc="CB02C0CA">
      <w:start w:val="1"/>
      <w:numFmt w:val="bullet"/>
      <w:lvlText w:val=""/>
      <w:lvlJc w:val="left"/>
      <w:pPr>
        <w:ind w:left="644" w:hanging="360"/>
      </w:pPr>
      <w:rPr>
        <w:rFonts w:ascii="Symbol" w:hAnsi="Symbol" w:hint="default"/>
        <w:strike w:val="0"/>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6" w15:restartNumberingAfterBreak="0">
    <w:nsid w:val="54C25A10"/>
    <w:multiLevelType w:val="hybridMultilevel"/>
    <w:tmpl w:val="BCF8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266B15"/>
    <w:multiLevelType w:val="multilevel"/>
    <w:tmpl w:val="C63A5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19" w15:restartNumberingAfterBreak="0">
    <w:nsid w:val="6DF06C12"/>
    <w:multiLevelType w:val="hybridMultilevel"/>
    <w:tmpl w:val="D9180B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AFF4FDF"/>
    <w:multiLevelType w:val="hybridMultilevel"/>
    <w:tmpl w:val="C49E8966"/>
    <w:lvl w:ilvl="0" w:tplc="0E1E15DA">
      <w:start w:val="1"/>
      <w:numFmt w:val="decimal"/>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8"/>
  </w:num>
  <w:num w:numId="2">
    <w:abstractNumId w:val="4"/>
  </w:num>
  <w:num w:numId="3">
    <w:abstractNumId w:val="7"/>
  </w:num>
  <w:num w:numId="4">
    <w:abstractNumId w:val="2"/>
  </w:num>
  <w:num w:numId="5">
    <w:abstractNumId w:val="16"/>
  </w:num>
  <w:num w:numId="6">
    <w:abstractNumId w:val="1"/>
  </w:num>
  <w:num w:numId="7">
    <w:abstractNumId w:val="9"/>
  </w:num>
  <w:num w:numId="8">
    <w:abstractNumId w:val="13"/>
  </w:num>
  <w:num w:numId="9">
    <w:abstractNumId w:val="3"/>
  </w:num>
  <w:num w:numId="10">
    <w:abstractNumId w:val="19"/>
  </w:num>
  <w:num w:numId="11">
    <w:abstractNumId w:val="5"/>
  </w:num>
  <w:num w:numId="12">
    <w:abstractNumId w:val="17"/>
  </w:num>
  <w:num w:numId="13">
    <w:abstractNumId w:val="11"/>
  </w:num>
  <w:num w:numId="14">
    <w:abstractNumId w:val="8"/>
  </w:num>
  <w:num w:numId="15">
    <w:abstractNumId w:val="10"/>
  </w:num>
  <w:num w:numId="16">
    <w:abstractNumId w:val="0"/>
  </w:num>
  <w:num w:numId="17">
    <w:abstractNumId w:val="14"/>
  </w:num>
  <w:num w:numId="18">
    <w:abstractNumId w:val="6"/>
  </w:num>
  <w:num w:numId="19">
    <w:abstractNumId w:val="15"/>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3920"/>
    <w:rsid w:val="00005B48"/>
    <w:rsid w:val="0001377B"/>
    <w:rsid w:val="00014FCE"/>
    <w:rsid w:val="000158F5"/>
    <w:rsid w:val="00016675"/>
    <w:rsid w:val="00021C6D"/>
    <w:rsid w:val="00023300"/>
    <w:rsid w:val="0002761C"/>
    <w:rsid w:val="0003275B"/>
    <w:rsid w:val="000370B0"/>
    <w:rsid w:val="00037995"/>
    <w:rsid w:val="00037FCE"/>
    <w:rsid w:val="00041FBF"/>
    <w:rsid w:val="00047147"/>
    <w:rsid w:val="00050F8A"/>
    <w:rsid w:val="00051405"/>
    <w:rsid w:val="00052199"/>
    <w:rsid w:val="00055C4C"/>
    <w:rsid w:val="00057672"/>
    <w:rsid w:val="00060620"/>
    <w:rsid w:val="0006153A"/>
    <w:rsid w:val="00062AB2"/>
    <w:rsid w:val="00062B77"/>
    <w:rsid w:val="00074065"/>
    <w:rsid w:val="000758FD"/>
    <w:rsid w:val="00075D17"/>
    <w:rsid w:val="000761E8"/>
    <w:rsid w:val="00076ED5"/>
    <w:rsid w:val="00077803"/>
    <w:rsid w:val="00077C49"/>
    <w:rsid w:val="0008244E"/>
    <w:rsid w:val="000915EF"/>
    <w:rsid w:val="0009524B"/>
    <w:rsid w:val="00097A52"/>
    <w:rsid w:val="00097BC6"/>
    <w:rsid w:val="000A1EBE"/>
    <w:rsid w:val="000A6FB1"/>
    <w:rsid w:val="000B657F"/>
    <w:rsid w:val="000C0B57"/>
    <w:rsid w:val="000C2870"/>
    <w:rsid w:val="000C430D"/>
    <w:rsid w:val="000C4FC0"/>
    <w:rsid w:val="000C5079"/>
    <w:rsid w:val="000C50F2"/>
    <w:rsid w:val="000D43F2"/>
    <w:rsid w:val="000E2665"/>
    <w:rsid w:val="000E2705"/>
    <w:rsid w:val="000E41C4"/>
    <w:rsid w:val="000E6137"/>
    <w:rsid w:val="000E6A6E"/>
    <w:rsid w:val="000F1C97"/>
    <w:rsid w:val="00101A93"/>
    <w:rsid w:val="00111C18"/>
    <w:rsid w:val="00114284"/>
    <w:rsid w:val="00115929"/>
    <w:rsid w:val="0012208A"/>
    <w:rsid w:val="0012264D"/>
    <w:rsid w:val="001229B1"/>
    <w:rsid w:val="00132DFD"/>
    <w:rsid w:val="00141AF5"/>
    <w:rsid w:val="00142D5F"/>
    <w:rsid w:val="00143C93"/>
    <w:rsid w:val="00143F17"/>
    <w:rsid w:val="001477C9"/>
    <w:rsid w:val="00147BF9"/>
    <w:rsid w:val="00161FA4"/>
    <w:rsid w:val="00163F69"/>
    <w:rsid w:val="00164B1D"/>
    <w:rsid w:val="00165A4E"/>
    <w:rsid w:val="00165E04"/>
    <w:rsid w:val="0016735D"/>
    <w:rsid w:val="00172C26"/>
    <w:rsid w:val="001775C2"/>
    <w:rsid w:val="001813D0"/>
    <w:rsid w:val="001852EE"/>
    <w:rsid w:val="0018629B"/>
    <w:rsid w:val="00190282"/>
    <w:rsid w:val="00192030"/>
    <w:rsid w:val="001A4770"/>
    <w:rsid w:val="001B0B6D"/>
    <w:rsid w:val="001B1247"/>
    <w:rsid w:val="001B6F6D"/>
    <w:rsid w:val="001C1BC5"/>
    <w:rsid w:val="001C4CA9"/>
    <w:rsid w:val="001C60D2"/>
    <w:rsid w:val="001D1221"/>
    <w:rsid w:val="001D496D"/>
    <w:rsid w:val="001E3AEB"/>
    <w:rsid w:val="001E6F5E"/>
    <w:rsid w:val="001F0959"/>
    <w:rsid w:val="001F7374"/>
    <w:rsid w:val="001F775A"/>
    <w:rsid w:val="00201C65"/>
    <w:rsid w:val="0020311B"/>
    <w:rsid w:val="002075E2"/>
    <w:rsid w:val="0020793A"/>
    <w:rsid w:val="00210317"/>
    <w:rsid w:val="00210465"/>
    <w:rsid w:val="0021076C"/>
    <w:rsid w:val="00210A85"/>
    <w:rsid w:val="00214733"/>
    <w:rsid w:val="00216748"/>
    <w:rsid w:val="00221C67"/>
    <w:rsid w:val="00223A3E"/>
    <w:rsid w:val="00227CDE"/>
    <w:rsid w:val="00230A2F"/>
    <w:rsid w:val="00231A59"/>
    <w:rsid w:val="002339C0"/>
    <w:rsid w:val="002401E6"/>
    <w:rsid w:val="0024153D"/>
    <w:rsid w:val="00242314"/>
    <w:rsid w:val="00242475"/>
    <w:rsid w:val="00247043"/>
    <w:rsid w:val="00254017"/>
    <w:rsid w:val="00255F30"/>
    <w:rsid w:val="00257531"/>
    <w:rsid w:val="00261B9A"/>
    <w:rsid w:val="00263919"/>
    <w:rsid w:val="00263E57"/>
    <w:rsid w:val="00266553"/>
    <w:rsid w:val="00266F9F"/>
    <w:rsid w:val="002701D5"/>
    <w:rsid w:val="002736AC"/>
    <w:rsid w:val="002774A6"/>
    <w:rsid w:val="00282431"/>
    <w:rsid w:val="00285985"/>
    <w:rsid w:val="002922C5"/>
    <w:rsid w:val="002A188A"/>
    <w:rsid w:val="002B06CA"/>
    <w:rsid w:val="002B4413"/>
    <w:rsid w:val="002B6B68"/>
    <w:rsid w:val="002C0FC0"/>
    <w:rsid w:val="002C1293"/>
    <w:rsid w:val="002C4C28"/>
    <w:rsid w:val="002C7F3C"/>
    <w:rsid w:val="002D037A"/>
    <w:rsid w:val="002D2A29"/>
    <w:rsid w:val="002D72FE"/>
    <w:rsid w:val="002D7569"/>
    <w:rsid w:val="002E1477"/>
    <w:rsid w:val="002F2877"/>
    <w:rsid w:val="002F3B82"/>
    <w:rsid w:val="002F422F"/>
    <w:rsid w:val="003027DB"/>
    <w:rsid w:val="0030364E"/>
    <w:rsid w:val="00303A30"/>
    <w:rsid w:val="003041C9"/>
    <w:rsid w:val="0031099E"/>
    <w:rsid w:val="00310EDC"/>
    <w:rsid w:val="0031247B"/>
    <w:rsid w:val="00314D9D"/>
    <w:rsid w:val="00314E77"/>
    <w:rsid w:val="00321C5B"/>
    <w:rsid w:val="00325F5D"/>
    <w:rsid w:val="00331E2B"/>
    <w:rsid w:val="0033267E"/>
    <w:rsid w:val="00335324"/>
    <w:rsid w:val="0035280D"/>
    <w:rsid w:val="00353087"/>
    <w:rsid w:val="003541A5"/>
    <w:rsid w:val="00357C2D"/>
    <w:rsid w:val="00361CCC"/>
    <w:rsid w:val="003639CB"/>
    <w:rsid w:val="00365C8C"/>
    <w:rsid w:val="00365D39"/>
    <w:rsid w:val="00367852"/>
    <w:rsid w:val="00372717"/>
    <w:rsid w:val="00375A6A"/>
    <w:rsid w:val="00380896"/>
    <w:rsid w:val="00383CDE"/>
    <w:rsid w:val="00390C32"/>
    <w:rsid w:val="00392718"/>
    <w:rsid w:val="00392FEF"/>
    <w:rsid w:val="003931A8"/>
    <w:rsid w:val="00396676"/>
    <w:rsid w:val="003966EE"/>
    <w:rsid w:val="003A46C9"/>
    <w:rsid w:val="003A6700"/>
    <w:rsid w:val="003B5962"/>
    <w:rsid w:val="003B6AFA"/>
    <w:rsid w:val="003B75B2"/>
    <w:rsid w:val="003C1AAA"/>
    <w:rsid w:val="003C230A"/>
    <w:rsid w:val="003C6BCB"/>
    <w:rsid w:val="003D119D"/>
    <w:rsid w:val="003D30CF"/>
    <w:rsid w:val="003D6912"/>
    <w:rsid w:val="003E3381"/>
    <w:rsid w:val="003E5BD4"/>
    <w:rsid w:val="003E6F0A"/>
    <w:rsid w:val="003E7EB7"/>
    <w:rsid w:val="003F1D0B"/>
    <w:rsid w:val="003F2D30"/>
    <w:rsid w:val="003F3119"/>
    <w:rsid w:val="003F320D"/>
    <w:rsid w:val="003F6035"/>
    <w:rsid w:val="003F6242"/>
    <w:rsid w:val="003F7D47"/>
    <w:rsid w:val="00401555"/>
    <w:rsid w:val="00402105"/>
    <w:rsid w:val="00403E53"/>
    <w:rsid w:val="00406CF4"/>
    <w:rsid w:val="00414069"/>
    <w:rsid w:val="00417AE0"/>
    <w:rsid w:val="004266D7"/>
    <w:rsid w:val="00430DF5"/>
    <w:rsid w:val="0044168A"/>
    <w:rsid w:val="00441903"/>
    <w:rsid w:val="00444019"/>
    <w:rsid w:val="00445087"/>
    <w:rsid w:val="00447A0D"/>
    <w:rsid w:val="00447BB0"/>
    <w:rsid w:val="0045211D"/>
    <w:rsid w:val="00452EF3"/>
    <w:rsid w:val="0045575A"/>
    <w:rsid w:val="00465B86"/>
    <w:rsid w:val="00466918"/>
    <w:rsid w:val="0047038D"/>
    <w:rsid w:val="00473867"/>
    <w:rsid w:val="004754C0"/>
    <w:rsid w:val="00477DC5"/>
    <w:rsid w:val="00481C29"/>
    <w:rsid w:val="004879DD"/>
    <w:rsid w:val="00492719"/>
    <w:rsid w:val="00495E18"/>
    <w:rsid w:val="00496FD1"/>
    <w:rsid w:val="004976F4"/>
    <w:rsid w:val="00497917"/>
    <w:rsid w:val="00497B94"/>
    <w:rsid w:val="004A770C"/>
    <w:rsid w:val="004B1DEC"/>
    <w:rsid w:val="004B3F0B"/>
    <w:rsid w:val="004B5B26"/>
    <w:rsid w:val="004B6D91"/>
    <w:rsid w:val="004C1512"/>
    <w:rsid w:val="004C2FBC"/>
    <w:rsid w:val="004C7BFE"/>
    <w:rsid w:val="004D0C64"/>
    <w:rsid w:val="004D32A7"/>
    <w:rsid w:val="004D34AE"/>
    <w:rsid w:val="004D4FE5"/>
    <w:rsid w:val="004E0291"/>
    <w:rsid w:val="004F0A62"/>
    <w:rsid w:val="004F316A"/>
    <w:rsid w:val="004F39B4"/>
    <w:rsid w:val="004F4B89"/>
    <w:rsid w:val="005006D3"/>
    <w:rsid w:val="00503D78"/>
    <w:rsid w:val="0050448B"/>
    <w:rsid w:val="0050558A"/>
    <w:rsid w:val="00512B24"/>
    <w:rsid w:val="005209B9"/>
    <w:rsid w:val="0052202C"/>
    <w:rsid w:val="005222C2"/>
    <w:rsid w:val="00524333"/>
    <w:rsid w:val="0052438E"/>
    <w:rsid w:val="005254B7"/>
    <w:rsid w:val="005267F2"/>
    <w:rsid w:val="00526BEA"/>
    <w:rsid w:val="00527F71"/>
    <w:rsid w:val="00530447"/>
    <w:rsid w:val="005342EC"/>
    <w:rsid w:val="0053481B"/>
    <w:rsid w:val="0054052B"/>
    <w:rsid w:val="00542359"/>
    <w:rsid w:val="00543AF1"/>
    <w:rsid w:val="00545E58"/>
    <w:rsid w:val="00564BE5"/>
    <w:rsid w:val="005650C6"/>
    <w:rsid w:val="00574613"/>
    <w:rsid w:val="00580CAF"/>
    <w:rsid w:val="00585812"/>
    <w:rsid w:val="00592572"/>
    <w:rsid w:val="005B0600"/>
    <w:rsid w:val="005B0ACA"/>
    <w:rsid w:val="005B2E06"/>
    <w:rsid w:val="005C37CF"/>
    <w:rsid w:val="005C4F53"/>
    <w:rsid w:val="005C53F1"/>
    <w:rsid w:val="005C7ADC"/>
    <w:rsid w:val="005D1071"/>
    <w:rsid w:val="005D327A"/>
    <w:rsid w:val="005D4DEA"/>
    <w:rsid w:val="005D7D26"/>
    <w:rsid w:val="005E0076"/>
    <w:rsid w:val="005F361C"/>
    <w:rsid w:val="005F670B"/>
    <w:rsid w:val="005F6BE4"/>
    <w:rsid w:val="005F6D6C"/>
    <w:rsid w:val="0060110A"/>
    <w:rsid w:val="0060490F"/>
    <w:rsid w:val="00605BA6"/>
    <w:rsid w:val="006075EE"/>
    <w:rsid w:val="00613EBB"/>
    <w:rsid w:val="00622CD0"/>
    <w:rsid w:val="006242CA"/>
    <w:rsid w:val="00624C24"/>
    <w:rsid w:val="006305BB"/>
    <w:rsid w:val="00634B9A"/>
    <w:rsid w:val="00637A95"/>
    <w:rsid w:val="006422E9"/>
    <w:rsid w:val="00642ABE"/>
    <w:rsid w:val="00647658"/>
    <w:rsid w:val="006531FB"/>
    <w:rsid w:val="006547F2"/>
    <w:rsid w:val="00657525"/>
    <w:rsid w:val="00660409"/>
    <w:rsid w:val="00663202"/>
    <w:rsid w:val="006661C3"/>
    <w:rsid w:val="00667BE6"/>
    <w:rsid w:val="006703CA"/>
    <w:rsid w:val="006715E4"/>
    <w:rsid w:val="0067164F"/>
    <w:rsid w:val="006731E0"/>
    <w:rsid w:val="006765A2"/>
    <w:rsid w:val="0067686F"/>
    <w:rsid w:val="00681CFF"/>
    <w:rsid w:val="006874CF"/>
    <w:rsid w:val="00687720"/>
    <w:rsid w:val="0069341B"/>
    <w:rsid w:val="00695566"/>
    <w:rsid w:val="0069673D"/>
    <w:rsid w:val="006A1706"/>
    <w:rsid w:val="006A645C"/>
    <w:rsid w:val="006B31DF"/>
    <w:rsid w:val="006B432C"/>
    <w:rsid w:val="006C38FE"/>
    <w:rsid w:val="006C492A"/>
    <w:rsid w:val="006C5D92"/>
    <w:rsid w:val="006C637F"/>
    <w:rsid w:val="006C7642"/>
    <w:rsid w:val="006D3EE7"/>
    <w:rsid w:val="006D45A0"/>
    <w:rsid w:val="006D4713"/>
    <w:rsid w:val="006D6C56"/>
    <w:rsid w:val="006D79DA"/>
    <w:rsid w:val="006E713F"/>
    <w:rsid w:val="006F3531"/>
    <w:rsid w:val="006F44F5"/>
    <w:rsid w:val="006F5DCB"/>
    <w:rsid w:val="006F6D6B"/>
    <w:rsid w:val="007030BB"/>
    <w:rsid w:val="0070544C"/>
    <w:rsid w:val="00706DFE"/>
    <w:rsid w:val="0070794C"/>
    <w:rsid w:val="0071109A"/>
    <w:rsid w:val="007142AC"/>
    <w:rsid w:val="007157E5"/>
    <w:rsid w:val="00716C99"/>
    <w:rsid w:val="00720BC0"/>
    <w:rsid w:val="00724662"/>
    <w:rsid w:val="00725099"/>
    <w:rsid w:val="00726E17"/>
    <w:rsid w:val="00731644"/>
    <w:rsid w:val="00733E70"/>
    <w:rsid w:val="00736071"/>
    <w:rsid w:val="007436E7"/>
    <w:rsid w:val="00743A02"/>
    <w:rsid w:val="00747272"/>
    <w:rsid w:val="00747AC4"/>
    <w:rsid w:val="0075266F"/>
    <w:rsid w:val="00753B36"/>
    <w:rsid w:val="00755553"/>
    <w:rsid w:val="00767227"/>
    <w:rsid w:val="0077094D"/>
    <w:rsid w:val="0077123A"/>
    <w:rsid w:val="007715E2"/>
    <w:rsid w:val="007745E5"/>
    <w:rsid w:val="0078157C"/>
    <w:rsid w:val="00781F75"/>
    <w:rsid w:val="00785D87"/>
    <w:rsid w:val="00785E80"/>
    <w:rsid w:val="00787806"/>
    <w:rsid w:val="00787DFE"/>
    <w:rsid w:val="007943E6"/>
    <w:rsid w:val="00794B84"/>
    <w:rsid w:val="00796BAB"/>
    <w:rsid w:val="007A1354"/>
    <w:rsid w:val="007A2594"/>
    <w:rsid w:val="007B3726"/>
    <w:rsid w:val="007B3B1D"/>
    <w:rsid w:val="007B6E47"/>
    <w:rsid w:val="007B7616"/>
    <w:rsid w:val="007C23CF"/>
    <w:rsid w:val="007C5B4C"/>
    <w:rsid w:val="007D1702"/>
    <w:rsid w:val="007D28B0"/>
    <w:rsid w:val="007D4374"/>
    <w:rsid w:val="007D4AD6"/>
    <w:rsid w:val="007D65C0"/>
    <w:rsid w:val="007E1418"/>
    <w:rsid w:val="007E5336"/>
    <w:rsid w:val="007F5FA3"/>
    <w:rsid w:val="007F6C36"/>
    <w:rsid w:val="008020A7"/>
    <w:rsid w:val="008058FE"/>
    <w:rsid w:val="00812270"/>
    <w:rsid w:val="008127ED"/>
    <w:rsid w:val="00827009"/>
    <w:rsid w:val="008312B5"/>
    <w:rsid w:val="0083327B"/>
    <w:rsid w:val="00836493"/>
    <w:rsid w:val="00840EEB"/>
    <w:rsid w:val="00841ED5"/>
    <w:rsid w:val="008452BA"/>
    <w:rsid w:val="0084698C"/>
    <w:rsid w:val="00847DE5"/>
    <w:rsid w:val="00852A4B"/>
    <w:rsid w:val="00857FA0"/>
    <w:rsid w:val="00861756"/>
    <w:rsid w:val="00862AB4"/>
    <w:rsid w:val="00863BD0"/>
    <w:rsid w:val="00864327"/>
    <w:rsid w:val="0086514C"/>
    <w:rsid w:val="008664A5"/>
    <w:rsid w:val="00872046"/>
    <w:rsid w:val="0087602F"/>
    <w:rsid w:val="008833DB"/>
    <w:rsid w:val="008851D8"/>
    <w:rsid w:val="00886038"/>
    <w:rsid w:val="00891A29"/>
    <w:rsid w:val="00891AC4"/>
    <w:rsid w:val="008935CD"/>
    <w:rsid w:val="00893B67"/>
    <w:rsid w:val="008A0A67"/>
    <w:rsid w:val="008A3284"/>
    <w:rsid w:val="008A3B46"/>
    <w:rsid w:val="008B209E"/>
    <w:rsid w:val="008B3C92"/>
    <w:rsid w:val="008B77FA"/>
    <w:rsid w:val="008C1AE9"/>
    <w:rsid w:val="008C1AEC"/>
    <w:rsid w:val="008C3DD7"/>
    <w:rsid w:val="008D16B3"/>
    <w:rsid w:val="008D263C"/>
    <w:rsid w:val="008D3303"/>
    <w:rsid w:val="008D3C03"/>
    <w:rsid w:val="008D4026"/>
    <w:rsid w:val="008E246A"/>
    <w:rsid w:val="008E2CB3"/>
    <w:rsid w:val="008F0912"/>
    <w:rsid w:val="008F4F7B"/>
    <w:rsid w:val="00901F37"/>
    <w:rsid w:val="009076F4"/>
    <w:rsid w:val="00913EAB"/>
    <w:rsid w:val="00915B36"/>
    <w:rsid w:val="009308E9"/>
    <w:rsid w:val="00935EBB"/>
    <w:rsid w:val="00937764"/>
    <w:rsid w:val="00943606"/>
    <w:rsid w:val="00947958"/>
    <w:rsid w:val="009500E8"/>
    <w:rsid w:val="009503F3"/>
    <w:rsid w:val="00954B3F"/>
    <w:rsid w:val="009579A2"/>
    <w:rsid w:val="0096143B"/>
    <w:rsid w:val="00964508"/>
    <w:rsid w:val="00967FCE"/>
    <w:rsid w:val="00975AD2"/>
    <w:rsid w:val="009817FC"/>
    <w:rsid w:val="009863D8"/>
    <w:rsid w:val="009866E2"/>
    <w:rsid w:val="00986ED3"/>
    <w:rsid w:val="00992C47"/>
    <w:rsid w:val="00995948"/>
    <w:rsid w:val="009975EC"/>
    <w:rsid w:val="009A0467"/>
    <w:rsid w:val="009A48ED"/>
    <w:rsid w:val="009A5D4E"/>
    <w:rsid w:val="009A7C83"/>
    <w:rsid w:val="009B2596"/>
    <w:rsid w:val="009D158E"/>
    <w:rsid w:val="009D3753"/>
    <w:rsid w:val="009D49FC"/>
    <w:rsid w:val="009D549C"/>
    <w:rsid w:val="009E4FA1"/>
    <w:rsid w:val="009F27A1"/>
    <w:rsid w:val="009F2E5A"/>
    <w:rsid w:val="009F6DB4"/>
    <w:rsid w:val="00A0626C"/>
    <w:rsid w:val="00A06A5F"/>
    <w:rsid w:val="00A125CE"/>
    <w:rsid w:val="00A17D7A"/>
    <w:rsid w:val="00A20E40"/>
    <w:rsid w:val="00A23FF7"/>
    <w:rsid w:val="00A30377"/>
    <w:rsid w:val="00A31394"/>
    <w:rsid w:val="00A34B1B"/>
    <w:rsid w:val="00A356AF"/>
    <w:rsid w:val="00A35E00"/>
    <w:rsid w:val="00A362B1"/>
    <w:rsid w:val="00A42468"/>
    <w:rsid w:val="00A46A27"/>
    <w:rsid w:val="00A46E30"/>
    <w:rsid w:val="00A52034"/>
    <w:rsid w:val="00A53C8C"/>
    <w:rsid w:val="00A5604B"/>
    <w:rsid w:val="00A56333"/>
    <w:rsid w:val="00A56FA6"/>
    <w:rsid w:val="00A5709A"/>
    <w:rsid w:val="00A60F48"/>
    <w:rsid w:val="00A635BB"/>
    <w:rsid w:val="00A63660"/>
    <w:rsid w:val="00A6563D"/>
    <w:rsid w:val="00A70AE0"/>
    <w:rsid w:val="00A712D5"/>
    <w:rsid w:val="00A73094"/>
    <w:rsid w:val="00A73633"/>
    <w:rsid w:val="00A8032A"/>
    <w:rsid w:val="00A8409B"/>
    <w:rsid w:val="00A85D58"/>
    <w:rsid w:val="00A910C4"/>
    <w:rsid w:val="00A9278E"/>
    <w:rsid w:val="00A95064"/>
    <w:rsid w:val="00AA0208"/>
    <w:rsid w:val="00AA0FA2"/>
    <w:rsid w:val="00AA22AC"/>
    <w:rsid w:val="00AA5628"/>
    <w:rsid w:val="00AB088A"/>
    <w:rsid w:val="00AB3AC4"/>
    <w:rsid w:val="00AB6E5F"/>
    <w:rsid w:val="00AC13A9"/>
    <w:rsid w:val="00AC358B"/>
    <w:rsid w:val="00AC4626"/>
    <w:rsid w:val="00AC5E11"/>
    <w:rsid w:val="00AD4F07"/>
    <w:rsid w:val="00AE361D"/>
    <w:rsid w:val="00AE5234"/>
    <w:rsid w:val="00AF31E3"/>
    <w:rsid w:val="00AF4D17"/>
    <w:rsid w:val="00AF5C0D"/>
    <w:rsid w:val="00AF67ED"/>
    <w:rsid w:val="00B0117A"/>
    <w:rsid w:val="00B01A60"/>
    <w:rsid w:val="00B11168"/>
    <w:rsid w:val="00B12DF4"/>
    <w:rsid w:val="00B1312D"/>
    <w:rsid w:val="00B152DE"/>
    <w:rsid w:val="00B217E4"/>
    <w:rsid w:val="00B2431E"/>
    <w:rsid w:val="00B3105B"/>
    <w:rsid w:val="00B314A7"/>
    <w:rsid w:val="00B33046"/>
    <w:rsid w:val="00B376E8"/>
    <w:rsid w:val="00B43357"/>
    <w:rsid w:val="00B44A05"/>
    <w:rsid w:val="00B47A63"/>
    <w:rsid w:val="00B509BA"/>
    <w:rsid w:val="00B529DE"/>
    <w:rsid w:val="00B52F59"/>
    <w:rsid w:val="00B53DE6"/>
    <w:rsid w:val="00B56808"/>
    <w:rsid w:val="00B5733B"/>
    <w:rsid w:val="00B61262"/>
    <w:rsid w:val="00B66554"/>
    <w:rsid w:val="00B71244"/>
    <w:rsid w:val="00B8138C"/>
    <w:rsid w:val="00B8563D"/>
    <w:rsid w:val="00B92A98"/>
    <w:rsid w:val="00B93DCE"/>
    <w:rsid w:val="00BA1114"/>
    <w:rsid w:val="00BA240F"/>
    <w:rsid w:val="00BA6041"/>
    <w:rsid w:val="00BB0354"/>
    <w:rsid w:val="00BB2220"/>
    <w:rsid w:val="00BC0F1B"/>
    <w:rsid w:val="00BC23FF"/>
    <w:rsid w:val="00BC34D3"/>
    <w:rsid w:val="00BC3778"/>
    <w:rsid w:val="00BD3133"/>
    <w:rsid w:val="00BD371E"/>
    <w:rsid w:val="00BD748D"/>
    <w:rsid w:val="00BD7C68"/>
    <w:rsid w:val="00BE0D19"/>
    <w:rsid w:val="00BE1A88"/>
    <w:rsid w:val="00BE2771"/>
    <w:rsid w:val="00BE6386"/>
    <w:rsid w:val="00C01065"/>
    <w:rsid w:val="00C021FC"/>
    <w:rsid w:val="00C22B7F"/>
    <w:rsid w:val="00C24D6F"/>
    <w:rsid w:val="00C2579D"/>
    <w:rsid w:val="00C3419D"/>
    <w:rsid w:val="00C3601C"/>
    <w:rsid w:val="00C367A9"/>
    <w:rsid w:val="00C43959"/>
    <w:rsid w:val="00C444CC"/>
    <w:rsid w:val="00C46A64"/>
    <w:rsid w:val="00C47C73"/>
    <w:rsid w:val="00C5500C"/>
    <w:rsid w:val="00C554A0"/>
    <w:rsid w:val="00C55D6D"/>
    <w:rsid w:val="00C5645B"/>
    <w:rsid w:val="00C61192"/>
    <w:rsid w:val="00C6162C"/>
    <w:rsid w:val="00C62876"/>
    <w:rsid w:val="00C64855"/>
    <w:rsid w:val="00C70E43"/>
    <w:rsid w:val="00C734DA"/>
    <w:rsid w:val="00C80ABB"/>
    <w:rsid w:val="00C82D0B"/>
    <w:rsid w:val="00C909D4"/>
    <w:rsid w:val="00C90ECE"/>
    <w:rsid w:val="00C90EF6"/>
    <w:rsid w:val="00C94CC0"/>
    <w:rsid w:val="00C96AB6"/>
    <w:rsid w:val="00CA06F9"/>
    <w:rsid w:val="00CA28D7"/>
    <w:rsid w:val="00CA6B9F"/>
    <w:rsid w:val="00CB0883"/>
    <w:rsid w:val="00CB3AD9"/>
    <w:rsid w:val="00CB7124"/>
    <w:rsid w:val="00CB7B34"/>
    <w:rsid w:val="00CC0237"/>
    <w:rsid w:val="00CC2364"/>
    <w:rsid w:val="00CC37B9"/>
    <w:rsid w:val="00CC3808"/>
    <w:rsid w:val="00CC3AC8"/>
    <w:rsid w:val="00CC469F"/>
    <w:rsid w:val="00CD47B3"/>
    <w:rsid w:val="00CD502F"/>
    <w:rsid w:val="00CF6674"/>
    <w:rsid w:val="00D02138"/>
    <w:rsid w:val="00D02915"/>
    <w:rsid w:val="00D02A62"/>
    <w:rsid w:val="00D02BBC"/>
    <w:rsid w:val="00D06664"/>
    <w:rsid w:val="00D1518E"/>
    <w:rsid w:val="00D3162A"/>
    <w:rsid w:val="00D37CA6"/>
    <w:rsid w:val="00D434EF"/>
    <w:rsid w:val="00D45AA0"/>
    <w:rsid w:val="00D46610"/>
    <w:rsid w:val="00D51D04"/>
    <w:rsid w:val="00D624BD"/>
    <w:rsid w:val="00D6352B"/>
    <w:rsid w:val="00D71514"/>
    <w:rsid w:val="00D756D9"/>
    <w:rsid w:val="00D837A9"/>
    <w:rsid w:val="00D8660A"/>
    <w:rsid w:val="00D87CF2"/>
    <w:rsid w:val="00DA084B"/>
    <w:rsid w:val="00DA63D6"/>
    <w:rsid w:val="00DB50CA"/>
    <w:rsid w:val="00DB527D"/>
    <w:rsid w:val="00DB59CF"/>
    <w:rsid w:val="00DB656F"/>
    <w:rsid w:val="00DB6FBF"/>
    <w:rsid w:val="00DB7B24"/>
    <w:rsid w:val="00DC11C3"/>
    <w:rsid w:val="00DC37B0"/>
    <w:rsid w:val="00DC6B73"/>
    <w:rsid w:val="00DD1B9E"/>
    <w:rsid w:val="00DD303A"/>
    <w:rsid w:val="00DD4360"/>
    <w:rsid w:val="00DD6096"/>
    <w:rsid w:val="00DE1C89"/>
    <w:rsid w:val="00DE492D"/>
    <w:rsid w:val="00DE4BEE"/>
    <w:rsid w:val="00DE5027"/>
    <w:rsid w:val="00DF275F"/>
    <w:rsid w:val="00DF5D80"/>
    <w:rsid w:val="00E00AC3"/>
    <w:rsid w:val="00E00EC2"/>
    <w:rsid w:val="00E013A9"/>
    <w:rsid w:val="00E01640"/>
    <w:rsid w:val="00E04569"/>
    <w:rsid w:val="00E04663"/>
    <w:rsid w:val="00E05E56"/>
    <w:rsid w:val="00E0646D"/>
    <w:rsid w:val="00E15DF4"/>
    <w:rsid w:val="00E17183"/>
    <w:rsid w:val="00E17DEB"/>
    <w:rsid w:val="00E2495C"/>
    <w:rsid w:val="00E32AE5"/>
    <w:rsid w:val="00E32BC4"/>
    <w:rsid w:val="00E3388A"/>
    <w:rsid w:val="00E403E7"/>
    <w:rsid w:val="00E40774"/>
    <w:rsid w:val="00E4502B"/>
    <w:rsid w:val="00E47BD6"/>
    <w:rsid w:val="00E51897"/>
    <w:rsid w:val="00E52F23"/>
    <w:rsid w:val="00E53EC1"/>
    <w:rsid w:val="00E556E5"/>
    <w:rsid w:val="00E56637"/>
    <w:rsid w:val="00E64768"/>
    <w:rsid w:val="00E64CE5"/>
    <w:rsid w:val="00E75458"/>
    <w:rsid w:val="00E75E5B"/>
    <w:rsid w:val="00E772A3"/>
    <w:rsid w:val="00E80782"/>
    <w:rsid w:val="00E8334C"/>
    <w:rsid w:val="00E864C4"/>
    <w:rsid w:val="00E87400"/>
    <w:rsid w:val="00E9496A"/>
    <w:rsid w:val="00E965B3"/>
    <w:rsid w:val="00EA48A5"/>
    <w:rsid w:val="00EB416E"/>
    <w:rsid w:val="00EB4CD7"/>
    <w:rsid w:val="00EB6A5E"/>
    <w:rsid w:val="00EC4BBC"/>
    <w:rsid w:val="00EC5172"/>
    <w:rsid w:val="00EC716F"/>
    <w:rsid w:val="00ED4CF9"/>
    <w:rsid w:val="00ED7A53"/>
    <w:rsid w:val="00EE0B1E"/>
    <w:rsid w:val="00F02FCB"/>
    <w:rsid w:val="00F0783D"/>
    <w:rsid w:val="00F1105D"/>
    <w:rsid w:val="00F1267B"/>
    <w:rsid w:val="00F12F12"/>
    <w:rsid w:val="00F141A8"/>
    <w:rsid w:val="00F146E4"/>
    <w:rsid w:val="00F15215"/>
    <w:rsid w:val="00F15F20"/>
    <w:rsid w:val="00F164E5"/>
    <w:rsid w:val="00F24B08"/>
    <w:rsid w:val="00F261E9"/>
    <w:rsid w:val="00F27659"/>
    <w:rsid w:val="00F31AB1"/>
    <w:rsid w:val="00F3311C"/>
    <w:rsid w:val="00F37FB0"/>
    <w:rsid w:val="00F411FF"/>
    <w:rsid w:val="00F41D06"/>
    <w:rsid w:val="00F4340F"/>
    <w:rsid w:val="00F466DD"/>
    <w:rsid w:val="00F46E98"/>
    <w:rsid w:val="00F515A0"/>
    <w:rsid w:val="00F53E42"/>
    <w:rsid w:val="00F54CE5"/>
    <w:rsid w:val="00F57C33"/>
    <w:rsid w:val="00F57F5E"/>
    <w:rsid w:val="00F6081C"/>
    <w:rsid w:val="00F61D9E"/>
    <w:rsid w:val="00F704D3"/>
    <w:rsid w:val="00F73595"/>
    <w:rsid w:val="00F73641"/>
    <w:rsid w:val="00F745A8"/>
    <w:rsid w:val="00F83483"/>
    <w:rsid w:val="00F8574C"/>
    <w:rsid w:val="00F86C47"/>
    <w:rsid w:val="00F8772A"/>
    <w:rsid w:val="00F87EBD"/>
    <w:rsid w:val="00F92505"/>
    <w:rsid w:val="00F94B4A"/>
    <w:rsid w:val="00F94BCF"/>
    <w:rsid w:val="00FA447F"/>
    <w:rsid w:val="00FA7158"/>
    <w:rsid w:val="00FB04F4"/>
    <w:rsid w:val="00FB0E44"/>
    <w:rsid w:val="00FB1443"/>
    <w:rsid w:val="00FB1C9B"/>
    <w:rsid w:val="00FB37D3"/>
    <w:rsid w:val="00FB4EFC"/>
    <w:rsid w:val="00FB6B1A"/>
    <w:rsid w:val="00FC327D"/>
    <w:rsid w:val="00FC35AD"/>
    <w:rsid w:val="00FD311B"/>
    <w:rsid w:val="00FD3815"/>
    <w:rsid w:val="00FD71AB"/>
    <w:rsid w:val="00FE1598"/>
    <w:rsid w:val="00FE200C"/>
    <w:rsid w:val="00FE2262"/>
    <w:rsid w:val="00FE3565"/>
    <w:rsid w:val="00FE3B82"/>
    <w:rsid w:val="00FE6B7E"/>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4C7D"/>
  <w15:chartTrackingRefBased/>
  <w15:docId w15:val="{3F9C2B75-E966-42FF-B980-81880790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FE"/>
    <w:rPr>
      <w:color w:val="0000FF"/>
      <w:u w:val="single"/>
    </w:rPr>
  </w:style>
  <w:style w:type="paragraph" w:customStyle="1" w:styleId="tvhtml">
    <w:name w:val="tv_html"/>
    <w:basedOn w:val="Normal"/>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F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5A"/>
    <w:rPr>
      <w:rFonts w:ascii="Segoe UI" w:hAnsi="Segoe UI" w:cs="Segoe UI"/>
      <w:sz w:val="18"/>
      <w:szCs w:val="18"/>
    </w:rPr>
  </w:style>
  <w:style w:type="character" w:styleId="CommentReference">
    <w:name w:val="annotation reference"/>
    <w:basedOn w:val="DefaultParagraphFont"/>
    <w:uiPriority w:val="99"/>
    <w:semiHidden/>
    <w:unhideWhenUsed/>
    <w:rsid w:val="007B7616"/>
    <w:rPr>
      <w:sz w:val="16"/>
      <w:szCs w:val="16"/>
    </w:rPr>
  </w:style>
  <w:style w:type="paragraph" w:styleId="CommentText">
    <w:name w:val="annotation text"/>
    <w:basedOn w:val="Normal"/>
    <w:link w:val="CommentTextChar"/>
    <w:uiPriority w:val="99"/>
    <w:semiHidden/>
    <w:unhideWhenUsed/>
    <w:rsid w:val="007B7616"/>
    <w:pPr>
      <w:spacing w:line="240" w:lineRule="auto"/>
    </w:pPr>
    <w:rPr>
      <w:sz w:val="20"/>
      <w:szCs w:val="20"/>
    </w:rPr>
  </w:style>
  <w:style w:type="character" w:customStyle="1" w:styleId="CommentTextChar">
    <w:name w:val="Comment Text Char"/>
    <w:basedOn w:val="DefaultParagraphFont"/>
    <w:link w:val="CommentText"/>
    <w:uiPriority w:val="99"/>
    <w:semiHidden/>
    <w:rsid w:val="007B7616"/>
    <w:rPr>
      <w:sz w:val="20"/>
      <w:szCs w:val="20"/>
    </w:rPr>
  </w:style>
  <w:style w:type="paragraph" w:styleId="CommentSubject">
    <w:name w:val="annotation subject"/>
    <w:basedOn w:val="CommentText"/>
    <w:next w:val="CommentText"/>
    <w:link w:val="CommentSubjectChar"/>
    <w:uiPriority w:val="99"/>
    <w:semiHidden/>
    <w:unhideWhenUsed/>
    <w:rsid w:val="007B7616"/>
    <w:rPr>
      <w:b/>
      <w:bCs/>
    </w:rPr>
  </w:style>
  <w:style w:type="character" w:customStyle="1" w:styleId="CommentSubjectChar">
    <w:name w:val="Comment Subject Char"/>
    <w:basedOn w:val="CommentTextChar"/>
    <w:link w:val="CommentSubject"/>
    <w:uiPriority w:val="99"/>
    <w:semiHidden/>
    <w:rsid w:val="007B7616"/>
    <w:rPr>
      <w:b/>
      <w:bCs/>
      <w:sz w:val="20"/>
      <w:szCs w:val="20"/>
    </w:rPr>
  </w:style>
  <w:style w:type="paragraph" w:styleId="Revision">
    <w:name w:val="Revision"/>
    <w:hidden/>
    <w:uiPriority w:val="99"/>
    <w:semiHidden/>
    <w:rsid w:val="00C3601C"/>
    <w:pPr>
      <w:spacing w:after="0" w:line="240" w:lineRule="auto"/>
    </w:pPr>
  </w:style>
  <w:style w:type="paragraph" w:styleId="Header">
    <w:name w:val="header"/>
    <w:basedOn w:val="Normal"/>
    <w:link w:val="HeaderChar"/>
    <w:uiPriority w:val="99"/>
    <w:unhideWhenUsed/>
    <w:rsid w:val="00E86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4C4"/>
  </w:style>
  <w:style w:type="paragraph" w:styleId="Footer">
    <w:name w:val="footer"/>
    <w:basedOn w:val="Normal"/>
    <w:link w:val="FooterChar"/>
    <w:uiPriority w:val="99"/>
    <w:unhideWhenUsed/>
    <w:rsid w:val="00E86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4C4"/>
  </w:style>
  <w:style w:type="paragraph" w:styleId="ListParagraph">
    <w:name w:val="List Paragraph"/>
    <w:aliases w:val="H&amp;P List Paragraph,2,Strip,Saraksta rindkopa,Saraksta rindkopa1,Normal bullet 2,Bullet list,List Paragraph1"/>
    <w:basedOn w:val="Normal"/>
    <w:link w:val="ListParagraphChar"/>
    <w:uiPriority w:val="34"/>
    <w:qFormat/>
    <w:rsid w:val="007745E5"/>
    <w:pPr>
      <w:ind w:left="720"/>
      <w:contextualSpacing/>
    </w:pPr>
  </w:style>
  <w:style w:type="paragraph" w:styleId="EndnoteText">
    <w:name w:val="endnote text"/>
    <w:basedOn w:val="Normal"/>
    <w:link w:val="EndnoteTextChar"/>
    <w:uiPriority w:val="99"/>
    <w:semiHidden/>
    <w:unhideWhenUsed/>
    <w:rsid w:val="00F60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81C"/>
    <w:rPr>
      <w:sz w:val="20"/>
      <w:szCs w:val="20"/>
    </w:rPr>
  </w:style>
  <w:style w:type="character" w:styleId="EndnoteReference">
    <w:name w:val="endnote reference"/>
    <w:basedOn w:val="DefaultParagraphFont"/>
    <w:uiPriority w:val="99"/>
    <w:semiHidden/>
    <w:unhideWhenUsed/>
    <w:rsid w:val="00F6081C"/>
    <w:rPr>
      <w:vertAlign w:val="superscript"/>
    </w:rPr>
  </w:style>
  <w:style w:type="paragraph" w:styleId="FootnoteText">
    <w:name w:val="footnote text"/>
    <w:basedOn w:val="Normal"/>
    <w:link w:val="FootnoteTextChar"/>
    <w:uiPriority w:val="99"/>
    <w:semiHidden/>
    <w:rsid w:val="000606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60620"/>
    <w:rPr>
      <w:rFonts w:ascii="Times New Roman" w:eastAsia="Times New Roman" w:hAnsi="Times New Roman" w:cs="Times New Roman"/>
      <w:sz w:val="20"/>
      <w:szCs w:val="20"/>
    </w:rPr>
  </w:style>
  <w:style w:type="character" w:styleId="FootnoteReference">
    <w:name w:val="footnote reference"/>
    <w:uiPriority w:val="99"/>
    <w:semiHidden/>
    <w:rsid w:val="00060620"/>
    <w:rPr>
      <w:rFonts w:ascii="Times New Roman" w:hAnsi="Times New Roman"/>
      <w:vertAlign w:val="superscript"/>
    </w:rPr>
  </w:style>
  <w:style w:type="character" w:customStyle="1" w:styleId="ListParagraphChar">
    <w:name w:val="List Paragraph Char"/>
    <w:aliases w:val="H&amp;P List Paragraph Char,2 Char,Strip Char,Saraksta rindkopa Char,Saraksta rindkopa1 Char,Normal bullet 2 Char,Bullet list Char,List Paragraph1 Char"/>
    <w:basedOn w:val="DefaultParagraphFont"/>
    <w:link w:val="ListParagraph"/>
    <w:uiPriority w:val="34"/>
    <w:locked/>
    <w:rsid w:val="001C60D2"/>
  </w:style>
  <w:style w:type="paragraph" w:styleId="NormalWeb">
    <w:name w:val="Normal (Web)"/>
    <w:basedOn w:val="Normal"/>
    <w:uiPriority w:val="99"/>
    <w:rsid w:val="00A712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2D037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1091">
      <w:bodyDiv w:val="1"/>
      <w:marLeft w:val="0"/>
      <w:marRight w:val="0"/>
      <w:marTop w:val="0"/>
      <w:marBottom w:val="0"/>
      <w:divBdr>
        <w:top w:val="none" w:sz="0" w:space="0" w:color="auto"/>
        <w:left w:val="none" w:sz="0" w:space="0" w:color="auto"/>
        <w:bottom w:val="none" w:sz="0" w:space="0" w:color="auto"/>
        <w:right w:val="none" w:sz="0" w:space="0" w:color="auto"/>
      </w:divBdr>
    </w:div>
    <w:div w:id="282152465">
      <w:bodyDiv w:val="1"/>
      <w:marLeft w:val="0"/>
      <w:marRight w:val="0"/>
      <w:marTop w:val="0"/>
      <w:marBottom w:val="0"/>
      <w:divBdr>
        <w:top w:val="none" w:sz="0" w:space="0" w:color="auto"/>
        <w:left w:val="none" w:sz="0" w:space="0" w:color="auto"/>
        <w:bottom w:val="none" w:sz="0" w:space="0" w:color="auto"/>
        <w:right w:val="none" w:sz="0" w:space="0" w:color="auto"/>
      </w:divBdr>
      <w:divsChild>
        <w:div w:id="1772815647">
          <w:marLeft w:val="0"/>
          <w:marRight w:val="0"/>
          <w:marTop w:val="0"/>
          <w:marBottom w:val="0"/>
          <w:divBdr>
            <w:top w:val="none" w:sz="0" w:space="0" w:color="auto"/>
            <w:left w:val="none" w:sz="0" w:space="0" w:color="auto"/>
            <w:bottom w:val="none" w:sz="0" w:space="0" w:color="auto"/>
            <w:right w:val="none" w:sz="0" w:space="0" w:color="auto"/>
          </w:divBdr>
        </w:div>
      </w:divsChild>
    </w:div>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 w:id="620259654">
      <w:bodyDiv w:val="1"/>
      <w:marLeft w:val="0"/>
      <w:marRight w:val="0"/>
      <w:marTop w:val="0"/>
      <w:marBottom w:val="0"/>
      <w:divBdr>
        <w:top w:val="none" w:sz="0" w:space="0" w:color="auto"/>
        <w:left w:val="none" w:sz="0" w:space="0" w:color="auto"/>
        <w:bottom w:val="none" w:sz="0" w:space="0" w:color="auto"/>
        <w:right w:val="none" w:sz="0" w:space="0" w:color="auto"/>
      </w:divBdr>
    </w:div>
    <w:div w:id="673536773">
      <w:bodyDiv w:val="1"/>
      <w:marLeft w:val="0"/>
      <w:marRight w:val="0"/>
      <w:marTop w:val="0"/>
      <w:marBottom w:val="0"/>
      <w:divBdr>
        <w:top w:val="none" w:sz="0" w:space="0" w:color="auto"/>
        <w:left w:val="none" w:sz="0" w:space="0" w:color="auto"/>
        <w:bottom w:val="none" w:sz="0" w:space="0" w:color="auto"/>
        <w:right w:val="none" w:sz="0" w:space="0" w:color="auto"/>
      </w:divBdr>
    </w:div>
    <w:div w:id="937715180">
      <w:bodyDiv w:val="1"/>
      <w:marLeft w:val="0"/>
      <w:marRight w:val="0"/>
      <w:marTop w:val="0"/>
      <w:marBottom w:val="0"/>
      <w:divBdr>
        <w:top w:val="none" w:sz="0" w:space="0" w:color="auto"/>
        <w:left w:val="none" w:sz="0" w:space="0" w:color="auto"/>
        <w:bottom w:val="none" w:sz="0" w:space="0" w:color="auto"/>
        <w:right w:val="none" w:sz="0" w:space="0" w:color="auto"/>
      </w:divBdr>
    </w:div>
    <w:div w:id="1061445819">
      <w:bodyDiv w:val="1"/>
      <w:marLeft w:val="0"/>
      <w:marRight w:val="0"/>
      <w:marTop w:val="0"/>
      <w:marBottom w:val="0"/>
      <w:divBdr>
        <w:top w:val="none" w:sz="0" w:space="0" w:color="auto"/>
        <w:left w:val="none" w:sz="0" w:space="0" w:color="auto"/>
        <w:bottom w:val="none" w:sz="0" w:space="0" w:color="auto"/>
        <w:right w:val="none" w:sz="0" w:space="0" w:color="auto"/>
      </w:divBdr>
    </w:div>
    <w:div w:id="1125275783">
      <w:bodyDiv w:val="1"/>
      <w:marLeft w:val="0"/>
      <w:marRight w:val="0"/>
      <w:marTop w:val="0"/>
      <w:marBottom w:val="0"/>
      <w:divBdr>
        <w:top w:val="none" w:sz="0" w:space="0" w:color="auto"/>
        <w:left w:val="none" w:sz="0" w:space="0" w:color="auto"/>
        <w:bottom w:val="none" w:sz="0" w:space="0" w:color="auto"/>
        <w:right w:val="none" w:sz="0" w:space="0" w:color="auto"/>
      </w:divBdr>
      <w:divsChild>
        <w:div w:id="1856074088">
          <w:marLeft w:val="0"/>
          <w:marRight w:val="0"/>
          <w:marTop w:val="0"/>
          <w:marBottom w:val="0"/>
          <w:divBdr>
            <w:top w:val="none" w:sz="0" w:space="0" w:color="auto"/>
            <w:left w:val="none" w:sz="0" w:space="0" w:color="auto"/>
            <w:bottom w:val="none" w:sz="0" w:space="0" w:color="auto"/>
            <w:right w:val="none" w:sz="0" w:space="0" w:color="auto"/>
          </w:divBdr>
        </w:div>
      </w:divsChild>
    </w:div>
    <w:div w:id="1538619428">
      <w:bodyDiv w:val="1"/>
      <w:marLeft w:val="0"/>
      <w:marRight w:val="0"/>
      <w:marTop w:val="0"/>
      <w:marBottom w:val="0"/>
      <w:divBdr>
        <w:top w:val="none" w:sz="0" w:space="0" w:color="auto"/>
        <w:left w:val="none" w:sz="0" w:space="0" w:color="auto"/>
        <w:bottom w:val="none" w:sz="0" w:space="0" w:color="auto"/>
        <w:right w:val="none" w:sz="0" w:space="0" w:color="auto"/>
      </w:divBdr>
    </w:div>
    <w:div w:id="18242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333" TargetMode="External"/><Relationship Id="rId13" Type="http://schemas.openxmlformats.org/officeDocument/2006/relationships/hyperlink" Target="https://likumi.lv/ta/id/29633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5/1589/oj/?locale=LV" TargetMode="External"/><Relationship Id="rId17" Type="http://schemas.openxmlformats.org/officeDocument/2006/relationships/hyperlink" Target="https://likumi.lv/ta/id/296336" TargetMode="External"/><Relationship Id="rId2" Type="http://schemas.openxmlformats.org/officeDocument/2006/relationships/numbering" Target="numbering.xml"/><Relationship Id="rId16" Type="http://schemas.openxmlformats.org/officeDocument/2006/relationships/hyperlink" Target="http://eur-lex.europa.eu/eli/reg/2015/1589/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4333" TargetMode="External"/><Relationship Id="rId5" Type="http://schemas.openxmlformats.org/officeDocument/2006/relationships/webSettings" Target="webSettings.xml"/><Relationship Id="rId15" Type="http://schemas.openxmlformats.org/officeDocument/2006/relationships/hyperlink" Target="https://likumi.lv/ta/id/284333" TargetMode="External"/><Relationship Id="rId10" Type="http://schemas.openxmlformats.org/officeDocument/2006/relationships/hyperlink" Target="https://likumi.lv/ta/id/2963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5/1589/oj/?locale=LV" TargetMode="External"/><Relationship Id="rId14" Type="http://schemas.openxmlformats.org/officeDocument/2006/relationships/hyperlink" Target="https://www.fm.gov.lv/lv/media/504/downloa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4333-darbibas-programmas-izaugsme-un-nodarbinatiba-4-2-1-specifiska-atbalsta-merka-veicinat-energoefektivitates-paaugstinasanu-valst..." TargetMode="External"/><Relationship Id="rId1" Type="http://schemas.openxmlformats.org/officeDocument/2006/relationships/hyperlink" Target="https://likumi.lv/ta/id/284333-darbibas-programmas-izaugsme-un-nodarbinatiba-4-2-1-specifiska-atbalsta-merka-veicinat-energoefektivitates-paaugstinasanu-val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CCBA-9AA3-4A27-9FC4-3250D7D7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28689</Words>
  <Characters>16353</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Ingrida Cauna</cp:lastModifiedBy>
  <cp:revision>3</cp:revision>
  <dcterms:created xsi:type="dcterms:W3CDTF">2021-06-08T09:32:00Z</dcterms:created>
  <dcterms:modified xsi:type="dcterms:W3CDTF">2021-06-08T09:42:00Z</dcterms:modified>
</cp:coreProperties>
</file>