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003F9" w14:textId="77777777" w:rsidR="00BD5588" w:rsidRPr="003B533D" w:rsidRDefault="00E56C0F" w:rsidP="00DD0091">
      <w:pPr>
        <w:pStyle w:val="Title"/>
        <w:spacing w:before="130"/>
        <w:ind w:firstLine="539"/>
        <w:rPr>
          <w:b/>
          <w:sz w:val="24"/>
        </w:rPr>
      </w:pPr>
      <w:r w:rsidRPr="003B533D">
        <w:rPr>
          <w:b/>
          <w:sz w:val="24"/>
        </w:rPr>
        <w:t>Ministru kabineta rīkojuma projekta</w:t>
      </w:r>
      <w:r w:rsidR="002925BA" w:rsidRPr="003B533D">
        <w:rPr>
          <w:b/>
          <w:sz w:val="24"/>
        </w:rPr>
        <w:t xml:space="preserve"> </w:t>
      </w:r>
      <w:r w:rsidRPr="003B533D">
        <w:rPr>
          <w:b/>
          <w:sz w:val="24"/>
        </w:rPr>
        <w:t>“Grozījumi Eiropas Savienības struktūrfondu un Kohēzijas fonda</w:t>
      </w:r>
      <w:r w:rsidR="002925BA" w:rsidRPr="003B533D">
        <w:rPr>
          <w:sz w:val="24"/>
        </w:rPr>
        <w:t xml:space="preserve"> </w:t>
      </w:r>
      <w:r w:rsidRPr="003B533D">
        <w:rPr>
          <w:b/>
          <w:sz w:val="24"/>
        </w:rPr>
        <w:t>2014.–</w:t>
      </w:r>
      <w:r w:rsidR="002925BA" w:rsidRPr="003B533D">
        <w:rPr>
          <w:sz w:val="24"/>
        </w:rPr>
        <w:t> </w:t>
      </w:r>
      <w:r w:rsidR="002925BA" w:rsidRPr="003B533D">
        <w:rPr>
          <w:b/>
          <w:sz w:val="24"/>
        </w:rPr>
        <w:t>2020.</w:t>
      </w:r>
      <w:r w:rsidR="00862131" w:rsidRPr="003B533D">
        <w:rPr>
          <w:sz w:val="24"/>
        </w:rPr>
        <w:t> </w:t>
      </w:r>
      <w:r w:rsidR="002925BA" w:rsidRPr="003B533D">
        <w:rPr>
          <w:b/>
          <w:sz w:val="24"/>
        </w:rPr>
        <w:t>gada</w:t>
      </w:r>
      <w:r w:rsidR="002925BA" w:rsidRPr="003B533D">
        <w:rPr>
          <w:sz w:val="24"/>
        </w:rPr>
        <w:t> </w:t>
      </w:r>
      <w:r w:rsidRPr="003B533D">
        <w:rPr>
          <w:b/>
          <w:sz w:val="24"/>
        </w:rPr>
        <w:t>plānošanas perioda darbības programmā “Izaugsme un nodarbinātība”” sākotnējās ietekmes novērtējuma ziņojums (anotācija)</w:t>
      </w:r>
    </w:p>
    <w:p w14:paraId="7225529A" w14:textId="77777777" w:rsidR="00E56C0F" w:rsidRPr="003B533D" w:rsidRDefault="00E56C0F" w:rsidP="00DD0091">
      <w:pPr>
        <w:pStyle w:val="Title"/>
        <w:spacing w:before="130"/>
        <w:ind w:firstLine="539"/>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0"/>
        <w:gridCol w:w="5811"/>
      </w:tblGrid>
      <w:tr w:rsidR="00BD5588" w:rsidRPr="003B533D" w14:paraId="2B877A5E" w14:textId="77777777" w:rsidTr="00CF6B48">
        <w:trPr>
          <w:cantSplit/>
        </w:trPr>
        <w:tc>
          <w:tcPr>
            <w:tcW w:w="9581" w:type="dxa"/>
            <w:gridSpan w:val="2"/>
            <w:shd w:val="clear" w:color="auto" w:fill="FFFFFF"/>
            <w:vAlign w:val="center"/>
            <w:hideMark/>
          </w:tcPr>
          <w:p w14:paraId="1CDED469" w14:textId="77777777" w:rsidR="00BD5588" w:rsidRPr="003B533D" w:rsidRDefault="00BD5588" w:rsidP="00BA0575">
            <w:pPr>
              <w:jc w:val="center"/>
              <w:rPr>
                <w:b/>
              </w:rPr>
            </w:pPr>
            <w:r w:rsidRPr="003B533D">
              <w:rPr>
                <w:b/>
              </w:rPr>
              <w:t>Tiesību akta projekta anotācijas kopsavilkums</w:t>
            </w:r>
          </w:p>
        </w:tc>
      </w:tr>
      <w:tr w:rsidR="00BD5588" w:rsidRPr="003B533D" w14:paraId="6B07E7F4" w14:textId="77777777" w:rsidTr="00E356D4">
        <w:trPr>
          <w:cantSplit/>
          <w:trHeight w:val="42"/>
        </w:trPr>
        <w:tc>
          <w:tcPr>
            <w:tcW w:w="3430" w:type="dxa"/>
            <w:shd w:val="clear" w:color="auto" w:fill="auto"/>
            <w:hideMark/>
          </w:tcPr>
          <w:p w14:paraId="076E20CC" w14:textId="77777777" w:rsidR="00BD5588" w:rsidRPr="003B533D" w:rsidRDefault="00BD5588" w:rsidP="00DD0091">
            <w:r w:rsidRPr="003B533D">
              <w:t>Mērķis, risinājums un projekta spēkā stāšanās laiks (500 zīmes bez atstarpēm)</w:t>
            </w:r>
          </w:p>
        </w:tc>
        <w:tc>
          <w:tcPr>
            <w:tcW w:w="6151" w:type="dxa"/>
            <w:shd w:val="clear" w:color="auto" w:fill="auto"/>
            <w:hideMark/>
          </w:tcPr>
          <w:p w14:paraId="26ECF1E0" w14:textId="3D801EA8" w:rsidR="005634A4" w:rsidRPr="003B533D" w:rsidRDefault="00815736" w:rsidP="00C14620">
            <w:pPr>
              <w:jc w:val="both"/>
            </w:pPr>
            <w:r w:rsidRPr="003B533D">
              <w:t xml:space="preserve">Grozījumi </w:t>
            </w:r>
            <w:r w:rsidR="00A02E1E" w:rsidRPr="003B533D">
              <w:t>Eiropas Savienības struktūrfondu un Kohēzijas</w:t>
            </w:r>
            <w:r w:rsidR="00294D4A" w:rsidRPr="003B533D">
              <w:t xml:space="preserve"> (turpmāk – ES fondi) </w:t>
            </w:r>
            <w:r w:rsidR="00A02E1E" w:rsidRPr="003B533D">
              <w:t>2014.–2020.gada plānošanas perioda darbības programm</w:t>
            </w:r>
            <w:r w:rsidRPr="003B533D">
              <w:t>ā</w:t>
            </w:r>
            <w:r w:rsidR="00A02E1E" w:rsidRPr="003B533D">
              <w:t xml:space="preserve"> “Izaugsme un nodarbinātība”</w:t>
            </w:r>
            <w:r w:rsidR="005634A4" w:rsidRPr="003B533D">
              <w:t xml:space="preserve"> (turpmāk – darbības programma)</w:t>
            </w:r>
            <w:r w:rsidR="00A02E1E" w:rsidRPr="003B533D">
              <w:t xml:space="preserve"> sagatavoti</w:t>
            </w:r>
            <w:r w:rsidR="00B06C1E" w:rsidRPr="003B533D">
              <w:t>,</w:t>
            </w:r>
            <w:r w:rsidR="00C12CEB" w:rsidRPr="003B533D">
              <w:t xml:space="preserve"> </w:t>
            </w:r>
            <w:r w:rsidR="00C12CEB" w:rsidRPr="003B533D">
              <w:rPr>
                <w:szCs w:val="28"/>
              </w:rPr>
              <w:t xml:space="preserve">pamatojoties uz </w:t>
            </w:r>
            <w:r w:rsidR="00C12CEB" w:rsidRPr="003B533D">
              <w:t>2020. gada 23. decembra EIROPAS PARLAMENTA UN PADOMES REGULU (ES) 2020/2221, ar ko groza Regulu (ES) Nr.</w:t>
            </w:r>
            <w:r w:rsidR="00332298" w:rsidRPr="003B533D">
              <w:t> </w:t>
            </w:r>
            <w:r w:rsidR="00C12CEB" w:rsidRPr="003B533D">
              <w:t>1303/2013 attiecībā uz papildu resursiem un īstenošanas kārtību, lai palīdzētu veicināt ar Covid-19 pandēmiju un tās sociālajām sekām saistītās krīzes seku pārvarēšanu un sagatavoties zaļai, digitālai un noturīgai ekonomikas atveseļošanai (REACT-EU)</w:t>
            </w:r>
            <w:r w:rsidR="00C12CEB" w:rsidRPr="003B533D">
              <w:rPr>
                <w:rStyle w:val="FootnoteReference"/>
              </w:rPr>
              <w:footnoteReference w:id="2"/>
            </w:r>
            <w:r w:rsidR="00C12CEB" w:rsidRPr="003B533D">
              <w:rPr>
                <w:szCs w:val="28"/>
              </w:rPr>
              <w:t xml:space="preserve">. REACT-EU atbalsts plānots kā </w:t>
            </w:r>
            <w:r w:rsidR="00C14620" w:rsidRPr="003B533D">
              <w:rPr>
                <w:szCs w:val="28"/>
              </w:rPr>
              <w:t xml:space="preserve">vidējā termiņa </w:t>
            </w:r>
            <w:r w:rsidR="00C12CEB" w:rsidRPr="003B533D">
              <w:rPr>
                <w:szCs w:val="28"/>
              </w:rPr>
              <w:t>krīzes seku mazināšanas iniciatīva, sniedzot papildu finansiālo atbalstu ES fondu 2014.-2020.gada plānošanas perioda ietvaros</w:t>
            </w:r>
            <w:r w:rsidR="00754D04" w:rsidRPr="003B533D">
              <w:rPr>
                <w:szCs w:val="28"/>
              </w:rPr>
              <w:t xml:space="preserve"> </w:t>
            </w:r>
            <w:r w:rsidR="00754D04" w:rsidRPr="003B533D">
              <w:rPr>
                <w:rFonts w:eastAsia="Calibri"/>
              </w:rPr>
              <w:t>attiecināmo izdevumu veikšanai līdz 2023. gada beigām</w:t>
            </w:r>
            <w:r w:rsidR="009C50CB" w:rsidRPr="003B533D">
              <w:rPr>
                <w:rFonts w:eastAsia="Calibri"/>
              </w:rPr>
              <w:t>, kā arī rosināti</w:t>
            </w:r>
            <w:r w:rsidR="009C50CB" w:rsidRPr="003B533D">
              <w:rPr>
                <w:rFonts w:eastAsiaTheme="minorHAnsi"/>
              </w:rPr>
              <w:t xml:space="preserve"> atsevišķi citi ES fondu finansējuma investīciju grozījumi</w:t>
            </w:r>
            <w:r w:rsidR="00C12CEB" w:rsidRPr="003B533D">
              <w:rPr>
                <w:szCs w:val="28"/>
              </w:rPr>
              <w:t>.</w:t>
            </w:r>
            <w:r w:rsidR="005C7412" w:rsidRPr="003B533D">
              <w:t xml:space="preserve"> Rīkojuma projekts stāsies spēkā</w:t>
            </w:r>
            <w:r w:rsidR="00DA6303" w:rsidRPr="003B533D">
              <w:t xml:space="preserve"> </w:t>
            </w:r>
            <w:r w:rsidR="00056469" w:rsidRPr="003B533D">
              <w:t>vispārējā kārtībā</w:t>
            </w:r>
            <w:r w:rsidR="005C7412" w:rsidRPr="003B533D">
              <w:t xml:space="preserve">. </w:t>
            </w:r>
          </w:p>
        </w:tc>
      </w:tr>
    </w:tbl>
    <w:p w14:paraId="295A63B8" w14:textId="77777777" w:rsidR="00BD5588" w:rsidRPr="003B533D" w:rsidRDefault="00BD5588" w:rsidP="00DD0091">
      <w:pPr>
        <w:pStyle w:val="Title"/>
        <w:spacing w:before="130"/>
        <w:ind w:firstLine="53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
        <w:gridCol w:w="1657"/>
        <w:gridCol w:w="7178"/>
      </w:tblGrid>
      <w:tr w:rsidR="00BD5588" w:rsidRPr="003B533D" w14:paraId="04E7F08C" w14:textId="77777777" w:rsidTr="00163248">
        <w:tc>
          <w:tcPr>
            <w:tcW w:w="5000" w:type="pct"/>
            <w:gridSpan w:val="3"/>
            <w:vAlign w:val="center"/>
            <w:hideMark/>
          </w:tcPr>
          <w:p w14:paraId="0BB048DD" w14:textId="77777777" w:rsidR="00BD5588" w:rsidRPr="003B533D" w:rsidRDefault="00BD5588" w:rsidP="00DD0091">
            <w:pPr>
              <w:jc w:val="center"/>
              <w:rPr>
                <w:b/>
              </w:rPr>
            </w:pPr>
            <w:r w:rsidRPr="003B533D">
              <w:rPr>
                <w:b/>
              </w:rPr>
              <w:t>I. Tiesību akta projekta izstrādes nepieciešamība</w:t>
            </w:r>
          </w:p>
        </w:tc>
      </w:tr>
      <w:tr w:rsidR="00BD5588" w:rsidRPr="003B533D" w14:paraId="0DB4D26B" w14:textId="77777777" w:rsidTr="00163248">
        <w:tc>
          <w:tcPr>
            <w:tcW w:w="311" w:type="pct"/>
            <w:hideMark/>
          </w:tcPr>
          <w:p w14:paraId="5103EF6B" w14:textId="77777777" w:rsidR="00BD5588" w:rsidRPr="003B533D" w:rsidRDefault="00BD5588" w:rsidP="00DD0091">
            <w:pPr>
              <w:jc w:val="center"/>
            </w:pPr>
            <w:r w:rsidRPr="003B533D">
              <w:t>1.</w:t>
            </w:r>
          </w:p>
        </w:tc>
        <w:tc>
          <w:tcPr>
            <w:tcW w:w="1479" w:type="pct"/>
            <w:hideMark/>
          </w:tcPr>
          <w:p w14:paraId="1F04BD6E" w14:textId="77777777" w:rsidR="00517EBA" w:rsidRPr="003B533D" w:rsidRDefault="00BD5588" w:rsidP="00DD0091">
            <w:r w:rsidRPr="003B533D">
              <w:t>Pamatojums</w:t>
            </w:r>
          </w:p>
          <w:p w14:paraId="13E3EB79" w14:textId="77777777" w:rsidR="00BD5588" w:rsidRPr="003B533D" w:rsidRDefault="00BD5588" w:rsidP="00DD0091"/>
        </w:tc>
        <w:tc>
          <w:tcPr>
            <w:tcW w:w="3210" w:type="pct"/>
            <w:hideMark/>
          </w:tcPr>
          <w:p w14:paraId="29CD3183" w14:textId="77777777" w:rsidR="00BD5588" w:rsidRPr="003B533D" w:rsidRDefault="00E56C0F" w:rsidP="00DD0091">
            <w:pPr>
              <w:jc w:val="both"/>
            </w:pPr>
            <w:r w:rsidRPr="003B533D">
              <w:t>ES fond</w:t>
            </w:r>
            <w:r w:rsidR="00294D4A" w:rsidRPr="003B533D">
              <w:t>u</w:t>
            </w:r>
            <w:r w:rsidRPr="003B533D">
              <w:t xml:space="preserve"> 2014.–2020.</w:t>
            </w:r>
            <w:r w:rsidR="00862131" w:rsidRPr="003B533D">
              <w:t> </w:t>
            </w:r>
            <w:r w:rsidRPr="003B533D">
              <w:t xml:space="preserve">gada plānošanas perioda darbības programma ir apstiprināta ar </w:t>
            </w:r>
            <w:r w:rsidR="00AA6899" w:rsidRPr="003B533D">
              <w:t xml:space="preserve">Ministru kabineta (turpmāk – </w:t>
            </w:r>
            <w:r w:rsidR="00E972A0" w:rsidRPr="003B533D">
              <w:t>MK</w:t>
            </w:r>
            <w:r w:rsidR="00AA6899" w:rsidRPr="003B533D">
              <w:t>)</w:t>
            </w:r>
            <w:r w:rsidRPr="003B533D">
              <w:t xml:space="preserve"> 2015.</w:t>
            </w:r>
            <w:r w:rsidR="00873ED0" w:rsidRPr="003B533D">
              <w:t> </w:t>
            </w:r>
            <w:r w:rsidRPr="003B533D">
              <w:t>gada 4.</w:t>
            </w:r>
            <w:r w:rsidR="00873ED0" w:rsidRPr="003B533D">
              <w:t> </w:t>
            </w:r>
            <w:r w:rsidRPr="003B533D">
              <w:t xml:space="preserve">februāra rīkojumu </w:t>
            </w:r>
            <w:r w:rsidR="00D92D7D" w:rsidRPr="003B533D">
              <w:t xml:space="preserve"> </w:t>
            </w:r>
            <w:r w:rsidRPr="003B533D">
              <w:t>Nr.</w:t>
            </w:r>
            <w:r w:rsidR="00873ED0" w:rsidRPr="003B533D">
              <w:t> </w:t>
            </w:r>
            <w:r w:rsidRPr="003B533D">
              <w:t>62 “Par Eiropas Savienības struktūrfondu un Kohēzijas fonda 2014.–2020.</w:t>
            </w:r>
            <w:r w:rsidR="00862131" w:rsidRPr="003B533D">
              <w:t> </w:t>
            </w:r>
            <w:r w:rsidRPr="003B533D">
              <w:t>gada plānošanas perioda darbības programmu “Izaugsme un nodarbinātība””.</w:t>
            </w:r>
          </w:p>
          <w:p w14:paraId="3FF13D0A" w14:textId="77777777" w:rsidR="00084E41" w:rsidRPr="003B533D" w:rsidRDefault="000F2CBB" w:rsidP="003B6443">
            <w:pPr>
              <w:jc w:val="both"/>
            </w:pPr>
            <w:r w:rsidRPr="003B533D">
              <w:t>Darbības programma izstrādāta saskaņā ar Eiropas Parlamenta un Padomes 2013.</w:t>
            </w:r>
            <w:r w:rsidR="00873ED0" w:rsidRPr="003B533D">
              <w:t> </w:t>
            </w:r>
            <w:r w:rsidRPr="003B533D">
              <w:t>gada 17.</w:t>
            </w:r>
            <w:r w:rsidR="00873ED0" w:rsidRPr="003B533D">
              <w:t> </w:t>
            </w:r>
            <w:r w:rsidRPr="003B533D">
              <w:t>decembr</w:t>
            </w:r>
            <w:r w:rsidR="00862131" w:rsidRPr="003B533D">
              <w:t>a</w:t>
            </w:r>
            <w:r w:rsidRPr="003B533D">
              <w:t xml:space="preserve">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w:t>
            </w:r>
            <w:r w:rsidR="00862131" w:rsidRPr="003B533D">
              <w:t xml:space="preserve"> fondu un atceļ Regulu (EK) Nr. 1083/2006 (turpmāk – Regula Nr. </w:t>
            </w:r>
            <w:r w:rsidRPr="003B533D">
              <w:t>1303/2013)</w:t>
            </w:r>
            <w:r w:rsidR="00D92D7D" w:rsidRPr="003B533D">
              <w:t>. S</w:t>
            </w:r>
            <w:r w:rsidRPr="003B533D">
              <w:t>askaņā ar Regulas Nr.</w:t>
            </w:r>
            <w:r w:rsidR="00862131" w:rsidRPr="003B533D">
              <w:t> </w:t>
            </w:r>
            <w:r w:rsidRPr="003B533D">
              <w:t>1303/2013 30.</w:t>
            </w:r>
            <w:r w:rsidR="00862131" w:rsidRPr="003B533D">
              <w:t> </w:t>
            </w:r>
            <w:r w:rsidRPr="003B533D">
              <w:t>panta 1. un 2.</w:t>
            </w:r>
            <w:r w:rsidR="00862131" w:rsidRPr="003B533D">
              <w:t> </w:t>
            </w:r>
            <w:r w:rsidRPr="003B533D">
              <w:t>punktu dalībvalstij ir ties</w:t>
            </w:r>
            <w:r w:rsidR="00862131" w:rsidRPr="003B533D">
              <w:t>ības iesniegt Eiropas Komisijai</w:t>
            </w:r>
            <w:r w:rsidR="00332298" w:rsidRPr="003B533D">
              <w:t xml:space="preserve"> </w:t>
            </w:r>
            <w:r w:rsidRPr="003B533D">
              <w:t>(turpmāk – EK) pienācīgi pamatotu prasību veikt grozījumus darbības programmā, par kuriem EK attiecīgi nepieciešamības gadījumā sniedz savus apsvērumus.</w:t>
            </w:r>
          </w:p>
          <w:p w14:paraId="24BF894B" w14:textId="77777777" w:rsidR="00470657" w:rsidRPr="003B533D" w:rsidRDefault="00470657" w:rsidP="003B6443">
            <w:pPr>
              <w:jc w:val="both"/>
            </w:pPr>
            <w:r w:rsidRPr="003B533D">
              <w:t>Lai dalībvalstis varētu pretendēt uz REACT-EU finansējumu, tām 2021.</w:t>
            </w:r>
            <w:r w:rsidR="00332298" w:rsidRPr="003B533D">
              <w:t> </w:t>
            </w:r>
            <w:r w:rsidRPr="003B533D">
              <w:t xml:space="preserve">gada laikā ir jāizstrādā grozījumi ES fondu 2014.-2020.gada </w:t>
            </w:r>
            <w:r w:rsidRPr="003B533D">
              <w:lastRenderedPageBreak/>
              <w:t>plānošanas perioda darbības programmās, integrējot tajās papildu pasākumus, ko paredzēts līdzfinansēt no REACT-EU līdzekļiem. EK lēmums par grozījumu apstiprināšanu jāsaņem 2021.</w:t>
            </w:r>
            <w:r w:rsidR="00332298" w:rsidRPr="003B533D">
              <w:t> </w:t>
            </w:r>
            <w:r w:rsidRPr="003B533D">
              <w:t>gadā.</w:t>
            </w:r>
          </w:p>
          <w:p w14:paraId="6302C1DC" w14:textId="77777777" w:rsidR="00C06B6A" w:rsidRPr="003B533D" w:rsidRDefault="00470657" w:rsidP="003B6443">
            <w:pPr>
              <w:jc w:val="both"/>
            </w:pPr>
            <w:r w:rsidRPr="003B533D">
              <w:rPr>
                <w:rFonts w:eastAsia="Calibri"/>
              </w:rPr>
              <w:t xml:space="preserve">Latvijas gadījumā grozījumi izdarāmi divās darbības programmās – Finanšu ministrijas </w:t>
            </w:r>
            <w:r w:rsidR="009D70FF" w:rsidRPr="003B533D">
              <w:rPr>
                <w:rFonts w:eastAsia="Calibri"/>
              </w:rPr>
              <w:t xml:space="preserve">(turpmāk – FM) </w:t>
            </w:r>
            <w:r w:rsidRPr="003B533D">
              <w:rPr>
                <w:rFonts w:eastAsia="Calibri"/>
              </w:rPr>
              <w:t>administrētajā darbības programmā “Izaugsme un nodarbinātība” un Labklājības ministrijas administrētajā darbības programmā “Pārtikas un pamata materiālās palīdzības sniegšana vistrūcīgākajām personām 2014.–2020.gada plānošanas periodā”.</w:t>
            </w:r>
            <w:r w:rsidR="009F025C" w:rsidRPr="003B533D">
              <w:rPr>
                <w:rFonts w:eastAsia="Calibri"/>
              </w:rPr>
              <w:t xml:space="preserve"> </w:t>
            </w:r>
            <w:r w:rsidR="004C016B" w:rsidRPr="003B533D">
              <w:rPr>
                <w:rFonts w:eastAsia="Calibri"/>
              </w:rPr>
              <w:t>Labklājības ministrija</w:t>
            </w:r>
            <w:r w:rsidR="00C06B6A" w:rsidRPr="003B533D">
              <w:rPr>
                <w:rFonts w:eastAsia="Calibri"/>
              </w:rPr>
              <w:t>s virzītie</w:t>
            </w:r>
            <w:r w:rsidR="004C016B" w:rsidRPr="003B533D">
              <w:rPr>
                <w:rFonts w:eastAsia="Calibri"/>
              </w:rPr>
              <w:t xml:space="preserve"> </w:t>
            </w:r>
            <w:r w:rsidR="004C016B" w:rsidRPr="003B533D">
              <w:t>g</w:t>
            </w:r>
            <w:r w:rsidR="009F025C" w:rsidRPr="003B533D">
              <w:t>rozījum</w:t>
            </w:r>
            <w:r w:rsidR="00C06B6A" w:rsidRPr="003B533D">
              <w:t>i</w:t>
            </w:r>
            <w:r w:rsidR="009F025C" w:rsidRPr="003B533D">
              <w:t xml:space="preserve"> darbības programmā “Pārtikas un pamata materiālās palīdzības sniegšana vistrūcīgākajām personām 2014.–2020.gada plānošanas periodā” ir </w:t>
            </w:r>
            <w:r w:rsidR="00C06B6A" w:rsidRPr="003B533D">
              <w:t xml:space="preserve">apstiprināti </w:t>
            </w:r>
            <w:r w:rsidR="009F025C" w:rsidRPr="003B533D">
              <w:t xml:space="preserve"> MK 11.05.2021. sēdē</w:t>
            </w:r>
            <w:r w:rsidR="00C06B6A" w:rsidRPr="003B533D">
              <w:t xml:space="preserve"> (Prot. Nr. 40, 18.§)</w:t>
            </w:r>
            <w:r w:rsidR="009F025C" w:rsidRPr="003B533D">
              <w:t>. Grozījumi darbības programmā “Izaugsme un nodarbinātība” tiek virzīti ar šo MK rīkojumu.</w:t>
            </w:r>
          </w:p>
          <w:p w14:paraId="7BD3F6ED" w14:textId="77777777" w:rsidR="00167A49" w:rsidRPr="003B533D" w:rsidRDefault="00167A49" w:rsidP="00C12CEB">
            <w:pPr>
              <w:jc w:val="both"/>
            </w:pPr>
          </w:p>
        </w:tc>
      </w:tr>
      <w:tr w:rsidR="008F0C62" w:rsidRPr="003B533D" w14:paraId="0087191B" w14:textId="77777777" w:rsidTr="00CE5FC1">
        <w:tc>
          <w:tcPr>
            <w:tcW w:w="311" w:type="pct"/>
          </w:tcPr>
          <w:p w14:paraId="6CF91122" w14:textId="77777777" w:rsidR="008F0C62" w:rsidRPr="003B533D" w:rsidRDefault="008F0C62" w:rsidP="00DD0091">
            <w:pPr>
              <w:jc w:val="center"/>
            </w:pPr>
            <w:r w:rsidRPr="003B533D">
              <w:lastRenderedPageBreak/>
              <w:t>2.</w:t>
            </w:r>
          </w:p>
        </w:tc>
        <w:tc>
          <w:tcPr>
            <w:tcW w:w="1479" w:type="pct"/>
          </w:tcPr>
          <w:p w14:paraId="2A134362" w14:textId="77777777" w:rsidR="001705EC" w:rsidRPr="003B533D" w:rsidRDefault="008F0C62" w:rsidP="00DD0091">
            <w:r w:rsidRPr="003B533D">
              <w:t>Pašreizējā situācija un problēmas, kuru risināšanai tiesību akta projekts izstrādāts, tiesiskā regulējuma mērķis un būtība</w:t>
            </w:r>
          </w:p>
          <w:p w14:paraId="400CCE29" w14:textId="77777777" w:rsidR="001705EC" w:rsidRPr="003B533D" w:rsidRDefault="001705EC" w:rsidP="001705EC"/>
          <w:p w14:paraId="464DC047" w14:textId="77777777" w:rsidR="008F0C62" w:rsidRPr="003B533D" w:rsidRDefault="008F0C62"/>
        </w:tc>
        <w:tc>
          <w:tcPr>
            <w:tcW w:w="3210" w:type="pct"/>
            <w:shd w:val="clear" w:color="auto" w:fill="auto"/>
          </w:tcPr>
          <w:p w14:paraId="2FD64547" w14:textId="77777777" w:rsidR="006178FD" w:rsidRPr="003B533D" w:rsidRDefault="00483A18" w:rsidP="00DC0ACA">
            <w:pPr>
              <w:spacing w:after="120"/>
              <w:ind w:right="112"/>
              <w:jc w:val="both"/>
              <w:rPr>
                <w:rFonts w:eastAsiaTheme="minorHAnsi"/>
              </w:rPr>
            </w:pPr>
            <w:r w:rsidRPr="003B533D">
              <w:rPr>
                <w:rFonts w:eastAsiaTheme="minorHAnsi"/>
              </w:rPr>
              <w:t xml:space="preserve">Darbības programmas grozījumi sagatavoti, lai </w:t>
            </w:r>
            <w:r w:rsidR="00CD6ADB" w:rsidRPr="003B533D">
              <w:rPr>
                <w:rFonts w:eastAsiaTheme="minorHAnsi"/>
              </w:rPr>
              <w:t xml:space="preserve">iestrādātu nepieciešamos </w:t>
            </w:r>
            <w:r w:rsidR="00353032" w:rsidRPr="003B533D">
              <w:rPr>
                <w:rFonts w:eastAsiaTheme="minorHAnsi"/>
              </w:rPr>
              <w:t>precizējumus</w:t>
            </w:r>
            <w:r w:rsidR="00CD6ADB" w:rsidRPr="003B533D">
              <w:rPr>
                <w:rFonts w:eastAsiaTheme="minorHAnsi"/>
              </w:rPr>
              <w:t xml:space="preserve">, kas ļautu izmantot EK piedāvāto REACT-EU </w:t>
            </w:r>
            <w:r w:rsidR="00353032" w:rsidRPr="003B533D">
              <w:rPr>
                <w:rFonts w:eastAsiaTheme="minorHAnsi"/>
              </w:rPr>
              <w:t xml:space="preserve">finansējumu </w:t>
            </w:r>
            <w:r w:rsidR="00CD6ADB" w:rsidRPr="003B533D">
              <w:rPr>
                <w:rFonts w:eastAsiaTheme="minorHAnsi"/>
              </w:rPr>
              <w:t xml:space="preserve">kā vidēja termiņa COVID-19 krīzes seku mazināšanas </w:t>
            </w:r>
            <w:r w:rsidR="00353032" w:rsidRPr="003B533D">
              <w:rPr>
                <w:rFonts w:eastAsiaTheme="minorHAnsi"/>
              </w:rPr>
              <w:t>atbalstu</w:t>
            </w:r>
            <w:r w:rsidR="00CD6ADB" w:rsidRPr="003B533D">
              <w:rPr>
                <w:rFonts w:eastAsiaTheme="minorHAnsi"/>
              </w:rPr>
              <w:t xml:space="preserve">, sniedzot papildu </w:t>
            </w:r>
            <w:r w:rsidR="00353032" w:rsidRPr="003B533D">
              <w:rPr>
                <w:rFonts w:eastAsiaTheme="minorHAnsi"/>
              </w:rPr>
              <w:t>finansējumu</w:t>
            </w:r>
            <w:r w:rsidR="00CD6ADB" w:rsidRPr="003B533D">
              <w:rPr>
                <w:rFonts w:eastAsiaTheme="minorHAnsi"/>
              </w:rPr>
              <w:t xml:space="preserve"> 2014.-2020.</w:t>
            </w:r>
            <w:r w:rsidR="00897536" w:rsidRPr="003B533D">
              <w:rPr>
                <w:rFonts w:eastAsiaTheme="minorHAnsi"/>
              </w:rPr>
              <w:t> </w:t>
            </w:r>
            <w:r w:rsidR="00CD6ADB" w:rsidRPr="003B533D">
              <w:rPr>
                <w:rFonts w:eastAsiaTheme="minorHAnsi"/>
              </w:rPr>
              <w:t>gada plānošanas perioda ietvaros</w:t>
            </w:r>
            <w:r w:rsidR="00353032" w:rsidRPr="003B533D">
              <w:rPr>
                <w:rFonts w:eastAsiaTheme="minorHAnsi"/>
              </w:rPr>
              <w:t>. Regula, uz kā pamata dalībvalstis var pretendēt uz REACT-EU finansējumu, ir stājusies spēkā 2020.</w:t>
            </w:r>
            <w:r w:rsidR="00897536" w:rsidRPr="003B533D">
              <w:rPr>
                <w:rFonts w:eastAsiaTheme="minorHAnsi"/>
              </w:rPr>
              <w:t> </w:t>
            </w:r>
            <w:r w:rsidR="00353032" w:rsidRPr="003B533D">
              <w:rPr>
                <w:rFonts w:eastAsiaTheme="minorHAnsi"/>
              </w:rPr>
              <w:t>gada nogalē</w:t>
            </w:r>
            <w:r w:rsidR="00353032" w:rsidRPr="003B533D">
              <w:rPr>
                <w:rStyle w:val="FootnoteReference"/>
                <w:rFonts w:eastAsiaTheme="minorHAnsi"/>
              </w:rPr>
              <w:footnoteReference w:id="3"/>
            </w:r>
            <w:r w:rsidR="00353032" w:rsidRPr="003B533D">
              <w:rPr>
                <w:rFonts w:eastAsiaTheme="minorHAnsi"/>
              </w:rPr>
              <w:t xml:space="preserve">. </w:t>
            </w:r>
          </w:p>
          <w:p w14:paraId="4A2C7455" w14:textId="6C2E6849" w:rsidR="008E0E78" w:rsidRPr="003B533D" w:rsidRDefault="008E0E78" w:rsidP="00D51448">
            <w:pPr>
              <w:spacing w:after="120"/>
              <w:ind w:right="112"/>
              <w:jc w:val="both"/>
              <w:rPr>
                <w:rFonts w:eastAsia="Calibri"/>
              </w:rPr>
            </w:pPr>
            <w:r w:rsidRPr="003B533D">
              <w:rPr>
                <w:rFonts w:eastAsia="Calibri"/>
              </w:rPr>
              <w:t>REACT-EU jeb Atveseļošan</w:t>
            </w:r>
            <w:r w:rsidR="00C14620" w:rsidRPr="003B533D">
              <w:rPr>
                <w:rFonts w:eastAsia="Calibri"/>
              </w:rPr>
              <w:t>a</w:t>
            </w:r>
            <w:r w:rsidRPr="003B533D">
              <w:rPr>
                <w:rFonts w:eastAsia="Calibri"/>
              </w:rPr>
              <w:t>s palīdzība kohēzijai un Eiropas teritorijām ir iniciatīva</w:t>
            </w:r>
            <w:r w:rsidR="00332298" w:rsidRPr="003B533D">
              <w:rPr>
                <w:rFonts w:eastAsia="Calibri"/>
              </w:rPr>
              <w:t>,</w:t>
            </w:r>
            <w:r w:rsidRPr="003B533D">
              <w:rPr>
                <w:rFonts w:eastAsia="Calibri"/>
              </w:rPr>
              <w:t xml:space="preserve"> ar kuru EK turpina un paplašina 2020.</w:t>
            </w:r>
            <w:r w:rsidR="00332298" w:rsidRPr="003B533D">
              <w:rPr>
                <w:rFonts w:eastAsia="Calibri"/>
              </w:rPr>
              <w:t> </w:t>
            </w:r>
            <w:r w:rsidRPr="003B533D">
              <w:rPr>
                <w:rFonts w:eastAsia="Calibri"/>
              </w:rPr>
              <w:t xml:space="preserve">gada pavasarī pieņemto Investīciju iniciatīvu </w:t>
            </w:r>
            <w:proofErr w:type="spellStart"/>
            <w:r w:rsidRPr="003B533D">
              <w:rPr>
                <w:rFonts w:eastAsia="Calibri"/>
              </w:rPr>
              <w:t>koronavīrusa</w:t>
            </w:r>
            <w:proofErr w:type="spellEnd"/>
            <w:r w:rsidRPr="003B533D">
              <w:rPr>
                <w:rFonts w:eastAsia="Calibri"/>
              </w:rPr>
              <w:t xml:space="preserve"> krīzes pārvarēšanai (CRII un CRII+), ar kuru Eiropas Savienība (turpmāk – ES) centās mobilizēt visus esošos ES budžeta resursus, lai sniegtu finansiālu atbalstu dalībvalstīm tūlītējai reaģēšanai uz </w:t>
            </w:r>
            <w:proofErr w:type="spellStart"/>
            <w:r w:rsidRPr="003B533D">
              <w:rPr>
                <w:rFonts w:eastAsia="Calibri"/>
              </w:rPr>
              <w:t>koronavīrusa</w:t>
            </w:r>
            <w:proofErr w:type="spellEnd"/>
            <w:r w:rsidRPr="003B533D">
              <w:rPr>
                <w:rFonts w:eastAsia="Calibri"/>
              </w:rPr>
              <w:t xml:space="preserve"> krīzi un tās ilgtermiņa ietekmi.</w:t>
            </w:r>
          </w:p>
          <w:p w14:paraId="2677BBEB" w14:textId="4AA4865E" w:rsidR="003D38DF" w:rsidRPr="003B533D" w:rsidRDefault="0099538E" w:rsidP="008B558F">
            <w:pPr>
              <w:tabs>
                <w:tab w:val="left" w:pos="3417"/>
              </w:tabs>
              <w:spacing w:after="120"/>
              <w:jc w:val="both"/>
              <w:rPr>
                <w:rFonts w:eastAsia="Calibri"/>
              </w:rPr>
            </w:pPr>
            <w:r w:rsidRPr="003B533D">
              <w:rPr>
                <w:rFonts w:eastAsia="Calibri"/>
              </w:rPr>
              <w:t xml:space="preserve">REACT-EU </w:t>
            </w:r>
            <w:r w:rsidR="00C14620" w:rsidRPr="003B533D">
              <w:rPr>
                <w:rFonts w:eastAsia="Calibri"/>
              </w:rPr>
              <w:t xml:space="preserve">instrumentam </w:t>
            </w:r>
            <w:r w:rsidRPr="003B533D">
              <w:rPr>
                <w:rFonts w:eastAsia="Calibri"/>
              </w:rPr>
              <w:t>ES līmenī paredz</w:t>
            </w:r>
            <w:r w:rsidR="00C14620" w:rsidRPr="003B533D">
              <w:rPr>
                <w:rFonts w:eastAsia="Calibri"/>
              </w:rPr>
              <w:t>ēti</w:t>
            </w:r>
            <w:r w:rsidRPr="003B533D">
              <w:rPr>
                <w:rFonts w:eastAsia="Calibri"/>
              </w:rPr>
              <w:t xml:space="preserve"> 47,5 mlj</w:t>
            </w:r>
            <w:r w:rsidR="00C14620" w:rsidRPr="003B533D">
              <w:rPr>
                <w:rFonts w:eastAsia="Calibri"/>
              </w:rPr>
              <w:t>rd.</w:t>
            </w:r>
            <w:r w:rsidRPr="003B533D">
              <w:rPr>
                <w:rFonts w:eastAsia="Calibri"/>
              </w:rPr>
              <w:t xml:space="preserve"> </w:t>
            </w:r>
            <w:proofErr w:type="spellStart"/>
            <w:r w:rsidRPr="003B533D">
              <w:rPr>
                <w:rFonts w:eastAsia="Calibri"/>
                <w:i/>
              </w:rPr>
              <w:t>euro</w:t>
            </w:r>
            <w:proofErr w:type="spellEnd"/>
            <w:r w:rsidRPr="003B533D">
              <w:rPr>
                <w:rFonts w:eastAsia="Calibri"/>
              </w:rPr>
              <w:t xml:space="preserve"> (50,</w:t>
            </w:r>
            <w:r w:rsidR="00C14620" w:rsidRPr="003B533D">
              <w:rPr>
                <w:rFonts w:eastAsia="Calibri"/>
              </w:rPr>
              <w:t>6</w:t>
            </w:r>
            <w:r w:rsidRPr="003B533D">
              <w:rPr>
                <w:rFonts w:eastAsia="Calibri"/>
              </w:rPr>
              <w:t xml:space="preserve"> mljrd</w:t>
            </w:r>
            <w:r w:rsidR="00C14620" w:rsidRPr="003B533D">
              <w:rPr>
                <w:rFonts w:eastAsia="Calibri"/>
              </w:rPr>
              <w:t>.</w:t>
            </w:r>
            <w:r w:rsidRPr="003B533D">
              <w:rPr>
                <w:rFonts w:eastAsia="Calibri"/>
              </w:rPr>
              <w:t xml:space="preserve"> </w:t>
            </w:r>
            <w:proofErr w:type="spellStart"/>
            <w:r w:rsidRPr="003B533D">
              <w:rPr>
                <w:rFonts w:eastAsia="Calibri"/>
                <w:i/>
              </w:rPr>
              <w:t>euro</w:t>
            </w:r>
            <w:proofErr w:type="spellEnd"/>
            <w:r w:rsidRPr="003B533D" w:rsidDel="00035493">
              <w:rPr>
                <w:rFonts w:eastAsia="Calibri"/>
              </w:rPr>
              <w:t xml:space="preserve"> </w:t>
            </w:r>
            <w:r w:rsidR="00C14620" w:rsidRPr="003B533D">
              <w:rPr>
                <w:rFonts w:eastAsia="Calibri"/>
              </w:rPr>
              <w:t xml:space="preserve">faktiskajās </w:t>
            </w:r>
            <w:r w:rsidRPr="003B533D">
              <w:rPr>
                <w:rFonts w:eastAsia="Calibri"/>
              </w:rPr>
              <w:t>cenās), kas būs pieejam 2014.–2020.</w:t>
            </w:r>
            <w:r w:rsidR="00332298" w:rsidRPr="003B533D">
              <w:rPr>
                <w:rFonts w:eastAsia="Calibri"/>
              </w:rPr>
              <w:t> </w:t>
            </w:r>
            <w:r w:rsidRPr="003B533D">
              <w:rPr>
                <w:rFonts w:eastAsia="Calibri"/>
              </w:rPr>
              <w:t>gada plānošanas periodā Eiropas Reģionālās attīstības fonda (turpmāk – ERAF), Eiropas Sociālā fonda (turpmāk – ESF), kā arī Eiropas atbalsta fonda vistrūcīgākajām personām (turpmāk – EAFVP) ietvaros – faktiski sniedzot papildu iespējas darbības programmas “Izaugsme un nodarbinātība” un darbības programmas “Pārtikas un pamata materiālās palīdzības sniegšana vistrūcīgākajām personām 2014.–2020.</w:t>
            </w:r>
            <w:r w:rsidR="00C73E39" w:rsidRPr="003B533D">
              <w:rPr>
                <w:rFonts w:eastAsia="Calibri"/>
              </w:rPr>
              <w:t> </w:t>
            </w:r>
            <w:r w:rsidRPr="003B533D">
              <w:rPr>
                <w:rFonts w:eastAsia="Calibri"/>
              </w:rPr>
              <w:t xml:space="preserve">gada plānošanas periodā” ietvaros īstenotajām darbībām. Šie papildu līdzekļi tiks piešķirti 2021.–2022. gadā no </w:t>
            </w:r>
            <w:r w:rsidR="00627563" w:rsidRPr="003B533D">
              <w:rPr>
                <w:rFonts w:eastAsia="Calibri"/>
              </w:rPr>
              <w:t xml:space="preserve">ES </w:t>
            </w:r>
            <w:r w:rsidR="00C14620" w:rsidRPr="003B533D">
              <w:rPr>
                <w:rFonts w:eastAsia="Calibri"/>
              </w:rPr>
              <w:t xml:space="preserve">Atveseļošanas </w:t>
            </w:r>
            <w:r w:rsidRPr="003B533D">
              <w:rPr>
                <w:rFonts w:eastAsia="Calibri"/>
              </w:rPr>
              <w:t xml:space="preserve">instrumenta </w:t>
            </w:r>
            <w:r w:rsidR="00C14620" w:rsidRPr="003B533D">
              <w:rPr>
                <w:rFonts w:eastAsia="Calibri"/>
              </w:rPr>
              <w:t>(</w:t>
            </w:r>
            <w:r w:rsidRPr="003B533D">
              <w:rPr>
                <w:rFonts w:eastAsia="Calibri"/>
              </w:rPr>
              <w:t>“</w:t>
            </w:r>
            <w:r w:rsidR="00C14620" w:rsidRPr="003B533D">
              <w:rPr>
                <w:rFonts w:eastAsia="Calibri"/>
              </w:rPr>
              <w:t xml:space="preserve">EU </w:t>
            </w:r>
            <w:proofErr w:type="spellStart"/>
            <w:r w:rsidR="00C14620" w:rsidRPr="003B533D">
              <w:rPr>
                <w:rFonts w:eastAsia="Calibri"/>
              </w:rPr>
              <w:t>Recovery</w:t>
            </w:r>
            <w:proofErr w:type="spellEnd"/>
            <w:r w:rsidR="00C14620" w:rsidRPr="003B533D">
              <w:rPr>
                <w:rFonts w:eastAsia="Calibri"/>
              </w:rPr>
              <w:t xml:space="preserve"> instrument, </w:t>
            </w:r>
            <w:proofErr w:type="spellStart"/>
            <w:r w:rsidRPr="003B533D">
              <w:rPr>
                <w:rFonts w:eastAsia="Calibri"/>
              </w:rPr>
              <w:t>Next</w:t>
            </w:r>
            <w:proofErr w:type="spellEnd"/>
            <w:r w:rsidRPr="003B533D">
              <w:rPr>
                <w:rFonts w:eastAsia="Calibri"/>
              </w:rPr>
              <w:t xml:space="preserve"> </w:t>
            </w:r>
            <w:proofErr w:type="spellStart"/>
            <w:r w:rsidRPr="003B533D">
              <w:rPr>
                <w:rFonts w:eastAsia="Calibri"/>
              </w:rPr>
              <w:t>Generation</w:t>
            </w:r>
            <w:proofErr w:type="spellEnd"/>
            <w:r w:rsidRPr="003B533D">
              <w:rPr>
                <w:rFonts w:eastAsia="Calibri"/>
              </w:rPr>
              <w:t xml:space="preserve"> EU”</w:t>
            </w:r>
            <w:r w:rsidR="00C14620" w:rsidRPr="003B533D">
              <w:rPr>
                <w:rFonts w:eastAsia="Calibri"/>
              </w:rPr>
              <w:t>)</w:t>
            </w:r>
            <w:r w:rsidR="00627563" w:rsidRPr="003B533D">
              <w:rPr>
                <w:rFonts w:eastAsia="Calibri"/>
              </w:rPr>
              <w:t xml:space="preserve"> attiecināmo izdevumu veikšanai līdz 2023. gada beigām</w:t>
            </w:r>
            <w:r w:rsidRPr="003B533D">
              <w:rPr>
                <w:rFonts w:eastAsia="Calibri"/>
              </w:rPr>
              <w:t>.</w:t>
            </w:r>
          </w:p>
          <w:p w14:paraId="5A70F472" w14:textId="77777777" w:rsidR="0037350F" w:rsidRPr="003B533D" w:rsidRDefault="00E07328" w:rsidP="00D51448">
            <w:pPr>
              <w:spacing w:after="120"/>
              <w:ind w:right="112"/>
              <w:jc w:val="both"/>
              <w:rPr>
                <w:rFonts w:eastAsiaTheme="minorHAnsi"/>
              </w:rPr>
            </w:pPr>
            <w:r w:rsidRPr="003B533D">
              <w:rPr>
                <w:rFonts w:eastAsiaTheme="minorHAnsi"/>
              </w:rPr>
              <w:t>Līdzīgi kā 2014.-2020. gada plānošanas perioda esošajā darbības programmā</w:t>
            </w:r>
            <w:r w:rsidR="00E856D0" w:rsidRPr="003B533D">
              <w:rPr>
                <w:rFonts w:eastAsiaTheme="minorHAnsi"/>
              </w:rPr>
              <w:t>, FM ierosina</w:t>
            </w:r>
            <w:r w:rsidR="0037350F" w:rsidRPr="003B533D">
              <w:rPr>
                <w:rFonts w:eastAsiaTheme="minorHAnsi"/>
              </w:rPr>
              <w:t xml:space="preserve"> </w:t>
            </w:r>
            <w:r w:rsidRPr="003B533D">
              <w:rPr>
                <w:rFonts w:eastAsiaTheme="minorHAnsi"/>
              </w:rPr>
              <w:t xml:space="preserve">darbības programmā </w:t>
            </w:r>
            <w:r w:rsidRPr="003B533D">
              <w:t>REACT–EU ietvaros plānotiem pasākumiem noteikt 85% REACT-EU līdzfinansējuma likmi un 15% nacionālo līdzfinansējumu</w:t>
            </w:r>
            <w:r w:rsidR="00F3203F" w:rsidRPr="003B533D">
              <w:t xml:space="preserve"> </w:t>
            </w:r>
            <w:r w:rsidR="00F3203F" w:rsidRPr="003B533D">
              <w:rPr>
                <w:rFonts w:eastAsiaTheme="minorHAnsi"/>
              </w:rPr>
              <w:t xml:space="preserve">(valsts un pašvaldību budžets, kā arī privātais līdzfinansējums),  </w:t>
            </w:r>
            <w:r w:rsidR="0037350F" w:rsidRPr="003B533D">
              <w:rPr>
                <w:rFonts w:eastAsiaTheme="minorHAnsi"/>
              </w:rPr>
              <w:t xml:space="preserve">dodot iespēju </w:t>
            </w:r>
            <w:r w:rsidR="00F3203F" w:rsidRPr="003B533D">
              <w:rPr>
                <w:rFonts w:eastAsiaTheme="minorHAnsi"/>
              </w:rPr>
              <w:t xml:space="preserve">īstenot </w:t>
            </w:r>
            <w:r w:rsidR="00CC59AA" w:rsidRPr="003B533D">
              <w:rPr>
                <w:rFonts w:eastAsiaTheme="minorHAnsi"/>
              </w:rPr>
              <w:t>apjomīgāk</w:t>
            </w:r>
            <w:r w:rsidR="00F3203F" w:rsidRPr="003B533D">
              <w:rPr>
                <w:rFonts w:eastAsiaTheme="minorHAnsi"/>
              </w:rPr>
              <w:t xml:space="preserve">as </w:t>
            </w:r>
            <w:r w:rsidR="00CC59AA" w:rsidRPr="003B533D">
              <w:rPr>
                <w:rFonts w:eastAsiaTheme="minorHAnsi"/>
              </w:rPr>
              <w:t>investīcij</w:t>
            </w:r>
            <w:r w:rsidR="00F3203F" w:rsidRPr="003B533D">
              <w:rPr>
                <w:rFonts w:eastAsiaTheme="minorHAnsi"/>
              </w:rPr>
              <w:t xml:space="preserve">as vai sniegt atbalstu vairāk projektiem. </w:t>
            </w:r>
            <w:r w:rsidR="008059CC" w:rsidRPr="003B533D">
              <w:rPr>
                <w:rFonts w:eastAsiaTheme="minorHAnsi"/>
              </w:rPr>
              <w:t xml:space="preserve">Izdevumi REACT-EU ietvaros ir attiecināmi sākot no 2020. gada 1. februāra un finansēt iespējams arī jau </w:t>
            </w:r>
            <w:r w:rsidR="008059CC" w:rsidRPr="003B533D">
              <w:rPr>
                <w:rFonts w:eastAsiaTheme="minorHAnsi"/>
              </w:rPr>
              <w:lastRenderedPageBreak/>
              <w:t xml:space="preserve">pilnībā pabeigtas (apmaksātas) darbības, ja vien to īstenošana uzsākta </w:t>
            </w:r>
            <w:r w:rsidR="00F01624" w:rsidRPr="003B533D">
              <w:rPr>
                <w:rFonts w:eastAsiaTheme="minorHAnsi"/>
              </w:rPr>
              <w:t xml:space="preserve">sākot </w:t>
            </w:r>
            <w:r w:rsidR="008059CC" w:rsidRPr="003B533D">
              <w:rPr>
                <w:rFonts w:eastAsiaTheme="minorHAnsi"/>
              </w:rPr>
              <w:t xml:space="preserve">ar/pēc 2020. gada 1. februāra. </w:t>
            </w:r>
          </w:p>
          <w:p w14:paraId="3A5E9D98" w14:textId="77777777" w:rsidR="00CD02BC" w:rsidRPr="003B533D" w:rsidRDefault="00F00EDC" w:rsidP="00CD02BC">
            <w:pPr>
              <w:spacing w:after="120"/>
              <w:ind w:right="112"/>
              <w:jc w:val="both"/>
              <w:rPr>
                <w:rFonts w:eastAsiaTheme="minorHAnsi"/>
                <w:b/>
                <w:bCs/>
              </w:rPr>
            </w:pPr>
            <w:r w:rsidRPr="003B533D">
              <w:rPr>
                <w:rFonts w:eastAsiaTheme="minorHAnsi"/>
              </w:rPr>
              <w:t>Atbilstoši REACT-EU regulas nosacījumiem, darbības programmā atbalsts novirzāms tādiem pasākumiem, kas palīdzētu Latvijai pārvarēt COVID-19 pandēmijas izraisītās krīzes sekas</w:t>
            </w:r>
            <w:r w:rsidR="00BE05FE" w:rsidRPr="003B533D">
              <w:rPr>
                <w:rFonts w:eastAsiaTheme="minorHAnsi"/>
              </w:rPr>
              <w:t>. P</w:t>
            </w:r>
            <w:r w:rsidR="00BE05FE" w:rsidRPr="003B533D">
              <w:rPr>
                <w:rFonts w:eastAsia="Calibri"/>
              </w:rPr>
              <w:t>ēc 2020. gada 12. martā izsludinātās ārkārtas situācijas</w:t>
            </w:r>
            <w:r w:rsidR="00BE05FE" w:rsidRPr="003B533D">
              <w:rPr>
                <w:rStyle w:val="FootnoteReference"/>
                <w:rFonts w:eastAsia="Calibri"/>
              </w:rPr>
              <w:footnoteReference w:id="4"/>
            </w:r>
            <w:r w:rsidR="00BE05FE" w:rsidRPr="003B533D">
              <w:rPr>
                <w:rFonts w:eastAsia="Calibri"/>
              </w:rPr>
              <w:t xml:space="preserve"> stāšanās spēkā MK tika pieņemti lēmumi par atbalstu tautsaimniecības pasākumiem no līdzekļiem neparedzētiem gadījumiem. To ņemot vērā</w:t>
            </w:r>
            <w:r w:rsidR="00BE05FE" w:rsidRPr="003B533D">
              <w:rPr>
                <w:rFonts w:eastAsiaTheme="minorHAnsi"/>
              </w:rPr>
              <w:t xml:space="preserve">, </w:t>
            </w:r>
            <w:r w:rsidR="00BE05FE" w:rsidRPr="003B533D">
              <w:rPr>
                <w:rFonts w:eastAsia="Calibri"/>
              </w:rPr>
              <w:t>lai maksimāli atslogotu valsts budžeta izdevumus un, ievērojot</w:t>
            </w:r>
            <w:r w:rsidR="00BE05FE" w:rsidRPr="003B533D">
              <w:rPr>
                <w:rFonts w:eastAsiaTheme="minorHAnsi"/>
              </w:rPr>
              <w:t xml:space="preserve"> </w:t>
            </w:r>
            <w:r w:rsidR="00BE05FE" w:rsidRPr="003B533D">
              <w:t xml:space="preserve">REACT-EU ietvaros paredzētos īsos projektu ieviešanas termiņus, </w:t>
            </w:r>
            <w:r w:rsidR="00BE05FE" w:rsidRPr="003B533D">
              <w:rPr>
                <w:rFonts w:eastAsiaTheme="minorHAnsi"/>
              </w:rPr>
              <w:t>FM</w:t>
            </w:r>
            <w:r w:rsidR="00123009" w:rsidRPr="003B533D">
              <w:rPr>
                <w:rFonts w:eastAsiaTheme="minorHAnsi"/>
              </w:rPr>
              <w:t xml:space="preserve"> kā ES fondu v</w:t>
            </w:r>
            <w:r w:rsidR="00123009" w:rsidRPr="003B533D">
              <w:rPr>
                <w:rFonts w:eastAsia="Calibri"/>
              </w:rPr>
              <w:t xml:space="preserve">adošā iestāde sadarbībā ar atbildīgajām iestādēm un darbības programmas “Pārtikas un pamata materiālās palīdzības sniegšana vistrūcīgākajām personām 2014.–2020.gada plānošanas periodā” vadošo iestādi Labklājības ministriju izstrādāja </w:t>
            </w:r>
            <w:r w:rsidR="00123009" w:rsidRPr="003B533D">
              <w:rPr>
                <w:rFonts w:eastAsia="Calibri"/>
                <w:b/>
                <w:bCs/>
              </w:rPr>
              <w:t>REACT-EU finansējuma pārdales piedāvājumu</w:t>
            </w:r>
            <w:r w:rsidR="00CD02BC" w:rsidRPr="003B533D">
              <w:rPr>
                <w:rFonts w:eastAsia="Calibri"/>
              </w:rPr>
              <w:t xml:space="preserve"> - </w:t>
            </w:r>
            <w:r w:rsidR="00CD02BC" w:rsidRPr="003B533D">
              <w:t xml:space="preserve">informāciju par </w:t>
            </w:r>
            <w:r w:rsidR="00CD02BC" w:rsidRPr="003B533D">
              <w:rPr>
                <w:rFonts w:eastAsiaTheme="minorHAnsi"/>
              </w:rPr>
              <w:t xml:space="preserve">REACT-EU </w:t>
            </w:r>
            <w:r w:rsidR="00C14620" w:rsidRPr="003B533D">
              <w:rPr>
                <w:rFonts w:eastAsiaTheme="minorHAnsi"/>
              </w:rPr>
              <w:t xml:space="preserve">specifisko atbalsta mērķu (turpmāk – </w:t>
            </w:r>
            <w:r w:rsidR="00CD02BC" w:rsidRPr="003B533D">
              <w:rPr>
                <w:rFonts w:eastAsiaTheme="minorHAnsi"/>
              </w:rPr>
              <w:t>SAM</w:t>
            </w:r>
            <w:r w:rsidR="00C14620" w:rsidRPr="003B533D">
              <w:rPr>
                <w:rFonts w:eastAsiaTheme="minorHAnsi"/>
              </w:rPr>
              <w:t>)</w:t>
            </w:r>
            <w:r w:rsidR="00CD02BC" w:rsidRPr="003B533D">
              <w:rPr>
                <w:rFonts w:eastAsiaTheme="minorHAnsi"/>
              </w:rPr>
              <w:t xml:space="preserve"> un pasākumu sarakstu, plānoto finansējumu, t.sk. </w:t>
            </w:r>
            <w:r w:rsidR="00745CC8" w:rsidRPr="003B533D">
              <w:rPr>
                <w:rFonts w:eastAsiaTheme="minorHAnsi"/>
              </w:rPr>
              <w:t xml:space="preserve">atbilstoši EK lēmumam un pieņēmumiem par nākamās summas apjomu, </w:t>
            </w:r>
            <w:r w:rsidR="00CD02BC" w:rsidRPr="003B533D">
              <w:rPr>
                <w:rFonts w:eastAsiaTheme="minorHAnsi"/>
              </w:rPr>
              <w:t>nodalot 2021.</w:t>
            </w:r>
            <w:r w:rsidR="00745CC8" w:rsidRPr="003B533D">
              <w:rPr>
                <w:rFonts w:eastAsiaTheme="minorHAnsi"/>
              </w:rPr>
              <w:t xml:space="preserve"> gada garantēto </w:t>
            </w:r>
            <w:r w:rsidR="00C14620" w:rsidRPr="003B533D">
              <w:rPr>
                <w:rFonts w:eastAsiaTheme="minorHAnsi"/>
              </w:rPr>
              <w:t xml:space="preserve">(galīgi noteikto) </w:t>
            </w:r>
            <w:r w:rsidR="00745CC8" w:rsidRPr="003B533D">
              <w:rPr>
                <w:rFonts w:eastAsiaTheme="minorHAnsi"/>
              </w:rPr>
              <w:t>daļu</w:t>
            </w:r>
            <w:r w:rsidR="00CD02BC" w:rsidRPr="003B533D">
              <w:rPr>
                <w:rFonts w:eastAsiaTheme="minorHAnsi"/>
              </w:rPr>
              <w:t> un</w:t>
            </w:r>
            <w:r w:rsidR="00745CC8" w:rsidRPr="003B533D">
              <w:rPr>
                <w:rFonts w:eastAsiaTheme="minorHAnsi"/>
              </w:rPr>
              <w:t xml:space="preserve"> iezīmējot</w:t>
            </w:r>
            <w:r w:rsidR="00CD02BC" w:rsidRPr="003B533D">
              <w:rPr>
                <w:rFonts w:eastAsiaTheme="minorHAnsi"/>
              </w:rPr>
              <w:t xml:space="preserve"> 2022. gadā </w:t>
            </w:r>
            <w:r w:rsidR="00745CC8" w:rsidRPr="003B533D">
              <w:rPr>
                <w:rFonts w:eastAsiaTheme="minorHAnsi"/>
              </w:rPr>
              <w:t xml:space="preserve">plānoto indikatīvo </w:t>
            </w:r>
            <w:r w:rsidR="00CD02BC" w:rsidRPr="003B533D">
              <w:rPr>
                <w:rFonts w:eastAsiaTheme="minorHAnsi"/>
              </w:rPr>
              <w:t>finan</w:t>
            </w:r>
            <w:r w:rsidR="00745CC8" w:rsidRPr="003B533D">
              <w:rPr>
                <w:rFonts w:eastAsiaTheme="minorHAnsi"/>
              </w:rPr>
              <w:t>sējumu</w:t>
            </w:r>
            <w:r w:rsidR="00CD02BC" w:rsidRPr="003B533D">
              <w:rPr>
                <w:rFonts w:eastAsiaTheme="minorHAnsi"/>
              </w:rPr>
              <w:t>, kā arī sasaisti ar darbības programmas jau esošajiem SAM, ko</w:t>
            </w:r>
            <w:r w:rsidR="00CD02BC" w:rsidRPr="003B533D">
              <w:rPr>
                <w:rFonts w:eastAsiaTheme="minorHAnsi"/>
                <w:b/>
                <w:bCs/>
              </w:rPr>
              <w:t xml:space="preserve"> lūdzam skatīt zemāk anotācijas </w:t>
            </w:r>
            <w:r w:rsidR="00CD02BC" w:rsidRPr="003B533D">
              <w:rPr>
                <w:rFonts w:eastAsiaTheme="minorHAnsi"/>
                <w:b/>
                <w:bCs/>
                <w:i/>
                <w:iCs/>
              </w:rPr>
              <w:t>pielikumā</w:t>
            </w:r>
            <w:r w:rsidR="00CD02BC" w:rsidRPr="003B533D">
              <w:rPr>
                <w:rFonts w:eastAsiaTheme="minorHAnsi"/>
                <w:b/>
                <w:bCs/>
              </w:rPr>
              <w:t xml:space="preserve"> “REACT-EU pasākumu finansējums”.</w:t>
            </w:r>
          </w:p>
          <w:p w14:paraId="5AD0A470" w14:textId="77777777" w:rsidR="002A2186" w:rsidRPr="003B533D" w:rsidRDefault="005F7E1D" w:rsidP="002A2186">
            <w:pPr>
              <w:spacing w:after="120"/>
              <w:ind w:right="112"/>
              <w:jc w:val="both"/>
              <w:rPr>
                <w:rFonts w:eastAsiaTheme="minorHAnsi"/>
              </w:rPr>
            </w:pPr>
            <w:r w:rsidRPr="003B533D">
              <w:rPr>
                <w:rFonts w:eastAsia="Calibri"/>
              </w:rPr>
              <w:t>L</w:t>
            </w:r>
            <w:r w:rsidR="002A2186" w:rsidRPr="003B533D">
              <w:rPr>
                <w:rFonts w:eastAsiaTheme="minorHAnsi"/>
              </w:rPr>
              <w:t>ai nodrošinātu pēc iespējas ātrāku un efektīvāku REACT-EU finansējuma integrēšanu ekonomikā Latvij</w:t>
            </w:r>
            <w:r w:rsidR="00483EFF" w:rsidRPr="003B533D">
              <w:rPr>
                <w:rFonts w:eastAsiaTheme="minorHAnsi"/>
              </w:rPr>
              <w:t xml:space="preserve">ā, ar šo </w:t>
            </w:r>
            <w:r w:rsidR="00483EFF" w:rsidRPr="003B533D">
              <w:t>MK rīkojumu</w:t>
            </w:r>
            <w:r w:rsidR="00483EFF" w:rsidRPr="003B533D">
              <w:rPr>
                <w:rFonts w:eastAsiaTheme="minorHAnsi"/>
              </w:rPr>
              <w:t xml:space="preserve"> tiek rosināts</w:t>
            </w:r>
            <w:r w:rsidR="002A2186" w:rsidRPr="003B533D">
              <w:rPr>
                <w:rFonts w:eastAsiaTheme="minorHAnsi"/>
              </w:rPr>
              <w:t xml:space="preserve"> REACT-EU investīcijās </w:t>
            </w:r>
            <w:r w:rsidR="00483EFF" w:rsidRPr="003B533D">
              <w:rPr>
                <w:rFonts w:eastAsiaTheme="minorHAnsi"/>
              </w:rPr>
              <w:t xml:space="preserve">primāri </w:t>
            </w:r>
            <w:r w:rsidR="002A2186" w:rsidRPr="003B533D">
              <w:rPr>
                <w:rFonts w:eastAsiaTheme="minorHAnsi"/>
              </w:rPr>
              <w:t>iekļaut tādu atbalsta pasākumu finansēšan</w:t>
            </w:r>
            <w:r w:rsidR="00E70E10" w:rsidRPr="003B533D">
              <w:rPr>
                <w:rFonts w:eastAsiaTheme="minorHAnsi"/>
              </w:rPr>
              <w:t>u</w:t>
            </w:r>
            <w:r w:rsidR="002A2186" w:rsidRPr="003B533D">
              <w:rPr>
                <w:rFonts w:eastAsiaTheme="minorHAnsi"/>
              </w:rPr>
              <w:t xml:space="preserve">, par kuriem jau pirms REACT-EU instrumenta pieejamības MK ir pieņēmis lēmumu par atbalstu no valsts budžeta. Tādējādi </w:t>
            </w:r>
            <w:r w:rsidR="00CA2D76" w:rsidRPr="003B533D">
              <w:rPr>
                <w:rFonts w:eastAsiaTheme="minorHAnsi"/>
              </w:rPr>
              <w:t xml:space="preserve">ar </w:t>
            </w:r>
            <w:r w:rsidR="002A2186" w:rsidRPr="003B533D">
              <w:rPr>
                <w:rFonts w:eastAsiaTheme="minorHAnsi"/>
              </w:rPr>
              <w:t xml:space="preserve">REACT-EU finansējumu tiek plānots </w:t>
            </w:r>
            <w:r w:rsidR="002A2186" w:rsidRPr="003B533D">
              <w:t xml:space="preserve">aizstāt </w:t>
            </w:r>
            <w:r w:rsidR="00A51A4F" w:rsidRPr="003B533D">
              <w:t xml:space="preserve">arī </w:t>
            </w:r>
            <w:proofErr w:type="spellStart"/>
            <w:r w:rsidR="002A2186" w:rsidRPr="003B533D">
              <w:rPr>
                <w:rFonts w:eastAsiaTheme="minorHAnsi"/>
              </w:rPr>
              <w:t>virssaistību</w:t>
            </w:r>
            <w:proofErr w:type="spellEnd"/>
            <w:r w:rsidR="002A2186" w:rsidRPr="003B533D">
              <w:rPr>
                <w:rFonts w:eastAsiaTheme="minorHAnsi"/>
              </w:rPr>
              <w:t xml:space="preserve"> finansējumu</w:t>
            </w:r>
            <w:r w:rsidR="00F3203F" w:rsidRPr="003B533D">
              <w:rPr>
                <w:rFonts w:eastAsiaTheme="minorHAnsi"/>
              </w:rPr>
              <w:t xml:space="preserve"> kopā 1</w:t>
            </w:r>
            <w:r w:rsidR="00B16994" w:rsidRPr="003B533D">
              <w:rPr>
                <w:rFonts w:eastAsiaTheme="minorHAnsi"/>
              </w:rPr>
              <w:t>16</w:t>
            </w:r>
            <w:r w:rsidR="00F3203F" w:rsidRPr="003B533D">
              <w:rPr>
                <w:rFonts w:eastAsiaTheme="minorHAnsi"/>
              </w:rPr>
              <w:t>,</w:t>
            </w:r>
            <w:r w:rsidR="00B16994" w:rsidRPr="003B533D">
              <w:rPr>
                <w:rFonts w:eastAsiaTheme="minorHAnsi"/>
              </w:rPr>
              <w:t>09</w:t>
            </w:r>
            <w:r w:rsidR="00F3203F" w:rsidRPr="003B533D">
              <w:rPr>
                <w:rFonts w:eastAsiaTheme="minorHAnsi"/>
              </w:rPr>
              <w:t xml:space="preserve"> milj. EUR</w:t>
            </w:r>
            <w:r w:rsidR="002A2186" w:rsidRPr="003B533D">
              <w:rPr>
                <w:rFonts w:eastAsiaTheme="minorHAnsi"/>
              </w:rPr>
              <w:t xml:space="preserve"> šādos darbības programmas SAM:</w:t>
            </w:r>
          </w:p>
          <w:tbl>
            <w:tblPr>
              <w:tblW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936"/>
              <w:gridCol w:w="794"/>
              <w:gridCol w:w="1476"/>
              <w:gridCol w:w="1709"/>
            </w:tblGrid>
            <w:tr w:rsidR="002A2186" w:rsidRPr="003B533D" w14:paraId="53168833" w14:textId="77777777" w:rsidTr="0085168E">
              <w:trPr>
                <w:trHeight w:val="810"/>
              </w:trPr>
              <w:tc>
                <w:tcPr>
                  <w:tcW w:w="963" w:type="dxa"/>
                  <w:shd w:val="clear" w:color="auto" w:fill="auto"/>
                  <w:vAlign w:val="center"/>
                  <w:hideMark/>
                </w:tcPr>
                <w:p w14:paraId="11413CD3" w14:textId="77777777" w:rsidR="002A2186" w:rsidRPr="003B533D" w:rsidRDefault="002A2186" w:rsidP="002A2186">
                  <w:pPr>
                    <w:rPr>
                      <w:b/>
                      <w:bCs/>
                      <w:color w:val="000000"/>
                    </w:rPr>
                  </w:pPr>
                  <w:r w:rsidRPr="003B533D">
                    <w:rPr>
                      <w:b/>
                      <w:bCs/>
                      <w:color w:val="000000"/>
                    </w:rPr>
                    <w:t>DP esošais SAM</w:t>
                  </w:r>
                </w:p>
              </w:tc>
              <w:tc>
                <w:tcPr>
                  <w:tcW w:w="1532" w:type="dxa"/>
                  <w:shd w:val="clear" w:color="auto" w:fill="auto"/>
                  <w:vAlign w:val="center"/>
                  <w:hideMark/>
                </w:tcPr>
                <w:p w14:paraId="0EC71FDB" w14:textId="77777777" w:rsidR="002A2186" w:rsidRPr="003B533D" w:rsidRDefault="002A2186" w:rsidP="002A2186">
                  <w:pPr>
                    <w:rPr>
                      <w:b/>
                      <w:bCs/>
                      <w:color w:val="000000"/>
                    </w:rPr>
                  </w:pPr>
                  <w:r w:rsidRPr="003B533D">
                    <w:rPr>
                      <w:b/>
                      <w:bCs/>
                      <w:color w:val="000000"/>
                    </w:rPr>
                    <w:t>REACT-EU pasākums</w:t>
                  </w:r>
                </w:p>
              </w:tc>
              <w:tc>
                <w:tcPr>
                  <w:tcW w:w="659" w:type="dxa"/>
                  <w:shd w:val="clear" w:color="auto" w:fill="auto"/>
                  <w:vAlign w:val="center"/>
                  <w:hideMark/>
                </w:tcPr>
                <w:p w14:paraId="081DC6B0" w14:textId="77777777" w:rsidR="002A2186" w:rsidRPr="003B533D" w:rsidRDefault="002A2186" w:rsidP="002A2186">
                  <w:pPr>
                    <w:rPr>
                      <w:b/>
                      <w:bCs/>
                      <w:color w:val="000000"/>
                    </w:rPr>
                  </w:pPr>
                  <w:r w:rsidRPr="003B533D">
                    <w:rPr>
                      <w:b/>
                      <w:bCs/>
                      <w:color w:val="000000"/>
                    </w:rPr>
                    <w:t>Fonds</w:t>
                  </w:r>
                </w:p>
              </w:tc>
              <w:tc>
                <w:tcPr>
                  <w:tcW w:w="1138" w:type="dxa"/>
                  <w:shd w:val="clear" w:color="auto" w:fill="auto"/>
                  <w:vAlign w:val="center"/>
                  <w:hideMark/>
                </w:tcPr>
                <w:p w14:paraId="795C1544" w14:textId="77777777" w:rsidR="002A2186" w:rsidRPr="003B533D" w:rsidRDefault="002A2186" w:rsidP="002A2186">
                  <w:pPr>
                    <w:rPr>
                      <w:b/>
                      <w:bCs/>
                      <w:color w:val="000000"/>
                    </w:rPr>
                  </w:pPr>
                  <w:proofErr w:type="spellStart"/>
                  <w:r w:rsidRPr="003B533D">
                    <w:rPr>
                      <w:b/>
                      <w:bCs/>
                      <w:color w:val="000000"/>
                    </w:rPr>
                    <w:t>Virssaistības</w:t>
                  </w:r>
                  <w:proofErr w:type="spellEnd"/>
                  <w:r w:rsidRPr="003B533D">
                    <w:rPr>
                      <w:b/>
                      <w:bCs/>
                      <w:color w:val="000000"/>
                    </w:rPr>
                    <w:t>, EUR</w:t>
                  </w:r>
                </w:p>
              </w:tc>
              <w:tc>
                <w:tcPr>
                  <w:tcW w:w="1419" w:type="dxa"/>
                  <w:shd w:val="clear" w:color="auto" w:fill="auto"/>
                  <w:vAlign w:val="center"/>
                  <w:hideMark/>
                </w:tcPr>
                <w:p w14:paraId="5CA8CEE8" w14:textId="77777777" w:rsidR="002A2186" w:rsidRPr="003B533D" w:rsidRDefault="002A2186" w:rsidP="002A2186">
                  <w:pPr>
                    <w:rPr>
                      <w:b/>
                      <w:bCs/>
                      <w:color w:val="000000"/>
                    </w:rPr>
                  </w:pPr>
                  <w:r w:rsidRPr="003B533D">
                    <w:rPr>
                      <w:b/>
                      <w:bCs/>
                      <w:color w:val="000000"/>
                    </w:rPr>
                    <w:t xml:space="preserve">MK lēmums par </w:t>
                  </w:r>
                  <w:proofErr w:type="spellStart"/>
                  <w:r w:rsidRPr="003B533D">
                    <w:rPr>
                      <w:b/>
                      <w:bCs/>
                      <w:color w:val="000000"/>
                    </w:rPr>
                    <w:t>virssaistībām</w:t>
                  </w:r>
                  <w:proofErr w:type="spellEnd"/>
                </w:p>
              </w:tc>
            </w:tr>
            <w:tr w:rsidR="002A2186" w:rsidRPr="003B533D" w14:paraId="6931B8AA" w14:textId="77777777" w:rsidTr="0085168E">
              <w:trPr>
                <w:trHeight w:val="572"/>
              </w:trPr>
              <w:tc>
                <w:tcPr>
                  <w:tcW w:w="963" w:type="dxa"/>
                  <w:shd w:val="clear" w:color="auto" w:fill="auto"/>
                  <w:vAlign w:val="center"/>
                  <w:hideMark/>
                </w:tcPr>
                <w:p w14:paraId="2273F847" w14:textId="77777777" w:rsidR="002A2186" w:rsidRPr="003B533D" w:rsidRDefault="002A2186" w:rsidP="002A2186">
                  <w:pPr>
                    <w:rPr>
                      <w:color w:val="000000"/>
                    </w:rPr>
                  </w:pPr>
                  <w:r w:rsidRPr="003B533D">
                    <w:rPr>
                      <w:color w:val="000000"/>
                    </w:rPr>
                    <w:t xml:space="preserve">3.1.1.SAM  </w:t>
                  </w:r>
                </w:p>
              </w:tc>
              <w:tc>
                <w:tcPr>
                  <w:tcW w:w="1532" w:type="dxa"/>
                  <w:shd w:val="clear" w:color="auto" w:fill="auto"/>
                  <w:vAlign w:val="center"/>
                  <w:hideMark/>
                </w:tcPr>
                <w:p w14:paraId="560876E9" w14:textId="77777777" w:rsidR="002A2186" w:rsidRPr="003B533D" w:rsidRDefault="002A2186" w:rsidP="002A2186">
                  <w:pPr>
                    <w:rPr>
                      <w:color w:val="000000"/>
                    </w:rPr>
                  </w:pPr>
                  <w:r w:rsidRPr="003B533D">
                    <w:rPr>
                      <w:color w:val="000000"/>
                    </w:rPr>
                    <w:t>13.1.1.1. MVU izveide un attīstība (finanšu instrumenti)</w:t>
                  </w:r>
                </w:p>
              </w:tc>
              <w:tc>
                <w:tcPr>
                  <w:tcW w:w="659" w:type="dxa"/>
                  <w:shd w:val="clear" w:color="auto" w:fill="auto"/>
                  <w:vAlign w:val="center"/>
                  <w:hideMark/>
                </w:tcPr>
                <w:p w14:paraId="1DC6AE8D" w14:textId="77777777" w:rsidR="002A2186" w:rsidRPr="003B533D" w:rsidRDefault="002A2186" w:rsidP="002A2186">
                  <w:pPr>
                    <w:rPr>
                      <w:color w:val="000000"/>
                    </w:rPr>
                  </w:pPr>
                  <w:r w:rsidRPr="003B533D">
                    <w:rPr>
                      <w:color w:val="000000"/>
                    </w:rPr>
                    <w:t>ERAF</w:t>
                  </w:r>
                </w:p>
              </w:tc>
              <w:tc>
                <w:tcPr>
                  <w:tcW w:w="1138" w:type="dxa"/>
                  <w:shd w:val="clear" w:color="auto" w:fill="auto"/>
                  <w:vAlign w:val="center"/>
                  <w:hideMark/>
                </w:tcPr>
                <w:p w14:paraId="6A230BE5" w14:textId="77777777" w:rsidR="002A2186" w:rsidRPr="003B533D" w:rsidRDefault="002A2186" w:rsidP="002A2186">
                  <w:pPr>
                    <w:jc w:val="right"/>
                    <w:rPr>
                      <w:color w:val="000000"/>
                    </w:rPr>
                  </w:pPr>
                  <w:r w:rsidRPr="003B533D">
                    <w:rPr>
                      <w:color w:val="000000"/>
                    </w:rPr>
                    <w:t>25 000 000</w:t>
                  </w:r>
                </w:p>
              </w:tc>
              <w:tc>
                <w:tcPr>
                  <w:tcW w:w="1419" w:type="dxa"/>
                  <w:shd w:val="clear" w:color="auto" w:fill="auto"/>
                  <w:noWrap/>
                  <w:vAlign w:val="center"/>
                  <w:hideMark/>
                </w:tcPr>
                <w:p w14:paraId="5D8C44A1" w14:textId="77777777" w:rsidR="002A2186" w:rsidRPr="003B533D" w:rsidRDefault="002A2186" w:rsidP="002A2186">
                  <w:pPr>
                    <w:jc w:val="center"/>
                    <w:rPr>
                      <w:color w:val="000000"/>
                    </w:rPr>
                  </w:pPr>
                  <w:r w:rsidRPr="003B533D">
                    <w:rPr>
                      <w:color w:val="000000"/>
                    </w:rPr>
                    <w:t xml:space="preserve">02.06.2020. prot. Nr.38 §49 </w:t>
                  </w:r>
                </w:p>
              </w:tc>
            </w:tr>
            <w:tr w:rsidR="002A2186" w:rsidRPr="003B533D" w14:paraId="6AA8275A" w14:textId="77777777" w:rsidTr="0085168E">
              <w:trPr>
                <w:trHeight w:val="572"/>
              </w:trPr>
              <w:tc>
                <w:tcPr>
                  <w:tcW w:w="963" w:type="dxa"/>
                  <w:shd w:val="clear" w:color="auto" w:fill="auto"/>
                  <w:vAlign w:val="center"/>
                  <w:hideMark/>
                </w:tcPr>
                <w:p w14:paraId="33864C57" w14:textId="77777777" w:rsidR="002A2186" w:rsidRPr="003B533D" w:rsidRDefault="002A2186" w:rsidP="002A2186">
                  <w:pPr>
                    <w:rPr>
                      <w:color w:val="000000"/>
                    </w:rPr>
                  </w:pPr>
                  <w:r w:rsidRPr="003B533D">
                    <w:rPr>
                      <w:color w:val="000000"/>
                    </w:rPr>
                    <w:t>4.2.1.SAM</w:t>
                  </w:r>
                </w:p>
              </w:tc>
              <w:tc>
                <w:tcPr>
                  <w:tcW w:w="1532" w:type="dxa"/>
                  <w:shd w:val="clear" w:color="auto" w:fill="auto"/>
                  <w:vAlign w:val="center"/>
                  <w:hideMark/>
                </w:tcPr>
                <w:p w14:paraId="422B85BD" w14:textId="77777777" w:rsidR="002A2186" w:rsidRPr="003B533D" w:rsidRDefault="002A2186" w:rsidP="002A2186">
                  <w:pPr>
                    <w:rPr>
                      <w:color w:val="000000"/>
                    </w:rPr>
                  </w:pPr>
                  <w:r w:rsidRPr="003B533D">
                    <w:rPr>
                      <w:color w:val="000000"/>
                    </w:rPr>
                    <w:t>13.1.1.2. Energoefektivitātes veicināšana dzīvojamās ēkās</w:t>
                  </w:r>
                </w:p>
              </w:tc>
              <w:tc>
                <w:tcPr>
                  <w:tcW w:w="659" w:type="dxa"/>
                  <w:shd w:val="clear" w:color="auto" w:fill="auto"/>
                  <w:vAlign w:val="center"/>
                  <w:hideMark/>
                </w:tcPr>
                <w:p w14:paraId="1AB67F3A" w14:textId="77777777" w:rsidR="002A2186" w:rsidRPr="003B533D" w:rsidRDefault="002A2186" w:rsidP="002A2186">
                  <w:pPr>
                    <w:rPr>
                      <w:color w:val="000000"/>
                    </w:rPr>
                  </w:pPr>
                  <w:r w:rsidRPr="003B533D">
                    <w:rPr>
                      <w:color w:val="000000"/>
                    </w:rPr>
                    <w:t>ERAF</w:t>
                  </w:r>
                </w:p>
              </w:tc>
              <w:tc>
                <w:tcPr>
                  <w:tcW w:w="1138" w:type="dxa"/>
                  <w:shd w:val="clear" w:color="auto" w:fill="auto"/>
                  <w:vAlign w:val="center"/>
                  <w:hideMark/>
                </w:tcPr>
                <w:p w14:paraId="663B8632" w14:textId="77777777" w:rsidR="002A2186" w:rsidRPr="003B533D" w:rsidRDefault="002A2186" w:rsidP="002A2186">
                  <w:pPr>
                    <w:jc w:val="right"/>
                    <w:rPr>
                      <w:color w:val="000000"/>
                    </w:rPr>
                  </w:pPr>
                  <w:r w:rsidRPr="003B533D">
                    <w:rPr>
                      <w:color w:val="000000"/>
                    </w:rPr>
                    <w:t>35 000 000</w:t>
                  </w:r>
                </w:p>
              </w:tc>
              <w:tc>
                <w:tcPr>
                  <w:tcW w:w="1419" w:type="dxa"/>
                  <w:shd w:val="clear" w:color="auto" w:fill="auto"/>
                  <w:vAlign w:val="center"/>
                  <w:hideMark/>
                </w:tcPr>
                <w:p w14:paraId="149819DD" w14:textId="77777777" w:rsidR="002A2186" w:rsidRPr="003B533D" w:rsidRDefault="002A2186" w:rsidP="002A2186">
                  <w:pPr>
                    <w:jc w:val="center"/>
                    <w:rPr>
                      <w:color w:val="000000"/>
                    </w:rPr>
                  </w:pPr>
                  <w:r w:rsidRPr="003B533D">
                    <w:rPr>
                      <w:color w:val="000000"/>
                      <w:u w:val="single"/>
                    </w:rPr>
                    <w:t xml:space="preserve">20 milj. </w:t>
                  </w:r>
                  <w:r w:rsidRPr="003B533D">
                    <w:rPr>
                      <w:color w:val="000000"/>
                    </w:rPr>
                    <w:t>02.06.2020. prot. Nr.38 §49;</w:t>
                  </w:r>
                </w:p>
                <w:p w14:paraId="2A24E3C4" w14:textId="77777777" w:rsidR="002A2186" w:rsidRPr="003B533D" w:rsidRDefault="002A2186" w:rsidP="002A2186">
                  <w:pPr>
                    <w:jc w:val="center"/>
                    <w:rPr>
                      <w:color w:val="000000"/>
                    </w:rPr>
                  </w:pPr>
                  <w:r w:rsidRPr="003B533D">
                    <w:rPr>
                      <w:color w:val="000000"/>
                    </w:rPr>
                    <w:t xml:space="preserve"> </w:t>
                  </w:r>
                  <w:r w:rsidRPr="003B533D">
                    <w:rPr>
                      <w:color w:val="000000"/>
                    </w:rPr>
                    <w:br/>
                  </w:r>
                  <w:r w:rsidRPr="003B533D">
                    <w:rPr>
                      <w:color w:val="000000"/>
                      <w:u w:val="single"/>
                    </w:rPr>
                    <w:t xml:space="preserve">15 milj. </w:t>
                  </w:r>
                  <w:r w:rsidRPr="003B533D">
                    <w:rPr>
                      <w:color w:val="000000"/>
                    </w:rPr>
                    <w:t>MK 11.08.2020.</w:t>
                  </w:r>
                </w:p>
                <w:p w14:paraId="64429DAF" w14:textId="77777777" w:rsidR="002A2186" w:rsidRPr="003B533D" w:rsidRDefault="002A2186" w:rsidP="002A2186">
                  <w:pPr>
                    <w:jc w:val="center"/>
                    <w:rPr>
                      <w:color w:val="000000"/>
                    </w:rPr>
                  </w:pPr>
                  <w:r w:rsidRPr="003B533D">
                    <w:rPr>
                      <w:color w:val="000000"/>
                    </w:rPr>
                    <w:t>prot. Nr.47 §84</w:t>
                  </w:r>
                </w:p>
              </w:tc>
            </w:tr>
            <w:tr w:rsidR="002A2186" w:rsidRPr="003B533D" w14:paraId="1A3B8527" w14:textId="77777777" w:rsidTr="0085168E">
              <w:trPr>
                <w:trHeight w:val="489"/>
              </w:trPr>
              <w:tc>
                <w:tcPr>
                  <w:tcW w:w="963" w:type="dxa"/>
                  <w:shd w:val="clear" w:color="auto" w:fill="auto"/>
                  <w:vAlign w:val="center"/>
                  <w:hideMark/>
                </w:tcPr>
                <w:p w14:paraId="4FFA8D4C" w14:textId="77777777" w:rsidR="002A2186" w:rsidRPr="003B533D" w:rsidRDefault="002A2186" w:rsidP="002A2186">
                  <w:pPr>
                    <w:rPr>
                      <w:color w:val="000000"/>
                    </w:rPr>
                  </w:pPr>
                  <w:r w:rsidRPr="003B533D">
                    <w:rPr>
                      <w:color w:val="000000"/>
                    </w:rPr>
                    <w:t>1.1.1.SAM</w:t>
                  </w:r>
                </w:p>
              </w:tc>
              <w:tc>
                <w:tcPr>
                  <w:tcW w:w="1532" w:type="dxa"/>
                  <w:shd w:val="clear" w:color="auto" w:fill="auto"/>
                  <w:vAlign w:val="center"/>
                  <w:hideMark/>
                </w:tcPr>
                <w:p w14:paraId="5A0B8223" w14:textId="77777777" w:rsidR="002A2186" w:rsidRPr="003B533D" w:rsidRDefault="002A2186" w:rsidP="002A2186">
                  <w:pPr>
                    <w:rPr>
                      <w:color w:val="000000"/>
                    </w:rPr>
                  </w:pPr>
                  <w:r w:rsidRPr="003B533D">
                    <w:rPr>
                      <w:color w:val="000000"/>
                    </w:rPr>
                    <w:t>13.1.2.1. Pētniecība un inovācijas</w:t>
                  </w:r>
                </w:p>
              </w:tc>
              <w:tc>
                <w:tcPr>
                  <w:tcW w:w="659" w:type="dxa"/>
                  <w:shd w:val="clear" w:color="auto" w:fill="auto"/>
                  <w:vAlign w:val="center"/>
                  <w:hideMark/>
                </w:tcPr>
                <w:p w14:paraId="068C5747" w14:textId="77777777" w:rsidR="002A2186" w:rsidRPr="003B533D" w:rsidRDefault="002A2186" w:rsidP="002A2186">
                  <w:pPr>
                    <w:rPr>
                      <w:color w:val="000000"/>
                    </w:rPr>
                  </w:pPr>
                  <w:r w:rsidRPr="003B533D">
                    <w:rPr>
                      <w:color w:val="000000"/>
                    </w:rPr>
                    <w:t>ERAF</w:t>
                  </w:r>
                </w:p>
              </w:tc>
              <w:tc>
                <w:tcPr>
                  <w:tcW w:w="1138" w:type="dxa"/>
                  <w:shd w:val="clear" w:color="auto" w:fill="auto"/>
                  <w:vAlign w:val="center"/>
                  <w:hideMark/>
                </w:tcPr>
                <w:p w14:paraId="50FCFB1C" w14:textId="77777777" w:rsidR="002A2186" w:rsidRPr="003B533D" w:rsidRDefault="002A2186" w:rsidP="002A2186">
                  <w:pPr>
                    <w:jc w:val="right"/>
                    <w:rPr>
                      <w:color w:val="000000"/>
                    </w:rPr>
                  </w:pPr>
                  <w:r w:rsidRPr="003B533D">
                    <w:rPr>
                      <w:color w:val="000000"/>
                    </w:rPr>
                    <w:t>11 000 000</w:t>
                  </w:r>
                </w:p>
              </w:tc>
              <w:tc>
                <w:tcPr>
                  <w:tcW w:w="1419" w:type="dxa"/>
                  <w:shd w:val="clear" w:color="auto" w:fill="auto"/>
                  <w:noWrap/>
                  <w:vAlign w:val="center"/>
                  <w:hideMark/>
                </w:tcPr>
                <w:p w14:paraId="143A437B" w14:textId="77777777" w:rsidR="002A2186" w:rsidRPr="003B533D" w:rsidRDefault="002A2186" w:rsidP="002A2186">
                  <w:pPr>
                    <w:jc w:val="center"/>
                    <w:rPr>
                      <w:color w:val="000000"/>
                    </w:rPr>
                  </w:pPr>
                  <w:r w:rsidRPr="003B533D">
                    <w:rPr>
                      <w:color w:val="000000"/>
                    </w:rPr>
                    <w:t>11.08.2020. prot. Nr.47 §84</w:t>
                  </w:r>
                </w:p>
              </w:tc>
            </w:tr>
            <w:tr w:rsidR="002A2186" w:rsidRPr="003B533D" w14:paraId="0AEB000F" w14:textId="77777777" w:rsidTr="0085168E">
              <w:trPr>
                <w:trHeight w:val="656"/>
              </w:trPr>
              <w:tc>
                <w:tcPr>
                  <w:tcW w:w="963" w:type="dxa"/>
                  <w:shd w:val="clear" w:color="auto" w:fill="auto"/>
                  <w:vAlign w:val="center"/>
                  <w:hideMark/>
                </w:tcPr>
                <w:p w14:paraId="786FD6DF" w14:textId="77777777" w:rsidR="002A2186" w:rsidRPr="003B533D" w:rsidRDefault="002A2186" w:rsidP="002A2186">
                  <w:pPr>
                    <w:rPr>
                      <w:color w:val="000000"/>
                    </w:rPr>
                  </w:pPr>
                  <w:r w:rsidRPr="003B533D">
                    <w:rPr>
                      <w:color w:val="000000"/>
                    </w:rPr>
                    <w:lastRenderedPageBreak/>
                    <w:t>4.2.2.SAM</w:t>
                  </w:r>
                </w:p>
              </w:tc>
              <w:tc>
                <w:tcPr>
                  <w:tcW w:w="1532" w:type="dxa"/>
                  <w:shd w:val="clear" w:color="auto" w:fill="auto"/>
                  <w:vAlign w:val="center"/>
                  <w:hideMark/>
                </w:tcPr>
                <w:p w14:paraId="75932192" w14:textId="77777777" w:rsidR="002A2186" w:rsidRPr="003B533D" w:rsidRDefault="002A2186" w:rsidP="002A2186">
                  <w:pPr>
                    <w:rPr>
                      <w:color w:val="000000"/>
                    </w:rPr>
                  </w:pPr>
                  <w:r w:rsidRPr="003B533D">
                    <w:rPr>
                      <w:color w:val="000000"/>
                    </w:rPr>
                    <w:t>13.1.3.1. Pašvaldības ēku energoefektivitātes veicināšana</w:t>
                  </w:r>
                </w:p>
              </w:tc>
              <w:tc>
                <w:tcPr>
                  <w:tcW w:w="659" w:type="dxa"/>
                  <w:shd w:val="clear" w:color="auto" w:fill="auto"/>
                  <w:vAlign w:val="center"/>
                  <w:hideMark/>
                </w:tcPr>
                <w:p w14:paraId="287BC1EC" w14:textId="77777777" w:rsidR="002A2186" w:rsidRPr="003B533D" w:rsidRDefault="002A2186" w:rsidP="002A2186">
                  <w:pPr>
                    <w:rPr>
                      <w:color w:val="000000"/>
                    </w:rPr>
                  </w:pPr>
                  <w:r w:rsidRPr="003B533D">
                    <w:rPr>
                      <w:color w:val="000000"/>
                    </w:rPr>
                    <w:t>ERAF</w:t>
                  </w:r>
                </w:p>
              </w:tc>
              <w:tc>
                <w:tcPr>
                  <w:tcW w:w="1138" w:type="dxa"/>
                  <w:shd w:val="clear" w:color="auto" w:fill="auto"/>
                  <w:vAlign w:val="center"/>
                  <w:hideMark/>
                </w:tcPr>
                <w:p w14:paraId="2ECB3328" w14:textId="77777777" w:rsidR="002A2186" w:rsidRPr="003B533D" w:rsidRDefault="002A2186" w:rsidP="002A2186">
                  <w:pPr>
                    <w:jc w:val="right"/>
                    <w:rPr>
                      <w:color w:val="000000"/>
                    </w:rPr>
                  </w:pPr>
                  <w:r w:rsidRPr="003B533D">
                    <w:rPr>
                      <w:color w:val="000000"/>
                    </w:rPr>
                    <w:t>12 920 000</w:t>
                  </w:r>
                </w:p>
              </w:tc>
              <w:tc>
                <w:tcPr>
                  <w:tcW w:w="1419" w:type="dxa"/>
                  <w:shd w:val="clear" w:color="auto" w:fill="auto"/>
                  <w:vAlign w:val="center"/>
                  <w:hideMark/>
                </w:tcPr>
                <w:p w14:paraId="447656C1" w14:textId="77777777" w:rsidR="002A2186" w:rsidRPr="003B533D" w:rsidRDefault="002A2186" w:rsidP="002A2186">
                  <w:pPr>
                    <w:jc w:val="center"/>
                    <w:rPr>
                      <w:color w:val="000000"/>
                    </w:rPr>
                  </w:pPr>
                  <w:r w:rsidRPr="003B533D">
                    <w:rPr>
                      <w:color w:val="000000"/>
                    </w:rPr>
                    <w:t>ITI</w:t>
                  </w:r>
                  <w:r w:rsidRPr="003B533D">
                    <w:rPr>
                      <w:rStyle w:val="FootnoteReference"/>
                      <w:color w:val="000000"/>
                    </w:rPr>
                    <w:footnoteReference w:id="5"/>
                  </w:r>
                  <w:r w:rsidRPr="003B533D">
                    <w:rPr>
                      <w:color w:val="000000"/>
                    </w:rPr>
                    <w:t xml:space="preserve"> </w:t>
                  </w:r>
                  <w:proofErr w:type="spellStart"/>
                  <w:r w:rsidRPr="003B533D">
                    <w:rPr>
                      <w:color w:val="000000"/>
                    </w:rPr>
                    <w:t>virssaistības</w:t>
                  </w:r>
                  <w:proofErr w:type="spellEnd"/>
                  <w:r w:rsidRPr="003B533D">
                    <w:rPr>
                      <w:color w:val="000000"/>
                    </w:rPr>
                    <w:t> MK 10.11.2015. rīkojums Nr.709</w:t>
                  </w:r>
                </w:p>
              </w:tc>
            </w:tr>
            <w:tr w:rsidR="002A2186" w:rsidRPr="003B533D" w14:paraId="30D5F33F" w14:textId="77777777" w:rsidTr="0085168E">
              <w:trPr>
                <w:trHeight w:val="656"/>
              </w:trPr>
              <w:tc>
                <w:tcPr>
                  <w:tcW w:w="963" w:type="dxa"/>
                  <w:shd w:val="clear" w:color="auto" w:fill="auto"/>
                  <w:vAlign w:val="center"/>
                  <w:hideMark/>
                </w:tcPr>
                <w:p w14:paraId="746E0009" w14:textId="77777777" w:rsidR="002A2186" w:rsidRPr="003B533D" w:rsidRDefault="002A2186" w:rsidP="002A2186">
                  <w:pPr>
                    <w:rPr>
                      <w:color w:val="000000"/>
                    </w:rPr>
                  </w:pPr>
                  <w:r w:rsidRPr="003B533D">
                    <w:rPr>
                      <w:color w:val="000000"/>
                    </w:rPr>
                    <w:t xml:space="preserve">9.3.2.SAM  </w:t>
                  </w:r>
                </w:p>
              </w:tc>
              <w:tc>
                <w:tcPr>
                  <w:tcW w:w="1532" w:type="dxa"/>
                  <w:shd w:val="clear" w:color="auto" w:fill="auto"/>
                  <w:vAlign w:val="center"/>
                  <w:hideMark/>
                </w:tcPr>
                <w:p w14:paraId="3B044923" w14:textId="77777777" w:rsidR="002A2186" w:rsidRPr="003B533D" w:rsidRDefault="002A2186" w:rsidP="002A2186">
                  <w:pPr>
                    <w:rPr>
                      <w:color w:val="000000"/>
                    </w:rPr>
                  </w:pPr>
                  <w:r w:rsidRPr="003B533D">
                    <w:rPr>
                      <w:color w:val="000000"/>
                    </w:rPr>
                    <w:t xml:space="preserve">13.1.5. Veselības aprūpes infrastruktūra </w:t>
                  </w:r>
                </w:p>
              </w:tc>
              <w:tc>
                <w:tcPr>
                  <w:tcW w:w="659" w:type="dxa"/>
                  <w:shd w:val="clear" w:color="auto" w:fill="auto"/>
                  <w:vAlign w:val="center"/>
                  <w:hideMark/>
                </w:tcPr>
                <w:p w14:paraId="2E76A4E6" w14:textId="77777777" w:rsidR="002A2186" w:rsidRPr="003B533D" w:rsidRDefault="002A2186" w:rsidP="002A2186">
                  <w:pPr>
                    <w:rPr>
                      <w:color w:val="000000"/>
                    </w:rPr>
                  </w:pPr>
                  <w:r w:rsidRPr="003B533D">
                    <w:rPr>
                      <w:color w:val="000000"/>
                    </w:rPr>
                    <w:t>ERAF</w:t>
                  </w:r>
                </w:p>
              </w:tc>
              <w:tc>
                <w:tcPr>
                  <w:tcW w:w="1138" w:type="dxa"/>
                  <w:shd w:val="clear" w:color="auto" w:fill="auto"/>
                  <w:vAlign w:val="center"/>
                  <w:hideMark/>
                </w:tcPr>
                <w:p w14:paraId="18A0D596" w14:textId="77777777" w:rsidR="002A2186" w:rsidRPr="003B533D" w:rsidRDefault="002A2186" w:rsidP="002A2186">
                  <w:pPr>
                    <w:jc w:val="right"/>
                    <w:rPr>
                      <w:color w:val="000000"/>
                    </w:rPr>
                  </w:pPr>
                  <w:r w:rsidRPr="003B533D">
                    <w:rPr>
                      <w:color w:val="000000"/>
                    </w:rPr>
                    <w:t>4 618 198</w:t>
                  </w:r>
                </w:p>
              </w:tc>
              <w:tc>
                <w:tcPr>
                  <w:tcW w:w="1419" w:type="dxa"/>
                  <w:shd w:val="clear" w:color="auto" w:fill="auto"/>
                  <w:vAlign w:val="center"/>
                  <w:hideMark/>
                </w:tcPr>
                <w:p w14:paraId="6D2EA0A6" w14:textId="77777777" w:rsidR="002A2186" w:rsidRPr="003B533D" w:rsidRDefault="002A2186" w:rsidP="002A2186">
                  <w:pPr>
                    <w:jc w:val="center"/>
                    <w:rPr>
                      <w:color w:val="000000"/>
                    </w:rPr>
                  </w:pPr>
                  <w:r w:rsidRPr="003B533D">
                    <w:rPr>
                      <w:color w:val="000000"/>
                    </w:rPr>
                    <w:t xml:space="preserve">02.06.2020. prot. Nr.38 §49  </w:t>
                  </w:r>
                </w:p>
              </w:tc>
            </w:tr>
            <w:tr w:rsidR="002A2186" w:rsidRPr="003B533D" w14:paraId="24205F6B" w14:textId="77777777" w:rsidTr="0085168E">
              <w:trPr>
                <w:trHeight w:val="936"/>
              </w:trPr>
              <w:tc>
                <w:tcPr>
                  <w:tcW w:w="963" w:type="dxa"/>
                  <w:shd w:val="clear" w:color="auto" w:fill="auto"/>
                  <w:vAlign w:val="center"/>
                  <w:hideMark/>
                </w:tcPr>
                <w:p w14:paraId="1AE183F1" w14:textId="77777777" w:rsidR="002A2186" w:rsidRPr="003B533D" w:rsidRDefault="002A2186" w:rsidP="002A2186">
                  <w:pPr>
                    <w:rPr>
                      <w:color w:val="000000"/>
                      <w:u w:val="single"/>
                    </w:rPr>
                  </w:pPr>
                  <w:r w:rsidRPr="003B533D">
                    <w:rPr>
                      <w:color w:val="000000"/>
                      <w:u w:val="single"/>
                    </w:rPr>
                    <w:t>1.2.2.SAM</w:t>
                  </w:r>
                </w:p>
              </w:tc>
              <w:tc>
                <w:tcPr>
                  <w:tcW w:w="1532" w:type="dxa"/>
                  <w:shd w:val="clear" w:color="auto" w:fill="auto"/>
                  <w:vAlign w:val="center"/>
                  <w:hideMark/>
                </w:tcPr>
                <w:p w14:paraId="588F7609" w14:textId="77777777" w:rsidR="002A2186" w:rsidRPr="003B533D" w:rsidRDefault="002A2186" w:rsidP="002A2186">
                  <w:pPr>
                    <w:rPr>
                      <w:color w:val="000000"/>
                      <w:u w:val="single"/>
                    </w:rPr>
                  </w:pPr>
                  <w:r w:rsidRPr="003B533D">
                    <w:rPr>
                      <w:color w:val="000000"/>
                      <w:u w:val="single"/>
                    </w:rPr>
                    <w:t>13.1.6. Nodarbināto apmācības</w:t>
                  </w:r>
                </w:p>
              </w:tc>
              <w:tc>
                <w:tcPr>
                  <w:tcW w:w="659" w:type="dxa"/>
                  <w:shd w:val="clear" w:color="auto" w:fill="auto"/>
                  <w:vAlign w:val="center"/>
                  <w:hideMark/>
                </w:tcPr>
                <w:p w14:paraId="12B02E09" w14:textId="77777777" w:rsidR="002A2186" w:rsidRPr="003B533D" w:rsidRDefault="002A2186" w:rsidP="002A2186">
                  <w:pPr>
                    <w:rPr>
                      <w:color w:val="000000"/>
                      <w:u w:val="single"/>
                    </w:rPr>
                  </w:pPr>
                  <w:r w:rsidRPr="003B533D">
                    <w:rPr>
                      <w:color w:val="000000"/>
                      <w:u w:val="single"/>
                    </w:rPr>
                    <w:t>ERAF</w:t>
                  </w:r>
                </w:p>
              </w:tc>
              <w:tc>
                <w:tcPr>
                  <w:tcW w:w="1138" w:type="dxa"/>
                  <w:shd w:val="clear" w:color="auto" w:fill="auto"/>
                  <w:vAlign w:val="center"/>
                  <w:hideMark/>
                </w:tcPr>
                <w:p w14:paraId="0BE2BEED" w14:textId="77777777" w:rsidR="002A2186" w:rsidRPr="003B533D" w:rsidRDefault="002A2186" w:rsidP="002A2186">
                  <w:pPr>
                    <w:jc w:val="right"/>
                    <w:rPr>
                      <w:color w:val="000000"/>
                    </w:rPr>
                  </w:pPr>
                  <w:r w:rsidRPr="003B533D">
                    <w:rPr>
                      <w:color w:val="000000"/>
                    </w:rPr>
                    <w:t>19 700 000</w:t>
                  </w:r>
                </w:p>
              </w:tc>
              <w:tc>
                <w:tcPr>
                  <w:tcW w:w="1419" w:type="dxa"/>
                  <w:shd w:val="clear" w:color="auto" w:fill="auto"/>
                  <w:noWrap/>
                  <w:vAlign w:val="center"/>
                  <w:hideMark/>
                </w:tcPr>
                <w:p w14:paraId="14C351A8" w14:textId="77777777" w:rsidR="002A2186" w:rsidRPr="003B533D" w:rsidRDefault="002A2186" w:rsidP="002A2186">
                  <w:pPr>
                    <w:jc w:val="center"/>
                    <w:rPr>
                      <w:color w:val="000000"/>
                    </w:rPr>
                  </w:pPr>
                  <w:r w:rsidRPr="003B533D">
                    <w:rPr>
                      <w:color w:val="000000"/>
                    </w:rPr>
                    <w:t>11.08.2020. prot. Nr.47 §84</w:t>
                  </w:r>
                </w:p>
              </w:tc>
            </w:tr>
            <w:tr w:rsidR="002A2186" w:rsidRPr="003B533D" w14:paraId="36DD9EEF" w14:textId="77777777" w:rsidTr="0085168E">
              <w:trPr>
                <w:trHeight w:val="586"/>
              </w:trPr>
              <w:tc>
                <w:tcPr>
                  <w:tcW w:w="963" w:type="dxa"/>
                  <w:shd w:val="clear" w:color="auto" w:fill="auto"/>
                  <w:vAlign w:val="center"/>
                  <w:hideMark/>
                </w:tcPr>
                <w:p w14:paraId="08F946FE" w14:textId="77777777" w:rsidR="002A2186" w:rsidRPr="003B533D" w:rsidRDefault="002A2186" w:rsidP="002A2186">
                  <w:pPr>
                    <w:rPr>
                      <w:color w:val="000000"/>
                    </w:rPr>
                  </w:pPr>
                  <w:r w:rsidRPr="003B533D">
                    <w:rPr>
                      <w:color w:val="000000"/>
                    </w:rPr>
                    <w:t>8.2.3.SAM</w:t>
                  </w:r>
                </w:p>
              </w:tc>
              <w:tc>
                <w:tcPr>
                  <w:tcW w:w="1532" w:type="dxa"/>
                  <w:shd w:val="clear" w:color="auto" w:fill="auto"/>
                  <w:vAlign w:val="center"/>
                  <w:hideMark/>
                </w:tcPr>
                <w:p w14:paraId="5E253DD0" w14:textId="77777777" w:rsidR="002A2186" w:rsidRPr="003B533D" w:rsidRDefault="002A2186" w:rsidP="002A2186">
                  <w:pPr>
                    <w:rPr>
                      <w:color w:val="000000"/>
                    </w:rPr>
                  </w:pPr>
                  <w:r w:rsidRPr="003B533D">
                    <w:rPr>
                      <w:color w:val="000000"/>
                    </w:rPr>
                    <w:t>14.1.1.1. Efektīvas pārvaldības nodrošināšana augstskolās</w:t>
                  </w:r>
                </w:p>
              </w:tc>
              <w:tc>
                <w:tcPr>
                  <w:tcW w:w="659" w:type="dxa"/>
                  <w:shd w:val="clear" w:color="auto" w:fill="auto"/>
                  <w:vAlign w:val="center"/>
                  <w:hideMark/>
                </w:tcPr>
                <w:p w14:paraId="55C12F99" w14:textId="77777777" w:rsidR="002A2186" w:rsidRPr="003B533D" w:rsidRDefault="002A2186" w:rsidP="002A2186">
                  <w:pPr>
                    <w:rPr>
                      <w:color w:val="000000"/>
                    </w:rPr>
                  </w:pPr>
                  <w:r w:rsidRPr="003B533D">
                    <w:rPr>
                      <w:color w:val="000000"/>
                    </w:rPr>
                    <w:t>ESF</w:t>
                  </w:r>
                </w:p>
              </w:tc>
              <w:tc>
                <w:tcPr>
                  <w:tcW w:w="1138" w:type="dxa"/>
                  <w:shd w:val="clear" w:color="auto" w:fill="auto"/>
                  <w:vAlign w:val="center"/>
                  <w:hideMark/>
                </w:tcPr>
                <w:p w14:paraId="6F4BF505" w14:textId="77777777" w:rsidR="002A2186" w:rsidRPr="003B533D" w:rsidRDefault="002A2186" w:rsidP="002A2186">
                  <w:pPr>
                    <w:jc w:val="right"/>
                    <w:rPr>
                      <w:color w:val="000000"/>
                    </w:rPr>
                  </w:pPr>
                  <w:r w:rsidRPr="003B533D">
                    <w:rPr>
                      <w:color w:val="000000"/>
                    </w:rPr>
                    <w:t>7 860 000</w:t>
                  </w:r>
                </w:p>
              </w:tc>
              <w:tc>
                <w:tcPr>
                  <w:tcW w:w="1419" w:type="dxa"/>
                  <w:shd w:val="clear" w:color="auto" w:fill="auto"/>
                  <w:vAlign w:val="center"/>
                  <w:hideMark/>
                </w:tcPr>
                <w:p w14:paraId="5003A4FF" w14:textId="77777777" w:rsidR="002A2186" w:rsidRPr="003B533D" w:rsidRDefault="002A2186" w:rsidP="002A2186">
                  <w:pPr>
                    <w:jc w:val="center"/>
                    <w:rPr>
                      <w:color w:val="000000"/>
                    </w:rPr>
                  </w:pPr>
                  <w:r w:rsidRPr="003B533D">
                    <w:rPr>
                      <w:color w:val="000000"/>
                    </w:rPr>
                    <w:t>11.08.2020. prot. Nr.47 §84</w:t>
                  </w:r>
                </w:p>
              </w:tc>
            </w:tr>
          </w:tbl>
          <w:p w14:paraId="6F26F78F" w14:textId="77777777" w:rsidR="008F3B2E" w:rsidRPr="003B533D" w:rsidRDefault="008F3B2E" w:rsidP="008B558F">
            <w:pPr>
              <w:tabs>
                <w:tab w:val="left" w:pos="3417"/>
              </w:tabs>
              <w:contextualSpacing/>
              <w:jc w:val="both"/>
            </w:pPr>
            <w:r w:rsidRPr="003B533D">
              <w:rPr>
                <w:rFonts w:eastAsia="Calibri"/>
              </w:rPr>
              <w:t xml:space="preserve">Aizstājot </w:t>
            </w:r>
            <w:r w:rsidR="00B725A2" w:rsidRPr="003B533D">
              <w:rPr>
                <w:rFonts w:eastAsia="Calibri"/>
              </w:rPr>
              <w:t xml:space="preserve">ar REACT EU līdz šim MK piešķirtās </w:t>
            </w:r>
            <w:proofErr w:type="spellStart"/>
            <w:r w:rsidRPr="003B533D">
              <w:rPr>
                <w:rFonts w:eastAsia="Calibri"/>
              </w:rPr>
              <w:t>virssaistības</w:t>
            </w:r>
            <w:proofErr w:type="spellEnd"/>
            <w:r w:rsidRPr="003B533D">
              <w:rPr>
                <w:rFonts w:eastAsia="Calibri"/>
              </w:rPr>
              <w:t xml:space="preserve"> </w:t>
            </w:r>
            <w:r w:rsidR="00B725A2" w:rsidRPr="003B533D">
              <w:t xml:space="preserve">7 860 000 </w:t>
            </w:r>
            <w:proofErr w:type="spellStart"/>
            <w:r w:rsidR="00B725A2" w:rsidRPr="003B533D">
              <w:rPr>
                <w:i/>
              </w:rPr>
              <w:t>euro</w:t>
            </w:r>
            <w:proofErr w:type="spellEnd"/>
            <w:r w:rsidR="00B725A2" w:rsidRPr="003B533D">
              <w:rPr>
                <w:i/>
              </w:rPr>
              <w:t xml:space="preserve"> </w:t>
            </w:r>
            <w:r w:rsidRPr="003B533D">
              <w:rPr>
                <w:rFonts w:eastAsia="Calibri"/>
              </w:rPr>
              <w:t xml:space="preserve">darbības programmas “Izaugsme un nodarbinātība” ESF SAM, </w:t>
            </w:r>
            <w:r w:rsidR="00B725A2" w:rsidRPr="003B533D">
              <w:rPr>
                <w:rFonts w:eastAsia="Calibri"/>
              </w:rPr>
              <w:t xml:space="preserve">kā arī, ņemot vērā, ka REACT EU ietvaros šobrīd nav papildu </w:t>
            </w:r>
            <w:proofErr w:type="spellStart"/>
            <w:r w:rsidR="00B725A2" w:rsidRPr="003B533D">
              <w:rPr>
                <w:rFonts w:eastAsia="Calibri"/>
              </w:rPr>
              <w:t>virssaistību</w:t>
            </w:r>
            <w:proofErr w:type="spellEnd"/>
            <w:r w:rsidR="00B725A2" w:rsidRPr="003B533D">
              <w:rPr>
                <w:rFonts w:eastAsia="Calibri"/>
              </w:rPr>
              <w:t xml:space="preserve"> vai citas pietiekami drošas papildu deklarējamu izdevumu rezerves, </w:t>
            </w:r>
            <w:r w:rsidRPr="003B533D">
              <w:rPr>
                <w:rFonts w:eastAsia="Calibri"/>
              </w:rPr>
              <w:t xml:space="preserve">FM </w:t>
            </w:r>
            <w:r w:rsidR="00D21B8C" w:rsidRPr="003B533D">
              <w:rPr>
                <w:rFonts w:eastAsia="Calibri"/>
              </w:rPr>
              <w:t>prognozē</w:t>
            </w:r>
            <w:r w:rsidRPr="003B533D">
              <w:rPr>
                <w:rFonts w:eastAsia="Calibri"/>
              </w:rPr>
              <w:t xml:space="preserve"> deklarējamo izdevumu drošības rezerves samazinājumu tādā apmērā, ka ir pamats lemt par </w:t>
            </w:r>
            <w:r w:rsidRPr="003B533D">
              <w:t>MK 2020. gada 22. septembra sēdes protokola Nr. 55 30.§ 2.1. un 2.2. punkta atzīšanu par aktualitāti zaudējušiem attiecībā uz darbības programmas “Izaugsme un nodarbinātība” ESF, t.sk. JNI, prioritārajiem virzieniem</w:t>
            </w:r>
            <w:r w:rsidR="00B725A2" w:rsidRPr="003B533D">
              <w:t xml:space="preserve"> un REACT EU līdzfinansētām prioritātēm</w:t>
            </w:r>
            <w:r w:rsidRPr="003B533D">
              <w:t xml:space="preserve"> – </w:t>
            </w:r>
            <w:r w:rsidR="00B725A2" w:rsidRPr="003B533D">
              <w:t xml:space="preserve">attiecīgi tiek rosināts </w:t>
            </w:r>
            <w:r w:rsidRPr="003B533D">
              <w:t>projektos atbrīvoto finansējumu turpmāk atļaut pārdalīt projektiem vai jaunām projekta darbībām</w:t>
            </w:r>
            <w:r w:rsidRPr="003B533D">
              <w:rPr>
                <w:rStyle w:val="FootnoteReference"/>
              </w:rPr>
              <w:footnoteReference w:id="6"/>
            </w:r>
            <w:r w:rsidRPr="003B533D">
              <w:t>.</w:t>
            </w:r>
          </w:p>
          <w:p w14:paraId="44F426C1" w14:textId="77777777" w:rsidR="00CA2D76" w:rsidRPr="003B533D" w:rsidRDefault="005F7E1D" w:rsidP="008B558F">
            <w:pPr>
              <w:tabs>
                <w:tab w:val="left" w:pos="3417"/>
              </w:tabs>
              <w:contextualSpacing/>
              <w:jc w:val="both"/>
              <w:rPr>
                <w:rFonts w:eastAsia="Calibri"/>
              </w:rPr>
            </w:pPr>
            <w:r w:rsidRPr="003B533D">
              <w:rPr>
                <w:rFonts w:eastAsia="Calibri"/>
              </w:rPr>
              <w:t>Papildus</w:t>
            </w:r>
            <w:r w:rsidR="00EF3556" w:rsidRPr="003B533D">
              <w:rPr>
                <w:rFonts w:eastAsia="Calibri"/>
              </w:rPr>
              <w:t xml:space="preserve"> </w:t>
            </w:r>
            <w:r w:rsidR="00907246" w:rsidRPr="003B533D">
              <w:rPr>
                <w:rFonts w:eastAsia="Calibri"/>
              </w:rPr>
              <w:t xml:space="preserve">darbības programmā </w:t>
            </w:r>
            <w:r w:rsidRPr="003B533D">
              <w:rPr>
                <w:rFonts w:eastAsia="Calibri"/>
              </w:rPr>
              <w:t xml:space="preserve">iekļauti arī tādi </w:t>
            </w:r>
            <w:r w:rsidR="00123009" w:rsidRPr="003B533D">
              <w:rPr>
                <w:rFonts w:eastAsia="Calibri"/>
              </w:rPr>
              <w:t>pasākum</w:t>
            </w:r>
            <w:r w:rsidRPr="003B533D">
              <w:rPr>
                <w:rFonts w:eastAsia="Calibri"/>
              </w:rPr>
              <w:t>i</w:t>
            </w:r>
            <w:r w:rsidR="00123009" w:rsidRPr="003B533D">
              <w:rPr>
                <w:rFonts w:eastAsia="Calibri"/>
              </w:rPr>
              <w:t xml:space="preserve">, </w:t>
            </w:r>
            <w:r w:rsidRPr="003B533D">
              <w:rPr>
                <w:rFonts w:eastAsia="Calibri"/>
              </w:rPr>
              <w:t>par kuru īstenošanu kā īpaši būtisku COVID-19 seku mazināšanā  panākta vienošanās ar EK, attiecīgi, v</w:t>
            </w:r>
            <w:r w:rsidR="00123009" w:rsidRPr="003B533D">
              <w:rPr>
                <w:rFonts w:eastAsia="Calibri"/>
              </w:rPr>
              <w:t>adošā iestāde vērtējusi</w:t>
            </w:r>
            <w:r w:rsidR="00907246" w:rsidRPr="003B533D">
              <w:rPr>
                <w:rFonts w:eastAsia="Calibri"/>
              </w:rPr>
              <w:t xml:space="preserve"> </w:t>
            </w:r>
            <w:r w:rsidR="00123009" w:rsidRPr="003B533D">
              <w:rPr>
                <w:rFonts w:eastAsia="Calibri"/>
              </w:rPr>
              <w:t>to atbilstību REACT-EU regulai un darbības programmā “Izaugsme un nodarbinātība” un darbības programmā “Pārtikas un pamata materiālās palīdzības sniegšana vistrūcīgākajām personām 2014.–2020.</w:t>
            </w:r>
            <w:r w:rsidR="00907246" w:rsidRPr="003B533D">
              <w:rPr>
                <w:rFonts w:eastAsia="Calibri"/>
              </w:rPr>
              <w:t> </w:t>
            </w:r>
            <w:r w:rsidR="00123009" w:rsidRPr="003B533D">
              <w:rPr>
                <w:rFonts w:eastAsia="Calibri"/>
              </w:rPr>
              <w:t>gada plānošanas periodā” ietvertajām atbalstāmajām darbībām.</w:t>
            </w:r>
            <w:r w:rsidR="00907246" w:rsidRPr="003B533D">
              <w:rPr>
                <w:rFonts w:eastAsia="Calibri"/>
              </w:rPr>
              <w:t xml:space="preserve"> </w:t>
            </w:r>
          </w:p>
          <w:p w14:paraId="657F930D" w14:textId="77777777" w:rsidR="00E37E3D" w:rsidRPr="003B533D" w:rsidRDefault="00E37E3D" w:rsidP="008B558F">
            <w:pPr>
              <w:tabs>
                <w:tab w:val="left" w:pos="3417"/>
              </w:tabs>
              <w:contextualSpacing/>
              <w:jc w:val="both"/>
              <w:rPr>
                <w:rFonts w:eastAsia="Calibri"/>
              </w:rPr>
            </w:pPr>
          </w:p>
          <w:p w14:paraId="6A394ADD" w14:textId="77777777" w:rsidR="00123009" w:rsidRPr="003B533D" w:rsidRDefault="00907246" w:rsidP="008B558F">
            <w:pPr>
              <w:tabs>
                <w:tab w:val="left" w:pos="3417"/>
              </w:tabs>
              <w:contextualSpacing/>
              <w:jc w:val="both"/>
              <w:rPr>
                <w:rFonts w:eastAsia="Calibri"/>
              </w:rPr>
            </w:pPr>
            <w:r w:rsidRPr="003B533D">
              <w:rPr>
                <w:rFonts w:eastAsia="Calibri"/>
              </w:rPr>
              <w:t>Attiecīgi veidojas šāds REACT-EU investīciju sadalījums:</w:t>
            </w:r>
          </w:p>
          <w:p w14:paraId="32F9E4C4" w14:textId="77777777" w:rsidR="00F00EDC" w:rsidRPr="003B533D" w:rsidRDefault="00954D60" w:rsidP="00DC0ACA">
            <w:pPr>
              <w:pStyle w:val="ListParagraph"/>
              <w:numPr>
                <w:ilvl w:val="0"/>
                <w:numId w:val="25"/>
              </w:numPr>
              <w:spacing w:after="120" w:line="240" w:lineRule="auto"/>
              <w:ind w:left="782" w:right="112" w:hanging="357"/>
              <w:contextualSpacing w:val="0"/>
              <w:jc w:val="both"/>
              <w:rPr>
                <w:rFonts w:ascii="Times New Roman" w:hAnsi="Times New Roman" w:cs="Times New Roman"/>
                <w:sz w:val="24"/>
                <w:szCs w:val="24"/>
              </w:rPr>
            </w:pPr>
            <w:r w:rsidRPr="003B533D">
              <w:rPr>
                <w:rFonts w:ascii="Times New Roman" w:hAnsi="Times New Roman" w:cs="Times New Roman"/>
                <w:sz w:val="24"/>
                <w:szCs w:val="24"/>
              </w:rPr>
              <w:t xml:space="preserve">ERAF </w:t>
            </w:r>
            <w:r w:rsidR="00F00EDC" w:rsidRPr="003B533D">
              <w:rPr>
                <w:rFonts w:ascii="Times New Roman" w:hAnsi="Times New Roman" w:cs="Times New Roman"/>
                <w:sz w:val="24"/>
                <w:szCs w:val="24"/>
              </w:rPr>
              <w:t xml:space="preserve">līdzekļi primāri plānoti </w:t>
            </w:r>
            <w:r w:rsidR="00F00EDC" w:rsidRPr="003B533D">
              <w:rPr>
                <w:rFonts w:ascii="Times New Roman" w:hAnsi="Times New Roman" w:cs="Times New Roman"/>
                <w:b/>
                <w:bCs/>
                <w:sz w:val="24"/>
                <w:szCs w:val="24"/>
              </w:rPr>
              <w:t>veselības jomas</w:t>
            </w:r>
            <w:r w:rsidR="00F00EDC" w:rsidRPr="003B533D">
              <w:rPr>
                <w:rFonts w:ascii="Times New Roman" w:hAnsi="Times New Roman" w:cs="Times New Roman"/>
                <w:sz w:val="24"/>
                <w:szCs w:val="24"/>
              </w:rPr>
              <w:t xml:space="preserve"> pasākumu atbalstam (infrastruktūras pieejamības kontekstā), apgrozāmā kapitāla nodrošināšanai un </w:t>
            </w:r>
            <w:r w:rsidR="00F00EDC" w:rsidRPr="003B533D">
              <w:rPr>
                <w:rFonts w:ascii="Times New Roman" w:hAnsi="Times New Roman" w:cs="Times New Roman"/>
                <w:b/>
                <w:bCs/>
                <w:sz w:val="24"/>
                <w:szCs w:val="24"/>
              </w:rPr>
              <w:t>investīcijām</w:t>
            </w:r>
            <w:r w:rsidR="00F00EDC" w:rsidRPr="003B533D">
              <w:rPr>
                <w:rFonts w:ascii="Times New Roman" w:hAnsi="Times New Roman" w:cs="Times New Roman"/>
                <w:sz w:val="24"/>
                <w:szCs w:val="24"/>
              </w:rPr>
              <w:t xml:space="preserve"> </w:t>
            </w:r>
            <w:r w:rsidR="00F00EDC" w:rsidRPr="003B533D">
              <w:rPr>
                <w:rFonts w:ascii="Times New Roman" w:hAnsi="Times New Roman" w:cs="Times New Roman"/>
                <w:b/>
                <w:bCs/>
                <w:sz w:val="24"/>
                <w:szCs w:val="24"/>
              </w:rPr>
              <w:t>mazos un vidējos uzņēmumos</w:t>
            </w:r>
            <w:r w:rsidR="00F00EDC" w:rsidRPr="003B533D">
              <w:rPr>
                <w:rFonts w:ascii="Times New Roman" w:hAnsi="Times New Roman" w:cs="Times New Roman"/>
                <w:sz w:val="24"/>
                <w:szCs w:val="24"/>
              </w:rPr>
              <w:t xml:space="preserve">, kā arī </w:t>
            </w:r>
            <w:r w:rsidR="00F00EDC" w:rsidRPr="003B533D">
              <w:rPr>
                <w:rFonts w:ascii="Times New Roman" w:hAnsi="Times New Roman" w:cs="Times New Roman"/>
                <w:b/>
                <w:bCs/>
                <w:sz w:val="24"/>
                <w:szCs w:val="24"/>
              </w:rPr>
              <w:t>tūrisma un kultūras jomā</w:t>
            </w:r>
            <w:r w:rsidR="004F70AB" w:rsidRPr="003B533D">
              <w:rPr>
                <w:rFonts w:ascii="Times New Roman" w:hAnsi="Times New Roman" w:cs="Times New Roman"/>
                <w:b/>
                <w:bCs/>
                <w:sz w:val="24"/>
                <w:szCs w:val="24"/>
              </w:rPr>
              <w:t>,</w:t>
            </w:r>
            <w:r w:rsidR="00F00EDC" w:rsidRPr="003B533D">
              <w:rPr>
                <w:rFonts w:ascii="Times New Roman" w:hAnsi="Times New Roman" w:cs="Times New Roman"/>
                <w:sz w:val="24"/>
                <w:szCs w:val="24"/>
              </w:rPr>
              <w:t xml:space="preserve"> sniedzot atbalstu kultūras un tūrisma uzņēmumiem, ko īpaši </w:t>
            </w:r>
            <w:proofErr w:type="spellStart"/>
            <w:r w:rsidR="00F00EDC" w:rsidRPr="003B533D">
              <w:rPr>
                <w:rFonts w:ascii="Times New Roman" w:hAnsi="Times New Roman" w:cs="Times New Roman"/>
                <w:sz w:val="24"/>
                <w:szCs w:val="24"/>
              </w:rPr>
              <w:t>skārusi</w:t>
            </w:r>
            <w:proofErr w:type="spellEnd"/>
            <w:r w:rsidR="00F00EDC" w:rsidRPr="003B533D">
              <w:rPr>
                <w:rFonts w:ascii="Times New Roman" w:hAnsi="Times New Roman" w:cs="Times New Roman"/>
                <w:sz w:val="24"/>
                <w:szCs w:val="24"/>
              </w:rPr>
              <w:t xml:space="preserve"> COVID-19 krīze. Vienlaikus REACT-EU piedāvājumam jābūt orientētam uz zaļas un </w:t>
            </w:r>
            <w:proofErr w:type="spellStart"/>
            <w:r w:rsidR="00F00EDC" w:rsidRPr="003B533D">
              <w:rPr>
                <w:rFonts w:ascii="Times New Roman" w:hAnsi="Times New Roman" w:cs="Times New Roman"/>
                <w:sz w:val="24"/>
                <w:szCs w:val="24"/>
              </w:rPr>
              <w:t>klimatdraudzīgas</w:t>
            </w:r>
            <w:proofErr w:type="spellEnd"/>
            <w:r w:rsidR="00F00EDC" w:rsidRPr="003B533D">
              <w:rPr>
                <w:rFonts w:ascii="Times New Roman" w:hAnsi="Times New Roman" w:cs="Times New Roman"/>
                <w:sz w:val="24"/>
                <w:szCs w:val="24"/>
              </w:rPr>
              <w:t xml:space="preserve"> vides veidošanu.</w:t>
            </w:r>
          </w:p>
          <w:p w14:paraId="37C9FCEF" w14:textId="77777777" w:rsidR="00F00EDC" w:rsidRPr="003B533D" w:rsidRDefault="00F00EDC" w:rsidP="00DC0ACA">
            <w:pPr>
              <w:pStyle w:val="ListParagraph"/>
              <w:numPr>
                <w:ilvl w:val="0"/>
                <w:numId w:val="25"/>
              </w:numPr>
              <w:spacing w:after="120" w:line="240" w:lineRule="auto"/>
              <w:ind w:left="782" w:right="112" w:hanging="357"/>
              <w:contextualSpacing w:val="0"/>
              <w:jc w:val="both"/>
              <w:rPr>
                <w:rFonts w:ascii="Times New Roman" w:hAnsi="Times New Roman" w:cs="Times New Roman"/>
                <w:sz w:val="24"/>
                <w:szCs w:val="24"/>
              </w:rPr>
            </w:pPr>
            <w:r w:rsidRPr="003B533D">
              <w:rPr>
                <w:rFonts w:ascii="Times New Roman" w:hAnsi="Times New Roman" w:cs="Times New Roman"/>
                <w:sz w:val="24"/>
                <w:szCs w:val="24"/>
              </w:rPr>
              <w:lastRenderedPageBreak/>
              <w:t xml:space="preserve">ESF finansējums primāri plānots </w:t>
            </w:r>
            <w:r w:rsidRPr="003B533D">
              <w:rPr>
                <w:rFonts w:ascii="Times New Roman" w:hAnsi="Times New Roman" w:cs="Times New Roman"/>
                <w:b/>
                <w:bCs/>
                <w:sz w:val="24"/>
                <w:szCs w:val="24"/>
              </w:rPr>
              <w:t>nodarbinātības</w:t>
            </w:r>
            <w:r w:rsidRPr="003B533D">
              <w:rPr>
                <w:rFonts w:ascii="Times New Roman" w:hAnsi="Times New Roman" w:cs="Times New Roman"/>
                <w:sz w:val="24"/>
                <w:szCs w:val="24"/>
              </w:rPr>
              <w:t xml:space="preserve"> pasākumiem, </w:t>
            </w:r>
            <w:r w:rsidRPr="003B533D">
              <w:rPr>
                <w:rFonts w:ascii="Times New Roman" w:hAnsi="Times New Roman" w:cs="Times New Roman"/>
                <w:b/>
                <w:bCs/>
                <w:sz w:val="24"/>
                <w:szCs w:val="24"/>
              </w:rPr>
              <w:t>izglītības veicināšanai, apmācībām un prasmju pilnveidošanai</w:t>
            </w:r>
            <w:r w:rsidRPr="003B533D">
              <w:rPr>
                <w:rFonts w:ascii="Times New Roman" w:hAnsi="Times New Roman" w:cs="Times New Roman"/>
                <w:sz w:val="24"/>
                <w:szCs w:val="24"/>
              </w:rPr>
              <w:t xml:space="preserve"> (jo īpaši </w:t>
            </w:r>
            <w:proofErr w:type="spellStart"/>
            <w:r w:rsidRPr="003B533D">
              <w:rPr>
                <w:rFonts w:ascii="Times New Roman" w:hAnsi="Times New Roman" w:cs="Times New Roman"/>
                <w:sz w:val="24"/>
                <w:szCs w:val="24"/>
              </w:rPr>
              <w:t>digitalizācijas</w:t>
            </w:r>
            <w:proofErr w:type="spellEnd"/>
            <w:r w:rsidRPr="003B533D">
              <w:rPr>
                <w:rFonts w:ascii="Times New Roman" w:hAnsi="Times New Roman" w:cs="Times New Roman"/>
                <w:sz w:val="24"/>
                <w:szCs w:val="24"/>
              </w:rPr>
              <w:t xml:space="preserve"> jomā, ņemot vērā situāciju pasaulē), kā arī </w:t>
            </w:r>
            <w:r w:rsidRPr="003B533D">
              <w:rPr>
                <w:rFonts w:ascii="Times New Roman" w:hAnsi="Times New Roman" w:cs="Times New Roman"/>
                <w:b/>
                <w:bCs/>
                <w:sz w:val="24"/>
                <w:szCs w:val="24"/>
              </w:rPr>
              <w:t>sociālās iekļaušanas un ārstniecības personāla atbalsta jautājumiem</w:t>
            </w:r>
            <w:r w:rsidRPr="003B533D">
              <w:rPr>
                <w:rFonts w:ascii="Times New Roman" w:hAnsi="Times New Roman" w:cs="Times New Roman"/>
                <w:sz w:val="24"/>
                <w:szCs w:val="24"/>
              </w:rPr>
              <w:t>.</w:t>
            </w:r>
          </w:p>
          <w:p w14:paraId="5AF92C79" w14:textId="77777777" w:rsidR="00F00EDC" w:rsidRPr="003B533D" w:rsidRDefault="009F611B" w:rsidP="00DC0ACA">
            <w:pPr>
              <w:spacing w:after="120"/>
              <w:ind w:right="112"/>
              <w:jc w:val="both"/>
              <w:rPr>
                <w:rFonts w:eastAsiaTheme="minorHAnsi"/>
                <w:b/>
              </w:rPr>
            </w:pPr>
            <w:r w:rsidRPr="003B533D">
              <w:rPr>
                <w:rFonts w:eastAsiaTheme="minorHAnsi"/>
              </w:rPr>
              <w:t xml:space="preserve">Ņemot vērā EK prasību skaidri nodalīt un spēt identificēt REACT-EU investīciju plūsmu no pārējām </w:t>
            </w:r>
            <w:r w:rsidR="00D805F9" w:rsidRPr="003B533D">
              <w:rPr>
                <w:rFonts w:eastAsiaTheme="minorHAnsi"/>
              </w:rPr>
              <w:t xml:space="preserve">ES fondu </w:t>
            </w:r>
            <w:r w:rsidRPr="003B533D">
              <w:rPr>
                <w:rFonts w:eastAsiaTheme="minorHAnsi"/>
              </w:rPr>
              <w:t xml:space="preserve">investīcijām darbības programmas ietvaros, </w:t>
            </w:r>
            <w:r w:rsidR="0037350F" w:rsidRPr="003B533D">
              <w:rPr>
                <w:rFonts w:eastAsiaTheme="minorHAnsi"/>
                <w:b/>
              </w:rPr>
              <w:t>d</w:t>
            </w:r>
            <w:r w:rsidR="00F00EDC" w:rsidRPr="003B533D">
              <w:rPr>
                <w:rFonts w:eastAsiaTheme="minorHAnsi"/>
                <w:b/>
              </w:rPr>
              <w:t>arbības programma tiek papildināta ar diviem jauniem prioritārajiem virzieniem (PV) un ieguldījumu prioritātēm (IP):</w:t>
            </w:r>
          </w:p>
          <w:p w14:paraId="242BFB05" w14:textId="77777777" w:rsidR="00F00EDC" w:rsidRPr="003B533D" w:rsidRDefault="00F00EDC" w:rsidP="00DC0ACA">
            <w:pPr>
              <w:pStyle w:val="ListParagraph"/>
              <w:numPr>
                <w:ilvl w:val="0"/>
                <w:numId w:val="24"/>
              </w:numPr>
              <w:spacing w:after="120" w:line="240" w:lineRule="auto"/>
              <w:ind w:left="714" w:right="112" w:hanging="357"/>
              <w:contextualSpacing w:val="0"/>
              <w:jc w:val="both"/>
              <w:rPr>
                <w:rFonts w:ascii="Times New Roman" w:hAnsi="Times New Roman" w:cs="Times New Roman"/>
                <w:sz w:val="24"/>
                <w:szCs w:val="24"/>
              </w:rPr>
            </w:pPr>
            <w:r w:rsidRPr="003B533D">
              <w:rPr>
                <w:rFonts w:ascii="Times New Roman" w:hAnsi="Times New Roman" w:cs="Times New Roman"/>
                <w:sz w:val="24"/>
                <w:szCs w:val="24"/>
              </w:rPr>
              <w:t>13. PV “Pasākumi Covid-19 pandēmijas seku mazināšanai (ERAF)”, 13.1. IP “Palīdzēt veicināt ar Covid-19 pandēmiju un tās sociālajām sekām saistītās krīzes seku pārvarēšanu un sagatavoties zaļai, digitālai un noturīgai ekonomikas atveseļošanai (ERAF)”.</w:t>
            </w:r>
          </w:p>
          <w:p w14:paraId="4649B938" w14:textId="77777777" w:rsidR="00F00EDC" w:rsidRPr="003B533D" w:rsidRDefault="00F00EDC" w:rsidP="00DC0ACA">
            <w:pPr>
              <w:pStyle w:val="ListParagraph"/>
              <w:numPr>
                <w:ilvl w:val="0"/>
                <w:numId w:val="24"/>
              </w:numPr>
              <w:spacing w:after="120" w:line="240" w:lineRule="auto"/>
              <w:ind w:left="714" w:right="112" w:hanging="357"/>
              <w:contextualSpacing w:val="0"/>
              <w:jc w:val="both"/>
              <w:rPr>
                <w:rFonts w:ascii="Times New Roman" w:hAnsi="Times New Roman" w:cs="Times New Roman"/>
                <w:sz w:val="24"/>
                <w:szCs w:val="24"/>
              </w:rPr>
            </w:pPr>
            <w:r w:rsidRPr="003B533D">
              <w:rPr>
                <w:rFonts w:ascii="Times New Roman" w:hAnsi="Times New Roman" w:cs="Times New Roman"/>
                <w:sz w:val="24"/>
                <w:szCs w:val="24"/>
              </w:rPr>
              <w:t xml:space="preserve">14. PV “Pasākumi Covid-19 pandēmijas seku mazināšanai (ESF)” 14.1. IP “Palīdzēt veicināt ar Covid-19 pandēmiju un tās sociālajām sekām saistītās krīzes seku pārvarēšanu un sagatavoties zaļai, digitālai un noturīgai ekonomikas atveseļošanai (ESF)” </w:t>
            </w:r>
          </w:p>
          <w:p w14:paraId="15538159" w14:textId="01375193" w:rsidR="00877A77" w:rsidRPr="003B533D" w:rsidRDefault="00F00EDC" w:rsidP="00DC0ACA">
            <w:pPr>
              <w:spacing w:after="120"/>
              <w:ind w:right="112"/>
              <w:jc w:val="both"/>
              <w:rPr>
                <w:rFonts w:eastAsiaTheme="minorHAnsi"/>
              </w:rPr>
            </w:pPr>
            <w:r w:rsidRPr="003B533D">
              <w:rPr>
                <w:rFonts w:eastAsiaTheme="minorHAnsi"/>
              </w:rPr>
              <w:t>R</w:t>
            </w:r>
            <w:r w:rsidR="009F611B" w:rsidRPr="003B533D">
              <w:rPr>
                <w:rFonts w:eastAsiaTheme="minorHAnsi"/>
              </w:rPr>
              <w:t>EACT</w:t>
            </w:r>
            <w:r w:rsidRPr="003B533D">
              <w:rPr>
                <w:rFonts w:eastAsiaTheme="minorHAnsi"/>
              </w:rPr>
              <w:t>-EU investīcijas ir cieši saistītas un daļēji turpina esošo SAM investīcijas ar mērķi mazināt Covid-19 pandēmijas sekas</w:t>
            </w:r>
            <w:r w:rsidR="004F70AB" w:rsidRPr="003B533D">
              <w:rPr>
                <w:rFonts w:eastAsiaTheme="minorHAnsi"/>
              </w:rPr>
              <w:t>. T</w:t>
            </w:r>
            <w:r w:rsidRPr="003B533D">
              <w:rPr>
                <w:rFonts w:eastAsiaTheme="minorHAnsi"/>
              </w:rPr>
              <w:t xml:space="preserve">ādēļ izvēlēts jauno IP SAM veidot </w:t>
            </w:r>
            <w:r w:rsidR="00D805F9" w:rsidRPr="003B533D">
              <w:rPr>
                <w:rFonts w:eastAsiaTheme="minorHAnsi"/>
              </w:rPr>
              <w:t xml:space="preserve">dalījumā pa </w:t>
            </w:r>
            <w:r w:rsidRPr="003B533D">
              <w:rPr>
                <w:rFonts w:eastAsiaTheme="minorHAnsi"/>
              </w:rPr>
              <w:t>ministrij</w:t>
            </w:r>
            <w:r w:rsidR="00D805F9" w:rsidRPr="003B533D">
              <w:rPr>
                <w:rFonts w:eastAsiaTheme="minorHAnsi"/>
              </w:rPr>
              <w:t>ām</w:t>
            </w:r>
            <w:r w:rsidR="00512933" w:rsidRPr="003B533D">
              <w:rPr>
                <w:rFonts w:eastAsiaTheme="minorHAnsi"/>
              </w:rPr>
              <w:t xml:space="preserve">, </w:t>
            </w:r>
            <w:r w:rsidR="004F70AB" w:rsidRPr="003B533D">
              <w:rPr>
                <w:rFonts w:eastAsiaTheme="minorHAnsi"/>
              </w:rPr>
              <w:t xml:space="preserve">lai </w:t>
            </w:r>
            <w:r w:rsidRPr="003B533D">
              <w:rPr>
                <w:rFonts w:eastAsiaTheme="minorHAnsi"/>
              </w:rPr>
              <w:t>katra ministrija atsevišķa SAM ietvaros nodrošinā</w:t>
            </w:r>
            <w:r w:rsidR="004F70AB" w:rsidRPr="003B533D">
              <w:rPr>
                <w:rFonts w:eastAsiaTheme="minorHAnsi"/>
              </w:rPr>
              <w:t>tu</w:t>
            </w:r>
            <w:r w:rsidRPr="003B533D">
              <w:rPr>
                <w:rFonts w:eastAsiaTheme="minorHAnsi"/>
              </w:rPr>
              <w:t xml:space="preserve"> atveseļošanas pasākumus savā nozarē un veicinā</w:t>
            </w:r>
            <w:r w:rsidR="004F70AB" w:rsidRPr="003B533D">
              <w:rPr>
                <w:rFonts w:eastAsiaTheme="minorHAnsi"/>
              </w:rPr>
              <w:t>tu</w:t>
            </w:r>
            <w:r w:rsidRPr="003B533D">
              <w:rPr>
                <w:rFonts w:eastAsiaTheme="minorHAnsi"/>
              </w:rPr>
              <w:t xml:space="preserve"> efektīvāku REACT-EU SAM integrēšan</w:t>
            </w:r>
            <w:r w:rsidR="004F70AB" w:rsidRPr="003B533D">
              <w:rPr>
                <w:rFonts w:eastAsiaTheme="minorHAnsi"/>
              </w:rPr>
              <w:t>u</w:t>
            </w:r>
            <w:r w:rsidRPr="003B533D">
              <w:rPr>
                <w:rFonts w:eastAsiaTheme="minorHAnsi"/>
              </w:rPr>
              <w:t xml:space="preserve"> un ieviešan</w:t>
            </w:r>
            <w:r w:rsidR="004F70AB" w:rsidRPr="003B533D">
              <w:rPr>
                <w:rFonts w:eastAsiaTheme="minorHAnsi"/>
              </w:rPr>
              <w:t>u</w:t>
            </w:r>
            <w:r w:rsidRPr="003B533D">
              <w:rPr>
                <w:rFonts w:eastAsiaTheme="minorHAnsi"/>
              </w:rPr>
              <w:t>.</w:t>
            </w:r>
            <w:r w:rsidR="008B558F" w:rsidRPr="003B533D">
              <w:rPr>
                <w:rFonts w:eastAsiaTheme="minorHAnsi"/>
              </w:rPr>
              <w:t xml:space="preserve"> Vienlaikus atbildīgā ministrija var izvēlēties integrēt REACT-EU investīcijas esošo SAM MK noteikumos vai </w:t>
            </w:r>
            <w:r w:rsidR="00223EAD" w:rsidRPr="003B533D">
              <w:rPr>
                <w:rFonts w:eastAsiaTheme="minorHAnsi"/>
              </w:rPr>
              <w:t>virzīt</w:t>
            </w:r>
            <w:r w:rsidR="008B558F" w:rsidRPr="003B533D">
              <w:rPr>
                <w:rFonts w:eastAsiaTheme="minorHAnsi"/>
              </w:rPr>
              <w:t xml:space="preserve"> jaunus MK noteikumus.</w:t>
            </w:r>
            <w:r w:rsidR="002B3DD8" w:rsidRPr="003B533D">
              <w:rPr>
                <w:rFonts w:eastAsiaTheme="minorHAnsi"/>
              </w:rPr>
              <w:t xml:space="preserve"> ES fondu atbildīgajām iestādēm un EAFVP vadošajai iestādei uzņemoties saistības, SAM MK </w:t>
            </w:r>
            <w:r w:rsidR="00FF4F65" w:rsidRPr="003B533D">
              <w:rPr>
                <w:rFonts w:eastAsiaTheme="minorHAnsi"/>
              </w:rPr>
              <w:t xml:space="preserve">noteikumu apstiprināšanas ietvaros MK (MK </w:t>
            </w:r>
            <w:proofErr w:type="spellStart"/>
            <w:r w:rsidR="00FF4F65" w:rsidRPr="003B533D">
              <w:rPr>
                <w:rFonts w:eastAsiaTheme="minorHAnsi"/>
              </w:rPr>
              <w:t>protokollēmumā</w:t>
            </w:r>
            <w:proofErr w:type="spellEnd"/>
            <w:r w:rsidR="00FF4F65" w:rsidRPr="003B533D">
              <w:rPr>
                <w:rFonts w:eastAsiaTheme="minorHAnsi"/>
              </w:rPr>
              <w:t xml:space="preserve">) </w:t>
            </w:r>
            <w:r w:rsidR="002B3DD8" w:rsidRPr="003B533D">
              <w:rPr>
                <w:rFonts w:eastAsiaTheme="minorHAnsi"/>
              </w:rPr>
              <w:t xml:space="preserve">jānodala finansējuma 2021.gada garantētā daļa un 2022.gada finansējuma apjoms, par ko vēl nav EK lēmuma, t.sk. izdalot </w:t>
            </w:r>
            <w:r w:rsidR="008F74C3" w:rsidRPr="003B533D">
              <w:rPr>
                <w:rFonts w:eastAsiaTheme="minorHAnsi"/>
              </w:rPr>
              <w:t xml:space="preserve">atsevišķi </w:t>
            </w:r>
            <w:r w:rsidR="00DC4B25" w:rsidRPr="003B533D">
              <w:rPr>
                <w:rFonts w:eastAsiaTheme="minorHAnsi"/>
              </w:rPr>
              <w:t xml:space="preserve">katra piešķīruma ietvaros </w:t>
            </w:r>
            <w:r w:rsidR="002B3DD8" w:rsidRPr="003B533D">
              <w:rPr>
                <w:rFonts w:eastAsiaTheme="minorHAnsi"/>
              </w:rPr>
              <w:t xml:space="preserve"> sasniedzamās rādītāju vērtības. </w:t>
            </w:r>
          </w:p>
          <w:p w14:paraId="3F95EB4E" w14:textId="77777777" w:rsidR="001524D6" w:rsidRPr="003B533D" w:rsidRDefault="001524D6" w:rsidP="00DC0ACA">
            <w:pPr>
              <w:spacing w:after="120"/>
              <w:ind w:right="112"/>
              <w:jc w:val="both"/>
              <w:rPr>
                <w:rFonts w:eastAsiaTheme="minorHAnsi"/>
              </w:rPr>
            </w:pPr>
          </w:p>
          <w:p w14:paraId="7570DD1C" w14:textId="77777777" w:rsidR="003D38DF" w:rsidRPr="003B533D" w:rsidRDefault="009C50CB" w:rsidP="003D38DF">
            <w:pPr>
              <w:spacing w:after="120"/>
              <w:ind w:right="112"/>
              <w:jc w:val="both"/>
              <w:rPr>
                <w:rFonts w:eastAsiaTheme="minorHAnsi"/>
                <w:b/>
              </w:rPr>
            </w:pPr>
            <w:r w:rsidRPr="003B533D">
              <w:rPr>
                <w:rFonts w:eastAsia="Calibri"/>
                <w:b/>
              </w:rPr>
              <w:t xml:space="preserve">II </w:t>
            </w:r>
            <w:r w:rsidR="003D38DF" w:rsidRPr="003B533D">
              <w:rPr>
                <w:rFonts w:eastAsia="Calibri"/>
              </w:rPr>
              <w:t>Pēc sākotnējām aplēsēm (balstoties uz  neoficiālo informāciju un virkni pieņēmumu</w:t>
            </w:r>
            <w:r w:rsidR="003D38DF" w:rsidRPr="003B533D">
              <w:rPr>
                <w:rStyle w:val="FootnoteReference"/>
                <w:rFonts w:eastAsia="Calibri"/>
              </w:rPr>
              <w:footnoteReference w:id="7"/>
            </w:r>
            <w:r w:rsidR="003D38DF" w:rsidRPr="003B533D">
              <w:rPr>
                <w:rFonts w:eastAsia="Calibri"/>
              </w:rPr>
              <w:t xml:space="preserve">) tika uzskatīts, ka REACT-EU finansējums, kas Latvijai pieejams līdz 2023. gada beigām  būs  </w:t>
            </w:r>
            <w:r w:rsidR="003D38DF" w:rsidRPr="003B533D">
              <w:rPr>
                <w:rFonts w:eastAsiaTheme="minorHAnsi"/>
                <w:b/>
              </w:rPr>
              <w:t xml:space="preserve">~ </w:t>
            </w:r>
            <w:r w:rsidR="003D38DF" w:rsidRPr="003B533D">
              <w:rPr>
                <w:rFonts w:eastAsia="Calibri"/>
              </w:rPr>
              <w:t xml:space="preserve">272 milj. </w:t>
            </w:r>
            <w:proofErr w:type="spellStart"/>
            <w:r w:rsidR="003D38DF" w:rsidRPr="003B533D">
              <w:rPr>
                <w:rFonts w:eastAsia="Calibri"/>
                <w:i/>
              </w:rPr>
              <w:t>euro</w:t>
            </w:r>
            <w:proofErr w:type="spellEnd"/>
            <w:r w:rsidR="003D38DF" w:rsidRPr="003B533D">
              <w:rPr>
                <w:rFonts w:eastAsia="Calibri"/>
              </w:rPr>
              <w:t xml:space="preserve"> ES fondu un </w:t>
            </w:r>
            <w:r w:rsidR="003D38DF" w:rsidRPr="003B533D">
              <w:rPr>
                <w:bCs/>
              </w:rPr>
              <w:t>EAFVP</w:t>
            </w:r>
            <w:r w:rsidR="003D38DF" w:rsidRPr="003B533D">
              <w:rPr>
                <w:rFonts w:eastAsia="Calibri"/>
              </w:rPr>
              <w:t xml:space="preserve"> finansējums. </w:t>
            </w:r>
            <w:r w:rsidR="003D38DF" w:rsidRPr="003B533D">
              <w:rPr>
                <w:rFonts w:eastAsiaTheme="minorHAnsi"/>
              </w:rPr>
              <w:t xml:space="preserve">Saskaņā ar EK regulējumu par </w:t>
            </w:r>
            <w:r w:rsidR="003D38DF" w:rsidRPr="003B533D">
              <w:rPr>
                <w:rFonts w:eastAsiaTheme="minorHAnsi"/>
                <w:b/>
              </w:rPr>
              <w:t>REACT-EU piešķīrumu dalībvalstīm EK lemj divās daļās:</w:t>
            </w:r>
          </w:p>
          <w:p w14:paraId="05DF69D8" w14:textId="77777777" w:rsidR="003D38DF" w:rsidRPr="003B533D" w:rsidRDefault="003D38DF" w:rsidP="00E521F3">
            <w:pPr>
              <w:pStyle w:val="ListParagraph"/>
              <w:numPr>
                <w:ilvl w:val="0"/>
                <w:numId w:val="30"/>
              </w:numPr>
              <w:spacing w:after="120" w:line="240" w:lineRule="auto"/>
              <w:ind w:right="113"/>
              <w:jc w:val="both"/>
              <w:rPr>
                <w:rFonts w:ascii="Times New Roman" w:hAnsi="Times New Roman" w:cs="Times New Roman"/>
                <w:sz w:val="24"/>
                <w:szCs w:val="24"/>
              </w:rPr>
            </w:pPr>
            <w:r w:rsidRPr="003B533D">
              <w:rPr>
                <w:rFonts w:ascii="Times New Roman" w:hAnsi="Times New Roman" w:cs="Times New Roman"/>
                <w:sz w:val="24"/>
                <w:szCs w:val="24"/>
              </w:rPr>
              <w:t xml:space="preserve"> </w:t>
            </w:r>
            <w:r w:rsidRPr="003B533D">
              <w:rPr>
                <w:rFonts w:ascii="Times New Roman" w:hAnsi="Times New Roman" w:cs="Times New Roman"/>
                <w:b/>
                <w:sz w:val="24"/>
                <w:szCs w:val="24"/>
              </w:rPr>
              <w:t xml:space="preserve">2021. gadā – </w:t>
            </w:r>
            <w:r w:rsidRPr="003B533D">
              <w:rPr>
                <w:rFonts w:ascii="Times New Roman" w:hAnsi="Times New Roman" w:cs="Times New Roman"/>
                <w:sz w:val="24"/>
                <w:szCs w:val="24"/>
              </w:rPr>
              <w:t>EK lēmums par 2021. gada REACT-EU piešķīruma apjomu Latvijai</w:t>
            </w:r>
            <w:r w:rsidRPr="003B533D">
              <w:rPr>
                <w:rStyle w:val="FootnoteReference"/>
                <w:rFonts w:ascii="Times New Roman" w:hAnsi="Times New Roman" w:cs="Times New Roman"/>
                <w:sz w:val="24"/>
                <w:szCs w:val="24"/>
              </w:rPr>
              <w:footnoteReference w:id="8"/>
            </w:r>
            <w:r w:rsidRPr="003B533D">
              <w:rPr>
                <w:rFonts w:ascii="Times New Roman" w:hAnsi="Times New Roman" w:cs="Times New Roman"/>
                <w:sz w:val="24"/>
                <w:szCs w:val="24"/>
              </w:rPr>
              <w:t xml:space="preserve"> ir saņemts 2021. gada 12. februārī, t.i. </w:t>
            </w:r>
            <w:r w:rsidRPr="003B533D">
              <w:rPr>
                <w:rFonts w:ascii="Times New Roman" w:hAnsi="Times New Roman" w:cs="Times New Roman"/>
                <w:b/>
                <w:sz w:val="24"/>
                <w:szCs w:val="24"/>
              </w:rPr>
              <w:t xml:space="preserve">uzskatāms par garantēto REACT-EU piešķīruma pirmo daļu </w:t>
            </w:r>
            <w:r w:rsidRPr="003B533D">
              <w:rPr>
                <w:rFonts w:ascii="Times New Roman" w:hAnsi="Times New Roman" w:cs="Times New Roman"/>
                <w:sz w:val="24"/>
                <w:szCs w:val="24"/>
              </w:rPr>
              <w:t xml:space="preserve">209 989 210 </w:t>
            </w:r>
            <w:proofErr w:type="spellStart"/>
            <w:r w:rsidRPr="003B533D">
              <w:rPr>
                <w:rFonts w:ascii="Times New Roman" w:hAnsi="Times New Roman" w:cs="Times New Roman"/>
                <w:i/>
                <w:iCs/>
                <w:sz w:val="24"/>
                <w:szCs w:val="24"/>
              </w:rPr>
              <w:t>euro</w:t>
            </w:r>
            <w:proofErr w:type="spellEnd"/>
            <w:r w:rsidRPr="003B533D">
              <w:rPr>
                <w:rFonts w:ascii="Times New Roman" w:hAnsi="Times New Roman" w:cs="Times New Roman"/>
                <w:sz w:val="24"/>
                <w:szCs w:val="24"/>
              </w:rPr>
              <w:t xml:space="preserve"> (faktiskajās cenās)</w:t>
            </w:r>
            <w:r w:rsidR="007B10AC" w:rsidRPr="003B533D">
              <w:rPr>
                <w:rFonts w:ascii="Times New Roman" w:hAnsi="Times New Roman" w:cs="Times New Roman"/>
                <w:sz w:val="24"/>
                <w:szCs w:val="24"/>
              </w:rPr>
              <w:t xml:space="preserve">, t.sk. ar šo MK rīkojumu  </w:t>
            </w:r>
            <w:r w:rsidRPr="003B533D">
              <w:rPr>
                <w:rFonts w:ascii="Times New Roman" w:hAnsi="Times New Roman" w:cs="Times New Roman"/>
                <w:b/>
                <w:sz w:val="24"/>
                <w:szCs w:val="24"/>
              </w:rPr>
              <w:lastRenderedPageBreak/>
              <w:t xml:space="preserve">203 865 831 </w:t>
            </w:r>
            <w:proofErr w:type="spellStart"/>
            <w:r w:rsidRPr="003B533D">
              <w:rPr>
                <w:rFonts w:ascii="Times New Roman" w:hAnsi="Times New Roman" w:cs="Times New Roman"/>
                <w:b/>
                <w:i/>
                <w:iCs/>
                <w:sz w:val="24"/>
                <w:szCs w:val="24"/>
              </w:rPr>
              <w:t>euro</w:t>
            </w:r>
            <w:proofErr w:type="spellEnd"/>
            <w:r w:rsidRPr="003B533D">
              <w:rPr>
                <w:rFonts w:ascii="Times New Roman" w:hAnsi="Times New Roman" w:cs="Times New Roman"/>
                <w:b/>
                <w:sz w:val="24"/>
                <w:szCs w:val="24"/>
              </w:rPr>
              <w:t xml:space="preserve"> REACT-EU finansējuma tiek novirzīt</w:t>
            </w:r>
            <w:r w:rsidR="007B10AC" w:rsidRPr="003B533D">
              <w:rPr>
                <w:rFonts w:ascii="Times New Roman" w:hAnsi="Times New Roman" w:cs="Times New Roman"/>
                <w:b/>
                <w:sz w:val="24"/>
                <w:szCs w:val="24"/>
              </w:rPr>
              <w:t>s</w:t>
            </w:r>
            <w:r w:rsidRPr="003B533D">
              <w:rPr>
                <w:rFonts w:ascii="Times New Roman" w:hAnsi="Times New Roman" w:cs="Times New Roman"/>
                <w:b/>
                <w:sz w:val="24"/>
                <w:szCs w:val="24"/>
              </w:rPr>
              <w:t xml:space="preserve"> uz darbības programmu “Izaugsme un nodarbinātība”,</w:t>
            </w:r>
            <w:r w:rsidRPr="003B533D">
              <w:rPr>
                <w:rFonts w:ascii="Times New Roman" w:hAnsi="Times New Roman" w:cs="Times New Roman"/>
                <w:sz w:val="24"/>
                <w:szCs w:val="24"/>
              </w:rPr>
              <w:t xml:space="preserve"> savukārt, </w:t>
            </w:r>
            <w:r w:rsidR="00E521F3" w:rsidRPr="003B533D">
              <w:rPr>
                <w:rFonts w:ascii="Times New Roman" w:hAnsi="Times New Roman" w:cs="Times New Roman"/>
                <w:sz w:val="24"/>
                <w:szCs w:val="24"/>
              </w:rPr>
              <w:t xml:space="preserve">6 123 379 </w:t>
            </w:r>
            <w:proofErr w:type="spellStart"/>
            <w:r w:rsidR="00E521F3" w:rsidRPr="003B533D">
              <w:rPr>
                <w:rFonts w:ascii="Times New Roman" w:hAnsi="Times New Roman" w:cs="Times New Roman"/>
                <w:i/>
                <w:sz w:val="24"/>
                <w:szCs w:val="24"/>
              </w:rPr>
              <w:t>euro</w:t>
            </w:r>
            <w:proofErr w:type="spellEnd"/>
            <w:r w:rsidR="00E521F3" w:rsidRPr="003B533D">
              <w:rPr>
                <w:rFonts w:ascii="Times New Roman" w:hAnsi="Times New Roman" w:cs="Times New Roman"/>
                <w:sz w:val="24"/>
                <w:szCs w:val="24"/>
              </w:rPr>
              <w:t xml:space="preserve"> </w:t>
            </w:r>
            <w:r w:rsidRPr="003B533D">
              <w:rPr>
                <w:rFonts w:ascii="Times New Roman" w:eastAsia="Calibri" w:hAnsi="Times New Roman" w:cs="Times New Roman"/>
                <w:sz w:val="24"/>
                <w:szCs w:val="24"/>
              </w:rPr>
              <w:t xml:space="preserve">darbības programmu “Pārtikas un pamata materiālās palīdzības sniegšana vistrūcīgākajām personām 2014.–2020.gada plānošanas periodā”; </w:t>
            </w:r>
            <w:r w:rsidRPr="003B533D">
              <w:rPr>
                <w:rFonts w:ascii="Times New Roman" w:hAnsi="Times New Roman" w:cs="Times New Roman"/>
                <w:sz w:val="24"/>
                <w:szCs w:val="24"/>
              </w:rPr>
              <w:t xml:space="preserve">  </w:t>
            </w:r>
          </w:p>
          <w:p w14:paraId="66EC41E2" w14:textId="42412F72" w:rsidR="003D38DF" w:rsidRPr="003B533D" w:rsidRDefault="003D38DF" w:rsidP="003D38DF">
            <w:pPr>
              <w:pStyle w:val="ListParagraph"/>
              <w:numPr>
                <w:ilvl w:val="0"/>
                <w:numId w:val="30"/>
              </w:numPr>
              <w:spacing w:after="120" w:line="240" w:lineRule="auto"/>
              <w:ind w:left="714" w:right="113" w:hanging="357"/>
              <w:jc w:val="both"/>
              <w:rPr>
                <w:rFonts w:ascii="Times New Roman" w:hAnsi="Times New Roman" w:cs="Times New Roman"/>
                <w:sz w:val="24"/>
                <w:szCs w:val="24"/>
              </w:rPr>
            </w:pPr>
            <w:r w:rsidRPr="003B533D">
              <w:rPr>
                <w:rFonts w:ascii="Times New Roman" w:hAnsi="Times New Roman" w:cs="Times New Roman"/>
                <w:b/>
                <w:sz w:val="24"/>
                <w:szCs w:val="24"/>
              </w:rPr>
              <w:t xml:space="preserve">2022. gada </w:t>
            </w:r>
            <w:r w:rsidR="006157A8" w:rsidRPr="003B533D">
              <w:rPr>
                <w:rFonts w:ascii="Times New Roman" w:hAnsi="Times New Roman" w:cs="Times New Roman"/>
                <w:sz w:val="24"/>
                <w:szCs w:val="24"/>
              </w:rPr>
              <w:t>piešķīruma</w:t>
            </w:r>
            <w:r w:rsidRPr="003B533D">
              <w:rPr>
                <w:rFonts w:ascii="Times New Roman" w:hAnsi="Times New Roman" w:cs="Times New Roman"/>
                <w:sz w:val="24"/>
                <w:szCs w:val="24"/>
              </w:rPr>
              <w:t xml:space="preserve"> apjoms apmēram 62 010 790 milj. </w:t>
            </w:r>
            <w:proofErr w:type="spellStart"/>
            <w:r w:rsidRPr="003B533D">
              <w:rPr>
                <w:rFonts w:ascii="Times New Roman" w:hAnsi="Times New Roman" w:cs="Times New Roman"/>
                <w:i/>
                <w:iCs/>
                <w:sz w:val="24"/>
                <w:szCs w:val="24"/>
              </w:rPr>
              <w:t>euro</w:t>
            </w:r>
            <w:proofErr w:type="spellEnd"/>
            <w:r w:rsidRPr="003B533D">
              <w:rPr>
                <w:rFonts w:ascii="Times New Roman" w:hAnsi="Times New Roman" w:cs="Times New Roman"/>
                <w:sz w:val="24"/>
                <w:szCs w:val="24"/>
              </w:rPr>
              <w:t xml:space="preserve"> (starpība starp 272 000 000 milj. </w:t>
            </w:r>
            <w:proofErr w:type="spellStart"/>
            <w:r w:rsidRPr="003B533D">
              <w:rPr>
                <w:rFonts w:ascii="Times New Roman" w:hAnsi="Times New Roman" w:cs="Times New Roman"/>
                <w:i/>
                <w:iCs/>
                <w:sz w:val="24"/>
                <w:szCs w:val="24"/>
              </w:rPr>
              <w:t>euro</w:t>
            </w:r>
            <w:proofErr w:type="spellEnd"/>
            <w:r w:rsidRPr="003B533D">
              <w:rPr>
                <w:rFonts w:ascii="Times New Roman" w:hAnsi="Times New Roman" w:cs="Times New Roman"/>
                <w:sz w:val="24"/>
                <w:szCs w:val="24"/>
              </w:rPr>
              <w:t xml:space="preserve"> un 209 989</w:t>
            </w:r>
            <w:r w:rsidR="00C14620" w:rsidRPr="003B533D">
              <w:rPr>
                <w:rFonts w:ascii="Times New Roman" w:hAnsi="Times New Roman" w:cs="Times New Roman"/>
                <w:sz w:val="24"/>
                <w:szCs w:val="24"/>
              </w:rPr>
              <w:t> </w:t>
            </w:r>
            <w:r w:rsidRPr="003B533D">
              <w:rPr>
                <w:rFonts w:ascii="Times New Roman" w:hAnsi="Times New Roman" w:cs="Times New Roman"/>
                <w:sz w:val="24"/>
                <w:szCs w:val="24"/>
              </w:rPr>
              <w:t>210</w:t>
            </w:r>
            <w:r w:rsidR="00C14620" w:rsidRPr="003B533D">
              <w:rPr>
                <w:rFonts w:ascii="Times New Roman" w:hAnsi="Times New Roman" w:cs="Times New Roman"/>
                <w:sz w:val="24"/>
                <w:szCs w:val="24"/>
              </w:rPr>
              <w:t xml:space="preserve"> </w:t>
            </w:r>
            <w:r w:rsidRPr="003B533D">
              <w:rPr>
                <w:rFonts w:ascii="Times New Roman" w:hAnsi="Times New Roman" w:cs="Times New Roman"/>
                <w:sz w:val="24"/>
                <w:szCs w:val="24"/>
              </w:rPr>
              <w:t xml:space="preserve">milj. </w:t>
            </w:r>
            <w:proofErr w:type="spellStart"/>
            <w:r w:rsidRPr="003B533D">
              <w:rPr>
                <w:rFonts w:ascii="Times New Roman" w:hAnsi="Times New Roman" w:cs="Times New Roman"/>
                <w:i/>
                <w:iCs/>
                <w:sz w:val="24"/>
                <w:szCs w:val="24"/>
              </w:rPr>
              <w:t>euro</w:t>
            </w:r>
            <w:proofErr w:type="spellEnd"/>
            <w:r w:rsidRPr="003B533D">
              <w:rPr>
                <w:rFonts w:ascii="Times New Roman" w:hAnsi="Times New Roman" w:cs="Times New Roman"/>
                <w:sz w:val="24"/>
                <w:szCs w:val="24"/>
              </w:rPr>
              <w:t xml:space="preserve">) ir indikatīvs un galīgā pieejamā 2022. gada finansējuma daļa tiks aprēķināta ne ātrāk kā 2021. gada rudenī, par kuru tiks saņemts atsevišķs EK lēmums. </w:t>
            </w:r>
            <w:r w:rsidRPr="003B533D">
              <w:rPr>
                <w:rFonts w:ascii="Times New Roman" w:eastAsia="Calibri" w:hAnsi="Times New Roman" w:cs="Times New Roman"/>
                <w:sz w:val="24"/>
                <w:szCs w:val="24"/>
              </w:rPr>
              <w:t>Vienlaikus, šobrīd, vērojot sociālekonomisko rādītāju attīstību, var prognozēt Latvijas relatīvās daļas un attiecīgi summas samazinājumu 2022. gada kopējā piešķīrumā par labu tām ES dalībvalstīm, kur IKP kritums un bezdarba pieaugums ir lielāks.</w:t>
            </w:r>
            <w:r w:rsidRPr="003B533D">
              <w:rPr>
                <w:rFonts w:ascii="Times New Roman" w:hAnsi="Times New Roman" w:cs="Times New Roman"/>
                <w:sz w:val="24"/>
                <w:szCs w:val="24"/>
              </w:rPr>
              <w:t xml:space="preserve"> </w:t>
            </w:r>
          </w:p>
          <w:p w14:paraId="10A860B5" w14:textId="77777777" w:rsidR="003D38DF" w:rsidRPr="003B533D" w:rsidRDefault="003D38DF" w:rsidP="003D38DF">
            <w:pPr>
              <w:spacing w:after="120"/>
              <w:ind w:right="112"/>
              <w:jc w:val="both"/>
              <w:rPr>
                <w:rFonts w:eastAsiaTheme="minorHAnsi"/>
              </w:rPr>
            </w:pPr>
            <w:r w:rsidRPr="003B533D">
              <w:rPr>
                <w:rFonts w:eastAsiaTheme="minorHAnsi"/>
              </w:rPr>
              <w:t xml:space="preserve">Ņemot vērā to, ka </w:t>
            </w:r>
            <w:r w:rsidR="006157A8" w:rsidRPr="003B533D">
              <w:rPr>
                <w:rFonts w:eastAsiaTheme="minorHAnsi"/>
              </w:rPr>
              <w:t xml:space="preserve">EK </w:t>
            </w:r>
            <w:r w:rsidRPr="003B533D">
              <w:rPr>
                <w:rFonts w:eastAsiaTheme="minorHAnsi"/>
              </w:rPr>
              <w:t xml:space="preserve">vēl nav pieņemts lēmums par 2022. gada REACT-EU finansējuma apjomu, Latvija </w:t>
            </w:r>
            <w:r w:rsidR="006157A8" w:rsidRPr="003B533D">
              <w:rPr>
                <w:rFonts w:eastAsiaTheme="minorHAnsi"/>
              </w:rPr>
              <w:t xml:space="preserve">var iesniegt </w:t>
            </w:r>
            <w:r w:rsidRPr="003B533D">
              <w:rPr>
                <w:rFonts w:eastAsiaTheme="minorHAnsi"/>
              </w:rPr>
              <w:t xml:space="preserve">EK un tās datu apmaiņas sistēmā SFC2014 darbības programmas grozījumus tikai par 2021. gada ietvaros pieejamo finansējumu. Neskatoties uz to, </w:t>
            </w:r>
            <w:r w:rsidRPr="003B533D">
              <w:rPr>
                <w:rFonts w:eastAsiaTheme="minorHAnsi"/>
                <w:b/>
                <w:bCs/>
              </w:rPr>
              <w:t xml:space="preserve">apzinoties </w:t>
            </w:r>
            <w:r w:rsidRPr="003B533D">
              <w:rPr>
                <w:b/>
                <w:bCs/>
              </w:rPr>
              <w:t>COVID-19 krīzes radīto ietekmi uz tautsaimniecību un REACT-EU ietvaros paredzētos īsos projektu ieviešanas termiņus</w:t>
            </w:r>
            <w:r w:rsidRPr="003B533D">
              <w:t xml:space="preserve">, </w:t>
            </w:r>
            <w:r w:rsidRPr="003B533D">
              <w:rPr>
                <w:b/>
              </w:rPr>
              <w:t>FM šobrīd iesniedz izskatīšanai un apstiprināšanai MK atbalstāmo pasākumu kopumu par visu potenciāli  pieejamo finansējumu REACT-EU ietvaros</w:t>
            </w:r>
            <w:r w:rsidRPr="003B533D">
              <w:t xml:space="preserve">, t.sk. iezīmējot jau 2022. gada ietvaros indikatīvi pieejamā finansējuma apjomu (kāds tas bija balstoties uz 2020. gada vasarā pieejamajiem datiem). Gadījumā, ja EK </w:t>
            </w:r>
            <w:r w:rsidRPr="003B533D">
              <w:rPr>
                <w:rFonts w:eastAsiaTheme="minorHAnsi"/>
              </w:rPr>
              <w:t>lēmuma summa būs atšķirīga no nacionālā līmenī apstiprinātās REACT-EU kopsummas, pēc EK lēmuma par 2022. gada piešķīruma apjomu saņemšanas, Latvijai būs jāveic nākamie grozījumi darbības programmā, specifiskā atbalsta mērķu līmenī iezīmējot piešķiramā finansējuma apjomu un piedāvājot risinājumus</w:t>
            </w:r>
            <w:r w:rsidR="00FF7961" w:rsidRPr="003B533D">
              <w:rPr>
                <w:rFonts w:eastAsiaTheme="minorHAnsi"/>
              </w:rPr>
              <w:t xml:space="preserve"> </w:t>
            </w:r>
            <w:r w:rsidR="000426BA" w:rsidRPr="003B533D">
              <w:rPr>
                <w:rFonts w:eastAsiaTheme="minorHAnsi"/>
              </w:rPr>
              <w:t xml:space="preserve">(kā piemēram, </w:t>
            </w:r>
            <w:r w:rsidR="00FF7961" w:rsidRPr="003B533D">
              <w:rPr>
                <w:rFonts w:eastAsiaTheme="minorHAnsi"/>
              </w:rPr>
              <w:t xml:space="preserve">daļu summas </w:t>
            </w:r>
            <w:r w:rsidR="000426BA" w:rsidRPr="003B533D">
              <w:rPr>
                <w:rFonts w:eastAsiaTheme="minorHAnsi"/>
              </w:rPr>
              <w:t>iezīmējot</w:t>
            </w:r>
            <w:r w:rsidR="00FF7961" w:rsidRPr="003B533D">
              <w:rPr>
                <w:rFonts w:eastAsiaTheme="minorHAnsi"/>
              </w:rPr>
              <w:t xml:space="preserve"> kā</w:t>
            </w:r>
            <w:r w:rsidR="000426BA" w:rsidRPr="003B533D">
              <w:rPr>
                <w:rFonts w:eastAsiaTheme="minorHAnsi"/>
              </w:rPr>
              <w:t xml:space="preserve"> </w:t>
            </w:r>
            <w:proofErr w:type="spellStart"/>
            <w:r w:rsidR="000426BA" w:rsidRPr="003B533D">
              <w:rPr>
                <w:rFonts w:eastAsiaTheme="minorHAnsi"/>
              </w:rPr>
              <w:t>virssaistības</w:t>
            </w:r>
            <w:proofErr w:type="spellEnd"/>
            <w:r w:rsidR="000426BA" w:rsidRPr="003B533D">
              <w:rPr>
                <w:rFonts w:eastAsiaTheme="minorHAnsi"/>
              </w:rPr>
              <w:t xml:space="preserve"> REACT-EU tematiskajos mērķos darbības programmu līmenī)</w:t>
            </w:r>
            <w:r w:rsidRPr="003B533D">
              <w:rPr>
                <w:rFonts w:eastAsiaTheme="minorHAnsi"/>
              </w:rPr>
              <w:t>.</w:t>
            </w:r>
            <w:r w:rsidR="008F3B2E" w:rsidRPr="003B533D">
              <w:t xml:space="preserve"> </w:t>
            </w:r>
            <w:r w:rsidR="008F3B2E" w:rsidRPr="003B533D">
              <w:rPr>
                <w:rFonts w:eastAsiaTheme="minorHAnsi"/>
              </w:rPr>
              <w:t xml:space="preserve">Uzņemoties saistības par visu indikatīvi pieejamo REACT-EU finansējumu, uz darbības programmas “Izaugsme un nodarbinātība” 13. PV “Pasākumi Covid-19 pandēmijas seku mazināšanai (ERAF)” un  14. PV “Pasākumi Covid-19 pandēmijas seku mazināšanai (ESF)” attiecas </w:t>
            </w:r>
            <w:proofErr w:type="spellStart"/>
            <w:r w:rsidR="008F3B2E" w:rsidRPr="003B533D">
              <w:rPr>
                <w:rFonts w:eastAsiaTheme="minorHAnsi"/>
              </w:rPr>
              <w:t>virssaistību</w:t>
            </w:r>
            <w:proofErr w:type="spellEnd"/>
            <w:r w:rsidR="008F3B2E" w:rsidRPr="003B533D">
              <w:rPr>
                <w:rFonts w:eastAsiaTheme="minorHAnsi"/>
              </w:rPr>
              <w:t xml:space="preserve"> ietekmes uz budžetu kompensējošie pasākumi atbilstoši MK 2020. gada 22. septembra sēdes protokola Nr. 55 30.§ 2.1. un 2.2. punktam – projektos atbrīvoto finansējumu nedrīkst pārdalīt projektiem vai jaunām projekta darbībām, izņemot tikai ar atsevišķu MK lēmumu. </w:t>
            </w:r>
            <w:r w:rsidR="00182714" w:rsidRPr="003B533D">
              <w:rPr>
                <w:rFonts w:eastAsiaTheme="minorHAnsi"/>
              </w:rPr>
              <w:t>Attiecīgi FM rosina MK lemt atļaut</w:t>
            </w:r>
            <w:r w:rsidR="008F3B2E" w:rsidRPr="003B533D">
              <w:rPr>
                <w:rFonts w:eastAsiaTheme="minorHAnsi"/>
              </w:rPr>
              <w:t xml:space="preserve"> izņēmumu, ņemot vērā, ka REACT-EU prioritāro virzienu deklarējamo izdevumu iztrūkumu</w:t>
            </w:r>
            <w:r w:rsidR="008F3B2E" w:rsidRPr="003B533D">
              <w:rPr>
                <w:rStyle w:val="FootnoteReference"/>
                <w:rFonts w:eastAsiaTheme="minorHAnsi"/>
              </w:rPr>
              <w:footnoteReference w:id="9"/>
            </w:r>
            <w:r w:rsidR="008F3B2E" w:rsidRPr="003B533D">
              <w:rPr>
                <w:rFonts w:eastAsiaTheme="minorHAnsi"/>
              </w:rPr>
              <w:t xml:space="preserve">  nevar kompensēt ar citu prioritāro virzienu deklarējamo izdevumu pārsniegumu</w:t>
            </w:r>
            <w:r w:rsidR="008F3B2E" w:rsidRPr="003B533D">
              <w:rPr>
                <w:rStyle w:val="FootnoteReference"/>
                <w:rFonts w:eastAsiaTheme="minorHAnsi"/>
              </w:rPr>
              <w:footnoteReference w:id="10"/>
            </w:r>
            <w:r w:rsidR="008F3B2E" w:rsidRPr="003B533D">
              <w:rPr>
                <w:rFonts w:eastAsiaTheme="minorHAnsi"/>
              </w:rPr>
              <w:t>.</w:t>
            </w:r>
            <w:r w:rsidR="008F3B2E" w:rsidRPr="003B533D" w:rsidDel="008F3B2E">
              <w:rPr>
                <w:rFonts w:eastAsiaTheme="minorHAnsi"/>
              </w:rPr>
              <w:t xml:space="preserve"> </w:t>
            </w:r>
          </w:p>
          <w:p w14:paraId="2692BEEC" w14:textId="77777777" w:rsidR="003D38DF" w:rsidRPr="003B533D" w:rsidRDefault="003D38DF" w:rsidP="00DC0ACA">
            <w:pPr>
              <w:spacing w:after="120"/>
              <w:ind w:right="112"/>
              <w:jc w:val="both"/>
              <w:rPr>
                <w:rFonts w:eastAsia="Calibri"/>
                <w:b/>
              </w:rPr>
            </w:pPr>
          </w:p>
          <w:p w14:paraId="66B31BEE" w14:textId="77777777" w:rsidR="00CD6ADB" w:rsidRPr="003B533D" w:rsidRDefault="003D38DF" w:rsidP="00DC0ACA">
            <w:pPr>
              <w:spacing w:after="120"/>
              <w:ind w:right="112"/>
              <w:jc w:val="both"/>
              <w:rPr>
                <w:rFonts w:eastAsiaTheme="minorHAnsi"/>
              </w:rPr>
            </w:pPr>
            <w:r w:rsidRPr="003B533D">
              <w:rPr>
                <w:rFonts w:eastAsia="Calibri"/>
                <w:b/>
              </w:rPr>
              <w:lastRenderedPageBreak/>
              <w:t xml:space="preserve">III </w:t>
            </w:r>
            <w:r w:rsidR="003E598F" w:rsidRPr="003B533D">
              <w:rPr>
                <w:rFonts w:eastAsia="Calibri"/>
                <w:b/>
              </w:rPr>
              <w:t>Papildus</w:t>
            </w:r>
            <w:r w:rsidR="00F00EDC" w:rsidRPr="003B533D">
              <w:rPr>
                <w:rFonts w:eastAsia="Calibri"/>
              </w:rPr>
              <w:t xml:space="preserve"> ar darbības programmas “Izaugsme un nodarbinātība” grozījumiem REACT-EU atbalsta iekļaušanai ir veikti</w:t>
            </w:r>
            <w:r w:rsidR="00E718C5" w:rsidRPr="003B533D">
              <w:rPr>
                <w:rFonts w:eastAsiaTheme="minorHAnsi"/>
              </w:rPr>
              <w:t xml:space="preserve"> arī </w:t>
            </w:r>
            <w:r w:rsidR="00353032" w:rsidRPr="003B533D">
              <w:rPr>
                <w:rFonts w:eastAsiaTheme="minorHAnsi"/>
                <w:b/>
              </w:rPr>
              <w:t>atsevišķi citi</w:t>
            </w:r>
            <w:r w:rsidR="0037429B" w:rsidRPr="003B533D">
              <w:rPr>
                <w:rFonts w:eastAsiaTheme="minorHAnsi"/>
                <w:b/>
              </w:rPr>
              <w:t xml:space="preserve"> ES fondu finansējuma </w:t>
            </w:r>
            <w:r w:rsidR="009C50CB" w:rsidRPr="003B533D">
              <w:rPr>
                <w:rFonts w:eastAsiaTheme="minorHAnsi"/>
                <w:b/>
              </w:rPr>
              <w:t xml:space="preserve">izmantošanas </w:t>
            </w:r>
            <w:r w:rsidR="00353032" w:rsidRPr="003B533D">
              <w:rPr>
                <w:rFonts w:eastAsiaTheme="minorHAnsi"/>
                <w:b/>
              </w:rPr>
              <w:t>grozījumi</w:t>
            </w:r>
            <w:r w:rsidR="00E42CBC" w:rsidRPr="003B533D">
              <w:rPr>
                <w:rFonts w:eastAsiaTheme="minorHAnsi"/>
              </w:rPr>
              <w:t>, kas paredz</w:t>
            </w:r>
            <w:r w:rsidR="00353032" w:rsidRPr="003B533D">
              <w:rPr>
                <w:rFonts w:eastAsiaTheme="minorHAnsi"/>
              </w:rPr>
              <w:t>:</w:t>
            </w:r>
          </w:p>
          <w:p w14:paraId="00435C25" w14:textId="77777777" w:rsidR="00B124F8" w:rsidRPr="003B533D" w:rsidRDefault="00B124F8" w:rsidP="00B124F8">
            <w:pPr>
              <w:pStyle w:val="ListParagraph"/>
              <w:numPr>
                <w:ilvl w:val="0"/>
                <w:numId w:val="26"/>
              </w:numPr>
              <w:spacing w:after="0" w:line="240" w:lineRule="auto"/>
              <w:ind w:right="112"/>
              <w:jc w:val="both"/>
              <w:rPr>
                <w:rFonts w:ascii="Times New Roman" w:eastAsia="Times New Roman" w:hAnsi="Times New Roman" w:cs="Times New Roman"/>
                <w:color w:val="000000" w:themeColor="text1"/>
                <w:sz w:val="24"/>
                <w:szCs w:val="24"/>
              </w:rPr>
            </w:pPr>
            <w:r w:rsidRPr="003B533D">
              <w:rPr>
                <w:rFonts w:ascii="Times New Roman" w:hAnsi="Times New Roman" w:cs="Times New Roman"/>
                <w:sz w:val="24"/>
                <w:szCs w:val="24"/>
              </w:rPr>
              <w:t>1.</w:t>
            </w:r>
            <w:r w:rsidR="0048306D" w:rsidRPr="003B533D">
              <w:rPr>
                <w:rFonts w:ascii="Times New Roman" w:hAnsi="Times New Roman" w:cs="Times New Roman"/>
                <w:sz w:val="24"/>
                <w:szCs w:val="24"/>
              </w:rPr>
              <w:t> </w:t>
            </w:r>
            <w:r w:rsidRPr="003B533D">
              <w:rPr>
                <w:rFonts w:ascii="Times New Roman" w:hAnsi="Times New Roman" w:cs="Times New Roman"/>
                <w:sz w:val="24"/>
                <w:szCs w:val="24"/>
              </w:rPr>
              <w:t>prioritārajā virzienā “Mazo un vidējo komersantu konkurētspēja” (turpmāk – 1.</w:t>
            </w:r>
            <w:r w:rsidR="0048306D" w:rsidRPr="003B533D">
              <w:rPr>
                <w:rFonts w:ascii="Times New Roman" w:hAnsi="Times New Roman" w:cs="Times New Roman"/>
                <w:sz w:val="24"/>
                <w:szCs w:val="24"/>
              </w:rPr>
              <w:t> </w:t>
            </w:r>
            <w:r w:rsidRPr="003B533D">
              <w:rPr>
                <w:rFonts w:ascii="Times New Roman" w:hAnsi="Times New Roman" w:cs="Times New Roman"/>
                <w:sz w:val="24"/>
                <w:szCs w:val="24"/>
              </w:rPr>
              <w:t xml:space="preserve">PV)  </w:t>
            </w:r>
            <w:r w:rsidR="00954D60" w:rsidRPr="003B533D">
              <w:rPr>
                <w:rFonts w:ascii="Times New Roman" w:hAnsi="Times New Roman" w:cs="Times New Roman"/>
                <w:sz w:val="24"/>
                <w:szCs w:val="24"/>
              </w:rPr>
              <w:t>ERAF</w:t>
            </w:r>
            <w:r w:rsidRPr="003B533D">
              <w:rPr>
                <w:rFonts w:ascii="Times New Roman" w:hAnsi="Times New Roman" w:cs="Times New Roman"/>
                <w:sz w:val="24"/>
                <w:szCs w:val="24"/>
              </w:rPr>
              <w:t xml:space="preserve"> finansējumu </w:t>
            </w:r>
            <w:r w:rsidRPr="003B533D">
              <w:rPr>
                <w:rFonts w:ascii="Times New Roman" w:eastAsia="Times New Roman" w:hAnsi="Times New Roman" w:cs="Times New Roman"/>
                <w:b/>
                <w:color w:val="000000" w:themeColor="text1"/>
                <w:sz w:val="24"/>
                <w:szCs w:val="24"/>
              </w:rPr>
              <w:t xml:space="preserve">42 511 063 </w:t>
            </w:r>
            <w:proofErr w:type="spellStart"/>
            <w:r w:rsidRPr="003B533D">
              <w:rPr>
                <w:rFonts w:ascii="Times New Roman" w:eastAsia="Times New Roman" w:hAnsi="Times New Roman" w:cs="Times New Roman"/>
                <w:i/>
                <w:color w:val="000000" w:themeColor="text1"/>
                <w:sz w:val="24"/>
                <w:szCs w:val="24"/>
              </w:rPr>
              <w:t>euro</w:t>
            </w:r>
            <w:proofErr w:type="spellEnd"/>
            <w:r w:rsidRPr="003B533D">
              <w:rPr>
                <w:rFonts w:ascii="Times New Roman" w:eastAsia="Times New Roman" w:hAnsi="Times New Roman" w:cs="Times New Roman"/>
                <w:color w:val="000000" w:themeColor="text1"/>
                <w:sz w:val="24"/>
                <w:szCs w:val="24"/>
              </w:rPr>
              <w:t xml:space="preserve"> (kopā no 1.2.1.3.</w:t>
            </w:r>
            <w:r w:rsidR="0048306D" w:rsidRPr="003B533D">
              <w:rPr>
                <w:rFonts w:ascii="Times New Roman" w:eastAsia="Times New Roman" w:hAnsi="Times New Roman" w:cs="Times New Roman"/>
                <w:color w:val="000000" w:themeColor="text1"/>
                <w:sz w:val="24"/>
                <w:szCs w:val="24"/>
              </w:rPr>
              <w:t> </w:t>
            </w:r>
            <w:r w:rsidRPr="003B533D">
              <w:rPr>
                <w:rFonts w:ascii="Times New Roman" w:eastAsia="Times New Roman" w:hAnsi="Times New Roman" w:cs="Times New Roman"/>
                <w:color w:val="000000" w:themeColor="text1"/>
                <w:sz w:val="24"/>
                <w:szCs w:val="24"/>
              </w:rPr>
              <w:t>pasākuma “</w:t>
            </w:r>
            <w:r w:rsidRPr="003B533D">
              <w:rPr>
                <w:rFonts w:ascii="Times New Roman" w:eastAsia="Times New Roman" w:hAnsi="Times New Roman" w:cs="Times New Roman"/>
                <w:sz w:val="24"/>
                <w:szCs w:val="24"/>
              </w:rPr>
              <w:t>Aizdevumiem un to procentu likmju subsīdijām komersantiem konkurētspējas veicināšanai</w:t>
            </w:r>
            <w:r w:rsidRPr="003B533D">
              <w:rPr>
                <w:rFonts w:ascii="Times New Roman" w:eastAsia="Times New Roman" w:hAnsi="Times New Roman" w:cs="Times New Roman"/>
                <w:color w:val="000000" w:themeColor="text1"/>
                <w:sz w:val="24"/>
                <w:szCs w:val="24"/>
              </w:rPr>
              <w:t>” un 1.2.1.4.</w:t>
            </w:r>
            <w:r w:rsidR="0048306D" w:rsidRPr="003B533D">
              <w:rPr>
                <w:rFonts w:ascii="Times New Roman" w:eastAsia="Times New Roman" w:hAnsi="Times New Roman" w:cs="Times New Roman"/>
                <w:color w:val="000000" w:themeColor="text1"/>
                <w:sz w:val="24"/>
                <w:szCs w:val="24"/>
              </w:rPr>
              <w:t> </w:t>
            </w:r>
            <w:r w:rsidRPr="003B533D">
              <w:rPr>
                <w:rFonts w:ascii="Times New Roman" w:eastAsia="Times New Roman" w:hAnsi="Times New Roman" w:cs="Times New Roman"/>
                <w:color w:val="000000" w:themeColor="text1"/>
                <w:sz w:val="24"/>
                <w:szCs w:val="24"/>
              </w:rPr>
              <w:t xml:space="preserve">pasākuma “Atbalsts jaunu produktu ieviešanai ražošanā”) novirzīt </w:t>
            </w:r>
            <w:r w:rsidRPr="003B533D">
              <w:rPr>
                <w:rFonts w:ascii="Times New Roman" w:hAnsi="Times New Roman" w:cs="Times New Roman"/>
                <w:sz w:val="24"/>
                <w:szCs w:val="24"/>
              </w:rPr>
              <w:t>3.</w:t>
            </w:r>
            <w:r w:rsidR="0048306D" w:rsidRPr="003B533D">
              <w:rPr>
                <w:rFonts w:ascii="Times New Roman" w:hAnsi="Times New Roman" w:cs="Times New Roman"/>
                <w:sz w:val="24"/>
                <w:szCs w:val="24"/>
              </w:rPr>
              <w:t> </w:t>
            </w:r>
            <w:r w:rsidRPr="003B533D">
              <w:rPr>
                <w:rFonts w:ascii="Times New Roman" w:hAnsi="Times New Roman" w:cs="Times New Roman"/>
                <w:sz w:val="24"/>
                <w:szCs w:val="24"/>
              </w:rPr>
              <w:t>prioritārā virziena “</w:t>
            </w:r>
            <w:bookmarkStart w:id="0" w:name="_Toc361638693"/>
            <w:r w:rsidRPr="003B533D">
              <w:rPr>
                <w:rFonts w:ascii="Times New Roman" w:hAnsi="Times New Roman" w:cs="Times New Roman"/>
                <w:sz w:val="24"/>
                <w:szCs w:val="24"/>
              </w:rPr>
              <w:t>Mazo un vidējo komersantu konkurētspēja</w:t>
            </w:r>
            <w:bookmarkEnd w:id="0"/>
            <w:r w:rsidRPr="003B533D">
              <w:rPr>
                <w:rFonts w:ascii="Times New Roman" w:hAnsi="Times New Roman" w:cs="Times New Roman"/>
                <w:sz w:val="24"/>
                <w:szCs w:val="24"/>
              </w:rPr>
              <w:t>” (turpmāk – 3.</w:t>
            </w:r>
            <w:r w:rsidR="0048306D" w:rsidRPr="003B533D">
              <w:rPr>
                <w:rFonts w:ascii="Times New Roman" w:hAnsi="Times New Roman" w:cs="Times New Roman"/>
                <w:sz w:val="24"/>
                <w:szCs w:val="24"/>
              </w:rPr>
              <w:t> </w:t>
            </w:r>
            <w:r w:rsidRPr="003B533D">
              <w:rPr>
                <w:rFonts w:ascii="Times New Roman" w:hAnsi="Times New Roman" w:cs="Times New Roman"/>
                <w:sz w:val="24"/>
                <w:szCs w:val="24"/>
              </w:rPr>
              <w:t xml:space="preserve">PV) </w:t>
            </w:r>
            <w:r w:rsidRPr="003B533D">
              <w:rPr>
                <w:rFonts w:ascii="Times New Roman" w:eastAsia="Times New Roman" w:hAnsi="Times New Roman" w:cs="Times New Roman"/>
                <w:color w:val="000000" w:themeColor="text1"/>
                <w:sz w:val="24"/>
                <w:szCs w:val="24"/>
              </w:rPr>
              <w:t xml:space="preserve">pasākumu īstenošanai; </w:t>
            </w:r>
          </w:p>
          <w:p w14:paraId="3332B363" w14:textId="77777777" w:rsidR="00B124F8" w:rsidRPr="003B533D" w:rsidRDefault="00B124F8" w:rsidP="00B124F8">
            <w:pPr>
              <w:pStyle w:val="ListParagraph"/>
              <w:numPr>
                <w:ilvl w:val="0"/>
                <w:numId w:val="26"/>
              </w:numPr>
              <w:spacing w:after="0" w:line="240" w:lineRule="auto"/>
              <w:ind w:right="112"/>
              <w:jc w:val="both"/>
              <w:rPr>
                <w:rFonts w:ascii="Times New Roman" w:eastAsia="Times New Roman" w:hAnsi="Times New Roman" w:cs="Times New Roman"/>
                <w:color w:val="000000" w:themeColor="text1"/>
                <w:sz w:val="24"/>
                <w:szCs w:val="24"/>
              </w:rPr>
            </w:pPr>
            <w:r w:rsidRPr="003B533D">
              <w:rPr>
                <w:rFonts w:ascii="Times New Roman" w:hAnsi="Times New Roman" w:cs="Times New Roman"/>
                <w:sz w:val="24"/>
                <w:szCs w:val="24"/>
              </w:rPr>
              <w:t xml:space="preserve"> 2.</w:t>
            </w:r>
            <w:r w:rsidR="00852D0B" w:rsidRPr="003B533D">
              <w:rPr>
                <w:rFonts w:ascii="Times New Roman" w:hAnsi="Times New Roman" w:cs="Times New Roman"/>
                <w:sz w:val="24"/>
                <w:szCs w:val="24"/>
              </w:rPr>
              <w:t> </w:t>
            </w:r>
            <w:r w:rsidRPr="003B533D">
              <w:rPr>
                <w:rFonts w:ascii="Times New Roman" w:hAnsi="Times New Roman" w:cs="Times New Roman"/>
                <w:sz w:val="24"/>
                <w:szCs w:val="24"/>
              </w:rPr>
              <w:t xml:space="preserve">prioritārajā virzienā “IKT pieejamība, e-pārvalde un pakalpojumi” papildu finansējumu </w:t>
            </w:r>
            <w:r w:rsidRPr="003B533D">
              <w:rPr>
                <w:rFonts w:ascii="Times New Roman" w:hAnsi="Times New Roman" w:cs="Times New Roman"/>
                <w:b/>
                <w:sz w:val="24"/>
                <w:szCs w:val="24"/>
              </w:rPr>
              <w:t>13 217 837</w:t>
            </w:r>
            <w:r w:rsidRPr="003B533D">
              <w:rPr>
                <w:rFonts w:ascii="Times New Roman" w:hAnsi="Times New Roman" w:cs="Times New Roman"/>
                <w:sz w:val="24"/>
                <w:szCs w:val="24"/>
              </w:rPr>
              <w:t> </w:t>
            </w:r>
            <w:proofErr w:type="spellStart"/>
            <w:r w:rsidRPr="003B533D">
              <w:rPr>
                <w:rFonts w:ascii="Times New Roman" w:hAnsi="Times New Roman" w:cs="Times New Roman"/>
                <w:i/>
                <w:sz w:val="24"/>
                <w:szCs w:val="24"/>
              </w:rPr>
              <w:t>euro</w:t>
            </w:r>
            <w:proofErr w:type="spellEnd"/>
            <w:r w:rsidRPr="003B533D">
              <w:rPr>
                <w:rFonts w:ascii="Times New Roman" w:hAnsi="Times New Roman" w:cs="Times New Roman"/>
                <w:sz w:val="24"/>
                <w:szCs w:val="24"/>
              </w:rPr>
              <w:t xml:space="preserve"> 2.1.2.</w:t>
            </w:r>
            <w:r w:rsidR="00852D0B" w:rsidRPr="003B533D">
              <w:rPr>
                <w:rFonts w:ascii="Times New Roman" w:hAnsi="Times New Roman" w:cs="Times New Roman"/>
                <w:sz w:val="24"/>
                <w:szCs w:val="24"/>
              </w:rPr>
              <w:t> </w:t>
            </w:r>
            <w:r w:rsidRPr="003B533D">
              <w:rPr>
                <w:rFonts w:ascii="Times New Roman" w:hAnsi="Times New Roman" w:cs="Times New Roman"/>
                <w:sz w:val="24"/>
                <w:szCs w:val="24"/>
              </w:rPr>
              <w:t>SAM “Nodrošināt inovatīvu tehnoloģisko risinājumu ieviešanu ārējās robežas kontrolē” (turpmāk – 2.1.2.</w:t>
            </w:r>
            <w:r w:rsidR="00852D0B" w:rsidRPr="003B533D">
              <w:rPr>
                <w:rFonts w:ascii="Times New Roman" w:hAnsi="Times New Roman" w:cs="Times New Roman"/>
                <w:sz w:val="24"/>
                <w:szCs w:val="24"/>
              </w:rPr>
              <w:t> </w:t>
            </w:r>
            <w:r w:rsidRPr="003B533D">
              <w:rPr>
                <w:rFonts w:ascii="Times New Roman" w:hAnsi="Times New Roman" w:cs="Times New Roman"/>
                <w:sz w:val="24"/>
                <w:szCs w:val="24"/>
              </w:rPr>
              <w:t xml:space="preserve">SAM) projekta īstenošanai, kas orientēts uz inovatīvu tehnoloģisko risinājumu ieviešanu Latvijas Republikas ārējās robežas kontrolē </w:t>
            </w:r>
            <w:r w:rsidR="00852D0B" w:rsidRPr="003B533D">
              <w:rPr>
                <w:rFonts w:ascii="Times New Roman" w:hAnsi="Times New Roman" w:cs="Times New Roman"/>
                <w:sz w:val="24"/>
                <w:szCs w:val="24"/>
              </w:rPr>
              <w:t xml:space="preserve">pārcelt </w:t>
            </w:r>
            <w:r w:rsidRPr="003B533D">
              <w:rPr>
                <w:rFonts w:ascii="Times New Roman" w:hAnsi="Times New Roman" w:cs="Times New Roman"/>
                <w:sz w:val="24"/>
                <w:szCs w:val="24"/>
              </w:rPr>
              <w:t>no 6.</w:t>
            </w:r>
            <w:r w:rsidR="00852D0B" w:rsidRPr="003B533D">
              <w:rPr>
                <w:rFonts w:ascii="Times New Roman" w:hAnsi="Times New Roman" w:cs="Times New Roman"/>
                <w:sz w:val="24"/>
                <w:szCs w:val="24"/>
              </w:rPr>
              <w:t> </w:t>
            </w:r>
            <w:r w:rsidRPr="003B533D">
              <w:rPr>
                <w:rFonts w:ascii="Times New Roman" w:hAnsi="Times New Roman" w:cs="Times New Roman"/>
                <w:sz w:val="24"/>
                <w:szCs w:val="24"/>
              </w:rPr>
              <w:t>prioritārā virziena “Ilgtspējīga transporta sistēma” (turpmāk – 6.</w:t>
            </w:r>
            <w:r w:rsidR="00852D0B" w:rsidRPr="003B533D">
              <w:rPr>
                <w:rFonts w:ascii="Times New Roman" w:hAnsi="Times New Roman" w:cs="Times New Roman"/>
                <w:sz w:val="24"/>
                <w:szCs w:val="24"/>
              </w:rPr>
              <w:t> </w:t>
            </w:r>
            <w:r w:rsidRPr="003B533D">
              <w:rPr>
                <w:rFonts w:ascii="Times New Roman" w:hAnsi="Times New Roman" w:cs="Times New Roman"/>
                <w:sz w:val="24"/>
                <w:szCs w:val="24"/>
              </w:rPr>
              <w:t>PV) 6.2.1.1.</w:t>
            </w:r>
            <w:r w:rsidR="00852D0B" w:rsidRPr="003B533D">
              <w:rPr>
                <w:rFonts w:ascii="Times New Roman" w:hAnsi="Times New Roman" w:cs="Times New Roman"/>
                <w:sz w:val="24"/>
                <w:szCs w:val="24"/>
              </w:rPr>
              <w:t> </w:t>
            </w:r>
            <w:r w:rsidRPr="003B533D">
              <w:rPr>
                <w:rFonts w:ascii="Times New Roman" w:hAnsi="Times New Roman" w:cs="Times New Roman"/>
                <w:sz w:val="24"/>
                <w:szCs w:val="24"/>
              </w:rPr>
              <w:t>pasākuma “Latvijas dzelzceļa tīkla elektrifikācija” (turpmāk – 6.2.1.1.</w:t>
            </w:r>
            <w:r w:rsidR="00852D0B" w:rsidRPr="003B533D">
              <w:rPr>
                <w:rFonts w:ascii="Times New Roman" w:hAnsi="Times New Roman" w:cs="Times New Roman"/>
                <w:sz w:val="24"/>
                <w:szCs w:val="24"/>
              </w:rPr>
              <w:t> </w:t>
            </w:r>
            <w:r w:rsidRPr="003B533D">
              <w:rPr>
                <w:rFonts w:ascii="Times New Roman" w:hAnsi="Times New Roman" w:cs="Times New Roman"/>
                <w:sz w:val="24"/>
                <w:szCs w:val="24"/>
              </w:rPr>
              <w:t xml:space="preserve">pasākums). </w:t>
            </w:r>
          </w:p>
          <w:p w14:paraId="3B189C6E" w14:textId="77777777" w:rsidR="00B124F8" w:rsidRPr="003B533D" w:rsidRDefault="00B124F8" w:rsidP="00B124F8">
            <w:pPr>
              <w:pStyle w:val="ListParagraph"/>
              <w:spacing w:after="120" w:line="240" w:lineRule="auto"/>
              <w:ind w:right="113"/>
              <w:jc w:val="both"/>
              <w:rPr>
                <w:rFonts w:ascii="Times New Roman" w:eastAsia="Times New Roman" w:hAnsi="Times New Roman" w:cs="Times New Roman"/>
                <w:color w:val="000000" w:themeColor="text1"/>
                <w:sz w:val="24"/>
                <w:szCs w:val="24"/>
              </w:rPr>
            </w:pPr>
            <w:r w:rsidRPr="003B533D">
              <w:rPr>
                <w:rFonts w:ascii="Times New Roman" w:eastAsia="Times New Roman" w:hAnsi="Times New Roman" w:cs="Times New Roman"/>
                <w:color w:val="000000" w:themeColor="text1"/>
                <w:sz w:val="24"/>
                <w:szCs w:val="24"/>
              </w:rPr>
              <w:t>Vienlaikus, lai nodrošinātu finansējuma pārdales atbilstību ES fondu regulējumā paredzētajām K</w:t>
            </w:r>
            <w:r w:rsidR="00954D60" w:rsidRPr="003B533D">
              <w:rPr>
                <w:rFonts w:ascii="Times New Roman" w:eastAsia="Times New Roman" w:hAnsi="Times New Roman" w:cs="Times New Roman"/>
                <w:color w:val="000000" w:themeColor="text1"/>
                <w:sz w:val="24"/>
                <w:szCs w:val="24"/>
              </w:rPr>
              <w:t>ohēzijas fonda (turpmāk – KF)</w:t>
            </w:r>
            <w:r w:rsidRPr="003B533D">
              <w:rPr>
                <w:rFonts w:ascii="Times New Roman" w:eastAsia="Times New Roman" w:hAnsi="Times New Roman" w:cs="Times New Roman"/>
                <w:color w:val="000000" w:themeColor="text1"/>
                <w:sz w:val="24"/>
                <w:szCs w:val="24"/>
              </w:rPr>
              <w:t xml:space="preserve"> un ERAF atbalstāmajām investīciju prioritātēm, </w:t>
            </w:r>
            <w:r w:rsidR="009C0940" w:rsidRPr="003B533D">
              <w:rPr>
                <w:rFonts w:ascii="Times New Roman" w:eastAsia="Times New Roman" w:hAnsi="Times New Roman" w:cs="Times New Roman"/>
                <w:color w:val="000000" w:themeColor="text1"/>
                <w:sz w:val="24"/>
                <w:szCs w:val="24"/>
              </w:rPr>
              <w:t>darbības programmas</w:t>
            </w:r>
            <w:r w:rsidRPr="003B533D">
              <w:rPr>
                <w:rFonts w:ascii="Times New Roman" w:eastAsia="Times New Roman" w:hAnsi="Times New Roman" w:cs="Times New Roman"/>
                <w:color w:val="000000" w:themeColor="text1"/>
                <w:sz w:val="24"/>
                <w:szCs w:val="24"/>
              </w:rPr>
              <w:t xml:space="preserve"> grozījumu priekšlikums paredz vairākas darbības, lai nodrošinātu ES fondu finansējuma pārdali no 6.2.1.1. pasākuma uz 2.1.2. SAM:</w:t>
            </w:r>
          </w:p>
          <w:p w14:paraId="3A360A6B" w14:textId="77777777" w:rsidR="00B124F8" w:rsidRPr="003B533D" w:rsidRDefault="00B124F8" w:rsidP="00B124F8">
            <w:pPr>
              <w:pStyle w:val="ListParagraph"/>
              <w:numPr>
                <w:ilvl w:val="0"/>
                <w:numId w:val="29"/>
              </w:numPr>
              <w:spacing w:after="120" w:line="240" w:lineRule="auto"/>
              <w:ind w:right="113"/>
              <w:jc w:val="both"/>
              <w:rPr>
                <w:rFonts w:ascii="Times New Roman" w:eastAsia="Times New Roman" w:hAnsi="Times New Roman" w:cs="Times New Roman"/>
                <w:color w:val="000000" w:themeColor="text1"/>
                <w:sz w:val="24"/>
                <w:szCs w:val="24"/>
              </w:rPr>
            </w:pPr>
            <w:r w:rsidRPr="003B533D">
              <w:rPr>
                <w:rFonts w:ascii="Times New Roman" w:eastAsia="Times New Roman" w:hAnsi="Times New Roman" w:cs="Times New Roman"/>
                <w:color w:val="000000" w:themeColor="text1"/>
                <w:sz w:val="24"/>
                <w:szCs w:val="24"/>
              </w:rPr>
              <w:t>pārdale no 4.5.1. SAM ERAF finansējuma 13</w:t>
            </w:r>
            <w:r w:rsidR="009C0940" w:rsidRPr="003B533D">
              <w:rPr>
                <w:rFonts w:ascii="Times New Roman" w:eastAsia="Times New Roman" w:hAnsi="Times New Roman" w:cs="Times New Roman"/>
                <w:color w:val="000000" w:themeColor="text1"/>
                <w:sz w:val="24"/>
                <w:szCs w:val="24"/>
              </w:rPr>
              <w:t> </w:t>
            </w:r>
            <w:r w:rsidRPr="003B533D">
              <w:rPr>
                <w:rFonts w:ascii="Times New Roman" w:eastAsia="Times New Roman" w:hAnsi="Times New Roman" w:cs="Times New Roman"/>
                <w:color w:val="000000" w:themeColor="text1"/>
                <w:sz w:val="24"/>
                <w:szCs w:val="24"/>
              </w:rPr>
              <w:t xml:space="preserve">217 837 </w:t>
            </w:r>
            <w:proofErr w:type="spellStart"/>
            <w:r w:rsidRPr="003B533D">
              <w:rPr>
                <w:rFonts w:ascii="Times New Roman" w:eastAsia="Times New Roman" w:hAnsi="Times New Roman" w:cs="Times New Roman"/>
                <w:i/>
                <w:iCs/>
                <w:color w:val="000000" w:themeColor="text1"/>
                <w:sz w:val="24"/>
                <w:szCs w:val="24"/>
              </w:rPr>
              <w:t>euro</w:t>
            </w:r>
            <w:proofErr w:type="spellEnd"/>
            <w:r w:rsidRPr="003B533D">
              <w:rPr>
                <w:rFonts w:ascii="Times New Roman" w:eastAsia="Times New Roman" w:hAnsi="Times New Roman" w:cs="Times New Roman"/>
                <w:color w:val="000000" w:themeColor="text1"/>
                <w:sz w:val="24"/>
                <w:szCs w:val="24"/>
              </w:rPr>
              <w:t xml:space="preserve"> 2.1.2. SAM projekta īstenošanai nepieciešamā finansējuma nodrošināšanai.</w:t>
            </w:r>
          </w:p>
          <w:p w14:paraId="463A7846" w14:textId="77777777" w:rsidR="00B124F8" w:rsidRPr="003B533D" w:rsidRDefault="00B124F8" w:rsidP="00B124F8">
            <w:pPr>
              <w:pStyle w:val="ListParagraph"/>
              <w:numPr>
                <w:ilvl w:val="0"/>
                <w:numId w:val="29"/>
              </w:numPr>
              <w:spacing w:after="120" w:line="240" w:lineRule="auto"/>
              <w:ind w:right="113"/>
              <w:jc w:val="both"/>
              <w:rPr>
                <w:rFonts w:ascii="Times New Roman" w:eastAsia="Times New Roman" w:hAnsi="Times New Roman" w:cs="Times New Roman"/>
                <w:color w:val="000000" w:themeColor="text1"/>
                <w:sz w:val="24"/>
                <w:szCs w:val="24"/>
              </w:rPr>
            </w:pPr>
            <w:r w:rsidRPr="003B533D">
              <w:rPr>
                <w:rFonts w:ascii="Times New Roman" w:eastAsia="Times New Roman" w:hAnsi="Times New Roman" w:cs="Times New Roman"/>
                <w:color w:val="000000" w:themeColor="text1"/>
                <w:sz w:val="24"/>
                <w:szCs w:val="24"/>
              </w:rPr>
              <w:t xml:space="preserve">pārdale no 6.2.1.1. pasākuma KF finansējuma 13 217 837 </w:t>
            </w:r>
            <w:proofErr w:type="spellStart"/>
            <w:r w:rsidRPr="003B533D">
              <w:rPr>
                <w:rFonts w:ascii="Times New Roman" w:eastAsia="Times New Roman" w:hAnsi="Times New Roman" w:cs="Times New Roman"/>
                <w:i/>
                <w:iCs/>
                <w:color w:val="000000" w:themeColor="text1"/>
                <w:sz w:val="24"/>
                <w:szCs w:val="24"/>
              </w:rPr>
              <w:t>euro</w:t>
            </w:r>
            <w:proofErr w:type="spellEnd"/>
            <w:r w:rsidRPr="003B533D">
              <w:rPr>
                <w:rFonts w:ascii="Times New Roman" w:eastAsia="Times New Roman" w:hAnsi="Times New Roman" w:cs="Times New Roman"/>
                <w:color w:val="000000" w:themeColor="text1"/>
                <w:sz w:val="24"/>
                <w:szCs w:val="24"/>
              </w:rPr>
              <w:t xml:space="preserve"> </w:t>
            </w:r>
            <w:r w:rsidR="00835E55" w:rsidRPr="003B533D">
              <w:rPr>
                <w:rFonts w:ascii="Times New Roman" w:eastAsia="Times New Roman" w:hAnsi="Times New Roman" w:cs="Times New Roman"/>
                <w:color w:val="000000" w:themeColor="text1"/>
                <w:sz w:val="24"/>
                <w:szCs w:val="24"/>
              </w:rPr>
              <w:t xml:space="preserve">uz </w:t>
            </w:r>
            <w:r w:rsidRPr="003B533D">
              <w:rPr>
                <w:rFonts w:ascii="Times New Roman" w:eastAsia="Times New Roman" w:hAnsi="Times New Roman" w:cs="Times New Roman"/>
                <w:color w:val="000000" w:themeColor="text1"/>
                <w:sz w:val="24"/>
                <w:szCs w:val="24"/>
              </w:rPr>
              <w:t>4.5.1. SAM, tādejādi aizstājot no 4.5.1. SAM pārdalīto ERAF finansējumu ar identisku KF finansējumu.</w:t>
            </w:r>
          </w:p>
          <w:p w14:paraId="4C24E142" w14:textId="77777777" w:rsidR="00B124F8" w:rsidRPr="003B533D" w:rsidRDefault="00B124F8" w:rsidP="00B124F8">
            <w:pPr>
              <w:pStyle w:val="ListParagraph"/>
              <w:numPr>
                <w:ilvl w:val="0"/>
                <w:numId w:val="26"/>
              </w:numPr>
              <w:spacing w:after="0" w:line="240" w:lineRule="auto"/>
              <w:ind w:right="112"/>
              <w:jc w:val="both"/>
              <w:rPr>
                <w:rFonts w:ascii="Times New Roman" w:eastAsia="Times New Roman" w:hAnsi="Times New Roman" w:cs="Times New Roman"/>
                <w:color w:val="000000" w:themeColor="text1"/>
                <w:sz w:val="24"/>
                <w:szCs w:val="24"/>
              </w:rPr>
            </w:pPr>
            <w:r w:rsidRPr="003B533D">
              <w:rPr>
                <w:rFonts w:ascii="Times New Roman" w:eastAsia="Times New Roman" w:hAnsi="Times New Roman" w:cs="Times New Roman"/>
                <w:color w:val="000000" w:themeColor="text1"/>
                <w:sz w:val="24"/>
                <w:szCs w:val="24"/>
              </w:rPr>
              <w:t>3.</w:t>
            </w:r>
            <w:r w:rsidR="00835E55" w:rsidRPr="003B533D">
              <w:rPr>
                <w:rFonts w:ascii="Times New Roman" w:eastAsia="Times New Roman" w:hAnsi="Times New Roman" w:cs="Times New Roman"/>
                <w:color w:val="000000" w:themeColor="text1"/>
                <w:sz w:val="24"/>
                <w:szCs w:val="24"/>
              </w:rPr>
              <w:t> </w:t>
            </w:r>
            <w:r w:rsidRPr="003B533D">
              <w:rPr>
                <w:rFonts w:ascii="Times New Roman" w:eastAsia="Times New Roman" w:hAnsi="Times New Roman" w:cs="Times New Roman"/>
                <w:color w:val="000000" w:themeColor="text1"/>
                <w:sz w:val="24"/>
                <w:szCs w:val="24"/>
              </w:rPr>
              <w:t>PV papildu finansējumu</w:t>
            </w:r>
            <w:r w:rsidR="000E4B2A" w:rsidRPr="003B533D">
              <w:rPr>
                <w:rFonts w:ascii="Times New Roman" w:eastAsia="Times New Roman" w:hAnsi="Times New Roman" w:cs="Times New Roman"/>
                <w:color w:val="000000" w:themeColor="text1"/>
                <w:sz w:val="24"/>
                <w:szCs w:val="24"/>
              </w:rPr>
              <w:t xml:space="preserve"> </w:t>
            </w:r>
            <w:r w:rsidR="000E4B2A" w:rsidRPr="003B533D">
              <w:rPr>
                <w:rFonts w:ascii="Times New Roman" w:eastAsia="Times New Roman" w:hAnsi="Times New Roman" w:cs="Times New Roman"/>
                <w:b/>
                <w:color w:val="000000" w:themeColor="text1"/>
                <w:sz w:val="24"/>
                <w:szCs w:val="24"/>
              </w:rPr>
              <w:t xml:space="preserve">42 511 063 </w:t>
            </w:r>
            <w:proofErr w:type="spellStart"/>
            <w:r w:rsidR="000E4B2A" w:rsidRPr="003B533D">
              <w:rPr>
                <w:rFonts w:ascii="Times New Roman" w:eastAsia="Times New Roman" w:hAnsi="Times New Roman" w:cs="Times New Roman"/>
                <w:i/>
                <w:color w:val="000000" w:themeColor="text1"/>
                <w:sz w:val="24"/>
                <w:szCs w:val="24"/>
              </w:rPr>
              <w:t>euro</w:t>
            </w:r>
            <w:proofErr w:type="spellEnd"/>
            <w:r w:rsidR="000E4B2A" w:rsidRPr="003B533D">
              <w:rPr>
                <w:rFonts w:ascii="Times New Roman" w:eastAsia="Times New Roman" w:hAnsi="Times New Roman" w:cs="Times New Roman"/>
                <w:color w:val="000000" w:themeColor="text1"/>
                <w:sz w:val="24"/>
                <w:szCs w:val="24"/>
              </w:rPr>
              <w:t xml:space="preserve"> </w:t>
            </w:r>
            <w:r w:rsidRPr="003B533D">
              <w:rPr>
                <w:rFonts w:ascii="Times New Roman" w:eastAsia="Times New Roman" w:hAnsi="Times New Roman" w:cs="Times New Roman"/>
                <w:color w:val="000000" w:themeColor="text1"/>
                <w:sz w:val="24"/>
                <w:szCs w:val="24"/>
              </w:rPr>
              <w:t>no 1.</w:t>
            </w:r>
            <w:r w:rsidR="008D1BC1" w:rsidRPr="003B533D">
              <w:rPr>
                <w:rFonts w:ascii="Times New Roman" w:eastAsia="Times New Roman" w:hAnsi="Times New Roman" w:cs="Times New Roman"/>
                <w:color w:val="000000" w:themeColor="text1"/>
                <w:sz w:val="24"/>
                <w:szCs w:val="24"/>
              </w:rPr>
              <w:t> </w:t>
            </w:r>
            <w:r w:rsidRPr="003B533D">
              <w:rPr>
                <w:rFonts w:ascii="Times New Roman" w:eastAsia="Times New Roman" w:hAnsi="Times New Roman" w:cs="Times New Roman"/>
                <w:color w:val="000000" w:themeColor="text1"/>
                <w:sz w:val="24"/>
                <w:szCs w:val="24"/>
              </w:rPr>
              <w:t>PV novirzīt 3.1.1.</w:t>
            </w:r>
            <w:r w:rsidR="007B480B" w:rsidRPr="003B533D">
              <w:rPr>
                <w:rFonts w:ascii="Times New Roman" w:eastAsia="Times New Roman" w:hAnsi="Times New Roman" w:cs="Times New Roman"/>
                <w:color w:val="000000" w:themeColor="text1"/>
                <w:sz w:val="24"/>
                <w:szCs w:val="24"/>
              </w:rPr>
              <w:t> </w:t>
            </w:r>
            <w:r w:rsidRPr="003B533D">
              <w:rPr>
                <w:rFonts w:ascii="Times New Roman" w:eastAsia="Times New Roman" w:hAnsi="Times New Roman" w:cs="Times New Roman"/>
                <w:color w:val="000000" w:themeColor="text1"/>
                <w:sz w:val="24"/>
                <w:szCs w:val="24"/>
              </w:rPr>
              <w:t>SAM  “Mazo un vidējo uzņēmumu konkurētspēja</w:t>
            </w:r>
            <w:r w:rsidR="007B480B" w:rsidRPr="003B533D">
              <w:rPr>
                <w:rFonts w:ascii="Times New Roman" w:eastAsia="Times New Roman" w:hAnsi="Times New Roman" w:cs="Times New Roman"/>
                <w:color w:val="000000" w:themeColor="text1"/>
                <w:sz w:val="24"/>
                <w:szCs w:val="24"/>
              </w:rPr>
              <w:t>”</w:t>
            </w:r>
            <w:r w:rsidRPr="003B533D">
              <w:rPr>
                <w:rFonts w:ascii="Times New Roman" w:eastAsia="Times New Roman" w:hAnsi="Times New Roman" w:cs="Times New Roman"/>
                <w:color w:val="000000" w:themeColor="text1"/>
                <w:sz w:val="24"/>
                <w:szCs w:val="24"/>
              </w:rPr>
              <w:t xml:space="preserve">  starta aizdevumu programmas īstenošanai un MVU tiešajiem aizdevumiem, kā arī </w:t>
            </w:r>
            <w:r w:rsidRPr="003B533D">
              <w:rPr>
                <w:rFonts w:ascii="Times New Roman" w:hAnsi="Times New Roman" w:cs="Times New Roman"/>
                <w:sz w:val="24"/>
                <w:szCs w:val="24"/>
              </w:rPr>
              <w:t>3.2.1.</w:t>
            </w:r>
            <w:r w:rsidR="00B525AA" w:rsidRPr="003B533D">
              <w:rPr>
                <w:rFonts w:ascii="Times New Roman" w:hAnsi="Times New Roman" w:cs="Times New Roman"/>
                <w:sz w:val="24"/>
                <w:szCs w:val="24"/>
              </w:rPr>
              <w:t> </w:t>
            </w:r>
            <w:r w:rsidRPr="003B533D">
              <w:rPr>
                <w:rFonts w:ascii="Times New Roman" w:hAnsi="Times New Roman" w:cs="Times New Roman"/>
                <w:sz w:val="24"/>
                <w:szCs w:val="24"/>
              </w:rPr>
              <w:t xml:space="preserve">SAM “Palielināt augstas pievienotās vērtības produktu un pakalpojumu eksporta proporciju” 3.2.1.2. pasākuma “Starptautiskās konkurētspējas veicināšana” </w:t>
            </w:r>
            <w:r w:rsidRPr="003B533D">
              <w:rPr>
                <w:rFonts w:ascii="Times New Roman" w:eastAsia="Times New Roman" w:hAnsi="Times New Roman" w:cs="Times New Roman"/>
                <w:color w:val="000000" w:themeColor="text1"/>
                <w:sz w:val="24"/>
                <w:szCs w:val="24"/>
              </w:rPr>
              <w:t>īstenošanai;</w:t>
            </w:r>
          </w:p>
          <w:p w14:paraId="3DE273EC" w14:textId="77777777" w:rsidR="00B124F8" w:rsidRPr="003B533D" w:rsidRDefault="00B124F8" w:rsidP="00B124F8">
            <w:pPr>
              <w:pStyle w:val="ListParagraph"/>
              <w:numPr>
                <w:ilvl w:val="0"/>
                <w:numId w:val="26"/>
              </w:numPr>
              <w:spacing w:after="0" w:line="240" w:lineRule="auto"/>
              <w:ind w:right="112"/>
              <w:jc w:val="both"/>
              <w:rPr>
                <w:rFonts w:ascii="Times New Roman" w:eastAsia="Times New Roman" w:hAnsi="Times New Roman" w:cs="Times New Roman"/>
                <w:color w:val="000000" w:themeColor="text1"/>
                <w:sz w:val="24"/>
                <w:szCs w:val="24"/>
              </w:rPr>
            </w:pPr>
            <w:r w:rsidRPr="003B533D">
              <w:rPr>
                <w:rFonts w:ascii="Times New Roman" w:hAnsi="Times New Roman" w:cs="Times New Roman"/>
                <w:sz w:val="24"/>
                <w:szCs w:val="24"/>
              </w:rPr>
              <w:t>4.</w:t>
            </w:r>
            <w:r w:rsidR="00B525AA" w:rsidRPr="003B533D">
              <w:rPr>
                <w:rFonts w:ascii="Times New Roman" w:hAnsi="Times New Roman" w:cs="Times New Roman"/>
                <w:sz w:val="24"/>
                <w:szCs w:val="24"/>
              </w:rPr>
              <w:t> </w:t>
            </w:r>
            <w:r w:rsidRPr="003B533D">
              <w:rPr>
                <w:rFonts w:ascii="Times New Roman" w:hAnsi="Times New Roman" w:cs="Times New Roman"/>
                <w:sz w:val="24"/>
                <w:szCs w:val="24"/>
              </w:rPr>
              <w:t>prioritārajā virzienā “Pāreja uz ekonomiku ar zemu oglekļa emisijas līmeni visās nozarēs” 4.5.1.2.pasākumam “Attīstīt videi draudzīgu sabiedriskā transporta infrastruktūru (autobusi)” pārdalīt papildu finansējums no 6.</w:t>
            </w:r>
            <w:r w:rsidR="0026043C" w:rsidRPr="003B533D">
              <w:rPr>
                <w:rFonts w:ascii="Times New Roman" w:hAnsi="Times New Roman" w:cs="Times New Roman"/>
                <w:sz w:val="24"/>
                <w:szCs w:val="24"/>
              </w:rPr>
              <w:t> </w:t>
            </w:r>
            <w:r w:rsidRPr="003B533D">
              <w:rPr>
                <w:rFonts w:ascii="Times New Roman" w:hAnsi="Times New Roman" w:cs="Times New Roman"/>
                <w:sz w:val="24"/>
                <w:szCs w:val="24"/>
              </w:rPr>
              <w:t>PV 6.2.1.1.</w:t>
            </w:r>
            <w:r w:rsidR="0026043C" w:rsidRPr="003B533D">
              <w:rPr>
                <w:rFonts w:ascii="Times New Roman" w:hAnsi="Times New Roman" w:cs="Times New Roman"/>
                <w:sz w:val="24"/>
                <w:szCs w:val="24"/>
              </w:rPr>
              <w:t> </w:t>
            </w:r>
            <w:r w:rsidRPr="003B533D">
              <w:rPr>
                <w:rFonts w:ascii="Times New Roman" w:hAnsi="Times New Roman" w:cs="Times New Roman"/>
                <w:sz w:val="24"/>
                <w:szCs w:val="24"/>
              </w:rPr>
              <w:t xml:space="preserve">pasākuma </w:t>
            </w:r>
            <w:r w:rsidRPr="003B533D">
              <w:rPr>
                <w:rFonts w:ascii="Times New Roman" w:hAnsi="Times New Roman" w:cs="Times New Roman"/>
                <w:b/>
                <w:sz w:val="24"/>
                <w:szCs w:val="24"/>
              </w:rPr>
              <w:t>21 746 403</w:t>
            </w:r>
            <w:r w:rsidRPr="003B533D">
              <w:rPr>
                <w:rFonts w:ascii="Times New Roman" w:hAnsi="Times New Roman" w:cs="Times New Roman"/>
                <w:sz w:val="24"/>
                <w:szCs w:val="24"/>
              </w:rPr>
              <w:t xml:space="preserve"> </w:t>
            </w:r>
            <w:proofErr w:type="spellStart"/>
            <w:r w:rsidRPr="003B533D">
              <w:rPr>
                <w:rFonts w:ascii="Times New Roman" w:hAnsi="Times New Roman" w:cs="Times New Roman"/>
                <w:i/>
                <w:sz w:val="24"/>
                <w:szCs w:val="24"/>
              </w:rPr>
              <w:t>euro</w:t>
            </w:r>
            <w:proofErr w:type="spellEnd"/>
            <w:r w:rsidRPr="003B533D">
              <w:rPr>
                <w:rFonts w:ascii="Times New Roman" w:hAnsi="Times New Roman" w:cs="Times New Roman"/>
                <w:sz w:val="24"/>
                <w:szCs w:val="24"/>
              </w:rPr>
              <w:t>.</w:t>
            </w:r>
          </w:p>
          <w:p w14:paraId="3386017F" w14:textId="77777777" w:rsidR="00B124F8" w:rsidRPr="003B533D" w:rsidRDefault="00B124F8" w:rsidP="00B124F8">
            <w:pPr>
              <w:pStyle w:val="ListParagraph"/>
              <w:numPr>
                <w:ilvl w:val="0"/>
                <w:numId w:val="26"/>
              </w:numPr>
              <w:spacing w:after="0" w:line="240" w:lineRule="auto"/>
              <w:ind w:right="112"/>
              <w:jc w:val="both"/>
              <w:rPr>
                <w:rFonts w:ascii="Times New Roman" w:eastAsia="Times New Roman" w:hAnsi="Times New Roman" w:cs="Times New Roman"/>
                <w:color w:val="000000" w:themeColor="text1"/>
                <w:sz w:val="24"/>
                <w:szCs w:val="24"/>
              </w:rPr>
            </w:pPr>
            <w:r w:rsidRPr="003B533D">
              <w:rPr>
                <w:rFonts w:ascii="Times New Roman" w:hAnsi="Times New Roman" w:cs="Times New Roman"/>
                <w:sz w:val="24"/>
                <w:szCs w:val="24"/>
              </w:rPr>
              <w:t>5.</w:t>
            </w:r>
            <w:r w:rsidR="00065FC4" w:rsidRPr="003B533D">
              <w:rPr>
                <w:rFonts w:ascii="Times New Roman" w:hAnsi="Times New Roman" w:cs="Times New Roman"/>
                <w:sz w:val="24"/>
                <w:szCs w:val="24"/>
              </w:rPr>
              <w:t> </w:t>
            </w:r>
            <w:r w:rsidRPr="003B533D">
              <w:rPr>
                <w:rFonts w:ascii="Times New Roman" w:hAnsi="Times New Roman" w:cs="Times New Roman"/>
                <w:sz w:val="24"/>
                <w:szCs w:val="24"/>
              </w:rPr>
              <w:t xml:space="preserve">prioritārajā virzienā “Vides aizsardzība un resursu izmantošanas efektivitāte”, finansējuma atlikumu </w:t>
            </w:r>
            <w:r w:rsidRPr="003B533D">
              <w:rPr>
                <w:rFonts w:ascii="Times New Roman" w:hAnsi="Times New Roman" w:cs="Times New Roman"/>
                <w:b/>
                <w:sz w:val="24"/>
                <w:szCs w:val="24"/>
              </w:rPr>
              <w:t>4 835 067</w:t>
            </w:r>
            <w:r w:rsidRPr="003B533D">
              <w:rPr>
                <w:rFonts w:ascii="Times New Roman" w:hAnsi="Times New Roman" w:cs="Times New Roman"/>
                <w:sz w:val="24"/>
                <w:szCs w:val="24"/>
              </w:rPr>
              <w:t xml:space="preserve"> </w:t>
            </w:r>
            <w:proofErr w:type="spellStart"/>
            <w:r w:rsidRPr="003B533D">
              <w:rPr>
                <w:rFonts w:ascii="Times New Roman" w:hAnsi="Times New Roman" w:cs="Times New Roman"/>
                <w:i/>
                <w:sz w:val="24"/>
                <w:szCs w:val="24"/>
              </w:rPr>
              <w:t>euro</w:t>
            </w:r>
            <w:proofErr w:type="spellEnd"/>
            <w:r w:rsidRPr="003B533D">
              <w:rPr>
                <w:rFonts w:ascii="Times New Roman" w:hAnsi="Times New Roman" w:cs="Times New Roman"/>
                <w:sz w:val="24"/>
                <w:szCs w:val="24"/>
              </w:rPr>
              <w:t xml:space="preserve"> no 5.2.1.2.</w:t>
            </w:r>
            <w:r w:rsidR="00065FC4" w:rsidRPr="003B533D">
              <w:rPr>
                <w:rFonts w:ascii="Times New Roman" w:hAnsi="Times New Roman" w:cs="Times New Roman"/>
                <w:sz w:val="24"/>
                <w:szCs w:val="24"/>
              </w:rPr>
              <w:t> </w:t>
            </w:r>
            <w:r w:rsidRPr="003B533D">
              <w:rPr>
                <w:rFonts w:ascii="Times New Roman" w:hAnsi="Times New Roman" w:cs="Times New Roman"/>
                <w:sz w:val="24"/>
                <w:szCs w:val="24"/>
              </w:rPr>
              <w:t>pasākuma “Atkritumu pārstrādes veicināšana” 3. kārtas finansējuma novirzīt pasākumiem ES nozīmes dzīvotņu aizsardzības labvēlīga statusa nodrošināšanai 5.4.3.</w:t>
            </w:r>
            <w:r w:rsidR="009F6466" w:rsidRPr="003B533D">
              <w:rPr>
                <w:rFonts w:ascii="Times New Roman" w:hAnsi="Times New Roman" w:cs="Times New Roman"/>
                <w:sz w:val="24"/>
                <w:szCs w:val="24"/>
              </w:rPr>
              <w:t> </w:t>
            </w:r>
            <w:r w:rsidRPr="003B533D">
              <w:rPr>
                <w:rFonts w:ascii="Times New Roman" w:hAnsi="Times New Roman" w:cs="Times New Roman"/>
                <w:sz w:val="24"/>
                <w:szCs w:val="24"/>
              </w:rPr>
              <w:t xml:space="preserve">SAM “Nodrošināt vides monitoringa un kontroles sistēmas attīstību un savlaicīgu vides risku novēršanu, kā arī sabiedrības līdzdalību </w:t>
            </w:r>
            <w:r w:rsidRPr="003B533D">
              <w:rPr>
                <w:rFonts w:ascii="Times New Roman" w:hAnsi="Times New Roman" w:cs="Times New Roman"/>
                <w:sz w:val="24"/>
                <w:szCs w:val="24"/>
              </w:rPr>
              <w:lastRenderedPageBreak/>
              <w:t xml:space="preserve">vides pārvaldībā” ietvaros, veidojot jaunu pasākumu, kur paredzēta kompleksu apsaimniekošanas risinājumu ieviešanai </w:t>
            </w:r>
            <w:proofErr w:type="spellStart"/>
            <w:r w:rsidRPr="003B533D">
              <w:rPr>
                <w:rFonts w:ascii="Times New Roman" w:hAnsi="Times New Roman" w:cs="Times New Roman"/>
                <w:i/>
                <w:iCs/>
                <w:sz w:val="24"/>
                <w:szCs w:val="24"/>
              </w:rPr>
              <w:t>Natura</w:t>
            </w:r>
            <w:proofErr w:type="spellEnd"/>
            <w:r w:rsidRPr="003B533D">
              <w:rPr>
                <w:rFonts w:ascii="Times New Roman" w:hAnsi="Times New Roman" w:cs="Times New Roman"/>
                <w:sz w:val="24"/>
                <w:szCs w:val="24"/>
              </w:rPr>
              <w:t xml:space="preserve"> </w:t>
            </w:r>
            <w:r w:rsidRPr="003B533D">
              <w:rPr>
                <w:rFonts w:ascii="Times New Roman" w:hAnsi="Times New Roman" w:cs="Times New Roman"/>
                <w:i/>
                <w:iCs/>
                <w:sz w:val="24"/>
                <w:szCs w:val="24"/>
              </w:rPr>
              <w:t>2000</w:t>
            </w:r>
            <w:r w:rsidRPr="003B533D">
              <w:rPr>
                <w:rFonts w:ascii="Times New Roman" w:hAnsi="Times New Roman" w:cs="Times New Roman"/>
                <w:sz w:val="24"/>
                <w:szCs w:val="24"/>
              </w:rPr>
              <w:t xml:space="preserve"> teritorijās, lai mazinātu antropogēnās slodzes, tai skaitā eitrofikāciju, eroziju, vides piesārņojumu, t.sk. nodrošinot  epidemioloģisko drošību, un atjaunotu ekosistēmas.</w:t>
            </w:r>
          </w:p>
          <w:p w14:paraId="36F43A08" w14:textId="77777777" w:rsidR="00B124F8" w:rsidRPr="003B533D" w:rsidRDefault="00B124F8" w:rsidP="00B124F8">
            <w:pPr>
              <w:pStyle w:val="ListParagraph"/>
              <w:numPr>
                <w:ilvl w:val="0"/>
                <w:numId w:val="26"/>
              </w:numPr>
              <w:spacing w:after="0" w:line="240" w:lineRule="auto"/>
              <w:ind w:right="112"/>
              <w:jc w:val="both"/>
              <w:rPr>
                <w:rFonts w:ascii="Times New Roman" w:eastAsia="Times New Roman" w:hAnsi="Times New Roman" w:cs="Times New Roman"/>
                <w:color w:val="000000" w:themeColor="text1"/>
                <w:sz w:val="24"/>
                <w:szCs w:val="24"/>
              </w:rPr>
            </w:pPr>
            <w:r w:rsidRPr="003B533D">
              <w:rPr>
                <w:rFonts w:ascii="Times New Roman" w:hAnsi="Times New Roman" w:cs="Times New Roman"/>
                <w:sz w:val="24"/>
                <w:szCs w:val="24"/>
              </w:rPr>
              <w:t>6.</w:t>
            </w:r>
            <w:r w:rsidR="00350D2C" w:rsidRPr="003B533D">
              <w:rPr>
                <w:rFonts w:ascii="Times New Roman" w:hAnsi="Times New Roman" w:cs="Times New Roman"/>
                <w:sz w:val="24"/>
                <w:szCs w:val="24"/>
              </w:rPr>
              <w:t> </w:t>
            </w:r>
            <w:r w:rsidRPr="003B533D">
              <w:rPr>
                <w:rFonts w:ascii="Times New Roman" w:hAnsi="Times New Roman" w:cs="Times New Roman"/>
                <w:sz w:val="24"/>
                <w:szCs w:val="24"/>
              </w:rPr>
              <w:t xml:space="preserve">PV pārtrauktā lielā projekta (projekts Nr.6.2.1.1/18/I/001 “Latvijas dzelzceļa tīkla elektrifikācija”) </w:t>
            </w:r>
            <w:r w:rsidR="00763486" w:rsidRPr="003B533D">
              <w:rPr>
                <w:rFonts w:ascii="Times New Roman" w:hAnsi="Times New Roman" w:cs="Times New Roman"/>
                <w:sz w:val="24"/>
                <w:szCs w:val="24"/>
              </w:rPr>
              <w:t xml:space="preserve">KF </w:t>
            </w:r>
            <w:r w:rsidRPr="003B533D">
              <w:rPr>
                <w:rFonts w:ascii="Times New Roman" w:hAnsi="Times New Roman" w:cs="Times New Roman"/>
                <w:sz w:val="24"/>
                <w:szCs w:val="24"/>
              </w:rPr>
              <w:t xml:space="preserve">finansējums </w:t>
            </w:r>
            <w:r w:rsidRPr="003B533D">
              <w:rPr>
                <w:rFonts w:ascii="Times New Roman" w:hAnsi="Times New Roman" w:cs="Times New Roman"/>
                <w:b/>
                <w:sz w:val="24"/>
                <w:szCs w:val="24"/>
              </w:rPr>
              <w:t>108 954 240</w:t>
            </w:r>
            <w:r w:rsidRPr="003B533D">
              <w:rPr>
                <w:rFonts w:ascii="Times New Roman" w:hAnsi="Times New Roman" w:cs="Times New Roman"/>
                <w:sz w:val="24"/>
                <w:szCs w:val="24"/>
              </w:rPr>
              <w:t> </w:t>
            </w:r>
            <w:proofErr w:type="spellStart"/>
            <w:r w:rsidRPr="003B533D">
              <w:rPr>
                <w:rFonts w:ascii="Times New Roman" w:hAnsi="Times New Roman" w:cs="Times New Roman"/>
                <w:i/>
                <w:sz w:val="24"/>
                <w:szCs w:val="24"/>
              </w:rPr>
              <w:t>euro</w:t>
            </w:r>
            <w:proofErr w:type="spellEnd"/>
            <w:r w:rsidRPr="003B533D">
              <w:rPr>
                <w:rFonts w:ascii="Times New Roman" w:hAnsi="Times New Roman" w:cs="Times New Roman"/>
                <w:i/>
                <w:sz w:val="24"/>
                <w:szCs w:val="24"/>
              </w:rPr>
              <w:t xml:space="preserve"> </w:t>
            </w:r>
            <w:r w:rsidRPr="003B533D">
              <w:rPr>
                <w:rFonts w:ascii="Times New Roman" w:hAnsi="Times New Roman" w:cs="Times New Roman"/>
                <w:sz w:val="24"/>
                <w:szCs w:val="24"/>
              </w:rPr>
              <w:t>tiek novirzīts transporta un sakaru jomas projektiem, t.sk. pārdalot finansējumu uz 2.</w:t>
            </w:r>
            <w:r w:rsidR="00350D2C" w:rsidRPr="003B533D">
              <w:rPr>
                <w:rFonts w:ascii="Times New Roman" w:hAnsi="Times New Roman" w:cs="Times New Roman"/>
                <w:sz w:val="24"/>
                <w:szCs w:val="24"/>
              </w:rPr>
              <w:t> </w:t>
            </w:r>
            <w:r w:rsidRPr="003B533D">
              <w:rPr>
                <w:rFonts w:ascii="Times New Roman" w:hAnsi="Times New Roman" w:cs="Times New Roman"/>
                <w:sz w:val="24"/>
                <w:szCs w:val="24"/>
              </w:rPr>
              <w:t>PV, kā arī 4.</w:t>
            </w:r>
            <w:r w:rsidR="00350D2C" w:rsidRPr="003B533D">
              <w:rPr>
                <w:rFonts w:ascii="Times New Roman" w:hAnsi="Times New Roman" w:cs="Times New Roman"/>
                <w:sz w:val="24"/>
                <w:szCs w:val="24"/>
              </w:rPr>
              <w:t> </w:t>
            </w:r>
            <w:r w:rsidRPr="003B533D">
              <w:rPr>
                <w:rFonts w:ascii="Times New Roman" w:hAnsi="Times New Roman" w:cs="Times New Roman"/>
                <w:sz w:val="24"/>
                <w:szCs w:val="24"/>
              </w:rPr>
              <w:t>PV.</w:t>
            </w:r>
          </w:p>
          <w:p w14:paraId="52631707" w14:textId="77777777" w:rsidR="00B124F8" w:rsidRPr="003B533D" w:rsidRDefault="00B124F8" w:rsidP="00B124F8">
            <w:pPr>
              <w:pStyle w:val="ListParagraph"/>
              <w:numPr>
                <w:ilvl w:val="0"/>
                <w:numId w:val="26"/>
              </w:numPr>
              <w:spacing w:after="0" w:line="240" w:lineRule="auto"/>
              <w:ind w:right="112"/>
              <w:jc w:val="both"/>
              <w:rPr>
                <w:rFonts w:ascii="Times New Roman" w:eastAsia="Times New Roman" w:hAnsi="Times New Roman" w:cs="Times New Roman"/>
                <w:color w:val="000000" w:themeColor="text1"/>
                <w:sz w:val="24"/>
                <w:szCs w:val="24"/>
              </w:rPr>
            </w:pPr>
            <w:r w:rsidRPr="003B533D">
              <w:rPr>
                <w:rFonts w:ascii="Times New Roman" w:hAnsi="Times New Roman" w:cs="Times New Roman"/>
                <w:sz w:val="24"/>
                <w:szCs w:val="24"/>
              </w:rPr>
              <w:t>7.</w:t>
            </w:r>
            <w:r w:rsidR="00CB2574" w:rsidRPr="003B533D">
              <w:rPr>
                <w:rFonts w:ascii="Times New Roman" w:hAnsi="Times New Roman" w:cs="Times New Roman"/>
                <w:sz w:val="24"/>
                <w:szCs w:val="24"/>
              </w:rPr>
              <w:t> </w:t>
            </w:r>
            <w:r w:rsidRPr="003B533D">
              <w:rPr>
                <w:rFonts w:ascii="Times New Roman" w:hAnsi="Times New Roman" w:cs="Times New Roman"/>
                <w:sz w:val="24"/>
                <w:szCs w:val="24"/>
              </w:rPr>
              <w:t xml:space="preserve">prioritārā virziena “Nodarbinātība un darbaspēka mobilitāte” 7.1.1. SAM “Paaugstināt bezdarbnieku kvalifikāciju un prasmes atbilstoši  darba tirgus pieprasījumam” īstenošanai pārdalīt </w:t>
            </w:r>
            <w:r w:rsidR="001703AB" w:rsidRPr="003B533D">
              <w:rPr>
                <w:rFonts w:ascii="Times New Roman" w:hAnsi="Times New Roman" w:cs="Times New Roman"/>
                <w:sz w:val="24"/>
                <w:szCs w:val="24"/>
              </w:rPr>
              <w:t xml:space="preserve">ESF </w:t>
            </w:r>
            <w:r w:rsidRPr="003B533D">
              <w:rPr>
                <w:rFonts w:ascii="Times New Roman" w:hAnsi="Times New Roman" w:cs="Times New Roman"/>
                <w:sz w:val="24"/>
                <w:szCs w:val="24"/>
              </w:rPr>
              <w:t xml:space="preserve">finansējuma atlikumu </w:t>
            </w:r>
            <w:r w:rsidRPr="003B533D">
              <w:rPr>
                <w:rFonts w:ascii="Times New Roman" w:hAnsi="Times New Roman" w:cs="Times New Roman"/>
                <w:b/>
                <w:sz w:val="24"/>
                <w:szCs w:val="24"/>
              </w:rPr>
              <w:t xml:space="preserve">3 852 570 </w:t>
            </w:r>
            <w:proofErr w:type="spellStart"/>
            <w:r w:rsidRPr="003B533D">
              <w:rPr>
                <w:rFonts w:ascii="Times New Roman" w:hAnsi="Times New Roman" w:cs="Times New Roman"/>
                <w:i/>
                <w:sz w:val="24"/>
                <w:szCs w:val="24"/>
              </w:rPr>
              <w:t>euro</w:t>
            </w:r>
            <w:proofErr w:type="spellEnd"/>
            <w:r w:rsidRPr="003B533D">
              <w:rPr>
                <w:rFonts w:ascii="Times New Roman" w:hAnsi="Times New Roman" w:cs="Times New Roman"/>
                <w:sz w:val="24"/>
                <w:szCs w:val="24"/>
              </w:rPr>
              <w:t xml:space="preserve"> no 9.</w:t>
            </w:r>
            <w:r w:rsidR="007808C8" w:rsidRPr="003B533D">
              <w:rPr>
                <w:rFonts w:ascii="Times New Roman" w:hAnsi="Times New Roman" w:cs="Times New Roman"/>
                <w:sz w:val="24"/>
                <w:szCs w:val="24"/>
              </w:rPr>
              <w:t> </w:t>
            </w:r>
            <w:r w:rsidRPr="003B533D">
              <w:rPr>
                <w:rFonts w:ascii="Times New Roman" w:hAnsi="Times New Roman" w:cs="Times New Roman"/>
                <w:sz w:val="24"/>
                <w:szCs w:val="24"/>
              </w:rPr>
              <w:t>prioritārā virziena “Sociālā iekļaušana un nabadzības apkarošana” 9.1.1.</w:t>
            </w:r>
            <w:r w:rsidR="007808C8" w:rsidRPr="003B533D">
              <w:rPr>
                <w:rFonts w:ascii="Times New Roman" w:hAnsi="Times New Roman" w:cs="Times New Roman"/>
                <w:sz w:val="24"/>
                <w:szCs w:val="24"/>
              </w:rPr>
              <w:t> </w:t>
            </w:r>
            <w:r w:rsidRPr="003B533D">
              <w:rPr>
                <w:rFonts w:ascii="Times New Roman" w:hAnsi="Times New Roman" w:cs="Times New Roman"/>
                <w:sz w:val="24"/>
                <w:szCs w:val="24"/>
              </w:rPr>
              <w:t>SAM “Palielināt nelabvēlīgākā situācijā esošu bezdarbnieku iekļaušanos darba tirgū”.</w:t>
            </w:r>
          </w:p>
          <w:p w14:paraId="3E774461" w14:textId="77777777" w:rsidR="00172520" w:rsidRPr="003B533D" w:rsidRDefault="00B124F8" w:rsidP="00B124F8">
            <w:pPr>
              <w:ind w:right="112"/>
              <w:jc w:val="both"/>
            </w:pPr>
            <w:r w:rsidRPr="003B533D">
              <w:t>Attiecīgi tiek precizēti arī rādītāji, intervences kategorijas un atbalstāmās darbības.</w:t>
            </w:r>
          </w:p>
        </w:tc>
      </w:tr>
      <w:tr w:rsidR="008F0C62" w:rsidRPr="003B533D" w14:paraId="6A15B533" w14:textId="77777777" w:rsidTr="00163248">
        <w:tc>
          <w:tcPr>
            <w:tcW w:w="311" w:type="pct"/>
            <w:hideMark/>
          </w:tcPr>
          <w:p w14:paraId="59DAC872" w14:textId="77777777" w:rsidR="008F0C62" w:rsidRPr="003B533D" w:rsidRDefault="008F0C62" w:rsidP="00BA0575">
            <w:pPr>
              <w:jc w:val="center"/>
            </w:pPr>
            <w:r w:rsidRPr="003B533D">
              <w:lastRenderedPageBreak/>
              <w:t>3.</w:t>
            </w:r>
          </w:p>
        </w:tc>
        <w:tc>
          <w:tcPr>
            <w:tcW w:w="1479" w:type="pct"/>
            <w:hideMark/>
          </w:tcPr>
          <w:p w14:paraId="39489AA0" w14:textId="77777777" w:rsidR="008F0C62" w:rsidRPr="003B533D" w:rsidRDefault="008F0C62" w:rsidP="00BA0575">
            <w:r w:rsidRPr="003B533D">
              <w:t>Projekta izstrādē iesaistītās institūcijas un publiskas personas kapitālsabiedrības</w:t>
            </w:r>
          </w:p>
        </w:tc>
        <w:tc>
          <w:tcPr>
            <w:tcW w:w="3210" w:type="pct"/>
            <w:hideMark/>
          </w:tcPr>
          <w:p w14:paraId="3160CFEE" w14:textId="77777777" w:rsidR="008F0C62" w:rsidRPr="003B533D" w:rsidRDefault="00862131" w:rsidP="00377394">
            <w:pPr>
              <w:jc w:val="both"/>
            </w:pPr>
            <w:r w:rsidRPr="003B533D">
              <w:t xml:space="preserve">Darbības </w:t>
            </w:r>
            <w:r w:rsidR="00BD0ADB" w:rsidRPr="003B533D">
              <w:t>programmas grozījumu izstrādē iesaistīta</w:t>
            </w:r>
            <w:r w:rsidR="004104EA" w:rsidRPr="003B533D">
              <w:t xml:space="preserve"> </w:t>
            </w:r>
            <w:r w:rsidR="00603B5B" w:rsidRPr="003B533D">
              <w:t xml:space="preserve">Ekonomikas ministrija, </w:t>
            </w:r>
            <w:r w:rsidR="00703E95" w:rsidRPr="003B533D">
              <w:t>Labklājības ministrija</w:t>
            </w:r>
            <w:r w:rsidR="003B6443" w:rsidRPr="003B533D">
              <w:t xml:space="preserve">, </w:t>
            </w:r>
            <w:r w:rsidR="003C4F2B" w:rsidRPr="003B533D">
              <w:t>Veselības ministrija</w:t>
            </w:r>
            <w:r w:rsidR="00532497" w:rsidRPr="003B533D">
              <w:t>,</w:t>
            </w:r>
            <w:r w:rsidR="003B6443" w:rsidRPr="003B533D">
              <w:t xml:space="preserve"> Satiksmes ministrija, Izglītības un zinātnes ministrija</w:t>
            </w:r>
            <w:r w:rsidR="00E52400" w:rsidRPr="003B533D">
              <w:t>, Vides aizsardzības un reģionālās attīstības ministrija</w:t>
            </w:r>
            <w:r w:rsidR="00A414D8" w:rsidRPr="003B533D">
              <w:t xml:space="preserve"> un</w:t>
            </w:r>
            <w:r w:rsidR="008907CA" w:rsidRPr="003B533D">
              <w:t xml:space="preserve"> </w:t>
            </w:r>
            <w:r w:rsidR="00377394" w:rsidRPr="003B533D">
              <w:t xml:space="preserve">Kultūras </w:t>
            </w:r>
            <w:r w:rsidR="00532497" w:rsidRPr="003B533D">
              <w:t>ministrija</w:t>
            </w:r>
            <w:r w:rsidR="003B6443" w:rsidRPr="003B533D">
              <w:t>.</w:t>
            </w:r>
          </w:p>
        </w:tc>
      </w:tr>
      <w:tr w:rsidR="008F0C62" w:rsidRPr="003B533D" w14:paraId="0757613C" w14:textId="77777777" w:rsidTr="00163248">
        <w:tc>
          <w:tcPr>
            <w:tcW w:w="311" w:type="pct"/>
            <w:hideMark/>
          </w:tcPr>
          <w:p w14:paraId="5DD55A44" w14:textId="77777777" w:rsidR="008F0C62" w:rsidRPr="003B533D" w:rsidRDefault="008F0C62" w:rsidP="00BA0575">
            <w:pPr>
              <w:jc w:val="center"/>
            </w:pPr>
            <w:r w:rsidRPr="003B533D">
              <w:t>4.</w:t>
            </w:r>
          </w:p>
        </w:tc>
        <w:tc>
          <w:tcPr>
            <w:tcW w:w="1479" w:type="pct"/>
            <w:hideMark/>
          </w:tcPr>
          <w:p w14:paraId="5CF4BC64" w14:textId="77777777" w:rsidR="008F0C62" w:rsidRPr="003B533D" w:rsidRDefault="008F0C62" w:rsidP="00BA0575">
            <w:r w:rsidRPr="003B533D">
              <w:t>Cita informācija</w:t>
            </w:r>
          </w:p>
        </w:tc>
        <w:tc>
          <w:tcPr>
            <w:tcW w:w="3210" w:type="pct"/>
            <w:hideMark/>
          </w:tcPr>
          <w:p w14:paraId="33EC326D" w14:textId="77777777" w:rsidR="008F0C62" w:rsidRPr="003B533D" w:rsidRDefault="008F0C62" w:rsidP="004E5FF0">
            <w:r w:rsidRPr="003B533D">
              <w:t>Nav.</w:t>
            </w:r>
          </w:p>
        </w:tc>
      </w:tr>
    </w:tbl>
    <w:p w14:paraId="3E39E1E9" w14:textId="77777777" w:rsidR="005D1ED8" w:rsidRPr="003B533D" w:rsidRDefault="005D1E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3B533D" w14:paraId="07120FE1" w14:textId="77777777" w:rsidTr="00CF6B48">
        <w:trPr>
          <w:cantSplit/>
        </w:trPr>
        <w:tc>
          <w:tcPr>
            <w:tcW w:w="5000" w:type="pct"/>
            <w:gridSpan w:val="3"/>
            <w:vAlign w:val="center"/>
            <w:hideMark/>
          </w:tcPr>
          <w:p w14:paraId="4D9C7A71" w14:textId="77777777" w:rsidR="00BD5588" w:rsidRPr="003B533D" w:rsidRDefault="00BD5588" w:rsidP="00BA0575">
            <w:pPr>
              <w:jc w:val="center"/>
              <w:rPr>
                <w:b/>
              </w:rPr>
            </w:pPr>
            <w:r w:rsidRPr="003B533D">
              <w:rPr>
                <w:b/>
              </w:rPr>
              <w:t>II. Tiesību akta projekta ietekme uz sabiedrību, tautsaimniecības attīstību un administratīvo slogu</w:t>
            </w:r>
          </w:p>
        </w:tc>
      </w:tr>
      <w:tr w:rsidR="00BD5588" w:rsidRPr="003B533D" w14:paraId="0F1253AD" w14:textId="77777777" w:rsidTr="00CF6B48">
        <w:trPr>
          <w:cantSplit/>
        </w:trPr>
        <w:tc>
          <w:tcPr>
            <w:tcW w:w="311" w:type="pct"/>
            <w:hideMark/>
          </w:tcPr>
          <w:p w14:paraId="5AF7E182" w14:textId="77777777" w:rsidR="00BD5588" w:rsidRPr="003B533D" w:rsidRDefault="00BD5588" w:rsidP="00BA0575">
            <w:pPr>
              <w:jc w:val="center"/>
            </w:pPr>
            <w:r w:rsidRPr="003B533D">
              <w:t>1.</w:t>
            </w:r>
          </w:p>
        </w:tc>
        <w:tc>
          <w:tcPr>
            <w:tcW w:w="1479" w:type="pct"/>
            <w:hideMark/>
          </w:tcPr>
          <w:p w14:paraId="72932FF6" w14:textId="77777777" w:rsidR="00BD5588" w:rsidRPr="003B533D" w:rsidRDefault="00BD5588" w:rsidP="00BA0575">
            <w:r w:rsidRPr="003B533D">
              <w:t xml:space="preserve">Sabiedrības </w:t>
            </w:r>
            <w:proofErr w:type="spellStart"/>
            <w:r w:rsidRPr="003B533D">
              <w:t>mērķgrupas</w:t>
            </w:r>
            <w:proofErr w:type="spellEnd"/>
            <w:r w:rsidRPr="003B533D">
              <w:t>, kuras tiesiskais regulējums ietekmē vai varētu ietekmēt</w:t>
            </w:r>
          </w:p>
        </w:tc>
        <w:tc>
          <w:tcPr>
            <w:tcW w:w="3210" w:type="pct"/>
            <w:hideMark/>
          </w:tcPr>
          <w:p w14:paraId="13A3D440" w14:textId="77777777" w:rsidR="00BD5588" w:rsidRPr="003B533D" w:rsidRDefault="00461626" w:rsidP="004E5FF0">
            <w:pPr>
              <w:jc w:val="both"/>
            </w:pPr>
            <w:r w:rsidRPr="003B533D">
              <w:t>Potenciālie ES fondu finansējuma saņēmēji, to sadarbības partneri un gala labuma guvēji.</w:t>
            </w:r>
          </w:p>
        </w:tc>
      </w:tr>
      <w:tr w:rsidR="00BD5588" w:rsidRPr="003B533D" w14:paraId="3B1C3663" w14:textId="77777777" w:rsidTr="00CF6B48">
        <w:trPr>
          <w:cantSplit/>
        </w:trPr>
        <w:tc>
          <w:tcPr>
            <w:tcW w:w="311" w:type="pct"/>
            <w:hideMark/>
          </w:tcPr>
          <w:p w14:paraId="4D20BEB5" w14:textId="77777777" w:rsidR="00BD5588" w:rsidRPr="003B533D" w:rsidRDefault="00BD5588" w:rsidP="00BA0575">
            <w:pPr>
              <w:jc w:val="center"/>
            </w:pPr>
            <w:r w:rsidRPr="003B533D">
              <w:t>2.</w:t>
            </w:r>
          </w:p>
        </w:tc>
        <w:tc>
          <w:tcPr>
            <w:tcW w:w="1479" w:type="pct"/>
            <w:hideMark/>
          </w:tcPr>
          <w:p w14:paraId="7C40FBB1" w14:textId="77777777" w:rsidR="00BD5588" w:rsidRPr="003B533D" w:rsidRDefault="00BD5588" w:rsidP="00BA0575">
            <w:r w:rsidRPr="003B533D">
              <w:t>Tiesiskā regulējuma ietekme uz tautsaimniecību un administratīvo slogu</w:t>
            </w:r>
          </w:p>
        </w:tc>
        <w:tc>
          <w:tcPr>
            <w:tcW w:w="3210" w:type="pct"/>
            <w:hideMark/>
          </w:tcPr>
          <w:p w14:paraId="6404C29D" w14:textId="77777777" w:rsidR="00461626" w:rsidRPr="003B533D" w:rsidRDefault="00461626" w:rsidP="004E5FF0">
            <w:pPr>
              <w:shd w:val="clear" w:color="auto" w:fill="FFFFFF"/>
              <w:jc w:val="both"/>
            </w:pPr>
            <w:r w:rsidRPr="003B533D">
              <w:t xml:space="preserve">Darbības programma kopumā pozitīvi ietekmē visas tautsaimniecības jomas. </w:t>
            </w:r>
          </w:p>
          <w:p w14:paraId="25AAF10E" w14:textId="77777777" w:rsidR="00461626" w:rsidRPr="003B533D" w:rsidRDefault="00461626" w:rsidP="00DD0091">
            <w:pPr>
              <w:shd w:val="clear" w:color="auto" w:fill="FFFFFF"/>
              <w:jc w:val="both"/>
            </w:pPr>
            <w:r w:rsidRPr="003B533D">
              <w:t xml:space="preserve">Detalizētāki nosacījumi tiks ietverti attiecīgajos MK noteikumos par SAM un pasākumu īstenošanu, kurus skars rīkojuma projektā ietvertie grozījumi. </w:t>
            </w:r>
          </w:p>
          <w:p w14:paraId="29EE6EC5" w14:textId="77777777" w:rsidR="00BD5588" w:rsidRPr="003B533D" w:rsidRDefault="00461626" w:rsidP="00DD0091">
            <w:pPr>
              <w:jc w:val="both"/>
            </w:pPr>
            <w:r w:rsidRPr="003B533D">
              <w:t>Sabiedrības grupām un institūcijām projekta tiesiskais regulējums nemaina tiesības un pienākumus, kā arī veicamās darbības.</w:t>
            </w:r>
          </w:p>
        </w:tc>
      </w:tr>
      <w:tr w:rsidR="00BD5588" w:rsidRPr="003B533D" w14:paraId="31B695D7" w14:textId="77777777" w:rsidTr="00CF6B48">
        <w:trPr>
          <w:cantSplit/>
        </w:trPr>
        <w:tc>
          <w:tcPr>
            <w:tcW w:w="311" w:type="pct"/>
            <w:hideMark/>
          </w:tcPr>
          <w:p w14:paraId="445F3DFE" w14:textId="77777777" w:rsidR="00BD5588" w:rsidRPr="003B533D" w:rsidRDefault="00BD5588" w:rsidP="00BA0575">
            <w:pPr>
              <w:jc w:val="center"/>
            </w:pPr>
            <w:r w:rsidRPr="003B533D">
              <w:t>3.</w:t>
            </w:r>
          </w:p>
        </w:tc>
        <w:tc>
          <w:tcPr>
            <w:tcW w:w="1479" w:type="pct"/>
            <w:hideMark/>
          </w:tcPr>
          <w:p w14:paraId="14DA24CC" w14:textId="77777777" w:rsidR="00BD5588" w:rsidRPr="003B533D" w:rsidRDefault="00BD5588" w:rsidP="00BA0575">
            <w:r w:rsidRPr="003B533D">
              <w:t>Administratīvo izmaksu monetārs novērtējums</w:t>
            </w:r>
          </w:p>
        </w:tc>
        <w:tc>
          <w:tcPr>
            <w:tcW w:w="3210" w:type="pct"/>
            <w:hideMark/>
          </w:tcPr>
          <w:p w14:paraId="0FC272B0" w14:textId="77777777" w:rsidR="00BD5588" w:rsidRPr="003B533D" w:rsidRDefault="00461626" w:rsidP="004E5FF0">
            <w:r w:rsidRPr="003B533D">
              <w:t>Projekts šo jomu neskar.</w:t>
            </w:r>
          </w:p>
        </w:tc>
      </w:tr>
      <w:tr w:rsidR="00BD5588" w:rsidRPr="003B533D" w14:paraId="65D89A87" w14:textId="77777777" w:rsidTr="00CF6B48">
        <w:trPr>
          <w:cantSplit/>
        </w:trPr>
        <w:tc>
          <w:tcPr>
            <w:tcW w:w="311" w:type="pct"/>
            <w:hideMark/>
          </w:tcPr>
          <w:p w14:paraId="449F3305" w14:textId="77777777" w:rsidR="00BD5588" w:rsidRPr="003B533D" w:rsidRDefault="00BD5588" w:rsidP="00BA0575">
            <w:pPr>
              <w:jc w:val="center"/>
            </w:pPr>
            <w:r w:rsidRPr="003B533D">
              <w:t>4.</w:t>
            </w:r>
          </w:p>
        </w:tc>
        <w:tc>
          <w:tcPr>
            <w:tcW w:w="1479" w:type="pct"/>
            <w:hideMark/>
          </w:tcPr>
          <w:p w14:paraId="2A751F75" w14:textId="77777777" w:rsidR="00BD5588" w:rsidRPr="003B533D" w:rsidRDefault="00BD5588" w:rsidP="00BA0575">
            <w:r w:rsidRPr="003B533D">
              <w:t>Atbilstības izmaksu monetārs novērtējums</w:t>
            </w:r>
          </w:p>
        </w:tc>
        <w:tc>
          <w:tcPr>
            <w:tcW w:w="3210" w:type="pct"/>
            <w:hideMark/>
          </w:tcPr>
          <w:p w14:paraId="6A44A0C5" w14:textId="77777777" w:rsidR="00BD5588" w:rsidRPr="003B533D" w:rsidRDefault="001B562B" w:rsidP="004E5FF0">
            <w:r w:rsidRPr="003B533D">
              <w:t>Projekts šo jomu neskar.</w:t>
            </w:r>
          </w:p>
        </w:tc>
      </w:tr>
      <w:tr w:rsidR="00BD5588" w:rsidRPr="003B533D" w14:paraId="21C7B62F" w14:textId="77777777" w:rsidTr="00CF6B48">
        <w:trPr>
          <w:cantSplit/>
        </w:trPr>
        <w:tc>
          <w:tcPr>
            <w:tcW w:w="311" w:type="pct"/>
            <w:hideMark/>
          </w:tcPr>
          <w:p w14:paraId="41AD1BA3" w14:textId="77777777" w:rsidR="00BD5588" w:rsidRPr="003B533D" w:rsidRDefault="00BD5588" w:rsidP="00BA0575">
            <w:pPr>
              <w:jc w:val="center"/>
            </w:pPr>
            <w:r w:rsidRPr="003B533D">
              <w:t>5.</w:t>
            </w:r>
          </w:p>
        </w:tc>
        <w:tc>
          <w:tcPr>
            <w:tcW w:w="1479" w:type="pct"/>
            <w:hideMark/>
          </w:tcPr>
          <w:p w14:paraId="290A19F4" w14:textId="77777777" w:rsidR="00BD5588" w:rsidRPr="003B533D" w:rsidRDefault="00BD5588" w:rsidP="00BA0575">
            <w:r w:rsidRPr="003B533D">
              <w:t>Cita informācija</w:t>
            </w:r>
          </w:p>
        </w:tc>
        <w:tc>
          <w:tcPr>
            <w:tcW w:w="3210" w:type="pct"/>
            <w:hideMark/>
          </w:tcPr>
          <w:p w14:paraId="03926209" w14:textId="77777777" w:rsidR="00BD5588" w:rsidRPr="003B533D" w:rsidRDefault="00461626" w:rsidP="00BA0575">
            <w:r w:rsidRPr="003B533D">
              <w:t>Nav.</w:t>
            </w:r>
          </w:p>
        </w:tc>
      </w:tr>
    </w:tbl>
    <w:p w14:paraId="05A4E46C" w14:textId="77777777" w:rsidR="00BD5588" w:rsidRPr="003B533D" w:rsidRDefault="00BD5588" w:rsidP="00DD0091">
      <w:pPr>
        <w:pStyle w:val="Title"/>
        <w:spacing w:before="130"/>
        <w:ind w:firstLine="539"/>
        <w:jc w:val="both"/>
        <w:rPr>
          <w:sz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83"/>
        <w:gridCol w:w="996"/>
        <w:gridCol w:w="996"/>
        <w:gridCol w:w="996"/>
        <w:gridCol w:w="996"/>
        <w:gridCol w:w="996"/>
        <w:gridCol w:w="996"/>
        <w:gridCol w:w="1006"/>
      </w:tblGrid>
      <w:tr w:rsidR="00221ADA" w:rsidRPr="003B533D" w14:paraId="042E3F1B" w14:textId="77777777" w:rsidTr="0047447E">
        <w:trPr>
          <w:cantSplit/>
        </w:trPr>
        <w:tc>
          <w:tcPr>
            <w:tcW w:w="9065" w:type="dxa"/>
            <w:gridSpan w:val="8"/>
            <w:shd w:val="clear" w:color="auto" w:fill="auto"/>
            <w:vAlign w:val="center"/>
            <w:hideMark/>
          </w:tcPr>
          <w:p w14:paraId="21DBB151" w14:textId="77777777" w:rsidR="00BD5588" w:rsidRPr="003B533D" w:rsidRDefault="00BD5588" w:rsidP="00BA0575">
            <w:pPr>
              <w:jc w:val="center"/>
              <w:rPr>
                <w:b/>
              </w:rPr>
            </w:pPr>
            <w:r w:rsidRPr="003B533D">
              <w:rPr>
                <w:b/>
              </w:rPr>
              <w:t>III. Tiesību akta projekta ietekme uz valsts budžetu un pašvaldību budžetiem</w:t>
            </w:r>
          </w:p>
        </w:tc>
      </w:tr>
      <w:tr w:rsidR="00221ADA" w:rsidRPr="003B533D" w14:paraId="52EFB1DF"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B20B8"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Rādītāji</w:t>
            </w:r>
          </w:p>
        </w:tc>
        <w:tc>
          <w:tcPr>
            <w:tcW w:w="1992"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2F23C"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2021</w:t>
            </w:r>
          </w:p>
        </w:tc>
        <w:tc>
          <w:tcPr>
            <w:tcW w:w="4990"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3B4E6"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Turpmākie trīs gadi (</w:t>
            </w:r>
            <w:proofErr w:type="spellStart"/>
            <w:r w:rsidRPr="003B533D">
              <w:rPr>
                <w:i/>
                <w:iCs/>
                <w:sz w:val="22"/>
                <w:szCs w:val="20"/>
              </w:rPr>
              <w:t>euro</w:t>
            </w:r>
            <w:proofErr w:type="spellEnd"/>
            <w:r w:rsidRPr="003B533D">
              <w:rPr>
                <w:sz w:val="22"/>
                <w:szCs w:val="20"/>
              </w:rPr>
              <w:t>)</w:t>
            </w:r>
          </w:p>
        </w:tc>
      </w:tr>
      <w:tr w:rsidR="00221ADA" w:rsidRPr="003B533D" w14:paraId="178DF1BE"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79B71" w14:textId="77777777" w:rsidR="00541B28" w:rsidRPr="003B533D" w:rsidRDefault="00541B28" w:rsidP="00541B28">
            <w:pPr>
              <w:rPr>
                <w:sz w:val="22"/>
                <w:szCs w:val="20"/>
              </w:rPr>
            </w:pPr>
          </w:p>
        </w:tc>
        <w:tc>
          <w:tcPr>
            <w:tcW w:w="1992"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3194F" w14:textId="77777777" w:rsidR="00541B28" w:rsidRPr="003B533D" w:rsidRDefault="00541B28" w:rsidP="00541B28">
            <w:pPr>
              <w:rPr>
                <w:sz w:val="22"/>
                <w:szCs w:val="20"/>
              </w:rPr>
            </w:pPr>
          </w:p>
        </w:tc>
        <w:tc>
          <w:tcPr>
            <w:tcW w:w="199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CEF50B" w14:textId="77777777" w:rsidR="00541B28" w:rsidRPr="003B533D" w:rsidRDefault="001F60DC" w:rsidP="00541B28">
            <w:pPr>
              <w:spacing w:before="100" w:beforeAutospacing="1" w:after="100" w:afterAutospacing="1" w:line="293" w:lineRule="atLeast"/>
              <w:jc w:val="center"/>
              <w:rPr>
                <w:sz w:val="22"/>
                <w:szCs w:val="20"/>
              </w:rPr>
            </w:pPr>
            <w:r w:rsidRPr="003B533D">
              <w:rPr>
                <w:sz w:val="22"/>
                <w:szCs w:val="20"/>
              </w:rPr>
              <w:t>2022</w:t>
            </w:r>
          </w:p>
        </w:tc>
        <w:tc>
          <w:tcPr>
            <w:tcW w:w="199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B7EE3" w14:textId="77777777" w:rsidR="00541B28" w:rsidRPr="003B533D" w:rsidRDefault="001F60DC" w:rsidP="00541B28">
            <w:pPr>
              <w:spacing w:before="100" w:beforeAutospacing="1" w:after="100" w:afterAutospacing="1" w:line="293" w:lineRule="atLeast"/>
              <w:jc w:val="center"/>
              <w:rPr>
                <w:sz w:val="22"/>
                <w:szCs w:val="20"/>
              </w:rPr>
            </w:pPr>
            <w:r w:rsidRPr="003B533D">
              <w:rPr>
                <w:sz w:val="22"/>
                <w:szCs w:val="20"/>
              </w:rPr>
              <w:t>2023</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FA6C7" w14:textId="77777777" w:rsidR="00541B28" w:rsidRPr="003B533D" w:rsidRDefault="001F60DC" w:rsidP="00541B28">
            <w:pPr>
              <w:spacing w:before="100" w:beforeAutospacing="1" w:after="100" w:afterAutospacing="1" w:line="293" w:lineRule="atLeast"/>
              <w:jc w:val="center"/>
              <w:rPr>
                <w:sz w:val="22"/>
                <w:szCs w:val="20"/>
              </w:rPr>
            </w:pPr>
            <w:r w:rsidRPr="003B533D">
              <w:rPr>
                <w:sz w:val="22"/>
                <w:szCs w:val="20"/>
              </w:rPr>
              <w:t>2024</w:t>
            </w:r>
          </w:p>
        </w:tc>
      </w:tr>
      <w:tr w:rsidR="00221ADA" w:rsidRPr="003B533D" w14:paraId="35C23208"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FCA82" w14:textId="77777777" w:rsidR="00541B28" w:rsidRPr="003B533D" w:rsidRDefault="00541B28" w:rsidP="00541B28">
            <w:pP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88B7D1" w14:textId="77777777" w:rsidR="00541B28" w:rsidRPr="003B533D" w:rsidRDefault="00541B28" w:rsidP="00541B28">
            <w:pPr>
              <w:spacing w:before="100" w:beforeAutospacing="1" w:after="100" w:afterAutospacing="1" w:line="293" w:lineRule="atLeast"/>
              <w:jc w:val="center"/>
              <w:rPr>
                <w:sz w:val="20"/>
                <w:szCs w:val="20"/>
              </w:rPr>
            </w:pPr>
            <w:r w:rsidRPr="003B533D">
              <w:rPr>
                <w:sz w:val="20"/>
                <w:szCs w:val="20"/>
              </w:rPr>
              <w:t>saskaņā ar valsts budžetu kārtējam gadam</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0978F" w14:textId="77777777" w:rsidR="00541B28" w:rsidRPr="003B533D" w:rsidRDefault="00541B28" w:rsidP="00541B28">
            <w:pPr>
              <w:spacing w:before="100" w:beforeAutospacing="1" w:after="100" w:afterAutospacing="1" w:line="293" w:lineRule="atLeast"/>
              <w:jc w:val="center"/>
              <w:rPr>
                <w:sz w:val="20"/>
                <w:szCs w:val="20"/>
              </w:rPr>
            </w:pPr>
            <w:r w:rsidRPr="003B533D">
              <w:rPr>
                <w:sz w:val="20"/>
                <w:szCs w:val="20"/>
              </w:rPr>
              <w:t>izmaiņas kārtējā gadā, salīdzinot ar valsts budžetu kārtējam gadam</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2F921" w14:textId="77777777" w:rsidR="00541B28" w:rsidRPr="003B533D" w:rsidRDefault="00541B28" w:rsidP="00541B28">
            <w:pPr>
              <w:spacing w:before="100" w:beforeAutospacing="1" w:after="100" w:afterAutospacing="1" w:line="293" w:lineRule="atLeast"/>
              <w:jc w:val="center"/>
              <w:rPr>
                <w:sz w:val="20"/>
                <w:szCs w:val="20"/>
              </w:rPr>
            </w:pPr>
            <w:r w:rsidRPr="003B533D">
              <w:rPr>
                <w:sz w:val="20"/>
                <w:szCs w:val="20"/>
              </w:rPr>
              <w:t>saskaņā ar vidēja termiņa budžeta ietvaru</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C38F5" w14:textId="77777777" w:rsidR="00541B28" w:rsidRPr="003B533D" w:rsidRDefault="00541B28" w:rsidP="00541B28">
            <w:pPr>
              <w:spacing w:before="100" w:beforeAutospacing="1" w:after="100" w:afterAutospacing="1" w:line="293" w:lineRule="atLeast"/>
              <w:jc w:val="center"/>
              <w:rPr>
                <w:sz w:val="20"/>
                <w:szCs w:val="20"/>
              </w:rPr>
            </w:pPr>
            <w:r w:rsidRPr="003B533D">
              <w:rPr>
                <w:sz w:val="20"/>
                <w:szCs w:val="20"/>
              </w:rPr>
              <w:t>izmaiņas, salīdzinot ar vi</w:t>
            </w:r>
            <w:r w:rsidR="001F60DC" w:rsidRPr="003B533D">
              <w:rPr>
                <w:sz w:val="20"/>
                <w:szCs w:val="20"/>
              </w:rPr>
              <w:t>dēja termiņa budžeta ietvaru 2022.</w:t>
            </w:r>
            <w:r w:rsidRPr="003B533D">
              <w:rPr>
                <w:sz w:val="20"/>
                <w:szCs w:val="20"/>
              </w:rPr>
              <w:t xml:space="preserve"> gadam</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20445" w14:textId="77777777" w:rsidR="00541B28" w:rsidRPr="003B533D" w:rsidRDefault="00541B28" w:rsidP="00541B28">
            <w:pPr>
              <w:spacing w:before="100" w:beforeAutospacing="1" w:after="100" w:afterAutospacing="1" w:line="293" w:lineRule="atLeast"/>
              <w:jc w:val="center"/>
              <w:rPr>
                <w:sz w:val="20"/>
                <w:szCs w:val="20"/>
              </w:rPr>
            </w:pPr>
            <w:r w:rsidRPr="003B533D">
              <w:rPr>
                <w:sz w:val="20"/>
                <w:szCs w:val="20"/>
              </w:rPr>
              <w:t>saskaņā ar vidēja termiņa budžeta ietvaru</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EA88CF" w14:textId="77777777" w:rsidR="00541B28" w:rsidRPr="003B533D" w:rsidRDefault="00541B28" w:rsidP="00541B28">
            <w:pPr>
              <w:spacing w:before="100" w:beforeAutospacing="1" w:after="100" w:afterAutospacing="1" w:line="293" w:lineRule="atLeast"/>
              <w:jc w:val="center"/>
              <w:rPr>
                <w:sz w:val="20"/>
                <w:szCs w:val="20"/>
              </w:rPr>
            </w:pPr>
            <w:r w:rsidRPr="003B533D">
              <w:rPr>
                <w:sz w:val="20"/>
                <w:szCs w:val="20"/>
              </w:rPr>
              <w:t>izmaiņas, salīdzinot ar vi</w:t>
            </w:r>
            <w:r w:rsidR="001F60DC" w:rsidRPr="003B533D">
              <w:rPr>
                <w:sz w:val="20"/>
                <w:szCs w:val="20"/>
              </w:rPr>
              <w:t>dēja termiņa budžeta ietvaru 2023.</w:t>
            </w:r>
            <w:r w:rsidRPr="003B533D">
              <w:rPr>
                <w:sz w:val="20"/>
                <w:szCs w:val="20"/>
              </w:rPr>
              <w:t xml:space="preserve"> gadam</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F3A73" w14:textId="77777777" w:rsidR="00541B28" w:rsidRPr="003B533D" w:rsidRDefault="00541B28" w:rsidP="00541B28">
            <w:pPr>
              <w:spacing w:before="100" w:beforeAutospacing="1" w:after="100" w:afterAutospacing="1" w:line="293" w:lineRule="atLeast"/>
              <w:jc w:val="center"/>
              <w:rPr>
                <w:sz w:val="20"/>
                <w:szCs w:val="20"/>
              </w:rPr>
            </w:pPr>
            <w:r w:rsidRPr="003B533D">
              <w:rPr>
                <w:sz w:val="20"/>
                <w:szCs w:val="20"/>
              </w:rPr>
              <w:t>izmaiņas, salīdzinot ar vi</w:t>
            </w:r>
            <w:r w:rsidR="001F60DC" w:rsidRPr="003B533D">
              <w:rPr>
                <w:sz w:val="20"/>
                <w:szCs w:val="20"/>
              </w:rPr>
              <w:t>dēja termiņa budžeta ietvaru 2023.</w:t>
            </w:r>
            <w:r w:rsidRPr="003B533D">
              <w:rPr>
                <w:sz w:val="20"/>
                <w:szCs w:val="20"/>
              </w:rPr>
              <w:t xml:space="preserve"> gadam</w:t>
            </w:r>
          </w:p>
        </w:tc>
      </w:tr>
      <w:tr w:rsidR="00221ADA" w:rsidRPr="003B533D" w14:paraId="6CF6CECF"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6383E"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1</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88C78"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2</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1D1CD"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3</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7A8920"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4</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B80CA"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5</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8C25E"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6</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542BA"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7</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DA459" w14:textId="77777777" w:rsidR="00541B28" w:rsidRPr="003B533D" w:rsidRDefault="00541B28" w:rsidP="00541B28">
            <w:pPr>
              <w:spacing w:before="100" w:beforeAutospacing="1" w:after="100" w:afterAutospacing="1" w:line="293" w:lineRule="atLeast"/>
              <w:jc w:val="center"/>
              <w:rPr>
                <w:sz w:val="22"/>
                <w:szCs w:val="20"/>
              </w:rPr>
            </w:pPr>
            <w:r w:rsidRPr="003B533D">
              <w:rPr>
                <w:sz w:val="22"/>
                <w:szCs w:val="20"/>
              </w:rPr>
              <w:t>8</w:t>
            </w:r>
          </w:p>
        </w:tc>
      </w:tr>
      <w:tr w:rsidR="00221ADA" w:rsidRPr="003B533D" w14:paraId="36B22F7B"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5368CB4B" w14:textId="77777777" w:rsidR="006833CF" w:rsidRPr="003B533D" w:rsidRDefault="006833CF" w:rsidP="006833CF">
            <w:pPr>
              <w:rPr>
                <w:sz w:val="22"/>
                <w:szCs w:val="20"/>
              </w:rPr>
            </w:pPr>
            <w:r w:rsidRPr="003B533D">
              <w:rPr>
                <w:sz w:val="22"/>
                <w:szCs w:val="20"/>
              </w:rPr>
              <w:t>1. Budžeta ieņēmumi</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BCBE4"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9ED40" w14:textId="77777777" w:rsidR="006833CF" w:rsidRPr="003B533D" w:rsidRDefault="006833CF" w:rsidP="006833CF">
            <w:pPr>
              <w:jc w:val="center"/>
              <w:rPr>
                <w:sz w:val="22"/>
                <w:szCs w:val="20"/>
              </w:rPr>
            </w:pPr>
            <w:r w:rsidRPr="003B533D">
              <w:rPr>
                <w:sz w:val="22"/>
                <w:szCs w:val="22"/>
              </w:rPr>
              <w:t>203 865 831</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FA12B"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6BE32" w14:textId="77777777" w:rsidR="006833CF" w:rsidRPr="003B533D" w:rsidRDefault="006833CF" w:rsidP="006833CF">
            <w:pPr>
              <w:jc w:val="center"/>
              <w:rPr>
                <w:sz w:val="22"/>
                <w:szCs w:val="20"/>
              </w:rPr>
            </w:pPr>
            <w:r w:rsidRPr="003B533D">
              <w:rPr>
                <w:sz w:val="22"/>
                <w:szCs w:val="22"/>
              </w:rPr>
              <w:t>60 202 528</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B5A41"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26481"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66A20" w14:textId="77777777" w:rsidR="006833CF" w:rsidRPr="003B533D" w:rsidRDefault="006833CF" w:rsidP="006833CF">
            <w:pPr>
              <w:jc w:val="center"/>
              <w:rPr>
                <w:sz w:val="22"/>
                <w:szCs w:val="20"/>
              </w:rPr>
            </w:pPr>
            <w:r w:rsidRPr="003B533D">
              <w:rPr>
                <w:sz w:val="22"/>
                <w:szCs w:val="20"/>
              </w:rPr>
              <w:t>0</w:t>
            </w:r>
          </w:p>
        </w:tc>
      </w:tr>
      <w:tr w:rsidR="00825493" w:rsidRPr="003B533D" w14:paraId="71C5B8CC"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6CD46410" w14:textId="77777777" w:rsidR="00825493" w:rsidRPr="003B533D" w:rsidRDefault="00825493" w:rsidP="00825493">
            <w:pPr>
              <w:rPr>
                <w:sz w:val="22"/>
                <w:szCs w:val="20"/>
              </w:rPr>
            </w:pPr>
            <w:r w:rsidRPr="003B533D">
              <w:rPr>
                <w:sz w:val="22"/>
                <w:szCs w:val="20"/>
              </w:rPr>
              <w:t>1.1. valsts pamatbudžets, tai skaitā ieņēmumi no maksas pakalpojumiem un citi pašu ieņēmumi</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FA69C" w14:textId="77777777" w:rsidR="00825493" w:rsidRPr="003B533D" w:rsidRDefault="00825493" w:rsidP="00825493">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77EA0" w14:textId="77777777" w:rsidR="00825493" w:rsidRPr="003B533D" w:rsidRDefault="00825493" w:rsidP="00825493">
            <w:pPr>
              <w:jc w:val="center"/>
              <w:rPr>
                <w:sz w:val="22"/>
                <w:szCs w:val="20"/>
              </w:rPr>
            </w:pPr>
            <w:r w:rsidRPr="003B533D">
              <w:rPr>
                <w:color w:val="414142"/>
                <w:sz w:val="22"/>
                <w:szCs w:val="22"/>
              </w:rPr>
              <w:t>156 776 332</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16C56" w14:textId="77777777" w:rsidR="00825493" w:rsidRPr="003B533D" w:rsidRDefault="00825493" w:rsidP="00825493">
            <w:pPr>
              <w:jc w:val="center"/>
              <w:rPr>
                <w:sz w:val="22"/>
                <w:szCs w:val="20"/>
              </w:rPr>
            </w:pPr>
            <w:r w:rsidRPr="003B533D">
              <w:rPr>
                <w:color w:val="414142"/>
                <w:sz w:val="22"/>
                <w:szCs w:val="22"/>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5D92A" w14:textId="77777777" w:rsidR="00825493" w:rsidRPr="003B533D" w:rsidRDefault="00825493" w:rsidP="00825493">
            <w:pPr>
              <w:jc w:val="center"/>
              <w:rPr>
                <w:sz w:val="22"/>
                <w:szCs w:val="20"/>
              </w:rPr>
            </w:pPr>
            <w:r w:rsidRPr="003B533D">
              <w:rPr>
                <w:color w:val="414142"/>
                <w:sz w:val="22"/>
                <w:szCs w:val="22"/>
              </w:rPr>
              <w:t>41 134 210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8E366" w14:textId="77777777" w:rsidR="00825493" w:rsidRPr="003B533D" w:rsidRDefault="00825493" w:rsidP="00825493">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869F0" w14:textId="77777777" w:rsidR="00825493" w:rsidRPr="003B533D" w:rsidRDefault="00825493" w:rsidP="00825493">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950AA1" w14:textId="77777777" w:rsidR="00825493" w:rsidRPr="003B533D" w:rsidRDefault="00825493" w:rsidP="00825493">
            <w:pPr>
              <w:jc w:val="center"/>
              <w:rPr>
                <w:sz w:val="22"/>
                <w:szCs w:val="20"/>
              </w:rPr>
            </w:pPr>
            <w:r w:rsidRPr="003B533D">
              <w:rPr>
                <w:sz w:val="22"/>
                <w:szCs w:val="20"/>
              </w:rPr>
              <w:t>0</w:t>
            </w:r>
          </w:p>
        </w:tc>
      </w:tr>
      <w:tr w:rsidR="00221ADA" w:rsidRPr="003B533D" w14:paraId="58B9ACAE"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494F631E" w14:textId="77777777" w:rsidR="006833CF" w:rsidRPr="003B533D" w:rsidRDefault="006833CF" w:rsidP="006833CF">
            <w:pPr>
              <w:rPr>
                <w:sz w:val="22"/>
                <w:szCs w:val="20"/>
              </w:rPr>
            </w:pPr>
            <w:r w:rsidRPr="003B533D">
              <w:rPr>
                <w:sz w:val="22"/>
                <w:szCs w:val="20"/>
              </w:rPr>
              <w:t>1.2. valsts speciālais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A5D3A"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7400F"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12596"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BD6CA"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BE16C"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39E22"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67D82" w14:textId="77777777" w:rsidR="006833CF" w:rsidRPr="003B533D" w:rsidRDefault="006833CF" w:rsidP="006833CF">
            <w:pPr>
              <w:jc w:val="center"/>
              <w:rPr>
                <w:sz w:val="22"/>
                <w:szCs w:val="20"/>
              </w:rPr>
            </w:pPr>
            <w:r w:rsidRPr="003B533D">
              <w:rPr>
                <w:sz w:val="22"/>
                <w:szCs w:val="20"/>
              </w:rPr>
              <w:t>0</w:t>
            </w:r>
          </w:p>
        </w:tc>
      </w:tr>
      <w:tr w:rsidR="00825493" w:rsidRPr="003B533D" w14:paraId="4AF3F82F"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662281D9" w14:textId="77777777" w:rsidR="00825493" w:rsidRPr="003B533D" w:rsidRDefault="00825493" w:rsidP="00825493">
            <w:pPr>
              <w:rPr>
                <w:sz w:val="22"/>
                <w:szCs w:val="20"/>
              </w:rPr>
            </w:pPr>
            <w:r w:rsidRPr="003B533D">
              <w:rPr>
                <w:sz w:val="22"/>
                <w:szCs w:val="20"/>
              </w:rPr>
              <w:t>1.3. pašvaldību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C5E96" w14:textId="77777777" w:rsidR="00825493" w:rsidRPr="003B533D" w:rsidRDefault="00825493" w:rsidP="00825493">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258AE4" w14:textId="1D14CBF5" w:rsidR="00825493" w:rsidRPr="003B533D" w:rsidRDefault="00825493" w:rsidP="00825493">
            <w:pPr>
              <w:jc w:val="center"/>
              <w:rPr>
                <w:sz w:val="22"/>
                <w:szCs w:val="20"/>
              </w:rPr>
            </w:pPr>
            <w:r w:rsidRPr="003B533D">
              <w:rPr>
                <w:color w:val="414142"/>
                <w:sz w:val="22"/>
                <w:szCs w:val="22"/>
              </w:rPr>
              <w:t>47 089 499</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E23F9" w14:textId="77777777" w:rsidR="00825493" w:rsidRPr="003B533D" w:rsidRDefault="00825493" w:rsidP="00825493">
            <w:pPr>
              <w:jc w:val="center"/>
              <w:rPr>
                <w:sz w:val="22"/>
                <w:szCs w:val="20"/>
              </w:rPr>
            </w:pPr>
            <w:r w:rsidRPr="003B533D">
              <w:rPr>
                <w:color w:val="414142"/>
                <w:sz w:val="22"/>
                <w:szCs w:val="22"/>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6C473" w14:textId="77777777" w:rsidR="00825493" w:rsidRPr="003B533D" w:rsidRDefault="00825493" w:rsidP="00825493">
            <w:pPr>
              <w:jc w:val="center"/>
              <w:rPr>
                <w:sz w:val="22"/>
                <w:szCs w:val="20"/>
              </w:rPr>
            </w:pPr>
            <w:r w:rsidRPr="003B533D">
              <w:rPr>
                <w:color w:val="414142"/>
                <w:sz w:val="22"/>
                <w:szCs w:val="22"/>
              </w:rPr>
              <w:t>19 068 318</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B4413" w14:textId="77777777" w:rsidR="00825493" w:rsidRPr="003B533D" w:rsidRDefault="00825493" w:rsidP="00825493">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F4DA4" w14:textId="77777777" w:rsidR="00825493" w:rsidRPr="003B533D" w:rsidRDefault="00825493" w:rsidP="00825493">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26406" w14:textId="77777777" w:rsidR="00825493" w:rsidRPr="003B533D" w:rsidRDefault="00825493" w:rsidP="00825493">
            <w:pPr>
              <w:jc w:val="center"/>
              <w:rPr>
                <w:sz w:val="22"/>
                <w:szCs w:val="20"/>
              </w:rPr>
            </w:pPr>
            <w:r w:rsidRPr="003B533D">
              <w:rPr>
                <w:sz w:val="22"/>
                <w:szCs w:val="20"/>
              </w:rPr>
              <w:t>0</w:t>
            </w:r>
          </w:p>
        </w:tc>
      </w:tr>
      <w:tr w:rsidR="00221ADA" w:rsidRPr="003B533D" w14:paraId="08657DC2"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0C84F58A" w14:textId="77777777" w:rsidR="006833CF" w:rsidRPr="003B533D" w:rsidRDefault="006833CF" w:rsidP="006833CF">
            <w:pPr>
              <w:rPr>
                <w:sz w:val="22"/>
                <w:szCs w:val="20"/>
              </w:rPr>
            </w:pPr>
            <w:r w:rsidRPr="003B533D">
              <w:rPr>
                <w:sz w:val="22"/>
                <w:szCs w:val="20"/>
              </w:rPr>
              <w:t>2. Budžeta izdevumi</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C6262"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72CBC" w14:textId="77777777" w:rsidR="006833CF" w:rsidRPr="003B533D" w:rsidRDefault="006833CF" w:rsidP="006833CF">
            <w:pPr>
              <w:jc w:val="center"/>
              <w:rPr>
                <w:sz w:val="22"/>
                <w:szCs w:val="20"/>
              </w:rPr>
            </w:pPr>
            <w:r w:rsidRPr="003B533D">
              <w:rPr>
                <w:sz w:val="22"/>
                <w:szCs w:val="22"/>
              </w:rPr>
              <w:t>230 458 482</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BE7AF"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E4180B" w14:textId="77777777" w:rsidR="006833CF" w:rsidRPr="003B533D" w:rsidRDefault="006833CF" w:rsidP="006833CF">
            <w:pPr>
              <w:jc w:val="center"/>
              <w:rPr>
                <w:sz w:val="22"/>
                <w:szCs w:val="20"/>
              </w:rPr>
            </w:pPr>
            <w:r w:rsidRPr="003B533D">
              <w:rPr>
                <w:sz w:val="22"/>
                <w:szCs w:val="22"/>
              </w:rPr>
              <w:t>68 966 505</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B0DF4"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306B6"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54003" w14:textId="77777777" w:rsidR="006833CF" w:rsidRPr="003B533D" w:rsidRDefault="006833CF" w:rsidP="006833CF">
            <w:pPr>
              <w:jc w:val="center"/>
              <w:rPr>
                <w:sz w:val="22"/>
                <w:szCs w:val="20"/>
              </w:rPr>
            </w:pPr>
            <w:r w:rsidRPr="003B533D">
              <w:rPr>
                <w:sz w:val="22"/>
                <w:szCs w:val="20"/>
              </w:rPr>
              <w:t>0</w:t>
            </w:r>
          </w:p>
        </w:tc>
      </w:tr>
      <w:tr w:rsidR="00825493" w:rsidRPr="003B533D" w14:paraId="78E13719"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38964252" w14:textId="77777777" w:rsidR="00825493" w:rsidRPr="003B533D" w:rsidRDefault="00825493" w:rsidP="00825493">
            <w:pPr>
              <w:rPr>
                <w:sz w:val="22"/>
                <w:szCs w:val="20"/>
              </w:rPr>
            </w:pPr>
            <w:r w:rsidRPr="003B533D">
              <w:rPr>
                <w:sz w:val="22"/>
                <w:szCs w:val="20"/>
              </w:rPr>
              <w:t>2.1. valsts pamatbudžets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B26E1" w14:textId="77777777" w:rsidR="00825493" w:rsidRPr="003B533D" w:rsidRDefault="00825493" w:rsidP="00825493">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F7B3A" w14:textId="77777777" w:rsidR="00825493" w:rsidRPr="003B533D" w:rsidRDefault="00825493" w:rsidP="00825493">
            <w:pPr>
              <w:jc w:val="center"/>
              <w:rPr>
                <w:sz w:val="22"/>
                <w:szCs w:val="20"/>
              </w:rPr>
            </w:pPr>
            <w:r w:rsidRPr="003B533D">
              <w:rPr>
                <w:color w:val="414142"/>
                <w:sz w:val="22"/>
                <w:szCs w:val="22"/>
              </w:rPr>
              <w:t>175 059 071</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732B6" w14:textId="77777777" w:rsidR="00825493" w:rsidRPr="003B533D" w:rsidRDefault="00825493" w:rsidP="00825493">
            <w:pPr>
              <w:jc w:val="center"/>
              <w:rPr>
                <w:sz w:val="22"/>
                <w:szCs w:val="20"/>
              </w:rPr>
            </w:pPr>
            <w:r w:rsidRPr="003B533D">
              <w:rPr>
                <w:color w:val="414142"/>
                <w:sz w:val="22"/>
                <w:szCs w:val="22"/>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17DBB" w14:textId="77777777" w:rsidR="00825493" w:rsidRPr="003B533D" w:rsidRDefault="00825493" w:rsidP="00825493">
            <w:pPr>
              <w:jc w:val="center"/>
              <w:rPr>
                <w:sz w:val="22"/>
                <w:szCs w:val="20"/>
              </w:rPr>
            </w:pPr>
            <w:r w:rsidRPr="003B533D">
              <w:rPr>
                <w:color w:val="414142"/>
                <w:sz w:val="22"/>
                <w:szCs w:val="22"/>
              </w:rPr>
              <w:t>46 533 189</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15476" w14:textId="77777777" w:rsidR="00825493" w:rsidRPr="003B533D" w:rsidRDefault="00825493" w:rsidP="00825493">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2116D" w14:textId="77777777" w:rsidR="00825493" w:rsidRPr="003B533D" w:rsidRDefault="00825493" w:rsidP="00825493">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36547" w14:textId="77777777" w:rsidR="00825493" w:rsidRPr="003B533D" w:rsidRDefault="00825493" w:rsidP="00825493">
            <w:pPr>
              <w:jc w:val="center"/>
              <w:rPr>
                <w:sz w:val="22"/>
                <w:szCs w:val="20"/>
              </w:rPr>
            </w:pPr>
            <w:r w:rsidRPr="003B533D">
              <w:rPr>
                <w:sz w:val="22"/>
                <w:szCs w:val="20"/>
              </w:rPr>
              <w:t>0</w:t>
            </w:r>
          </w:p>
        </w:tc>
      </w:tr>
      <w:tr w:rsidR="00221ADA" w:rsidRPr="003B533D" w14:paraId="0E61F8BB"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730B9FE8" w14:textId="77777777" w:rsidR="006833CF" w:rsidRPr="003B533D" w:rsidRDefault="006833CF" w:rsidP="006833CF">
            <w:pPr>
              <w:rPr>
                <w:sz w:val="22"/>
                <w:szCs w:val="20"/>
              </w:rPr>
            </w:pPr>
            <w:r w:rsidRPr="003B533D">
              <w:rPr>
                <w:sz w:val="22"/>
                <w:szCs w:val="20"/>
              </w:rPr>
              <w:t>2.2. valsts speciālais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281CB"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9FBA0"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6E96B"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55B80"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42F18"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F6D47"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03A86" w14:textId="77777777" w:rsidR="006833CF" w:rsidRPr="003B533D" w:rsidRDefault="006833CF" w:rsidP="006833CF">
            <w:pPr>
              <w:jc w:val="center"/>
              <w:rPr>
                <w:sz w:val="22"/>
                <w:szCs w:val="20"/>
              </w:rPr>
            </w:pPr>
            <w:r w:rsidRPr="003B533D">
              <w:rPr>
                <w:sz w:val="22"/>
                <w:szCs w:val="20"/>
              </w:rPr>
              <w:t>0</w:t>
            </w:r>
          </w:p>
        </w:tc>
      </w:tr>
      <w:tr w:rsidR="00825493" w:rsidRPr="003B533D" w14:paraId="52124B11"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5F8FCD70" w14:textId="77777777" w:rsidR="00825493" w:rsidRPr="003B533D" w:rsidRDefault="00825493" w:rsidP="00825493">
            <w:pPr>
              <w:rPr>
                <w:sz w:val="22"/>
                <w:szCs w:val="20"/>
              </w:rPr>
            </w:pPr>
            <w:r w:rsidRPr="003B533D">
              <w:rPr>
                <w:sz w:val="22"/>
                <w:szCs w:val="20"/>
              </w:rPr>
              <w:t>2.3. pašvaldību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921AC" w14:textId="77777777" w:rsidR="00825493" w:rsidRPr="003B533D" w:rsidRDefault="00825493" w:rsidP="00825493">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D911D" w14:textId="41E13BB0" w:rsidR="00825493" w:rsidRPr="003B533D" w:rsidRDefault="00825493" w:rsidP="00825493">
            <w:pPr>
              <w:jc w:val="center"/>
              <w:rPr>
                <w:sz w:val="22"/>
                <w:szCs w:val="20"/>
              </w:rPr>
            </w:pPr>
            <w:r w:rsidRPr="003B533D">
              <w:rPr>
                <w:color w:val="414142"/>
                <w:sz w:val="22"/>
                <w:szCs w:val="22"/>
              </w:rPr>
              <w:t>55 399 411</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4BFE7" w14:textId="77777777" w:rsidR="00825493" w:rsidRPr="003B533D" w:rsidRDefault="00825493" w:rsidP="00825493">
            <w:pPr>
              <w:jc w:val="center"/>
              <w:rPr>
                <w:sz w:val="22"/>
                <w:szCs w:val="20"/>
              </w:rPr>
            </w:pPr>
            <w:r w:rsidRPr="003B533D">
              <w:rPr>
                <w:color w:val="414142"/>
                <w:sz w:val="22"/>
                <w:szCs w:val="22"/>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2EDDD" w14:textId="77777777" w:rsidR="00825493" w:rsidRPr="003B533D" w:rsidRDefault="00825493" w:rsidP="00825493">
            <w:pPr>
              <w:jc w:val="center"/>
              <w:rPr>
                <w:sz w:val="22"/>
                <w:szCs w:val="20"/>
              </w:rPr>
            </w:pPr>
            <w:r w:rsidRPr="003B533D">
              <w:rPr>
                <w:color w:val="414142"/>
                <w:sz w:val="22"/>
                <w:szCs w:val="22"/>
              </w:rPr>
              <w:t>22 433 316</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C20A2" w14:textId="77777777" w:rsidR="00825493" w:rsidRPr="003B533D" w:rsidRDefault="00825493" w:rsidP="00825493">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CCF86" w14:textId="77777777" w:rsidR="00825493" w:rsidRPr="003B533D" w:rsidRDefault="00825493" w:rsidP="00825493">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23E70" w14:textId="77777777" w:rsidR="00825493" w:rsidRPr="003B533D" w:rsidRDefault="00825493" w:rsidP="00825493">
            <w:pPr>
              <w:jc w:val="center"/>
              <w:rPr>
                <w:sz w:val="22"/>
                <w:szCs w:val="20"/>
              </w:rPr>
            </w:pPr>
            <w:r w:rsidRPr="003B533D">
              <w:rPr>
                <w:sz w:val="22"/>
                <w:szCs w:val="20"/>
              </w:rPr>
              <w:t>0</w:t>
            </w:r>
          </w:p>
        </w:tc>
      </w:tr>
      <w:tr w:rsidR="00221ADA" w:rsidRPr="003B533D" w14:paraId="4DE87DC2"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22D6B919" w14:textId="77777777" w:rsidR="006833CF" w:rsidRPr="003B533D" w:rsidRDefault="006833CF" w:rsidP="006833CF">
            <w:pPr>
              <w:rPr>
                <w:sz w:val="22"/>
                <w:szCs w:val="20"/>
              </w:rPr>
            </w:pPr>
            <w:r w:rsidRPr="003B533D">
              <w:rPr>
                <w:sz w:val="22"/>
                <w:szCs w:val="20"/>
              </w:rPr>
              <w:t>3. Finansiālā ietekme</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7B978"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E2EBB6" w14:textId="77777777" w:rsidR="006833CF" w:rsidRPr="003B533D" w:rsidRDefault="006833CF" w:rsidP="006833CF">
            <w:pPr>
              <w:jc w:val="center"/>
              <w:rPr>
                <w:sz w:val="22"/>
                <w:szCs w:val="20"/>
              </w:rPr>
            </w:pPr>
            <w:r w:rsidRPr="003B533D">
              <w:rPr>
                <w:sz w:val="22"/>
                <w:szCs w:val="20"/>
              </w:rPr>
              <w:t>-26 592 651</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98B05"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719DA" w14:textId="77777777" w:rsidR="006833CF" w:rsidRPr="003B533D" w:rsidRDefault="006833CF" w:rsidP="006833CF">
            <w:pPr>
              <w:jc w:val="center"/>
              <w:rPr>
                <w:sz w:val="22"/>
                <w:szCs w:val="20"/>
              </w:rPr>
            </w:pPr>
            <w:r w:rsidRPr="003B533D">
              <w:rPr>
                <w:sz w:val="22"/>
                <w:szCs w:val="20"/>
              </w:rPr>
              <w:t>-8 763 977</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7B4A2"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98F08"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0FA21" w14:textId="77777777" w:rsidR="006833CF" w:rsidRPr="003B533D" w:rsidRDefault="006833CF" w:rsidP="006833CF">
            <w:pPr>
              <w:jc w:val="center"/>
              <w:rPr>
                <w:sz w:val="22"/>
                <w:szCs w:val="20"/>
              </w:rPr>
            </w:pPr>
            <w:r w:rsidRPr="003B533D">
              <w:rPr>
                <w:sz w:val="22"/>
                <w:szCs w:val="20"/>
              </w:rPr>
              <w:t>0</w:t>
            </w:r>
          </w:p>
        </w:tc>
      </w:tr>
      <w:tr w:rsidR="00221ADA" w:rsidRPr="003B533D" w14:paraId="392309D1"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6B2D5709" w14:textId="77777777" w:rsidR="006833CF" w:rsidRPr="003B533D" w:rsidRDefault="006833CF" w:rsidP="006833CF">
            <w:pPr>
              <w:rPr>
                <w:sz w:val="22"/>
                <w:szCs w:val="20"/>
              </w:rPr>
            </w:pPr>
            <w:r w:rsidRPr="003B533D">
              <w:rPr>
                <w:sz w:val="22"/>
                <w:szCs w:val="20"/>
              </w:rPr>
              <w:t>3.1. valsts pamatbudžets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70F320"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2BDA09" w14:textId="77777777" w:rsidR="006833CF" w:rsidRPr="003B533D" w:rsidRDefault="006833CF" w:rsidP="006833CF">
            <w:pPr>
              <w:jc w:val="center"/>
              <w:rPr>
                <w:sz w:val="22"/>
                <w:szCs w:val="20"/>
              </w:rPr>
            </w:pPr>
            <w:r w:rsidRPr="003B533D">
              <w:rPr>
                <w:sz w:val="22"/>
                <w:szCs w:val="22"/>
              </w:rPr>
              <w:t>-18 282 739</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842B7"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45034" w14:textId="77777777" w:rsidR="006833CF" w:rsidRPr="003B533D" w:rsidRDefault="006833CF" w:rsidP="006833CF">
            <w:pPr>
              <w:jc w:val="center"/>
              <w:rPr>
                <w:sz w:val="22"/>
                <w:szCs w:val="20"/>
              </w:rPr>
            </w:pPr>
            <w:r w:rsidRPr="003B533D">
              <w:rPr>
                <w:sz w:val="22"/>
                <w:szCs w:val="22"/>
              </w:rPr>
              <w:t>-5 398 979</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5C00A"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54813"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AF843" w14:textId="77777777" w:rsidR="006833CF" w:rsidRPr="003B533D" w:rsidRDefault="006833CF" w:rsidP="006833CF">
            <w:pPr>
              <w:jc w:val="center"/>
              <w:rPr>
                <w:sz w:val="22"/>
                <w:szCs w:val="20"/>
              </w:rPr>
            </w:pPr>
            <w:r w:rsidRPr="003B533D">
              <w:rPr>
                <w:sz w:val="22"/>
                <w:szCs w:val="20"/>
              </w:rPr>
              <w:t>0</w:t>
            </w:r>
          </w:p>
        </w:tc>
      </w:tr>
      <w:tr w:rsidR="00221ADA" w:rsidRPr="003B533D" w14:paraId="2983C42E"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103C6AD9" w14:textId="77777777" w:rsidR="006833CF" w:rsidRPr="003B533D" w:rsidRDefault="006833CF" w:rsidP="006833CF">
            <w:pPr>
              <w:rPr>
                <w:sz w:val="22"/>
                <w:szCs w:val="20"/>
              </w:rPr>
            </w:pPr>
            <w:r w:rsidRPr="003B533D">
              <w:rPr>
                <w:sz w:val="22"/>
                <w:szCs w:val="20"/>
              </w:rPr>
              <w:t>3.2. speciālais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DBCB17"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0B1D67"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3CF8E"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E844F"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678C8"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45F56"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A2614" w14:textId="77777777" w:rsidR="006833CF" w:rsidRPr="003B533D" w:rsidRDefault="006833CF" w:rsidP="006833CF">
            <w:pPr>
              <w:jc w:val="center"/>
              <w:rPr>
                <w:sz w:val="22"/>
                <w:szCs w:val="20"/>
              </w:rPr>
            </w:pPr>
            <w:r w:rsidRPr="003B533D">
              <w:rPr>
                <w:sz w:val="22"/>
                <w:szCs w:val="20"/>
              </w:rPr>
              <w:t>0</w:t>
            </w:r>
          </w:p>
        </w:tc>
      </w:tr>
      <w:tr w:rsidR="00221ADA" w:rsidRPr="003B533D" w14:paraId="423BB132"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3F09D64D" w14:textId="77777777" w:rsidR="006833CF" w:rsidRPr="003B533D" w:rsidRDefault="006833CF" w:rsidP="006833CF">
            <w:pPr>
              <w:rPr>
                <w:sz w:val="22"/>
                <w:szCs w:val="20"/>
              </w:rPr>
            </w:pPr>
            <w:r w:rsidRPr="003B533D">
              <w:rPr>
                <w:sz w:val="22"/>
                <w:szCs w:val="20"/>
              </w:rPr>
              <w:t>3.3. pašvaldību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6F2DA6"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725CC" w14:textId="77777777" w:rsidR="006833CF" w:rsidRPr="003B533D" w:rsidRDefault="006833CF" w:rsidP="006833CF">
            <w:pPr>
              <w:jc w:val="center"/>
              <w:rPr>
                <w:sz w:val="22"/>
                <w:szCs w:val="20"/>
              </w:rPr>
            </w:pPr>
            <w:r w:rsidRPr="003B533D">
              <w:rPr>
                <w:sz w:val="22"/>
                <w:szCs w:val="22"/>
              </w:rPr>
              <w:t>-8 309 912</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B203EA"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CE4C7" w14:textId="77777777" w:rsidR="006833CF" w:rsidRPr="003B533D" w:rsidRDefault="006833CF" w:rsidP="006833CF">
            <w:pPr>
              <w:jc w:val="center"/>
              <w:rPr>
                <w:sz w:val="22"/>
                <w:szCs w:val="20"/>
              </w:rPr>
            </w:pPr>
            <w:r w:rsidRPr="003B533D">
              <w:rPr>
                <w:sz w:val="22"/>
                <w:szCs w:val="22"/>
              </w:rPr>
              <w:t>-3 364 998</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165B0"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6CEAD"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3B676" w14:textId="77777777" w:rsidR="006833CF" w:rsidRPr="003B533D" w:rsidRDefault="006833CF" w:rsidP="006833CF">
            <w:pPr>
              <w:jc w:val="center"/>
              <w:rPr>
                <w:sz w:val="22"/>
                <w:szCs w:val="20"/>
              </w:rPr>
            </w:pPr>
            <w:r w:rsidRPr="003B533D">
              <w:rPr>
                <w:sz w:val="22"/>
                <w:szCs w:val="20"/>
              </w:rPr>
              <w:t>0</w:t>
            </w:r>
          </w:p>
        </w:tc>
      </w:tr>
      <w:tr w:rsidR="00221ADA" w:rsidRPr="003B533D" w14:paraId="269E3B9D"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0709AD66" w14:textId="77777777" w:rsidR="006833CF" w:rsidRPr="003B533D" w:rsidRDefault="006833CF" w:rsidP="006833CF">
            <w:pPr>
              <w:rPr>
                <w:sz w:val="22"/>
                <w:szCs w:val="20"/>
              </w:rPr>
            </w:pPr>
            <w:r w:rsidRPr="003B533D">
              <w:rPr>
                <w:sz w:val="22"/>
                <w:szCs w:val="20"/>
              </w:rPr>
              <w:t>4. Finanšu līdzekļi papildu izdevumu finansēšanai (kompensējošu izdevumu samazinājumu norāda ar "+" zīmi)</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DDA8E" w14:textId="77777777" w:rsidR="006833CF" w:rsidRPr="003B533D" w:rsidRDefault="006833CF" w:rsidP="006833CF">
            <w:pPr>
              <w:jc w:val="center"/>
              <w:rPr>
                <w:sz w:val="22"/>
                <w:szCs w:val="20"/>
              </w:rPr>
            </w:pPr>
            <w:r w:rsidRPr="003B533D">
              <w:rPr>
                <w:sz w:val="22"/>
                <w:szCs w:val="20"/>
              </w:rPr>
              <w:t>X</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62B69"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C5353" w14:textId="77777777" w:rsidR="006833CF" w:rsidRPr="003B533D" w:rsidRDefault="006833CF" w:rsidP="006833CF">
            <w:pPr>
              <w:jc w:val="center"/>
              <w:rPr>
                <w:sz w:val="22"/>
                <w:szCs w:val="20"/>
              </w:rPr>
            </w:pPr>
            <w:r w:rsidRPr="003B533D">
              <w:rPr>
                <w:sz w:val="22"/>
                <w:szCs w:val="20"/>
              </w:rPr>
              <w:t>X</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5A4D7" w14:textId="77777777" w:rsidR="006833CF" w:rsidRPr="003B533D" w:rsidRDefault="006833CF" w:rsidP="006833CF">
            <w:pPr>
              <w:jc w:val="center"/>
              <w:rPr>
                <w:sz w:val="22"/>
                <w:szCs w:val="20"/>
              </w:rPr>
            </w:pPr>
            <w:r w:rsidRPr="003B533D">
              <w:rPr>
                <w:sz w:val="22"/>
                <w:szCs w:val="20"/>
              </w:rPr>
              <w:t>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1B888" w14:textId="77777777" w:rsidR="006833CF" w:rsidRPr="003B533D" w:rsidRDefault="006833CF" w:rsidP="006833CF">
            <w:pPr>
              <w:jc w:val="center"/>
              <w:rPr>
                <w:sz w:val="22"/>
                <w:szCs w:val="20"/>
              </w:rPr>
            </w:pPr>
            <w:r w:rsidRPr="003B533D">
              <w:rPr>
                <w:sz w:val="22"/>
                <w:szCs w:val="20"/>
              </w:rPr>
              <w:t>X</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0E684"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816C4" w14:textId="77777777" w:rsidR="006833CF" w:rsidRPr="003B533D" w:rsidRDefault="006833CF" w:rsidP="006833CF">
            <w:pPr>
              <w:jc w:val="center"/>
              <w:rPr>
                <w:sz w:val="22"/>
                <w:szCs w:val="20"/>
              </w:rPr>
            </w:pPr>
            <w:r w:rsidRPr="003B533D">
              <w:rPr>
                <w:sz w:val="22"/>
                <w:szCs w:val="20"/>
              </w:rPr>
              <w:t>0</w:t>
            </w:r>
          </w:p>
        </w:tc>
      </w:tr>
      <w:tr w:rsidR="00221ADA" w:rsidRPr="003B533D" w14:paraId="1E26760D"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1F61CAC8" w14:textId="77777777" w:rsidR="006833CF" w:rsidRPr="003B533D" w:rsidRDefault="006833CF" w:rsidP="006833CF">
            <w:pPr>
              <w:rPr>
                <w:sz w:val="22"/>
                <w:szCs w:val="20"/>
              </w:rPr>
            </w:pPr>
            <w:r w:rsidRPr="003B533D">
              <w:rPr>
                <w:sz w:val="22"/>
                <w:szCs w:val="20"/>
              </w:rPr>
              <w:lastRenderedPageBreak/>
              <w:t>5. Precizēta finansiālā ietekme</w:t>
            </w:r>
          </w:p>
        </w:tc>
        <w:tc>
          <w:tcPr>
            <w:tcW w:w="99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D1ED8" w14:textId="77777777" w:rsidR="006833CF" w:rsidRPr="003B533D" w:rsidRDefault="006833CF" w:rsidP="006833CF">
            <w:pPr>
              <w:jc w:val="center"/>
              <w:rPr>
                <w:sz w:val="22"/>
                <w:szCs w:val="20"/>
              </w:rPr>
            </w:pPr>
            <w:r w:rsidRPr="003B533D">
              <w:rPr>
                <w:sz w:val="22"/>
                <w:szCs w:val="20"/>
              </w:rPr>
              <w:t>X</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85032F" w14:textId="77777777" w:rsidR="006833CF" w:rsidRPr="003B533D" w:rsidRDefault="006833CF" w:rsidP="006833CF">
            <w:pPr>
              <w:jc w:val="center"/>
              <w:rPr>
                <w:sz w:val="22"/>
                <w:szCs w:val="20"/>
              </w:rPr>
            </w:pPr>
            <w:r w:rsidRPr="003B533D">
              <w:rPr>
                <w:sz w:val="22"/>
                <w:szCs w:val="20"/>
              </w:rPr>
              <w:t>-26 592 651</w:t>
            </w:r>
          </w:p>
        </w:tc>
        <w:tc>
          <w:tcPr>
            <w:tcW w:w="99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7FD30" w14:textId="77777777" w:rsidR="006833CF" w:rsidRPr="003B533D" w:rsidRDefault="006833CF" w:rsidP="006833CF">
            <w:pPr>
              <w:jc w:val="center"/>
              <w:rPr>
                <w:sz w:val="22"/>
                <w:szCs w:val="20"/>
              </w:rPr>
            </w:pPr>
            <w:r w:rsidRPr="003B533D">
              <w:rPr>
                <w:sz w:val="22"/>
                <w:szCs w:val="20"/>
              </w:rPr>
              <w:t>X</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8EF7B" w14:textId="77777777" w:rsidR="006833CF" w:rsidRPr="003B533D" w:rsidRDefault="006833CF" w:rsidP="006833CF">
            <w:pPr>
              <w:jc w:val="center"/>
              <w:rPr>
                <w:sz w:val="22"/>
                <w:szCs w:val="20"/>
              </w:rPr>
            </w:pPr>
            <w:r w:rsidRPr="003B533D">
              <w:rPr>
                <w:sz w:val="22"/>
                <w:szCs w:val="20"/>
              </w:rPr>
              <w:t>-8 763 977</w:t>
            </w:r>
          </w:p>
        </w:tc>
        <w:tc>
          <w:tcPr>
            <w:tcW w:w="99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821BE" w14:textId="77777777" w:rsidR="006833CF" w:rsidRPr="003B533D" w:rsidRDefault="006833CF" w:rsidP="006833CF">
            <w:pPr>
              <w:jc w:val="center"/>
              <w:rPr>
                <w:sz w:val="22"/>
                <w:szCs w:val="20"/>
              </w:rPr>
            </w:pPr>
            <w:r w:rsidRPr="003B533D">
              <w:rPr>
                <w:sz w:val="22"/>
                <w:szCs w:val="20"/>
              </w:rPr>
              <w:t>X</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34A9F"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26C02" w14:textId="77777777" w:rsidR="006833CF" w:rsidRPr="003B533D" w:rsidRDefault="006833CF" w:rsidP="006833CF">
            <w:pPr>
              <w:jc w:val="center"/>
              <w:rPr>
                <w:sz w:val="22"/>
                <w:szCs w:val="20"/>
              </w:rPr>
            </w:pPr>
            <w:r w:rsidRPr="003B533D">
              <w:rPr>
                <w:sz w:val="22"/>
                <w:szCs w:val="20"/>
              </w:rPr>
              <w:t>0</w:t>
            </w:r>
          </w:p>
        </w:tc>
      </w:tr>
      <w:tr w:rsidR="00221ADA" w:rsidRPr="003B533D" w14:paraId="4600CD05"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448B9BBA" w14:textId="77777777" w:rsidR="006833CF" w:rsidRPr="003B533D" w:rsidRDefault="006833CF" w:rsidP="006833CF">
            <w:pPr>
              <w:rPr>
                <w:sz w:val="22"/>
                <w:szCs w:val="20"/>
              </w:rPr>
            </w:pPr>
            <w:r w:rsidRPr="003B533D">
              <w:rPr>
                <w:sz w:val="22"/>
                <w:szCs w:val="20"/>
              </w:rPr>
              <w:t>5.1. valsts pamatbudžets</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20197" w14:textId="77777777" w:rsidR="006833CF" w:rsidRPr="003B533D" w:rsidRDefault="006833CF" w:rsidP="006833CF">
            <w:pPr>
              <w:jc w:val="cente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3E197" w14:textId="77777777" w:rsidR="006833CF" w:rsidRPr="003B533D" w:rsidRDefault="006833CF" w:rsidP="006833CF">
            <w:pPr>
              <w:jc w:val="center"/>
              <w:rPr>
                <w:sz w:val="22"/>
                <w:szCs w:val="20"/>
              </w:rPr>
            </w:pPr>
            <w:r w:rsidRPr="003B533D">
              <w:rPr>
                <w:sz w:val="22"/>
                <w:szCs w:val="20"/>
              </w:rPr>
              <w:t>-18 282 739</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20845" w14:textId="77777777" w:rsidR="006833CF" w:rsidRPr="003B533D" w:rsidRDefault="006833CF" w:rsidP="006833CF">
            <w:pPr>
              <w:jc w:val="cente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3EB33" w14:textId="77777777" w:rsidR="006833CF" w:rsidRPr="003B533D" w:rsidRDefault="006833CF" w:rsidP="006833CF">
            <w:pPr>
              <w:jc w:val="center"/>
              <w:rPr>
                <w:sz w:val="22"/>
                <w:szCs w:val="20"/>
              </w:rPr>
            </w:pPr>
            <w:r w:rsidRPr="003B533D">
              <w:rPr>
                <w:sz w:val="22"/>
                <w:szCs w:val="20"/>
              </w:rPr>
              <w:t>-5 398 979</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B2DCD7" w14:textId="77777777" w:rsidR="006833CF" w:rsidRPr="003B533D" w:rsidRDefault="006833CF" w:rsidP="006833CF">
            <w:pPr>
              <w:jc w:val="cente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F11BB"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7DC71" w14:textId="77777777" w:rsidR="006833CF" w:rsidRPr="003B533D" w:rsidRDefault="006833CF" w:rsidP="006833CF">
            <w:pPr>
              <w:jc w:val="center"/>
              <w:rPr>
                <w:sz w:val="22"/>
                <w:szCs w:val="20"/>
              </w:rPr>
            </w:pPr>
            <w:r w:rsidRPr="003B533D">
              <w:rPr>
                <w:sz w:val="22"/>
                <w:szCs w:val="20"/>
              </w:rPr>
              <w:t>0</w:t>
            </w:r>
          </w:p>
        </w:tc>
      </w:tr>
      <w:tr w:rsidR="00221ADA" w:rsidRPr="003B533D" w14:paraId="1D8FE74C"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27C60DDD" w14:textId="77777777" w:rsidR="006833CF" w:rsidRPr="003B533D" w:rsidRDefault="006833CF" w:rsidP="006833CF">
            <w:pPr>
              <w:rPr>
                <w:sz w:val="22"/>
                <w:szCs w:val="20"/>
              </w:rPr>
            </w:pPr>
            <w:r w:rsidRPr="003B533D">
              <w:rPr>
                <w:sz w:val="22"/>
                <w:szCs w:val="20"/>
              </w:rPr>
              <w:t>5.2. speciālais budžets</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0E90FA" w14:textId="77777777" w:rsidR="006833CF" w:rsidRPr="003B533D" w:rsidRDefault="006833CF" w:rsidP="006833CF">
            <w:pPr>
              <w:jc w:val="cente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DCC1C6" w14:textId="77777777" w:rsidR="006833CF" w:rsidRPr="003B533D" w:rsidRDefault="006833CF" w:rsidP="006833CF">
            <w:pPr>
              <w:jc w:val="center"/>
              <w:rPr>
                <w:sz w:val="22"/>
                <w:szCs w:val="20"/>
              </w:rPr>
            </w:pPr>
            <w:r w:rsidRPr="003B533D">
              <w:rPr>
                <w:sz w:val="22"/>
                <w:szCs w:val="20"/>
              </w:rPr>
              <w:t>0</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2CBFB" w14:textId="77777777" w:rsidR="006833CF" w:rsidRPr="003B533D" w:rsidRDefault="006833CF" w:rsidP="006833CF">
            <w:pPr>
              <w:jc w:val="cente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82A30" w14:textId="77777777" w:rsidR="006833CF" w:rsidRPr="003B533D" w:rsidRDefault="006833CF" w:rsidP="006833CF">
            <w:pPr>
              <w:jc w:val="center"/>
              <w:rPr>
                <w:sz w:val="22"/>
                <w:szCs w:val="20"/>
              </w:rPr>
            </w:pPr>
            <w:r w:rsidRPr="003B533D">
              <w:rPr>
                <w:sz w:val="22"/>
                <w:szCs w:val="20"/>
              </w:rPr>
              <w:t>0</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72A49" w14:textId="77777777" w:rsidR="006833CF" w:rsidRPr="003B533D" w:rsidRDefault="006833CF" w:rsidP="006833CF">
            <w:pPr>
              <w:jc w:val="cente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E0ADC"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379AE" w14:textId="77777777" w:rsidR="006833CF" w:rsidRPr="003B533D" w:rsidRDefault="006833CF" w:rsidP="006833CF">
            <w:pPr>
              <w:jc w:val="center"/>
              <w:rPr>
                <w:sz w:val="22"/>
                <w:szCs w:val="20"/>
              </w:rPr>
            </w:pPr>
            <w:r w:rsidRPr="003B533D">
              <w:rPr>
                <w:sz w:val="22"/>
                <w:szCs w:val="20"/>
              </w:rPr>
              <w:t>0</w:t>
            </w:r>
          </w:p>
        </w:tc>
      </w:tr>
      <w:tr w:rsidR="00221ADA" w:rsidRPr="003B533D" w14:paraId="7F06160A"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34A91558" w14:textId="77777777" w:rsidR="006833CF" w:rsidRPr="003B533D" w:rsidRDefault="006833CF" w:rsidP="006833CF">
            <w:pPr>
              <w:rPr>
                <w:sz w:val="22"/>
                <w:szCs w:val="20"/>
              </w:rPr>
            </w:pPr>
            <w:r w:rsidRPr="003B533D">
              <w:rPr>
                <w:sz w:val="22"/>
                <w:szCs w:val="20"/>
              </w:rPr>
              <w:t>5.3. pašvaldību budžets</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A4966D" w14:textId="77777777" w:rsidR="006833CF" w:rsidRPr="003B533D" w:rsidRDefault="006833CF" w:rsidP="006833CF">
            <w:pPr>
              <w:jc w:val="cente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BBC0D" w14:textId="77777777" w:rsidR="006833CF" w:rsidRPr="003B533D" w:rsidRDefault="006833CF" w:rsidP="006833CF">
            <w:pPr>
              <w:jc w:val="center"/>
              <w:rPr>
                <w:sz w:val="22"/>
                <w:szCs w:val="20"/>
              </w:rPr>
            </w:pPr>
            <w:r w:rsidRPr="003B533D">
              <w:rPr>
                <w:sz w:val="22"/>
                <w:szCs w:val="20"/>
              </w:rPr>
              <w:t>-8 309 912</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FA23" w14:textId="77777777" w:rsidR="006833CF" w:rsidRPr="003B533D" w:rsidRDefault="006833CF" w:rsidP="006833CF">
            <w:pPr>
              <w:jc w:val="cente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E127E" w14:textId="77777777" w:rsidR="006833CF" w:rsidRPr="003B533D" w:rsidRDefault="006833CF" w:rsidP="006833CF">
            <w:pPr>
              <w:jc w:val="center"/>
              <w:rPr>
                <w:sz w:val="22"/>
                <w:szCs w:val="20"/>
              </w:rPr>
            </w:pPr>
            <w:r w:rsidRPr="003B533D">
              <w:rPr>
                <w:sz w:val="22"/>
                <w:szCs w:val="20"/>
              </w:rPr>
              <w:t>-3 364 998</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83653" w14:textId="77777777" w:rsidR="006833CF" w:rsidRPr="003B533D" w:rsidRDefault="006833CF" w:rsidP="006833CF">
            <w:pPr>
              <w:jc w:val="center"/>
              <w:rPr>
                <w:sz w:val="22"/>
                <w:szCs w:val="20"/>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90417" w14:textId="77777777" w:rsidR="006833CF" w:rsidRPr="003B533D" w:rsidRDefault="006833CF" w:rsidP="006833CF">
            <w:pPr>
              <w:jc w:val="center"/>
              <w:rPr>
                <w:sz w:val="22"/>
                <w:szCs w:val="20"/>
              </w:rPr>
            </w:pPr>
            <w:r w:rsidRPr="003B533D">
              <w:rPr>
                <w:sz w:val="22"/>
                <w:szCs w:val="20"/>
              </w:rPr>
              <w:t>0</w:t>
            </w:r>
          </w:p>
        </w:tc>
        <w:tc>
          <w:tcPr>
            <w:tcW w:w="100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EBC99" w14:textId="77777777" w:rsidR="006833CF" w:rsidRPr="003B533D" w:rsidRDefault="006833CF" w:rsidP="006833CF">
            <w:pPr>
              <w:jc w:val="center"/>
              <w:rPr>
                <w:sz w:val="22"/>
                <w:szCs w:val="20"/>
              </w:rPr>
            </w:pPr>
            <w:r w:rsidRPr="003B533D">
              <w:rPr>
                <w:sz w:val="22"/>
                <w:szCs w:val="20"/>
              </w:rPr>
              <w:t>0</w:t>
            </w:r>
          </w:p>
        </w:tc>
      </w:tr>
      <w:tr w:rsidR="00221ADA" w:rsidRPr="003B533D" w14:paraId="1597264C"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27888362" w14:textId="77777777" w:rsidR="00541B28" w:rsidRPr="003B533D" w:rsidRDefault="00541B28" w:rsidP="00541B28">
            <w:pPr>
              <w:rPr>
                <w:sz w:val="22"/>
                <w:szCs w:val="20"/>
              </w:rPr>
            </w:pPr>
            <w:r w:rsidRPr="003B533D">
              <w:rPr>
                <w:sz w:val="22"/>
                <w:szCs w:val="20"/>
              </w:rPr>
              <w:t>6. Detalizēts ieņēmumu un izdevumu aprēķins (ja nepieciešams, detalizētu ieņēmumu un izdevumu aprēķinu var pievienot anotācijas pielikumā)</w:t>
            </w:r>
          </w:p>
        </w:tc>
        <w:tc>
          <w:tcPr>
            <w:tcW w:w="6982"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502EB" w14:textId="77777777" w:rsidR="00342412" w:rsidRPr="003B533D" w:rsidRDefault="003D1C3C" w:rsidP="00DE1044">
            <w:pPr>
              <w:jc w:val="both"/>
              <w:rPr>
                <w:szCs w:val="28"/>
              </w:rPr>
            </w:pPr>
            <w:r w:rsidRPr="003B533D">
              <w:rPr>
                <w:szCs w:val="28"/>
              </w:rPr>
              <w:t xml:space="preserve">Darbības programmā “Izaugsme un nodarbinātība” </w:t>
            </w:r>
            <w:r w:rsidR="00342412" w:rsidRPr="003B533D">
              <w:rPr>
                <w:szCs w:val="28"/>
              </w:rPr>
              <w:t xml:space="preserve">REACT–EU </w:t>
            </w:r>
            <w:r w:rsidRPr="003B533D">
              <w:rPr>
                <w:szCs w:val="28"/>
              </w:rPr>
              <w:t xml:space="preserve">pasākumus </w:t>
            </w:r>
            <w:r w:rsidR="00342412" w:rsidRPr="003B533D">
              <w:rPr>
                <w:szCs w:val="28"/>
              </w:rPr>
              <w:t xml:space="preserve">plāno </w:t>
            </w:r>
            <w:r w:rsidR="00833A56" w:rsidRPr="003B533D">
              <w:rPr>
                <w:szCs w:val="28"/>
              </w:rPr>
              <w:t xml:space="preserve">310 668 670 </w:t>
            </w:r>
            <w:proofErr w:type="spellStart"/>
            <w:r w:rsidR="00344DD5" w:rsidRPr="003B533D">
              <w:rPr>
                <w:i/>
                <w:iCs/>
                <w:szCs w:val="28"/>
              </w:rPr>
              <w:t>euro</w:t>
            </w:r>
            <w:proofErr w:type="spellEnd"/>
            <w:r w:rsidRPr="003B533D">
              <w:rPr>
                <w:i/>
                <w:iCs/>
                <w:szCs w:val="28"/>
              </w:rPr>
              <w:t xml:space="preserve"> </w:t>
            </w:r>
            <w:r w:rsidRPr="003B533D">
              <w:rPr>
                <w:szCs w:val="28"/>
              </w:rPr>
              <w:t xml:space="preserve">finansējuma </w:t>
            </w:r>
            <w:r w:rsidRPr="003B533D">
              <w:rPr>
                <w:iCs/>
                <w:szCs w:val="28"/>
              </w:rPr>
              <w:t>apmērā</w:t>
            </w:r>
            <w:r w:rsidR="00833A56" w:rsidRPr="003B533D">
              <w:rPr>
                <w:i/>
                <w:iCs/>
                <w:szCs w:val="28"/>
              </w:rPr>
              <w:t xml:space="preserve"> </w:t>
            </w:r>
            <w:r w:rsidR="00833A56" w:rsidRPr="003B533D">
              <w:rPr>
                <w:szCs w:val="28"/>
              </w:rPr>
              <w:t xml:space="preserve">(264 068 359 </w:t>
            </w:r>
            <w:proofErr w:type="spellStart"/>
            <w:r w:rsidR="00833A56" w:rsidRPr="003B533D">
              <w:rPr>
                <w:i/>
                <w:iCs/>
                <w:szCs w:val="28"/>
              </w:rPr>
              <w:t>euro</w:t>
            </w:r>
            <w:proofErr w:type="spellEnd"/>
            <w:r w:rsidR="00833A56" w:rsidRPr="003B533D">
              <w:rPr>
                <w:szCs w:val="28"/>
              </w:rPr>
              <w:t xml:space="preserve"> REACT-EU finansējums un 46 600 311 </w:t>
            </w:r>
            <w:proofErr w:type="spellStart"/>
            <w:r w:rsidR="00833A56" w:rsidRPr="003B533D">
              <w:rPr>
                <w:i/>
                <w:iCs/>
                <w:szCs w:val="28"/>
              </w:rPr>
              <w:t>euro</w:t>
            </w:r>
            <w:proofErr w:type="spellEnd"/>
            <w:r w:rsidR="00833A56" w:rsidRPr="003B533D">
              <w:rPr>
                <w:szCs w:val="28"/>
              </w:rPr>
              <w:t xml:space="preserve"> nacionālais līdzfinansējums, t.sk. </w:t>
            </w:r>
            <w:r w:rsidR="00BB6FA1" w:rsidRPr="003B533D">
              <w:rPr>
                <w:szCs w:val="28"/>
              </w:rPr>
              <w:t xml:space="preserve">nacionālais publiskais finansējums </w:t>
            </w:r>
            <w:r w:rsidR="00833A56" w:rsidRPr="003B533D">
              <w:rPr>
                <w:szCs w:val="28"/>
              </w:rPr>
              <w:t xml:space="preserve">35 356 628 </w:t>
            </w:r>
            <w:proofErr w:type="spellStart"/>
            <w:r w:rsidR="00833A56" w:rsidRPr="003B533D">
              <w:rPr>
                <w:i/>
                <w:iCs/>
                <w:szCs w:val="28"/>
              </w:rPr>
              <w:t>euro</w:t>
            </w:r>
            <w:proofErr w:type="spellEnd"/>
            <w:r w:rsidR="00833A56" w:rsidRPr="003B533D">
              <w:rPr>
                <w:szCs w:val="28"/>
              </w:rPr>
              <w:t>)</w:t>
            </w:r>
            <w:r w:rsidRPr="003B533D">
              <w:rPr>
                <w:szCs w:val="28"/>
              </w:rPr>
              <w:t>:</w:t>
            </w:r>
          </w:p>
          <w:p w14:paraId="15EDD3AE" w14:textId="5A6315E2" w:rsidR="003D1C3C" w:rsidRPr="003B533D" w:rsidRDefault="003D1C3C" w:rsidP="00350A18">
            <w:pPr>
              <w:pStyle w:val="ListParagraph"/>
              <w:numPr>
                <w:ilvl w:val="0"/>
                <w:numId w:val="37"/>
              </w:numPr>
              <w:jc w:val="both"/>
              <w:rPr>
                <w:rFonts w:ascii="Times New Roman" w:hAnsi="Times New Roman" w:cs="Times New Roman"/>
                <w:sz w:val="24"/>
              </w:rPr>
            </w:pPr>
            <w:r w:rsidRPr="003B533D">
              <w:rPr>
                <w:rFonts w:ascii="Times New Roman" w:hAnsi="Times New Roman" w:cs="Times New Roman"/>
                <w:sz w:val="24"/>
              </w:rPr>
              <w:t>2021. gada</w:t>
            </w:r>
            <w:r w:rsidR="001A2E50" w:rsidRPr="003B533D">
              <w:rPr>
                <w:rFonts w:ascii="Times New Roman" w:hAnsi="Times New Roman" w:cs="Times New Roman"/>
                <w:sz w:val="24"/>
              </w:rPr>
              <w:t xml:space="preserve"> kopējs </w:t>
            </w:r>
            <w:r w:rsidR="001A2E50" w:rsidRPr="003B533D">
              <w:rPr>
                <w:rFonts w:ascii="Times New Roman" w:hAnsi="Times New Roman" w:cs="Times New Roman"/>
                <w:sz w:val="24"/>
                <w:szCs w:val="28"/>
              </w:rPr>
              <w:t>finansējums</w:t>
            </w:r>
            <w:r w:rsidRPr="003B533D">
              <w:rPr>
                <w:rFonts w:ascii="Times New Roman" w:hAnsi="Times New Roman" w:cs="Times New Roman"/>
                <w:sz w:val="24"/>
              </w:rPr>
              <w:t xml:space="preserve"> 239 842</w:t>
            </w:r>
            <w:r w:rsidR="001A2E50" w:rsidRPr="003B533D">
              <w:rPr>
                <w:rFonts w:ascii="Times New Roman" w:hAnsi="Times New Roman" w:cs="Times New Roman"/>
                <w:sz w:val="24"/>
              </w:rPr>
              <w:t> </w:t>
            </w:r>
            <w:r w:rsidRPr="003B533D">
              <w:rPr>
                <w:rFonts w:ascii="Times New Roman" w:hAnsi="Times New Roman" w:cs="Times New Roman"/>
                <w:sz w:val="24"/>
              </w:rPr>
              <w:t>161</w:t>
            </w:r>
            <w:r w:rsidR="001A2E50" w:rsidRPr="003B533D">
              <w:rPr>
                <w:rFonts w:ascii="Times New Roman" w:hAnsi="Times New Roman" w:cs="Times New Roman"/>
                <w:sz w:val="24"/>
              </w:rPr>
              <w:t xml:space="preserve"> </w:t>
            </w:r>
            <w:proofErr w:type="spellStart"/>
            <w:r w:rsidR="001A2E50" w:rsidRPr="003B533D">
              <w:rPr>
                <w:rFonts w:ascii="Times New Roman" w:hAnsi="Times New Roman" w:cs="Times New Roman"/>
                <w:i/>
                <w:iCs/>
                <w:sz w:val="24"/>
                <w:szCs w:val="28"/>
              </w:rPr>
              <w:t>euro</w:t>
            </w:r>
            <w:proofErr w:type="spellEnd"/>
            <w:r w:rsidR="001A2E50" w:rsidRPr="003B533D">
              <w:rPr>
                <w:rFonts w:ascii="Times New Roman" w:hAnsi="Times New Roman" w:cs="Times New Roman"/>
                <w:sz w:val="24"/>
              </w:rPr>
              <w:t xml:space="preserve"> (</w:t>
            </w:r>
            <w:r w:rsidR="00A33428" w:rsidRPr="003B533D">
              <w:rPr>
                <w:rFonts w:ascii="Times New Roman" w:hAnsi="Times New Roman" w:cs="Times New Roman"/>
                <w:sz w:val="24"/>
              </w:rPr>
              <w:t>203 </w:t>
            </w:r>
            <w:r w:rsidR="001A2E50" w:rsidRPr="003B533D">
              <w:rPr>
                <w:rFonts w:ascii="Times New Roman" w:hAnsi="Times New Roman" w:cs="Times New Roman"/>
                <w:sz w:val="24"/>
              </w:rPr>
              <w:t>865</w:t>
            </w:r>
            <w:r w:rsidR="00A33428" w:rsidRPr="003B533D">
              <w:rPr>
                <w:rFonts w:ascii="Times New Roman" w:hAnsi="Times New Roman" w:cs="Times New Roman"/>
                <w:sz w:val="24"/>
              </w:rPr>
              <w:t> </w:t>
            </w:r>
            <w:r w:rsidR="001A2E50" w:rsidRPr="003B533D">
              <w:rPr>
                <w:rFonts w:ascii="Times New Roman" w:hAnsi="Times New Roman" w:cs="Times New Roman"/>
                <w:sz w:val="24"/>
              </w:rPr>
              <w:t>831</w:t>
            </w:r>
            <w:r w:rsidR="00A33428" w:rsidRPr="003B533D">
              <w:rPr>
                <w:rFonts w:ascii="Times New Roman" w:hAnsi="Times New Roman" w:cs="Times New Roman"/>
                <w:sz w:val="24"/>
              </w:rPr>
              <w:t> </w:t>
            </w:r>
            <w:proofErr w:type="spellStart"/>
            <w:r w:rsidR="001A2E50" w:rsidRPr="003B533D">
              <w:rPr>
                <w:rFonts w:ascii="Times New Roman" w:hAnsi="Times New Roman" w:cs="Times New Roman"/>
                <w:i/>
                <w:iCs/>
                <w:sz w:val="24"/>
                <w:szCs w:val="28"/>
              </w:rPr>
              <w:t>euro</w:t>
            </w:r>
            <w:proofErr w:type="spellEnd"/>
            <w:r w:rsidR="001A2E50" w:rsidRPr="003B533D">
              <w:rPr>
                <w:rFonts w:ascii="Times New Roman" w:hAnsi="Times New Roman" w:cs="Times New Roman"/>
                <w:sz w:val="24"/>
                <w:szCs w:val="28"/>
              </w:rPr>
              <w:t xml:space="preserve"> REACT-EU finansējums un 35 976 330 </w:t>
            </w:r>
            <w:proofErr w:type="spellStart"/>
            <w:r w:rsidR="001A2E50" w:rsidRPr="003B533D">
              <w:rPr>
                <w:rFonts w:ascii="Times New Roman" w:hAnsi="Times New Roman" w:cs="Times New Roman"/>
                <w:i/>
                <w:iCs/>
                <w:sz w:val="24"/>
                <w:szCs w:val="28"/>
              </w:rPr>
              <w:t>euro</w:t>
            </w:r>
            <w:proofErr w:type="spellEnd"/>
            <w:r w:rsidR="001A2E50" w:rsidRPr="003B533D">
              <w:rPr>
                <w:rFonts w:ascii="Times New Roman" w:hAnsi="Times New Roman" w:cs="Times New Roman"/>
                <w:sz w:val="24"/>
                <w:szCs w:val="28"/>
              </w:rPr>
              <w:t xml:space="preserve"> nacionālais līdzfinansējums, t.sk. nacionālais publiskais finansējums </w:t>
            </w:r>
            <w:r w:rsidR="00A33428" w:rsidRPr="003B533D">
              <w:rPr>
                <w:rFonts w:ascii="Times New Roman" w:hAnsi="Times New Roman" w:cs="Times New Roman"/>
                <w:sz w:val="24"/>
                <w:szCs w:val="28"/>
              </w:rPr>
              <w:t>26 </w:t>
            </w:r>
            <w:r w:rsidR="001A2E50" w:rsidRPr="003B533D">
              <w:rPr>
                <w:rFonts w:ascii="Times New Roman" w:hAnsi="Times New Roman" w:cs="Times New Roman"/>
                <w:sz w:val="24"/>
                <w:szCs w:val="28"/>
              </w:rPr>
              <w:t xml:space="preserve">592 651 </w:t>
            </w:r>
            <w:proofErr w:type="spellStart"/>
            <w:r w:rsidR="001A2E50" w:rsidRPr="003B533D">
              <w:rPr>
                <w:rFonts w:ascii="Times New Roman" w:hAnsi="Times New Roman" w:cs="Times New Roman"/>
                <w:i/>
                <w:iCs/>
                <w:sz w:val="24"/>
                <w:szCs w:val="28"/>
              </w:rPr>
              <w:t>euro</w:t>
            </w:r>
            <w:proofErr w:type="spellEnd"/>
            <w:r w:rsidR="003F25BA" w:rsidRPr="003B533D">
              <w:rPr>
                <w:rFonts w:ascii="Times New Roman" w:hAnsi="Times New Roman" w:cs="Times New Roman"/>
                <w:i/>
                <w:iCs/>
                <w:sz w:val="24"/>
                <w:szCs w:val="28"/>
              </w:rPr>
              <w:t xml:space="preserve"> </w:t>
            </w:r>
            <w:r w:rsidR="00C313ED" w:rsidRPr="003B533D">
              <w:rPr>
                <w:rFonts w:ascii="Times New Roman" w:hAnsi="Times New Roman" w:cs="Times New Roman"/>
                <w:iCs/>
                <w:sz w:val="24"/>
                <w:szCs w:val="28"/>
              </w:rPr>
              <w:t>(</w:t>
            </w:r>
            <w:r w:rsidR="00350A18" w:rsidRPr="003B533D">
              <w:rPr>
                <w:rFonts w:ascii="Times New Roman" w:hAnsi="Times New Roman" w:cs="Times New Roman"/>
                <w:iCs/>
                <w:sz w:val="24"/>
                <w:szCs w:val="28"/>
              </w:rPr>
              <w:t xml:space="preserve">18 282 739 </w:t>
            </w:r>
            <w:proofErr w:type="spellStart"/>
            <w:r w:rsidR="00350A18" w:rsidRPr="003B533D">
              <w:rPr>
                <w:rFonts w:ascii="Times New Roman" w:hAnsi="Times New Roman" w:cs="Times New Roman"/>
                <w:i/>
                <w:iCs/>
                <w:sz w:val="24"/>
                <w:szCs w:val="28"/>
              </w:rPr>
              <w:t>euro</w:t>
            </w:r>
            <w:proofErr w:type="spellEnd"/>
            <w:r w:rsidR="00350A18" w:rsidRPr="003B533D">
              <w:rPr>
                <w:rFonts w:ascii="Times New Roman" w:hAnsi="Times New Roman" w:cs="Times New Roman"/>
                <w:i/>
                <w:iCs/>
                <w:sz w:val="24"/>
                <w:szCs w:val="28"/>
              </w:rPr>
              <w:t xml:space="preserve"> </w:t>
            </w:r>
            <w:r w:rsidR="00350A18" w:rsidRPr="003B533D">
              <w:rPr>
                <w:rFonts w:ascii="Times New Roman" w:hAnsi="Times New Roman" w:cs="Times New Roman"/>
                <w:iCs/>
                <w:sz w:val="24"/>
                <w:szCs w:val="28"/>
              </w:rPr>
              <w:t xml:space="preserve">valsts finansējums un 8 309 912 </w:t>
            </w:r>
            <w:proofErr w:type="spellStart"/>
            <w:r w:rsidR="00350A18" w:rsidRPr="003B533D">
              <w:rPr>
                <w:rFonts w:ascii="Times New Roman" w:hAnsi="Times New Roman" w:cs="Times New Roman"/>
                <w:i/>
                <w:iCs/>
                <w:sz w:val="24"/>
                <w:szCs w:val="28"/>
              </w:rPr>
              <w:t>euro</w:t>
            </w:r>
            <w:proofErr w:type="spellEnd"/>
            <w:r w:rsidR="00350A18" w:rsidRPr="003B533D">
              <w:rPr>
                <w:rFonts w:ascii="Times New Roman" w:hAnsi="Times New Roman" w:cs="Times New Roman"/>
                <w:iCs/>
                <w:sz w:val="24"/>
                <w:szCs w:val="28"/>
              </w:rPr>
              <w:t xml:space="preserve"> pašvaldību finansējums</w:t>
            </w:r>
            <w:r w:rsidR="00C313ED" w:rsidRPr="003B533D">
              <w:rPr>
                <w:rFonts w:ascii="Times New Roman" w:hAnsi="Times New Roman" w:cs="Times New Roman"/>
                <w:iCs/>
                <w:sz w:val="24"/>
                <w:szCs w:val="28"/>
              </w:rPr>
              <w:t>)</w:t>
            </w:r>
            <w:r w:rsidR="00C313ED" w:rsidRPr="003B533D">
              <w:rPr>
                <w:rFonts w:ascii="Times New Roman" w:hAnsi="Times New Roman" w:cs="Times New Roman"/>
                <w:i/>
                <w:iCs/>
                <w:sz w:val="24"/>
                <w:szCs w:val="28"/>
              </w:rPr>
              <w:t xml:space="preserve"> </w:t>
            </w:r>
            <w:r w:rsidR="003F25BA" w:rsidRPr="003B533D">
              <w:rPr>
                <w:rFonts w:ascii="Times New Roman" w:hAnsi="Times New Roman" w:cs="Times New Roman"/>
                <w:sz w:val="24"/>
                <w:szCs w:val="28"/>
              </w:rPr>
              <w:t>un privātais finansējums 9 383 679 </w:t>
            </w:r>
            <w:proofErr w:type="spellStart"/>
            <w:r w:rsidR="003F25BA" w:rsidRPr="003B533D">
              <w:rPr>
                <w:rFonts w:ascii="Times New Roman" w:hAnsi="Times New Roman" w:cs="Times New Roman"/>
                <w:i/>
                <w:iCs/>
                <w:sz w:val="24"/>
                <w:szCs w:val="28"/>
              </w:rPr>
              <w:t>euro</w:t>
            </w:r>
            <w:proofErr w:type="spellEnd"/>
            <w:r w:rsidR="001A2E50" w:rsidRPr="003B533D">
              <w:rPr>
                <w:rFonts w:ascii="Times New Roman" w:hAnsi="Times New Roman" w:cs="Times New Roman"/>
                <w:sz w:val="24"/>
                <w:szCs w:val="28"/>
              </w:rPr>
              <w:t>);</w:t>
            </w:r>
          </w:p>
          <w:p w14:paraId="5FDE79AC" w14:textId="44FB031B" w:rsidR="001A2E50" w:rsidRPr="003B533D" w:rsidRDefault="00DE1044" w:rsidP="00350A18">
            <w:pPr>
              <w:pStyle w:val="ListParagraph"/>
              <w:numPr>
                <w:ilvl w:val="0"/>
                <w:numId w:val="37"/>
              </w:numPr>
              <w:jc w:val="both"/>
              <w:rPr>
                <w:rFonts w:ascii="Times New Roman" w:hAnsi="Times New Roman" w:cs="Times New Roman"/>
                <w:sz w:val="24"/>
              </w:rPr>
            </w:pPr>
            <w:r w:rsidRPr="003B533D">
              <w:rPr>
                <w:rFonts w:ascii="Times New Roman" w:hAnsi="Times New Roman" w:cs="Times New Roman"/>
                <w:sz w:val="24"/>
              </w:rPr>
              <w:t>2022</w:t>
            </w:r>
            <w:r w:rsidR="001A2E50" w:rsidRPr="003B533D">
              <w:rPr>
                <w:rFonts w:ascii="Times New Roman" w:hAnsi="Times New Roman" w:cs="Times New Roman"/>
                <w:sz w:val="24"/>
              </w:rPr>
              <w:t xml:space="preserve">. gada kopējs </w:t>
            </w:r>
            <w:r w:rsidR="001A2E50" w:rsidRPr="003B533D">
              <w:rPr>
                <w:rFonts w:ascii="Times New Roman" w:hAnsi="Times New Roman" w:cs="Times New Roman"/>
                <w:sz w:val="24"/>
                <w:szCs w:val="28"/>
              </w:rPr>
              <w:t>finansējums</w:t>
            </w:r>
            <w:r w:rsidR="001A2E50" w:rsidRPr="003B533D">
              <w:rPr>
                <w:rFonts w:ascii="Times New Roman" w:hAnsi="Times New Roman" w:cs="Times New Roman"/>
                <w:sz w:val="24"/>
              </w:rPr>
              <w:t xml:space="preserve"> 70 826 509 </w:t>
            </w:r>
            <w:proofErr w:type="spellStart"/>
            <w:r w:rsidR="001A2E50" w:rsidRPr="003B533D">
              <w:rPr>
                <w:rFonts w:ascii="Times New Roman" w:hAnsi="Times New Roman" w:cs="Times New Roman"/>
                <w:i/>
                <w:iCs/>
                <w:sz w:val="24"/>
                <w:szCs w:val="28"/>
              </w:rPr>
              <w:t>euro</w:t>
            </w:r>
            <w:proofErr w:type="spellEnd"/>
            <w:r w:rsidR="001A2E50" w:rsidRPr="003B533D">
              <w:rPr>
                <w:rFonts w:ascii="Times New Roman" w:hAnsi="Times New Roman" w:cs="Times New Roman"/>
                <w:sz w:val="24"/>
              </w:rPr>
              <w:t xml:space="preserve"> (60 202 528 </w:t>
            </w:r>
            <w:proofErr w:type="spellStart"/>
            <w:r w:rsidR="001A2E50" w:rsidRPr="003B533D">
              <w:rPr>
                <w:rFonts w:ascii="Times New Roman" w:hAnsi="Times New Roman" w:cs="Times New Roman"/>
                <w:i/>
                <w:iCs/>
                <w:sz w:val="24"/>
                <w:szCs w:val="28"/>
              </w:rPr>
              <w:t>euro</w:t>
            </w:r>
            <w:proofErr w:type="spellEnd"/>
            <w:r w:rsidR="001A2E50" w:rsidRPr="003B533D">
              <w:rPr>
                <w:rFonts w:ascii="Times New Roman" w:hAnsi="Times New Roman" w:cs="Times New Roman"/>
                <w:sz w:val="24"/>
                <w:szCs w:val="28"/>
              </w:rPr>
              <w:t xml:space="preserve"> REACT-EU finansējums un 10 623 981 </w:t>
            </w:r>
            <w:proofErr w:type="spellStart"/>
            <w:r w:rsidR="001A2E50" w:rsidRPr="003B533D">
              <w:rPr>
                <w:rFonts w:ascii="Times New Roman" w:hAnsi="Times New Roman" w:cs="Times New Roman"/>
                <w:i/>
                <w:iCs/>
                <w:sz w:val="24"/>
                <w:szCs w:val="28"/>
              </w:rPr>
              <w:t>euro</w:t>
            </w:r>
            <w:proofErr w:type="spellEnd"/>
            <w:r w:rsidR="001A2E50" w:rsidRPr="003B533D">
              <w:rPr>
                <w:rFonts w:ascii="Times New Roman" w:hAnsi="Times New Roman" w:cs="Times New Roman"/>
                <w:sz w:val="24"/>
                <w:szCs w:val="28"/>
              </w:rPr>
              <w:t xml:space="preserve"> nacionālais līdzfinansējums, t.sk. nacionālais publiskais finansējums </w:t>
            </w:r>
            <w:r w:rsidR="00A33428" w:rsidRPr="003B533D">
              <w:rPr>
                <w:rFonts w:ascii="Times New Roman" w:hAnsi="Times New Roman" w:cs="Times New Roman"/>
                <w:sz w:val="24"/>
                <w:szCs w:val="28"/>
              </w:rPr>
              <w:t>8 </w:t>
            </w:r>
            <w:r w:rsidR="001A2E50" w:rsidRPr="003B533D">
              <w:rPr>
                <w:rFonts w:ascii="Times New Roman" w:hAnsi="Times New Roman" w:cs="Times New Roman"/>
                <w:sz w:val="24"/>
                <w:szCs w:val="28"/>
              </w:rPr>
              <w:t xml:space="preserve">763 977 </w:t>
            </w:r>
            <w:proofErr w:type="spellStart"/>
            <w:r w:rsidR="001A2E50" w:rsidRPr="003B533D">
              <w:rPr>
                <w:rFonts w:ascii="Times New Roman" w:hAnsi="Times New Roman" w:cs="Times New Roman"/>
                <w:i/>
                <w:iCs/>
                <w:sz w:val="24"/>
                <w:szCs w:val="28"/>
              </w:rPr>
              <w:t>euro</w:t>
            </w:r>
            <w:proofErr w:type="spellEnd"/>
            <w:r w:rsidR="003F25BA" w:rsidRPr="003B533D">
              <w:rPr>
                <w:rFonts w:ascii="Times New Roman" w:hAnsi="Times New Roman" w:cs="Times New Roman"/>
                <w:i/>
                <w:iCs/>
                <w:sz w:val="24"/>
                <w:szCs w:val="28"/>
              </w:rPr>
              <w:t xml:space="preserve"> </w:t>
            </w:r>
            <w:r w:rsidR="00350A18" w:rsidRPr="003B533D">
              <w:rPr>
                <w:rFonts w:ascii="Times New Roman" w:hAnsi="Times New Roman" w:cs="Times New Roman"/>
                <w:iCs/>
                <w:sz w:val="24"/>
                <w:szCs w:val="28"/>
              </w:rPr>
              <w:t xml:space="preserve">(5 398 979 </w:t>
            </w:r>
            <w:proofErr w:type="spellStart"/>
            <w:r w:rsidR="00350A18" w:rsidRPr="003B533D">
              <w:rPr>
                <w:rFonts w:ascii="Times New Roman" w:hAnsi="Times New Roman" w:cs="Times New Roman"/>
                <w:i/>
                <w:iCs/>
                <w:sz w:val="24"/>
                <w:szCs w:val="28"/>
              </w:rPr>
              <w:t>euro</w:t>
            </w:r>
            <w:proofErr w:type="spellEnd"/>
            <w:r w:rsidR="00350A18" w:rsidRPr="003B533D">
              <w:rPr>
                <w:rFonts w:ascii="Times New Roman" w:hAnsi="Times New Roman" w:cs="Times New Roman"/>
                <w:i/>
                <w:iCs/>
                <w:sz w:val="24"/>
                <w:szCs w:val="28"/>
              </w:rPr>
              <w:t xml:space="preserve"> </w:t>
            </w:r>
            <w:r w:rsidR="00350A18" w:rsidRPr="003B533D">
              <w:rPr>
                <w:rFonts w:ascii="Times New Roman" w:hAnsi="Times New Roman" w:cs="Times New Roman"/>
                <w:iCs/>
                <w:sz w:val="24"/>
                <w:szCs w:val="28"/>
              </w:rPr>
              <w:t xml:space="preserve">valsts finansējums un 3 364 998 </w:t>
            </w:r>
            <w:proofErr w:type="spellStart"/>
            <w:r w:rsidR="00350A18" w:rsidRPr="003B533D">
              <w:rPr>
                <w:rFonts w:ascii="Times New Roman" w:hAnsi="Times New Roman" w:cs="Times New Roman"/>
                <w:i/>
                <w:iCs/>
                <w:sz w:val="24"/>
                <w:szCs w:val="28"/>
              </w:rPr>
              <w:t>euro</w:t>
            </w:r>
            <w:proofErr w:type="spellEnd"/>
            <w:r w:rsidR="00350A18" w:rsidRPr="003B533D">
              <w:rPr>
                <w:rFonts w:ascii="Times New Roman" w:hAnsi="Times New Roman" w:cs="Times New Roman"/>
                <w:iCs/>
                <w:sz w:val="24"/>
                <w:szCs w:val="28"/>
              </w:rPr>
              <w:t xml:space="preserve"> pašvaldību finansējums)</w:t>
            </w:r>
            <w:r w:rsidR="00350A18" w:rsidRPr="003B533D">
              <w:rPr>
                <w:rFonts w:ascii="Times New Roman" w:hAnsi="Times New Roman" w:cs="Times New Roman"/>
                <w:i/>
                <w:iCs/>
                <w:sz w:val="24"/>
                <w:szCs w:val="28"/>
              </w:rPr>
              <w:t xml:space="preserve"> </w:t>
            </w:r>
            <w:r w:rsidR="003F25BA" w:rsidRPr="003B533D">
              <w:rPr>
                <w:rFonts w:ascii="Times New Roman" w:hAnsi="Times New Roman" w:cs="Times New Roman"/>
                <w:sz w:val="24"/>
                <w:szCs w:val="28"/>
              </w:rPr>
              <w:t xml:space="preserve">un privātais finansējums 1 860 004 </w:t>
            </w:r>
            <w:proofErr w:type="spellStart"/>
            <w:r w:rsidR="003F25BA" w:rsidRPr="003B533D">
              <w:rPr>
                <w:rFonts w:ascii="Times New Roman" w:hAnsi="Times New Roman" w:cs="Times New Roman"/>
                <w:i/>
                <w:iCs/>
                <w:sz w:val="24"/>
                <w:szCs w:val="28"/>
              </w:rPr>
              <w:t>euro</w:t>
            </w:r>
            <w:proofErr w:type="spellEnd"/>
            <w:r w:rsidR="001A2E50" w:rsidRPr="003B533D">
              <w:rPr>
                <w:rFonts w:ascii="Times New Roman" w:hAnsi="Times New Roman" w:cs="Times New Roman"/>
                <w:sz w:val="24"/>
                <w:szCs w:val="28"/>
              </w:rPr>
              <w:t>).</w:t>
            </w:r>
          </w:p>
          <w:p w14:paraId="74EEB5EA" w14:textId="77777777" w:rsidR="00E33546" w:rsidRPr="003B533D" w:rsidRDefault="00BB53E7" w:rsidP="0066451F">
            <w:pPr>
              <w:jc w:val="both"/>
            </w:pPr>
            <w:r w:rsidRPr="003B533D">
              <w:t>Precīza REACT-EU EK 2021. un 2022. gada piešķīruma ietekme uz valsts un pašvaldību budžetiem sadalījumā pa gadiem (izdevumi) tiks vērtēta izstrādājot vai nepieciešamības gadījumā precizējot MK noteikumus par SAM vai to pasākumu īstenošanu.</w:t>
            </w:r>
          </w:p>
          <w:p w14:paraId="04C5CA92" w14:textId="77777777" w:rsidR="00BB53E7" w:rsidRPr="003B533D" w:rsidRDefault="00BB53E7" w:rsidP="0066451F">
            <w:pPr>
              <w:jc w:val="both"/>
            </w:pPr>
          </w:p>
          <w:p w14:paraId="32F9008E" w14:textId="77777777" w:rsidR="00541B28" w:rsidRPr="003B533D" w:rsidRDefault="008B19B9" w:rsidP="008B19B9">
            <w:pPr>
              <w:jc w:val="both"/>
              <w:rPr>
                <w:sz w:val="22"/>
                <w:szCs w:val="20"/>
              </w:rPr>
            </w:pPr>
            <w:r w:rsidRPr="003B533D">
              <w:rPr>
                <w:rFonts w:eastAsia="Calibri"/>
              </w:rPr>
              <w:t>Papildu REACT-EU atbalsta iekļaušanai veikto</w:t>
            </w:r>
            <w:r w:rsidRPr="003B533D">
              <w:rPr>
                <w:rFonts w:eastAsiaTheme="minorHAnsi"/>
              </w:rPr>
              <w:t xml:space="preserve"> citu ES fondu finansējuma grozījumu</w:t>
            </w:r>
            <w:r w:rsidRPr="003B533D">
              <w:t xml:space="preserve"> t</w:t>
            </w:r>
            <w:r w:rsidR="001B1D27" w:rsidRPr="003B533D">
              <w:t>ieša</w:t>
            </w:r>
            <w:r w:rsidR="00D9062D" w:rsidRPr="003B533D">
              <w:t xml:space="preserve"> ietekme</w:t>
            </w:r>
            <w:r w:rsidR="00A92DA9" w:rsidRPr="003B533D">
              <w:t xml:space="preserve"> </w:t>
            </w:r>
            <w:r w:rsidR="00D9062D" w:rsidRPr="003B533D">
              <w:t>uz valsts un pašvaldību budžetiem tiks vērtēta, izstrādājot vai nepieciešamības gadījumā precizējot MK noteikumus par SAM vai to pasākumu īstenošanu, kurus skar grozījumi darbības programmā</w:t>
            </w:r>
            <w:r w:rsidR="00195236" w:rsidRPr="003B533D">
              <w:t xml:space="preserve"> </w:t>
            </w:r>
            <w:r w:rsidR="00195236" w:rsidRPr="003B533D">
              <w:rPr>
                <w:szCs w:val="28"/>
              </w:rPr>
              <w:t>“Izaugsme un nodarbinātība”</w:t>
            </w:r>
            <w:r w:rsidR="00D9062D" w:rsidRPr="003B533D">
              <w:t>.</w:t>
            </w:r>
          </w:p>
        </w:tc>
      </w:tr>
      <w:tr w:rsidR="00221ADA" w:rsidRPr="003B533D" w14:paraId="537567E8"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62A4FBDD" w14:textId="77777777" w:rsidR="00541B28" w:rsidRPr="003B533D" w:rsidRDefault="00541B28" w:rsidP="00541B28">
            <w:pPr>
              <w:rPr>
                <w:sz w:val="22"/>
                <w:szCs w:val="20"/>
              </w:rPr>
            </w:pPr>
            <w:r w:rsidRPr="003B533D">
              <w:rPr>
                <w:sz w:val="22"/>
                <w:szCs w:val="20"/>
              </w:rPr>
              <w:t>6.1. detalizēts ieņēmumu aprēķins</w:t>
            </w:r>
          </w:p>
        </w:tc>
        <w:tc>
          <w:tcPr>
            <w:tcW w:w="6982"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F2759" w14:textId="77777777" w:rsidR="00541B28" w:rsidRPr="003B533D" w:rsidRDefault="00541B28" w:rsidP="00541B28">
            <w:pPr>
              <w:rPr>
                <w:sz w:val="22"/>
                <w:szCs w:val="20"/>
              </w:rPr>
            </w:pPr>
          </w:p>
        </w:tc>
      </w:tr>
      <w:tr w:rsidR="00221ADA" w:rsidRPr="003B533D" w14:paraId="7AEA0FD1"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5A2022BF" w14:textId="77777777" w:rsidR="00541B28" w:rsidRPr="003B533D" w:rsidRDefault="00541B28" w:rsidP="00541B28">
            <w:pPr>
              <w:rPr>
                <w:sz w:val="22"/>
                <w:szCs w:val="20"/>
              </w:rPr>
            </w:pPr>
            <w:r w:rsidRPr="003B533D">
              <w:rPr>
                <w:sz w:val="22"/>
                <w:szCs w:val="20"/>
              </w:rPr>
              <w:t>6.2. detalizēts izdevumu aprēķins</w:t>
            </w:r>
          </w:p>
        </w:tc>
        <w:tc>
          <w:tcPr>
            <w:tcW w:w="6982"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1CFB5" w14:textId="77777777" w:rsidR="00541B28" w:rsidRPr="003B533D" w:rsidRDefault="00541B28" w:rsidP="00541B28">
            <w:pPr>
              <w:rPr>
                <w:sz w:val="22"/>
                <w:szCs w:val="20"/>
              </w:rPr>
            </w:pPr>
          </w:p>
        </w:tc>
      </w:tr>
      <w:tr w:rsidR="00221ADA" w:rsidRPr="003B533D" w14:paraId="1E6C4C74"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006DC68E" w14:textId="77777777" w:rsidR="00541B28" w:rsidRPr="003B533D" w:rsidRDefault="00541B28" w:rsidP="00541B28">
            <w:pPr>
              <w:rPr>
                <w:sz w:val="22"/>
                <w:szCs w:val="20"/>
              </w:rPr>
            </w:pPr>
            <w:r w:rsidRPr="003B533D">
              <w:rPr>
                <w:sz w:val="22"/>
                <w:szCs w:val="20"/>
              </w:rPr>
              <w:t>7. Amata vietu skaita izmaiņas</w:t>
            </w:r>
          </w:p>
        </w:tc>
        <w:tc>
          <w:tcPr>
            <w:tcW w:w="6982"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E66F25B" w14:textId="77777777" w:rsidR="00541B28" w:rsidRPr="003B533D" w:rsidRDefault="00FC63E6" w:rsidP="00541B28">
            <w:r w:rsidRPr="003B533D">
              <w:t>Nav izmaiņu.</w:t>
            </w:r>
          </w:p>
        </w:tc>
      </w:tr>
      <w:tr w:rsidR="00221ADA" w:rsidRPr="003B533D" w14:paraId="66E7CC27" w14:textId="77777777" w:rsidTr="00FA10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3BBDB061" w14:textId="77777777" w:rsidR="00541B28" w:rsidRPr="003B533D" w:rsidRDefault="00541B28" w:rsidP="00541B28">
            <w:pPr>
              <w:rPr>
                <w:sz w:val="22"/>
                <w:szCs w:val="20"/>
              </w:rPr>
            </w:pPr>
            <w:r w:rsidRPr="003B533D">
              <w:rPr>
                <w:sz w:val="22"/>
                <w:szCs w:val="20"/>
              </w:rPr>
              <w:t>8. Cita informācija</w:t>
            </w:r>
          </w:p>
        </w:tc>
        <w:tc>
          <w:tcPr>
            <w:tcW w:w="6982"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7245E33" w14:textId="77777777" w:rsidR="009517C1" w:rsidRPr="003B533D" w:rsidRDefault="009517C1" w:rsidP="009517C1">
            <w:pPr>
              <w:jc w:val="both"/>
            </w:pPr>
            <w:r w:rsidRPr="003B533D">
              <w:t xml:space="preserve">Ņemot vērā, ka š.g.8.februārī Koalīcijas Sadarbības padome lēmusi nacionāli atbalstīt visu plānoto REACT-EU finansējumu, kā arī ņemot vērā, ka darbības programma “Izaugsme un nodarbinātība” </w:t>
            </w:r>
            <w:proofErr w:type="spellStart"/>
            <w:r w:rsidRPr="003B533D">
              <w:t>jaunizveidoto</w:t>
            </w:r>
            <w:proofErr w:type="spellEnd"/>
            <w:r w:rsidRPr="003B533D">
              <w:t xml:space="preserve"> REACT-EU tematisko mērķu un prioritāšu ietvaros nebūs iespējams izmantot darbības programmas </w:t>
            </w:r>
            <w:proofErr w:type="spellStart"/>
            <w:r w:rsidRPr="003B533D">
              <w:t>pamataploksnes</w:t>
            </w:r>
            <w:proofErr w:type="spellEnd"/>
            <w:r w:rsidRPr="003B533D">
              <w:t xml:space="preserve"> (sākotnējo tematisko mērķu un prioritāšu) ietvaros uzņemtās </w:t>
            </w:r>
            <w:proofErr w:type="spellStart"/>
            <w:r w:rsidRPr="003B533D">
              <w:t>virssaistības</w:t>
            </w:r>
            <w:proofErr w:type="spellEnd"/>
            <w:r w:rsidRPr="003B533D">
              <w:t xml:space="preserve">, lai segtu iespējamos neatbilstoši veiktos izdevumus, lauztos līgumus u.tml. gadījumus, potenciālā starpība, kas veidotos starp EK lēmumā ietverto REACT-EU finansējuma apmēru un nacionāli uzņemtajām saistībām, kalpotu kā </w:t>
            </w:r>
            <w:proofErr w:type="spellStart"/>
            <w:r w:rsidRPr="003B533D">
              <w:t>virssaistības</w:t>
            </w:r>
            <w:proofErr w:type="spellEnd"/>
            <w:r w:rsidRPr="003B533D">
              <w:t xml:space="preserve"> REACT-EU tematiskajos mērķos un dotu iespēju ES fondu finansējumu saņemt pilnā apmērā. Šādā gadījumā (ja EK </w:t>
            </w:r>
            <w:r w:rsidRPr="003B533D">
              <w:lastRenderedPageBreak/>
              <w:t xml:space="preserve">lēmums par 2022.gada REACT-EU finansējuma apjomu atšķirtos no nacionāli uzņemtajām saistībām), ar nākamajiem darbības programmas “Izaugsme un nodarbinātība” grozījumiem, FM rosinātu MK atcelt REACT-EU projektu ietvaros radušos finansējuma atlikumu </w:t>
            </w:r>
            <w:proofErr w:type="spellStart"/>
            <w:r w:rsidRPr="003B533D">
              <w:t>reciklēšanu</w:t>
            </w:r>
            <w:proofErr w:type="spellEnd"/>
            <w:r w:rsidRPr="003B533D">
              <w:t xml:space="preserve">, līdzīgi kā tas jau ticis darīts </w:t>
            </w:r>
            <w:proofErr w:type="spellStart"/>
            <w:r w:rsidRPr="003B533D">
              <w:t>pamataploksnē</w:t>
            </w:r>
            <w:proofErr w:type="spellEnd"/>
            <w:r w:rsidRPr="003B533D">
              <w:t xml:space="preserve">, kur uzņemtas </w:t>
            </w:r>
            <w:proofErr w:type="spellStart"/>
            <w:r w:rsidRPr="003B533D">
              <w:t>virssaistības</w:t>
            </w:r>
            <w:proofErr w:type="spellEnd"/>
            <w:r w:rsidRPr="003B533D">
              <w:t>, proti, ar</w:t>
            </w:r>
            <w:r w:rsidRPr="003B533D">
              <w:rPr>
                <w:rFonts w:eastAsiaTheme="minorHAnsi"/>
              </w:rPr>
              <w:t xml:space="preserve"> MK 2020. gada 22. septembra sēdes protokola Nr. 55 30.§ 2.1. un 2.2. punktiem nosakot, ka projektos atbrīvoto finansējumu nedrīkst pārdalīt projektiem vai jaunām projekta darbībām, izņemot ar atsevišķu MK lēmumu</w:t>
            </w:r>
            <w:r w:rsidRPr="003B533D">
              <w:t>.</w:t>
            </w:r>
          </w:p>
          <w:p w14:paraId="493ED4B2" w14:textId="77777777" w:rsidR="009517C1" w:rsidRPr="003B533D" w:rsidRDefault="009517C1" w:rsidP="009517C1">
            <w:pPr>
              <w:jc w:val="both"/>
              <w:rPr>
                <w:lang w:eastAsia="en-US"/>
              </w:rPr>
            </w:pPr>
            <w:r w:rsidRPr="003B533D">
              <w:rPr>
                <w:lang w:eastAsia="en-US"/>
              </w:rPr>
              <w:t xml:space="preserve">Gadījumā, ja REACT-EU ietvaros nebūtu paredzama potenciāla finansējuma rezerve, FM būtu pamatots iemesls rosināt MK lemt par papildu </w:t>
            </w:r>
            <w:proofErr w:type="spellStart"/>
            <w:r w:rsidRPr="003B533D">
              <w:rPr>
                <w:lang w:eastAsia="en-US"/>
              </w:rPr>
              <w:t>virssaistībām</w:t>
            </w:r>
            <w:proofErr w:type="spellEnd"/>
            <w:r w:rsidRPr="003B533D">
              <w:rPr>
                <w:lang w:eastAsia="en-US"/>
              </w:rPr>
              <w:t xml:space="preserve"> REACT-EU prioritātēm, lai būtu iespēja ES fondu finansējumu no EK saņemt pilnā apmērā.</w:t>
            </w:r>
          </w:p>
          <w:p w14:paraId="0A728869" w14:textId="78BBA5ED" w:rsidR="00541B28" w:rsidRPr="003B533D" w:rsidRDefault="00541B28" w:rsidP="00541B28"/>
        </w:tc>
      </w:tr>
    </w:tbl>
    <w:p w14:paraId="658FF438" w14:textId="77777777" w:rsidR="00541B28" w:rsidRPr="003B533D" w:rsidRDefault="00541B28" w:rsidP="00541B28">
      <w:pPr>
        <w:pStyle w:val="Title"/>
        <w:spacing w:before="130"/>
        <w:jc w:val="both"/>
        <w:rPr>
          <w:sz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6"/>
        <w:gridCol w:w="5826"/>
      </w:tblGrid>
      <w:tr w:rsidR="0083707D" w:rsidRPr="003B533D" w14:paraId="2C99BAAF" w14:textId="77777777" w:rsidTr="00255CA2">
        <w:tc>
          <w:tcPr>
            <w:tcW w:w="8299" w:type="dxa"/>
            <w:gridSpan w:val="3"/>
            <w:vAlign w:val="center"/>
            <w:hideMark/>
          </w:tcPr>
          <w:p w14:paraId="5E98F271" w14:textId="77777777" w:rsidR="0083707D" w:rsidRPr="003B533D" w:rsidRDefault="0083707D" w:rsidP="00BA0575">
            <w:pPr>
              <w:jc w:val="center"/>
              <w:rPr>
                <w:b/>
              </w:rPr>
            </w:pPr>
            <w:r w:rsidRPr="003B533D">
              <w:rPr>
                <w:b/>
              </w:rPr>
              <w:t>IV. Tiesību akta projekta ietekme uz spēkā esošo tiesību normu sistēmu</w:t>
            </w:r>
          </w:p>
        </w:tc>
      </w:tr>
      <w:tr w:rsidR="0083707D" w:rsidRPr="003B533D" w14:paraId="40A09537" w14:textId="77777777" w:rsidTr="00255CA2">
        <w:tc>
          <w:tcPr>
            <w:tcW w:w="524" w:type="dxa"/>
            <w:hideMark/>
          </w:tcPr>
          <w:p w14:paraId="209B990D" w14:textId="77777777" w:rsidR="0083707D" w:rsidRPr="003B533D" w:rsidRDefault="0083707D" w:rsidP="00BA0575">
            <w:pPr>
              <w:jc w:val="center"/>
            </w:pPr>
            <w:r w:rsidRPr="003B533D">
              <w:t>1.</w:t>
            </w:r>
          </w:p>
        </w:tc>
        <w:tc>
          <w:tcPr>
            <w:tcW w:w="2441" w:type="dxa"/>
            <w:hideMark/>
          </w:tcPr>
          <w:p w14:paraId="0C4B5A86" w14:textId="77777777" w:rsidR="0083707D" w:rsidRPr="003B533D" w:rsidRDefault="0083707D" w:rsidP="004E5FF0">
            <w:r w:rsidRPr="003B533D">
              <w:t>Saistītie tiesību aktu projekti</w:t>
            </w:r>
          </w:p>
        </w:tc>
        <w:tc>
          <w:tcPr>
            <w:tcW w:w="5334" w:type="dxa"/>
            <w:hideMark/>
          </w:tcPr>
          <w:p w14:paraId="41DC6F24" w14:textId="77777777" w:rsidR="00DC055D" w:rsidRPr="003B533D" w:rsidRDefault="00A74089" w:rsidP="00B5642A">
            <w:pPr>
              <w:ind w:right="44"/>
              <w:jc w:val="both"/>
            </w:pPr>
            <w:r w:rsidRPr="003B533D">
              <w:t xml:space="preserve">Ņemot vērā darbības programmā ierosinātās izmaiņas, pēc to iesniegšanas un saskaņošanas EK attiecīgas izmaiņas būs veicamas arī MK noteikumos par SAM un pasākumu īstenošanu, kurus skars grozījumi darbības programmā, attiecīgi atbildīgajām institūcijām veicot </w:t>
            </w:r>
            <w:r w:rsidR="00235BB5" w:rsidRPr="003B533D">
              <w:t>izrieto</w:t>
            </w:r>
            <w:r w:rsidR="00A85168" w:rsidRPr="003B533D">
              <w:t>šu</w:t>
            </w:r>
            <w:r w:rsidR="00235BB5" w:rsidRPr="003B533D">
              <w:t xml:space="preserve">s </w:t>
            </w:r>
            <w:r w:rsidRPr="003B533D">
              <w:t>grozījumus MK noteikumos par SAM un pasākumu īstenošanu</w:t>
            </w:r>
            <w:r w:rsidR="00235BB5" w:rsidRPr="003B533D">
              <w:t>.</w:t>
            </w:r>
          </w:p>
        </w:tc>
      </w:tr>
      <w:tr w:rsidR="0083707D" w:rsidRPr="003B533D" w14:paraId="5CA8E0A9" w14:textId="77777777" w:rsidTr="00255CA2">
        <w:tc>
          <w:tcPr>
            <w:tcW w:w="524" w:type="dxa"/>
            <w:hideMark/>
          </w:tcPr>
          <w:p w14:paraId="6B89305A" w14:textId="77777777" w:rsidR="0083707D" w:rsidRPr="003B533D" w:rsidRDefault="0083707D" w:rsidP="00BA0575">
            <w:pPr>
              <w:jc w:val="center"/>
            </w:pPr>
            <w:r w:rsidRPr="003B533D">
              <w:t>2.</w:t>
            </w:r>
          </w:p>
        </w:tc>
        <w:tc>
          <w:tcPr>
            <w:tcW w:w="2441" w:type="dxa"/>
            <w:hideMark/>
          </w:tcPr>
          <w:p w14:paraId="0910D094" w14:textId="77777777" w:rsidR="0083707D" w:rsidRPr="003B533D" w:rsidRDefault="0083707D" w:rsidP="004E5FF0">
            <w:r w:rsidRPr="003B533D">
              <w:t>Atbildīgā institūcija</w:t>
            </w:r>
          </w:p>
        </w:tc>
        <w:tc>
          <w:tcPr>
            <w:tcW w:w="5334" w:type="dxa"/>
            <w:hideMark/>
          </w:tcPr>
          <w:p w14:paraId="651E762F" w14:textId="77777777" w:rsidR="0083707D" w:rsidRPr="003B533D" w:rsidRDefault="009779D8" w:rsidP="00DD0091">
            <w:r w:rsidRPr="003B533D">
              <w:t>FM</w:t>
            </w:r>
            <w:r w:rsidR="000A1590" w:rsidRPr="003B533D">
              <w:t>.</w:t>
            </w:r>
          </w:p>
        </w:tc>
      </w:tr>
      <w:tr w:rsidR="0083707D" w:rsidRPr="003B533D" w14:paraId="3635933B" w14:textId="77777777" w:rsidTr="00255CA2">
        <w:tc>
          <w:tcPr>
            <w:tcW w:w="524" w:type="dxa"/>
            <w:hideMark/>
          </w:tcPr>
          <w:p w14:paraId="55BF8956" w14:textId="77777777" w:rsidR="0083707D" w:rsidRPr="003B533D" w:rsidRDefault="0083707D" w:rsidP="00BA0575">
            <w:pPr>
              <w:jc w:val="center"/>
            </w:pPr>
            <w:r w:rsidRPr="003B533D">
              <w:t>3.</w:t>
            </w:r>
          </w:p>
        </w:tc>
        <w:tc>
          <w:tcPr>
            <w:tcW w:w="2441" w:type="dxa"/>
            <w:hideMark/>
          </w:tcPr>
          <w:p w14:paraId="30048F32" w14:textId="77777777" w:rsidR="0083707D" w:rsidRPr="003B533D" w:rsidRDefault="0083707D" w:rsidP="004E5FF0">
            <w:r w:rsidRPr="003B533D">
              <w:t>Cita informācija</w:t>
            </w:r>
          </w:p>
        </w:tc>
        <w:tc>
          <w:tcPr>
            <w:tcW w:w="5334" w:type="dxa"/>
            <w:hideMark/>
          </w:tcPr>
          <w:p w14:paraId="39F63AAB" w14:textId="77777777" w:rsidR="0083707D" w:rsidRPr="003B533D" w:rsidRDefault="00B44450" w:rsidP="00DD0091">
            <w:r w:rsidRPr="003B533D">
              <w:t>Nav</w:t>
            </w:r>
            <w:r w:rsidR="000A1590" w:rsidRPr="003B533D">
              <w:t>.</w:t>
            </w:r>
          </w:p>
        </w:tc>
      </w:tr>
    </w:tbl>
    <w:p w14:paraId="405E017F" w14:textId="77777777" w:rsidR="00BD5588" w:rsidRPr="003B533D" w:rsidRDefault="00BD5588" w:rsidP="00DD0091">
      <w:pPr>
        <w:pStyle w:val="Title"/>
        <w:spacing w:before="130"/>
        <w:ind w:firstLine="539"/>
        <w:jc w:val="both"/>
        <w:rPr>
          <w:sz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6B4398" w:rsidRPr="003B533D" w14:paraId="5E3D8B12" w14:textId="77777777" w:rsidTr="00CF6B48">
        <w:trPr>
          <w:cantSplit/>
        </w:trPr>
        <w:tc>
          <w:tcPr>
            <w:tcW w:w="8296" w:type="dxa"/>
            <w:vAlign w:val="center"/>
            <w:hideMark/>
          </w:tcPr>
          <w:p w14:paraId="716C2E6A" w14:textId="77777777" w:rsidR="006B4398" w:rsidRPr="003B533D" w:rsidRDefault="006B4398" w:rsidP="00BA0575">
            <w:pPr>
              <w:jc w:val="center"/>
              <w:rPr>
                <w:b/>
              </w:rPr>
            </w:pPr>
            <w:r w:rsidRPr="003B533D">
              <w:rPr>
                <w:b/>
              </w:rPr>
              <w:t>V. Tiesību akta projekta atbilstība Latvijas Republikas starptautiskajām saistībām</w:t>
            </w:r>
          </w:p>
        </w:tc>
      </w:tr>
      <w:tr w:rsidR="006B4398" w:rsidRPr="003B533D" w14:paraId="65AD698A" w14:textId="77777777" w:rsidTr="00CF6B48">
        <w:trPr>
          <w:cantSplit/>
        </w:trPr>
        <w:tc>
          <w:tcPr>
            <w:tcW w:w="8296" w:type="dxa"/>
            <w:hideMark/>
          </w:tcPr>
          <w:p w14:paraId="7A0D2766" w14:textId="77777777" w:rsidR="006B4398" w:rsidRPr="003B533D" w:rsidRDefault="006B4398" w:rsidP="00BA0575">
            <w:pPr>
              <w:jc w:val="center"/>
            </w:pPr>
            <w:r w:rsidRPr="003B533D">
              <w:t>Projekts šo jomu neskar</w:t>
            </w:r>
          </w:p>
        </w:tc>
      </w:tr>
    </w:tbl>
    <w:p w14:paraId="48B6CC24" w14:textId="77777777" w:rsidR="006B4398" w:rsidRPr="003B533D" w:rsidRDefault="006B4398" w:rsidP="00DD0091">
      <w:pPr>
        <w:pStyle w:val="Title"/>
        <w:spacing w:before="130"/>
        <w:ind w:firstLine="53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3B533D" w14:paraId="682943E4" w14:textId="77777777" w:rsidTr="00CF6B48">
        <w:trPr>
          <w:cantSplit/>
        </w:trPr>
        <w:tc>
          <w:tcPr>
            <w:tcW w:w="5000" w:type="pct"/>
            <w:gridSpan w:val="3"/>
            <w:vAlign w:val="center"/>
            <w:hideMark/>
          </w:tcPr>
          <w:p w14:paraId="27C26855" w14:textId="77777777" w:rsidR="00BD5588" w:rsidRPr="003B533D" w:rsidRDefault="00BD5588" w:rsidP="00BA0575">
            <w:pPr>
              <w:jc w:val="center"/>
              <w:rPr>
                <w:b/>
              </w:rPr>
            </w:pPr>
            <w:r w:rsidRPr="003B533D">
              <w:rPr>
                <w:b/>
              </w:rPr>
              <w:t>VI. Sabiedrības līdzdalība un komunikācijas aktivitātes</w:t>
            </w:r>
          </w:p>
        </w:tc>
      </w:tr>
      <w:tr w:rsidR="00BD5588" w:rsidRPr="003B533D" w14:paraId="2B6610EC" w14:textId="77777777" w:rsidTr="00641154">
        <w:trPr>
          <w:cantSplit/>
        </w:trPr>
        <w:tc>
          <w:tcPr>
            <w:tcW w:w="311" w:type="pct"/>
            <w:hideMark/>
          </w:tcPr>
          <w:p w14:paraId="121E78D1" w14:textId="77777777" w:rsidR="00BD5588" w:rsidRPr="003B533D" w:rsidRDefault="00BD5588" w:rsidP="00BA0575">
            <w:pPr>
              <w:jc w:val="center"/>
            </w:pPr>
            <w:r w:rsidRPr="003B533D">
              <w:t>1.</w:t>
            </w:r>
          </w:p>
        </w:tc>
        <w:tc>
          <w:tcPr>
            <w:tcW w:w="1479" w:type="pct"/>
            <w:shd w:val="clear" w:color="auto" w:fill="auto"/>
            <w:hideMark/>
          </w:tcPr>
          <w:p w14:paraId="360DAE7C" w14:textId="77777777" w:rsidR="00BD5588" w:rsidRPr="003B533D" w:rsidRDefault="00BD5588" w:rsidP="004E5FF0">
            <w:r w:rsidRPr="003B533D">
              <w:t>Plānotās sabiedrības līdzdalības un komunikācijas aktivitātes saistībā ar projektu</w:t>
            </w:r>
          </w:p>
        </w:tc>
        <w:tc>
          <w:tcPr>
            <w:tcW w:w="3210" w:type="pct"/>
            <w:shd w:val="clear" w:color="auto" w:fill="auto"/>
            <w:hideMark/>
          </w:tcPr>
          <w:p w14:paraId="45EBAC9A" w14:textId="77777777" w:rsidR="00B466D9" w:rsidRPr="003B533D" w:rsidRDefault="00B466D9" w:rsidP="00C7141D">
            <w:pPr>
              <w:jc w:val="both"/>
            </w:pPr>
            <w:r w:rsidRPr="003B533D">
              <w:t>Sabiedrības līdzdalības nodrošināšanai plānotas šādas darbības:</w:t>
            </w:r>
          </w:p>
          <w:p w14:paraId="7D497CD0" w14:textId="77777777" w:rsidR="0084702D" w:rsidRPr="003B533D" w:rsidRDefault="0084702D" w:rsidP="00DD0091">
            <w:pPr>
              <w:pStyle w:val="ListParagraph"/>
              <w:numPr>
                <w:ilvl w:val="0"/>
                <w:numId w:val="5"/>
              </w:numPr>
              <w:spacing w:after="0" w:line="240" w:lineRule="auto"/>
              <w:ind w:left="394"/>
              <w:jc w:val="both"/>
              <w:rPr>
                <w:rFonts w:ascii="Times New Roman" w:hAnsi="Times New Roman"/>
                <w:sz w:val="24"/>
              </w:rPr>
            </w:pPr>
            <w:r w:rsidRPr="003B533D">
              <w:rPr>
                <w:rFonts w:ascii="Times New Roman" w:hAnsi="Times New Roman"/>
                <w:sz w:val="24"/>
              </w:rPr>
              <w:t>MK rīkojuma projekt</w:t>
            </w:r>
            <w:r w:rsidR="00B466D9" w:rsidRPr="003B533D">
              <w:rPr>
                <w:rFonts w:ascii="Times New Roman" w:hAnsi="Times New Roman"/>
                <w:sz w:val="24"/>
              </w:rPr>
              <w:t>a</w:t>
            </w:r>
            <w:r w:rsidRPr="003B533D">
              <w:rPr>
                <w:rFonts w:ascii="Times New Roman" w:hAnsi="Times New Roman"/>
                <w:sz w:val="24"/>
              </w:rPr>
              <w:t xml:space="preserve"> publicē</w:t>
            </w:r>
            <w:r w:rsidR="00B466D9" w:rsidRPr="003B533D">
              <w:rPr>
                <w:rFonts w:ascii="Times New Roman" w:hAnsi="Times New Roman"/>
                <w:sz w:val="24"/>
              </w:rPr>
              <w:t>šana</w:t>
            </w:r>
            <w:r w:rsidRPr="003B533D">
              <w:rPr>
                <w:rFonts w:ascii="Times New Roman" w:hAnsi="Times New Roman"/>
                <w:sz w:val="24"/>
              </w:rPr>
              <w:t xml:space="preserve"> tīmekļa vietnē </w:t>
            </w:r>
            <w:hyperlink r:id="rId8" w:history="1">
              <w:r w:rsidRPr="003B533D">
                <w:rPr>
                  <w:rStyle w:val="Hyperlink"/>
                  <w:rFonts w:ascii="Times New Roman" w:hAnsi="Times New Roman"/>
                  <w:sz w:val="24"/>
                </w:rPr>
                <w:t>www.esfondi.lv</w:t>
              </w:r>
            </w:hyperlink>
            <w:r w:rsidRPr="003B533D">
              <w:rPr>
                <w:rFonts w:ascii="Times New Roman" w:hAnsi="Times New Roman"/>
                <w:sz w:val="24"/>
              </w:rPr>
              <w:t xml:space="preserve">. </w:t>
            </w:r>
          </w:p>
          <w:p w14:paraId="074634D9" w14:textId="77777777" w:rsidR="00BD5588" w:rsidRPr="003B533D" w:rsidRDefault="0084702D" w:rsidP="00C7141D">
            <w:pPr>
              <w:pStyle w:val="ListParagraph"/>
              <w:numPr>
                <w:ilvl w:val="0"/>
                <w:numId w:val="5"/>
              </w:numPr>
              <w:spacing w:after="0" w:line="240" w:lineRule="auto"/>
              <w:ind w:left="394"/>
              <w:jc w:val="both"/>
              <w:rPr>
                <w:rFonts w:ascii="Times New Roman" w:hAnsi="Times New Roman"/>
                <w:sz w:val="24"/>
              </w:rPr>
            </w:pPr>
            <w:r w:rsidRPr="003B533D">
              <w:rPr>
                <w:rFonts w:ascii="Times New Roman" w:hAnsi="Times New Roman"/>
                <w:sz w:val="24"/>
              </w:rPr>
              <w:t>D</w:t>
            </w:r>
            <w:r w:rsidR="00DD0091" w:rsidRPr="003B533D">
              <w:rPr>
                <w:rFonts w:ascii="Times New Roman" w:hAnsi="Times New Roman"/>
                <w:sz w:val="24"/>
              </w:rPr>
              <w:t>arbības programmas grozījum</w:t>
            </w:r>
            <w:r w:rsidR="00B466D9" w:rsidRPr="003B533D">
              <w:rPr>
                <w:rFonts w:ascii="Times New Roman" w:hAnsi="Times New Roman"/>
                <w:sz w:val="24"/>
              </w:rPr>
              <w:t>u</w:t>
            </w:r>
            <w:r w:rsidRPr="003B533D">
              <w:rPr>
                <w:rFonts w:ascii="Times New Roman" w:hAnsi="Times New Roman"/>
                <w:sz w:val="24"/>
              </w:rPr>
              <w:t xml:space="preserve"> saskaņo</w:t>
            </w:r>
            <w:r w:rsidR="00B466D9" w:rsidRPr="003B533D">
              <w:rPr>
                <w:rFonts w:ascii="Times New Roman" w:hAnsi="Times New Roman"/>
                <w:sz w:val="24"/>
              </w:rPr>
              <w:t>šana</w:t>
            </w:r>
            <w:r w:rsidRPr="003B533D">
              <w:rPr>
                <w:rFonts w:ascii="Times New Roman" w:hAnsi="Times New Roman"/>
                <w:sz w:val="24"/>
              </w:rPr>
              <w:t xml:space="preserve"> </w:t>
            </w:r>
            <w:r w:rsidR="00AE3564" w:rsidRPr="003B533D">
              <w:rPr>
                <w:rFonts w:ascii="Times New Roman" w:hAnsi="Times New Roman"/>
                <w:sz w:val="24"/>
              </w:rPr>
              <w:t>ES fondu 2014.–2020. gada plānošanas perioda uzraudzības</w:t>
            </w:r>
            <w:r w:rsidR="002F5146" w:rsidRPr="003B533D">
              <w:rPr>
                <w:rFonts w:ascii="Times New Roman" w:hAnsi="Times New Roman"/>
                <w:sz w:val="24"/>
              </w:rPr>
              <w:t xml:space="preserve"> komitejas rakstisk</w:t>
            </w:r>
            <w:r w:rsidR="00641154" w:rsidRPr="003B533D">
              <w:rPr>
                <w:rFonts w:ascii="Times New Roman" w:hAnsi="Times New Roman"/>
                <w:sz w:val="24"/>
              </w:rPr>
              <w:t>ā</w:t>
            </w:r>
            <w:r w:rsidR="002F5146" w:rsidRPr="003B533D">
              <w:rPr>
                <w:rFonts w:ascii="Times New Roman" w:hAnsi="Times New Roman"/>
                <w:sz w:val="24"/>
              </w:rPr>
              <w:t>s</w:t>
            </w:r>
            <w:r w:rsidR="00641154" w:rsidRPr="003B533D">
              <w:rPr>
                <w:rFonts w:ascii="Times New Roman" w:hAnsi="Times New Roman"/>
                <w:sz w:val="24"/>
              </w:rPr>
              <w:t xml:space="preserve"> procedūras ietvaros</w:t>
            </w:r>
            <w:r w:rsidR="007A743E" w:rsidRPr="003B533D">
              <w:rPr>
                <w:rFonts w:ascii="Times New Roman" w:hAnsi="Times New Roman"/>
                <w:sz w:val="24"/>
              </w:rPr>
              <w:t xml:space="preserve">, </w:t>
            </w:r>
            <w:r w:rsidR="00DD0091" w:rsidRPr="003B533D">
              <w:rPr>
                <w:rFonts w:ascii="Times New Roman" w:hAnsi="Times New Roman"/>
                <w:sz w:val="24"/>
              </w:rPr>
              <w:t xml:space="preserve">t. sk. </w:t>
            </w:r>
            <w:r w:rsidR="007A743E" w:rsidRPr="003B533D">
              <w:rPr>
                <w:rFonts w:ascii="Times New Roman" w:hAnsi="Times New Roman"/>
                <w:sz w:val="24"/>
              </w:rPr>
              <w:t>publicējot grozījumu pr</w:t>
            </w:r>
            <w:r w:rsidR="00862131" w:rsidRPr="003B533D">
              <w:rPr>
                <w:rFonts w:ascii="Times New Roman" w:hAnsi="Times New Roman"/>
                <w:sz w:val="24"/>
              </w:rPr>
              <w:t>iekšlikumu ES fondu 2014.–2020. </w:t>
            </w:r>
            <w:r w:rsidR="007A743E" w:rsidRPr="003B533D">
              <w:rPr>
                <w:rFonts w:ascii="Times New Roman" w:hAnsi="Times New Roman"/>
                <w:sz w:val="24"/>
              </w:rPr>
              <w:t xml:space="preserve">gada plānošanas perioda uzraudzības komitejas tīmekļa vietnē </w:t>
            </w:r>
            <w:hyperlink r:id="rId9" w:history="1">
              <w:r w:rsidR="007A743E" w:rsidRPr="003B533D">
                <w:rPr>
                  <w:rStyle w:val="Hyperlink"/>
                  <w:rFonts w:ascii="Times New Roman" w:hAnsi="Times New Roman"/>
                  <w:sz w:val="24"/>
                </w:rPr>
                <w:t>https://komitejas.esfondi.lv</w:t>
              </w:r>
            </w:hyperlink>
            <w:r w:rsidRPr="003B533D">
              <w:rPr>
                <w:rFonts w:ascii="Times New Roman" w:hAnsi="Times New Roman"/>
                <w:sz w:val="24"/>
              </w:rPr>
              <w:t>.</w:t>
            </w:r>
          </w:p>
        </w:tc>
      </w:tr>
      <w:tr w:rsidR="00641154" w:rsidRPr="003B533D" w14:paraId="57A8745C" w14:textId="77777777" w:rsidTr="002D1644">
        <w:trPr>
          <w:cantSplit/>
        </w:trPr>
        <w:tc>
          <w:tcPr>
            <w:tcW w:w="311" w:type="pct"/>
            <w:shd w:val="clear" w:color="auto" w:fill="auto"/>
            <w:hideMark/>
          </w:tcPr>
          <w:p w14:paraId="05A3E808" w14:textId="77777777" w:rsidR="00641154" w:rsidRPr="003B533D" w:rsidRDefault="00641154" w:rsidP="00BA0575">
            <w:pPr>
              <w:jc w:val="center"/>
            </w:pPr>
            <w:r w:rsidRPr="003B533D">
              <w:lastRenderedPageBreak/>
              <w:t>2.</w:t>
            </w:r>
          </w:p>
        </w:tc>
        <w:tc>
          <w:tcPr>
            <w:tcW w:w="1479" w:type="pct"/>
            <w:shd w:val="clear" w:color="auto" w:fill="auto"/>
            <w:hideMark/>
          </w:tcPr>
          <w:p w14:paraId="7C093A84" w14:textId="77777777" w:rsidR="00641154" w:rsidRPr="003B533D" w:rsidRDefault="00641154" w:rsidP="004E5FF0">
            <w:r w:rsidRPr="003B533D">
              <w:t>Sabiedrības līdzdalība projekta izstrādē</w:t>
            </w:r>
          </w:p>
        </w:tc>
        <w:tc>
          <w:tcPr>
            <w:tcW w:w="3210" w:type="pct"/>
            <w:shd w:val="clear" w:color="auto" w:fill="auto"/>
            <w:hideMark/>
          </w:tcPr>
          <w:p w14:paraId="0916E254" w14:textId="3EE35824" w:rsidR="00DD0091" w:rsidRPr="003B533D" w:rsidRDefault="00641154" w:rsidP="00DD0091">
            <w:pPr>
              <w:ind w:right="44"/>
              <w:jc w:val="both"/>
            </w:pPr>
            <w:r w:rsidRPr="003B533D">
              <w:t>Sabiedrības līdzdalība nodrošināta</w:t>
            </w:r>
            <w:r w:rsidR="00B466D9" w:rsidRPr="003B533D">
              <w:t xml:space="preserve">, paralēli virzot saskaņošanai </w:t>
            </w:r>
            <w:r w:rsidR="00DD0091" w:rsidRPr="003B533D">
              <w:t xml:space="preserve">darbības programmas </w:t>
            </w:r>
            <w:r w:rsidR="007A743E" w:rsidRPr="003B533D">
              <w:t xml:space="preserve">grozījumu priekšlikumu </w:t>
            </w:r>
            <w:r w:rsidR="00862131" w:rsidRPr="003B533D">
              <w:t>ES fondu</w:t>
            </w:r>
            <w:r w:rsidR="00DD0091" w:rsidRPr="003B533D">
              <w:t xml:space="preserve"> </w:t>
            </w:r>
            <w:r w:rsidR="00862131" w:rsidRPr="003B533D">
              <w:t>2014.–2020. </w:t>
            </w:r>
            <w:r w:rsidRPr="003B533D">
              <w:t>gada plānošanas perioda uzraudzības komitej</w:t>
            </w:r>
            <w:r w:rsidR="007A743E" w:rsidRPr="003B533D">
              <w:t>ā</w:t>
            </w:r>
            <w:r w:rsidR="00E124FD" w:rsidRPr="003B533D">
              <w:t xml:space="preserve"> (turpmāk – UK)</w:t>
            </w:r>
            <w:r w:rsidR="000C3C66" w:rsidRPr="003B533D">
              <w:t>, kur pārstāvētas gan  nozares ministrijas, gan sociālie un sadarbības partneri,</w:t>
            </w:r>
            <w:r w:rsidR="007A743E" w:rsidRPr="003B533D">
              <w:t xml:space="preserve"> rakstisk</w:t>
            </w:r>
            <w:r w:rsidRPr="003B533D">
              <w:t>ā</w:t>
            </w:r>
            <w:r w:rsidR="007A743E" w:rsidRPr="003B533D">
              <w:t>s procedūras ietvaros</w:t>
            </w:r>
            <w:r w:rsidR="00DD0091" w:rsidRPr="003B533D">
              <w:t>. Rakstiskā procedūra</w:t>
            </w:r>
            <w:r w:rsidRPr="003B533D">
              <w:t xml:space="preserve"> uzsākta </w:t>
            </w:r>
            <w:r w:rsidR="004F222B" w:rsidRPr="003B533D">
              <w:t>202</w:t>
            </w:r>
            <w:r w:rsidR="00B3140D" w:rsidRPr="003B533D">
              <w:t>1</w:t>
            </w:r>
            <w:r w:rsidR="00862131" w:rsidRPr="003B533D">
              <w:t>. </w:t>
            </w:r>
            <w:r w:rsidRPr="003B533D">
              <w:t>gad</w:t>
            </w:r>
            <w:r w:rsidR="00DE23FF" w:rsidRPr="003B533D">
              <w:t xml:space="preserve">a </w:t>
            </w:r>
            <w:r w:rsidR="00B3140D" w:rsidRPr="003B533D">
              <w:t>9</w:t>
            </w:r>
            <w:r w:rsidR="00603B5B" w:rsidRPr="003B533D">
              <w:t>.</w:t>
            </w:r>
            <w:r w:rsidR="00324CAC" w:rsidRPr="003B533D">
              <w:t xml:space="preserve"> </w:t>
            </w:r>
            <w:r w:rsidR="00B3140D" w:rsidRPr="003B533D">
              <w:t>aprīlī</w:t>
            </w:r>
            <w:r w:rsidR="00AD4574" w:rsidRPr="003B533D">
              <w:t>.</w:t>
            </w:r>
            <w:r w:rsidR="00E124FD" w:rsidRPr="003B533D">
              <w:t xml:space="preserve"> </w:t>
            </w:r>
            <w:r w:rsidR="00E124FD" w:rsidRPr="003B533D">
              <w:rPr>
                <w:rFonts w:eastAsia="Calibri"/>
                <w:szCs w:val="26"/>
              </w:rPr>
              <w:t>Darbības programmas grozījumi ir apstiprināti ar UK 17.05.2021. lēmumu Nr. L-2021/06.</w:t>
            </w:r>
          </w:p>
          <w:p w14:paraId="4DF5541B" w14:textId="1DCC4447" w:rsidR="00641154" w:rsidRPr="003B533D" w:rsidRDefault="004F222B" w:rsidP="00B466D9">
            <w:pPr>
              <w:ind w:right="44"/>
              <w:jc w:val="both"/>
            </w:pPr>
            <w:r w:rsidRPr="003B533D">
              <w:t>202</w:t>
            </w:r>
            <w:r w:rsidR="00B3140D" w:rsidRPr="003B533D">
              <w:t>1</w:t>
            </w:r>
            <w:r w:rsidRPr="003B533D">
              <w:t xml:space="preserve">. gada </w:t>
            </w:r>
            <w:r w:rsidR="00AC0DA9" w:rsidRPr="003B533D">
              <w:t>20</w:t>
            </w:r>
            <w:r w:rsidR="00603B5B" w:rsidRPr="003B533D">
              <w:t>.</w:t>
            </w:r>
            <w:r w:rsidR="00324CAC" w:rsidRPr="003B533D">
              <w:t xml:space="preserve"> </w:t>
            </w:r>
            <w:r w:rsidR="00603B5B" w:rsidRPr="003B533D">
              <w:t>maijā</w:t>
            </w:r>
            <w:r w:rsidRPr="003B533D">
              <w:t xml:space="preserve"> </w:t>
            </w:r>
            <w:r w:rsidR="00DD0091" w:rsidRPr="003B533D">
              <w:t xml:space="preserve">darbības programmas </w:t>
            </w:r>
            <w:r w:rsidR="00641154" w:rsidRPr="003B533D">
              <w:t>grozījumu priekšlikum</w:t>
            </w:r>
            <w:r w:rsidR="00DD0091" w:rsidRPr="003B533D">
              <w:t>s publicēts un bija publiski pieejams arī</w:t>
            </w:r>
            <w:r w:rsidR="00862131" w:rsidRPr="003B533D">
              <w:t xml:space="preserve"> </w:t>
            </w:r>
            <w:r w:rsidR="00641154" w:rsidRPr="003B533D">
              <w:t xml:space="preserve">tīmekļa vietnē </w:t>
            </w:r>
            <w:hyperlink r:id="rId10" w:history="1">
              <w:r w:rsidR="007A743E" w:rsidRPr="003B533D">
                <w:rPr>
                  <w:rStyle w:val="Hyperlink"/>
                </w:rPr>
                <w:t>www.esfondi.lv</w:t>
              </w:r>
            </w:hyperlink>
            <w:r w:rsidR="00641154" w:rsidRPr="003B533D">
              <w:t>.</w:t>
            </w:r>
          </w:p>
        </w:tc>
      </w:tr>
      <w:tr w:rsidR="00641154" w:rsidRPr="003B533D" w14:paraId="3EECA6FD" w14:textId="77777777" w:rsidTr="002D1644">
        <w:trPr>
          <w:cantSplit/>
        </w:trPr>
        <w:tc>
          <w:tcPr>
            <w:tcW w:w="311" w:type="pct"/>
            <w:shd w:val="clear" w:color="auto" w:fill="auto"/>
            <w:hideMark/>
          </w:tcPr>
          <w:p w14:paraId="7484E47B" w14:textId="77777777" w:rsidR="00641154" w:rsidRPr="003B533D" w:rsidRDefault="00641154" w:rsidP="00BA0575">
            <w:pPr>
              <w:jc w:val="center"/>
            </w:pPr>
            <w:r w:rsidRPr="003B533D">
              <w:t>3.</w:t>
            </w:r>
          </w:p>
        </w:tc>
        <w:tc>
          <w:tcPr>
            <w:tcW w:w="1479" w:type="pct"/>
            <w:shd w:val="clear" w:color="auto" w:fill="auto"/>
            <w:hideMark/>
          </w:tcPr>
          <w:p w14:paraId="293E3494" w14:textId="77777777" w:rsidR="00641154" w:rsidRPr="003B533D" w:rsidRDefault="00641154" w:rsidP="004E5FF0">
            <w:r w:rsidRPr="003B533D">
              <w:t>Sabiedrības līdzdalības rezultāti</w:t>
            </w:r>
          </w:p>
        </w:tc>
        <w:tc>
          <w:tcPr>
            <w:tcW w:w="3210" w:type="pct"/>
            <w:shd w:val="clear" w:color="auto" w:fill="auto"/>
            <w:hideMark/>
          </w:tcPr>
          <w:p w14:paraId="5273C8D6" w14:textId="77777777" w:rsidR="00641154" w:rsidRPr="003B533D" w:rsidRDefault="00BB383E" w:rsidP="00B448BC">
            <w:pPr>
              <w:jc w:val="both"/>
            </w:pPr>
            <w:r w:rsidRPr="003B533D">
              <w:t>ES fondu 2014.–2020. gada plānošanas perioda uzraudzības komitejas rakstiskās procedūras laikā izteiktie EK, sociālo un sadarbības partneru, tostarp nozaru ministriju  komentāri iespēju robežās ir tikuši ņemti vērā.</w:t>
            </w:r>
          </w:p>
        </w:tc>
      </w:tr>
      <w:tr w:rsidR="00641154" w:rsidRPr="003B533D" w14:paraId="18B3A2FD" w14:textId="77777777" w:rsidTr="002D1644">
        <w:trPr>
          <w:cantSplit/>
        </w:trPr>
        <w:tc>
          <w:tcPr>
            <w:tcW w:w="311" w:type="pct"/>
            <w:shd w:val="clear" w:color="auto" w:fill="auto"/>
            <w:hideMark/>
          </w:tcPr>
          <w:p w14:paraId="17CF0B4F" w14:textId="77777777" w:rsidR="00641154" w:rsidRPr="003B533D" w:rsidRDefault="00641154" w:rsidP="00BA0575">
            <w:pPr>
              <w:jc w:val="center"/>
            </w:pPr>
            <w:r w:rsidRPr="003B533D">
              <w:t>4.</w:t>
            </w:r>
          </w:p>
        </w:tc>
        <w:tc>
          <w:tcPr>
            <w:tcW w:w="1479" w:type="pct"/>
            <w:shd w:val="clear" w:color="auto" w:fill="auto"/>
            <w:hideMark/>
          </w:tcPr>
          <w:p w14:paraId="7CF18F8A" w14:textId="77777777" w:rsidR="00641154" w:rsidRPr="003B533D" w:rsidRDefault="00641154" w:rsidP="004E5FF0">
            <w:r w:rsidRPr="003B533D">
              <w:t>Cita informācija</w:t>
            </w:r>
          </w:p>
        </w:tc>
        <w:tc>
          <w:tcPr>
            <w:tcW w:w="3210" w:type="pct"/>
            <w:shd w:val="clear" w:color="auto" w:fill="auto"/>
            <w:hideMark/>
          </w:tcPr>
          <w:p w14:paraId="5A1CAA07" w14:textId="77777777" w:rsidR="00641154" w:rsidRPr="003B533D" w:rsidRDefault="00641154" w:rsidP="00DD0091">
            <w:r w:rsidRPr="003B533D">
              <w:t>Nav.</w:t>
            </w:r>
          </w:p>
        </w:tc>
      </w:tr>
    </w:tbl>
    <w:p w14:paraId="3E809296" w14:textId="77777777" w:rsidR="001B1A3C" w:rsidRPr="003B533D" w:rsidRDefault="001B1A3C" w:rsidP="00DD0091">
      <w:pPr>
        <w:pStyle w:val="Title"/>
        <w:spacing w:before="130"/>
        <w:ind w:firstLine="53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3B533D" w14:paraId="208B86EB" w14:textId="77777777" w:rsidTr="00CF6B48">
        <w:trPr>
          <w:cantSplit/>
        </w:trPr>
        <w:tc>
          <w:tcPr>
            <w:tcW w:w="5000" w:type="pct"/>
            <w:gridSpan w:val="3"/>
            <w:vAlign w:val="center"/>
            <w:hideMark/>
          </w:tcPr>
          <w:p w14:paraId="658453B0" w14:textId="77777777" w:rsidR="00BD5588" w:rsidRPr="003B533D" w:rsidRDefault="00BD5588" w:rsidP="00BA0575">
            <w:pPr>
              <w:jc w:val="center"/>
              <w:rPr>
                <w:b/>
              </w:rPr>
            </w:pPr>
            <w:r w:rsidRPr="003B533D">
              <w:rPr>
                <w:b/>
              </w:rPr>
              <w:t>VII. Tiesību akta projekta izpildes nodrošināšana un tās ietekme uz institūcijām</w:t>
            </w:r>
          </w:p>
        </w:tc>
      </w:tr>
      <w:tr w:rsidR="00BD5588" w:rsidRPr="003B533D" w14:paraId="183A98FC" w14:textId="77777777" w:rsidTr="00CF6B48">
        <w:trPr>
          <w:cantSplit/>
        </w:trPr>
        <w:tc>
          <w:tcPr>
            <w:tcW w:w="311" w:type="pct"/>
            <w:hideMark/>
          </w:tcPr>
          <w:p w14:paraId="23C3A224" w14:textId="77777777" w:rsidR="00BD5588" w:rsidRPr="003B533D" w:rsidRDefault="00BD5588" w:rsidP="00BA0575">
            <w:pPr>
              <w:jc w:val="center"/>
            </w:pPr>
            <w:r w:rsidRPr="003B533D">
              <w:t>1.</w:t>
            </w:r>
          </w:p>
        </w:tc>
        <w:tc>
          <w:tcPr>
            <w:tcW w:w="1479" w:type="pct"/>
            <w:hideMark/>
          </w:tcPr>
          <w:p w14:paraId="232FFE78" w14:textId="77777777" w:rsidR="00BD5588" w:rsidRPr="003B533D" w:rsidRDefault="00BD5588" w:rsidP="004E5FF0">
            <w:r w:rsidRPr="003B533D">
              <w:t>Projekta izpildē iesaistītās institūcijas</w:t>
            </w:r>
          </w:p>
        </w:tc>
        <w:tc>
          <w:tcPr>
            <w:tcW w:w="3210" w:type="pct"/>
            <w:hideMark/>
          </w:tcPr>
          <w:p w14:paraId="03420EB3" w14:textId="77777777" w:rsidR="00BD5588" w:rsidRPr="003B533D" w:rsidRDefault="006B5440" w:rsidP="00DD0091">
            <w:pPr>
              <w:jc w:val="both"/>
            </w:pPr>
            <w:r w:rsidRPr="003B533D">
              <w:t xml:space="preserve">ES fondu vadībā iesaistītās institūcijas saskaņā ar </w:t>
            </w:r>
            <w:r w:rsidR="00DD0091" w:rsidRPr="003B533D">
              <w:t>Eiropas Savienības struktūrfondu un Kohēzijas fonda 2014.–2020. gada plānošanas perioda vadības likumā</w:t>
            </w:r>
            <w:r w:rsidR="00DD0091" w:rsidRPr="003B533D" w:rsidDel="00DD0091">
              <w:t xml:space="preserve"> </w:t>
            </w:r>
            <w:r w:rsidRPr="003B533D">
              <w:t>noteikto.</w:t>
            </w:r>
          </w:p>
        </w:tc>
      </w:tr>
      <w:tr w:rsidR="006B5440" w:rsidRPr="003B533D" w14:paraId="1DCD2005" w14:textId="77777777" w:rsidTr="00CF6B48">
        <w:trPr>
          <w:cantSplit/>
        </w:trPr>
        <w:tc>
          <w:tcPr>
            <w:tcW w:w="311" w:type="pct"/>
            <w:hideMark/>
          </w:tcPr>
          <w:p w14:paraId="1B0BB89E" w14:textId="77777777" w:rsidR="006B5440" w:rsidRPr="003B533D" w:rsidRDefault="006B5440" w:rsidP="00BA0575">
            <w:pPr>
              <w:jc w:val="center"/>
            </w:pPr>
            <w:r w:rsidRPr="003B533D">
              <w:t>2.</w:t>
            </w:r>
          </w:p>
        </w:tc>
        <w:tc>
          <w:tcPr>
            <w:tcW w:w="1479" w:type="pct"/>
            <w:hideMark/>
          </w:tcPr>
          <w:p w14:paraId="2BB6514D" w14:textId="77777777" w:rsidR="006B5440" w:rsidRPr="003B533D" w:rsidRDefault="006B5440" w:rsidP="004E5FF0">
            <w:r w:rsidRPr="003B533D">
              <w:t>Projekta izpildes ietekme uz pārvaldes funkcijām un institucionālo struktūru.</w:t>
            </w:r>
            <w:r w:rsidRPr="003B533D">
              <w:br/>
              <w:t>Jaunu institūciju izveide, esošu institūciju likvidācija vai reorganizācija, to ietekme uz institūcijas cilvēkresursiem</w:t>
            </w:r>
          </w:p>
        </w:tc>
        <w:tc>
          <w:tcPr>
            <w:tcW w:w="3210" w:type="pct"/>
            <w:hideMark/>
          </w:tcPr>
          <w:p w14:paraId="0C59D0E4" w14:textId="77777777" w:rsidR="000949A9" w:rsidRPr="003B533D" w:rsidRDefault="000949A9" w:rsidP="000949A9">
            <w:pPr>
              <w:jc w:val="both"/>
            </w:pPr>
            <w:r w:rsidRPr="003B533D">
              <w:t>Iesaistītās institūcijas noteikumu projekta izpildi nodrošina to esošo funkciju un uzdevumu ietvaros.</w:t>
            </w:r>
          </w:p>
          <w:p w14:paraId="6CAF6D1A" w14:textId="77777777" w:rsidR="000949A9" w:rsidRPr="003B533D" w:rsidRDefault="000949A9" w:rsidP="000949A9">
            <w:pPr>
              <w:jc w:val="both"/>
            </w:pPr>
            <w:r w:rsidRPr="003B533D">
              <w:t>Funkcijas un uzdevumi netiek grozīti. Jaunu institūciju izveide, esošo institūciju likvidācija vai reorganizācija netiek paredzēta.</w:t>
            </w:r>
          </w:p>
          <w:p w14:paraId="20F97A14" w14:textId="77777777" w:rsidR="006B5440" w:rsidRPr="003B533D" w:rsidRDefault="000949A9" w:rsidP="000949A9">
            <w:pPr>
              <w:pStyle w:val="ListParagraph"/>
              <w:shd w:val="clear" w:color="auto" w:fill="FFFFFF"/>
              <w:spacing w:after="0" w:line="240" w:lineRule="auto"/>
              <w:ind w:left="0" w:right="57"/>
              <w:contextualSpacing w:val="0"/>
              <w:jc w:val="both"/>
              <w:rPr>
                <w:rFonts w:ascii="Times New Roman" w:hAnsi="Times New Roman"/>
                <w:sz w:val="24"/>
              </w:rPr>
            </w:pPr>
            <w:r w:rsidRPr="003B533D">
              <w:rPr>
                <w:rFonts w:ascii="Times New Roman" w:hAnsi="Times New Roman"/>
                <w:sz w:val="24"/>
              </w:rPr>
              <w:t>Rīkojuma projekts tiks realizēts esošo resursu ietvaros.</w:t>
            </w:r>
          </w:p>
        </w:tc>
      </w:tr>
      <w:tr w:rsidR="006B5440" w:rsidRPr="003B533D" w14:paraId="250FDA22" w14:textId="77777777" w:rsidTr="00CF6B48">
        <w:trPr>
          <w:cantSplit/>
        </w:trPr>
        <w:tc>
          <w:tcPr>
            <w:tcW w:w="311" w:type="pct"/>
            <w:hideMark/>
          </w:tcPr>
          <w:p w14:paraId="61520F9E" w14:textId="77777777" w:rsidR="006B5440" w:rsidRPr="003B533D" w:rsidRDefault="006B5440" w:rsidP="00BA0575">
            <w:pPr>
              <w:jc w:val="center"/>
            </w:pPr>
            <w:r w:rsidRPr="003B533D">
              <w:t>3.</w:t>
            </w:r>
          </w:p>
        </w:tc>
        <w:tc>
          <w:tcPr>
            <w:tcW w:w="1479" w:type="pct"/>
            <w:hideMark/>
          </w:tcPr>
          <w:p w14:paraId="242E1C42" w14:textId="77777777" w:rsidR="006B5440" w:rsidRPr="003B533D" w:rsidRDefault="006B5440" w:rsidP="004E5FF0">
            <w:r w:rsidRPr="003B533D">
              <w:t>Cita informācija</w:t>
            </w:r>
          </w:p>
        </w:tc>
        <w:tc>
          <w:tcPr>
            <w:tcW w:w="3210" w:type="pct"/>
            <w:hideMark/>
          </w:tcPr>
          <w:p w14:paraId="17FECD1F" w14:textId="77777777" w:rsidR="006B5440" w:rsidRPr="003B533D" w:rsidRDefault="006B5440" w:rsidP="00DD0091">
            <w:r w:rsidRPr="003B533D">
              <w:t>Nav.</w:t>
            </w:r>
          </w:p>
        </w:tc>
      </w:tr>
    </w:tbl>
    <w:p w14:paraId="6C3002D8" w14:textId="77777777" w:rsidR="00EE7372" w:rsidRPr="003B533D" w:rsidRDefault="00EE7372" w:rsidP="00BA0575">
      <w:pPr>
        <w:tabs>
          <w:tab w:val="left" w:pos="4680"/>
        </w:tabs>
        <w:ind w:left="567"/>
      </w:pPr>
    </w:p>
    <w:p w14:paraId="7422AE32" w14:textId="77777777" w:rsidR="006B4584" w:rsidRPr="003B533D" w:rsidRDefault="006B4584" w:rsidP="00DD0091">
      <w:pPr>
        <w:tabs>
          <w:tab w:val="left" w:pos="4680"/>
        </w:tabs>
        <w:ind w:left="567"/>
      </w:pPr>
    </w:p>
    <w:p w14:paraId="71819C63" w14:textId="77777777" w:rsidR="00EE7372" w:rsidRPr="003B533D" w:rsidRDefault="00EE7372" w:rsidP="00DD0091">
      <w:pPr>
        <w:tabs>
          <w:tab w:val="left" w:pos="4680"/>
        </w:tabs>
        <w:ind w:left="567"/>
      </w:pPr>
      <w:r w:rsidRPr="003B533D">
        <w:t>Finanšu ministr</w:t>
      </w:r>
      <w:r w:rsidR="005D5A02" w:rsidRPr="003B533D">
        <w:t>s</w:t>
      </w:r>
      <w:r w:rsidRPr="003B533D">
        <w:tab/>
      </w:r>
      <w:r w:rsidRPr="003B533D">
        <w:tab/>
      </w:r>
      <w:r w:rsidRPr="003B533D">
        <w:tab/>
      </w:r>
      <w:r w:rsidR="005D5A02" w:rsidRPr="003B533D">
        <w:t xml:space="preserve">                                </w:t>
      </w:r>
      <w:proofErr w:type="spellStart"/>
      <w:r w:rsidR="005D5A02" w:rsidRPr="003B533D">
        <w:t>J.Reirs</w:t>
      </w:r>
      <w:proofErr w:type="spellEnd"/>
    </w:p>
    <w:p w14:paraId="14597548" w14:textId="77777777" w:rsidR="00EE7372" w:rsidRPr="003B533D" w:rsidRDefault="00EE7372" w:rsidP="00DD0091">
      <w:pPr>
        <w:tabs>
          <w:tab w:val="left" w:pos="4680"/>
        </w:tabs>
        <w:rPr>
          <w:sz w:val="22"/>
          <w:szCs w:val="22"/>
        </w:rPr>
      </w:pPr>
    </w:p>
    <w:p w14:paraId="46F5139D" w14:textId="77777777" w:rsidR="00907CBB" w:rsidRPr="003B533D" w:rsidRDefault="00907CBB" w:rsidP="009625CE">
      <w:pPr>
        <w:rPr>
          <w:sz w:val="20"/>
        </w:rPr>
      </w:pPr>
    </w:p>
    <w:p w14:paraId="42FE3A50" w14:textId="77777777" w:rsidR="00907CBB" w:rsidRPr="003B533D" w:rsidRDefault="00907CBB" w:rsidP="009625CE">
      <w:pPr>
        <w:rPr>
          <w:sz w:val="20"/>
        </w:rPr>
      </w:pPr>
    </w:p>
    <w:p w14:paraId="2E0FE575" w14:textId="77777777" w:rsidR="00907CBB" w:rsidRPr="003B533D" w:rsidRDefault="00907CBB" w:rsidP="009625CE">
      <w:pPr>
        <w:rPr>
          <w:sz w:val="20"/>
        </w:rPr>
      </w:pPr>
    </w:p>
    <w:p w14:paraId="32E27D8A" w14:textId="77777777" w:rsidR="00432A70" w:rsidRPr="003B533D" w:rsidRDefault="00432A70" w:rsidP="009625CE">
      <w:pPr>
        <w:rPr>
          <w:sz w:val="20"/>
        </w:rPr>
      </w:pPr>
    </w:p>
    <w:p w14:paraId="35F6EE46" w14:textId="77777777" w:rsidR="00907CBB" w:rsidRPr="003B533D" w:rsidRDefault="00907CBB" w:rsidP="009625CE">
      <w:pPr>
        <w:rPr>
          <w:sz w:val="20"/>
        </w:rPr>
      </w:pPr>
    </w:p>
    <w:p w14:paraId="5D1FD6C8" w14:textId="77777777" w:rsidR="009625CE" w:rsidRPr="003B533D" w:rsidRDefault="009625CE" w:rsidP="009625CE">
      <w:pPr>
        <w:rPr>
          <w:sz w:val="20"/>
        </w:rPr>
      </w:pPr>
      <w:r w:rsidRPr="003B533D">
        <w:rPr>
          <w:sz w:val="20"/>
        </w:rPr>
        <w:t>Sorokina, 67083839</w:t>
      </w:r>
      <w:r w:rsidRPr="003B533D">
        <w:rPr>
          <w:sz w:val="20"/>
        </w:rPr>
        <w:tab/>
      </w:r>
    </w:p>
    <w:p w14:paraId="297FB151" w14:textId="77777777" w:rsidR="006B5440" w:rsidRPr="003B533D" w:rsidRDefault="00713606" w:rsidP="009625CE">
      <w:pPr>
        <w:rPr>
          <w:sz w:val="20"/>
        </w:rPr>
      </w:pPr>
      <w:hyperlink r:id="rId11" w:history="1">
        <w:r w:rsidR="00751D17" w:rsidRPr="003B533D">
          <w:rPr>
            <w:rStyle w:val="Hyperlink"/>
            <w:sz w:val="20"/>
          </w:rPr>
          <w:t>Jekaterina.Sorokina@fm.gov.lv</w:t>
        </w:r>
      </w:hyperlink>
    </w:p>
    <w:p w14:paraId="22C2312A" w14:textId="77777777" w:rsidR="003A577E" w:rsidRPr="003B533D" w:rsidRDefault="003A577E" w:rsidP="009625CE">
      <w:pPr>
        <w:rPr>
          <w:sz w:val="20"/>
          <w:szCs w:val="22"/>
        </w:rPr>
        <w:sectPr w:rsidR="003A577E" w:rsidRPr="003B533D" w:rsidSect="002646C7">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pPr>
    </w:p>
    <w:p w14:paraId="0EE4EFB4" w14:textId="77777777" w:rsidR="00751D17" w:rsidRPr="003B533D" w:rsidRDefault="00FA35FA" w:rsidP="00FA35FA">
      <w:pPr>
        <w:jc w:val="right"/>
        <w:rPr>
          <w:sz w:val="20"/>
          <w:szCs w:val="22"/>
        </w:rPr>
      </w:pPr>
      <w:r w:rsidRPr="003B533D">
        <w:rPr>
          <w:sz w:val="20"/>
          <w:szCs w:val="22"/>
        </w:rPr>
        <w:lastRenderedPageBreak/>
        <w:t>Pielikums</w:t>
      </w:r>
    </w:p>
    <w:p w14:paraId="7FCC7EE4" w14:textId="77777777" w:rsidR="00FA35FA" w:rsidRPr="003B533D" w:rsidRDefault="00FA35FA" w:rsidP="00FA35FA">
      <w:pPr>
        <w:jc w:val="center"/>
        <w:rPr>
          <w:b/>
          <w:sz w:val="20"/>
          <w:szCs w:val="22"/>
        </w:rPr>
      </w:pPr>
      <w:r w:rsidRPr="003B533D">
        <w:rPr>
          <w:b/>
          <w:sz w:val="20"/>
          <w:szCs w:val="22"/>
        </w:rPr>
        <w:t>REACT-EU pasākumu</w:t>
      </w:r>
      <w:r w:rsidR="003D7039" w:rsidRPr="003B533D">
        <w:rPr>
          <w:b/>
          <w:sz w:val="20"/>
          <w:szCs w:val="22"/>
        </w:rPr>
        <w:t xml:space="preserve"> ieviešanai pieejamais</w:t>
      </w:r>
      <w:r w:rsidRPr="003B533D">
        <w:rPr>
          <w:b/>
          <w:sz w:val="20"/>
          <w:szCs w:val="22"/>
        </w:rPr>
        <w:t xml:space="preserve"> finansējum</w:t>
      </w:r>
      <w:r w:rsidR="00453F2C" w:rsidRPr="003B533D">
        <w:rPr>
          <w:b/>
          <w:sz w:val="20"/>
          <w:szCs w:val="22"/>
        </w:rPr>
        <w:t>a sadalījums</w:t>
      </w:r>
      <w:r w:rsidR="00F2073E" w:rsidRPr="003B533D">
        <w:rPr>
          <w:b/>
          <w:sz w:val="20"/>
          <w:szCs w:val="22"/>
        </w:rPr>
        <w:t xml:space="preserve"> </w:t>
      </w:r>
      <w:r w:rsidR="003D7039" w:rsidRPr="003B533D">
        <w:rPr>
          <w:b/>
          <w:sz w:val="20"/>
          <w:szCs w:val="22"/>
        </w:rPr>
        <w:t>atkarībā no EK piešķīruma pa gadiem</w:t>
      </w:r>
      <w:r w:rsidR="003D7039" w:rsidRPr="003B533D">
        <w:rPr>
          <w:rStyle w:val="FootnoteReference"/>
          <w:b/>
          <w:sz w:val="20"/>
          <w:szCs w:val="22"/>
        </w:rPr>
        <w:footnoteReference w:id="11"/>
      </w:r>
    </w:p>
    <w:p w14:paraId="632CDB00" w14:textId="77777777" w:rsidR="00FA35FA" w:rsidRPr="003B533D" w:rsidRDefault="00FA35FA" w:rsidP="009625CE">
      <w:pPr>
        <w:rPr>
          <w:sz w:val="20"/>
          <w:szCs w:val="22"/>
        </w:rPr>
      </w:pPr>
    </w:p>
    <w:tbl>
      <w:tblPr>
        <w:tblW w:w="5000" w:type="pct"/>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008"/>
        <w:gridCol w:w="992"/>
        <w:gridCol w:w="1003"/>
        <w:gridCol w:w="1609"/>
        <w:gridCol w:w="813"/>
        <w:gridCol w:w="1187"/>
        <w:gridCol w:w="1111"/>
        <w:gridCol w:w="1535"/>
        <w:gridCol w:w="1187"/>
        <w:gridCol w:w="1022"/>
        <w:gridCol w:w="1535"/>
      </w:tblGrid>
      <w:tr w:rsidR="00FA35FA" w:rsidRPr="003B533D" w14:paraId="789447F2" w14:textId="77777777" w:rsidTr="00D14BD5">
        <w:trPr>
          <w:trHeight w:val="390"/>
        </w:trPr>
        <w:tc>
          <w:tcPr>
            <w:tcW w:w="2391" w:type="pct"/>
            <w:gridSpan w:val="6"/>
            <w:tcBorders>
              <w:top w:val="nil"/>
              <w:left w:val="nil"/>
              <w:bottom w:val="single" w:sz="4" w:space="0" w:color="auto"/>
            </w:tcBorders>
            <w:shd w:val="clear" w:color="auto" w:fill="auto"/>
            <w:vAlign w:val="center"/>
          </w:tcPr>
          <w:p w14:paraId="4ADA77AD" w14:textId="77777777" w:rsidR="00FA35FA" w:rsidRPr="003B533D" w:rsidRDefault="00FA35FA" w:rsidP="00CF6B48">
            <w:pPr>
              <w:rPr>
                <w:sz w:val="18"/>
                <w:szCs w:val="20"/>
              </w:rPr>
            </w:pPr>
          </w:p>
        </w:tc>
        <w:tc>
          <w:tcPr>
            <w:tcW w:w="1234" w:type="pct"/>
            <w:gridSpan w:val="3"/>
            <w:shd w:val="clear" w:color="auto" w:fill="auto"/>
            <w:noWrap/>
            <w:vAlign w:val="bottom"/>
            <w:hideMark/>
          </w:tcPr>
          <w:p w14:paraId="3A2DF82C" w14:textId="77777777" w:rsidR="00FA35FA" w:rsidRPr="003B533D" w:rsidRDefault="00FA35FA" w:rsidP="00CF6B48">
            <w:pPr>
              <w:jc w:val="center"/>
              <w:rPr>
                <w:color w:val="000000"/>
                <w:sz w:val="18"/>
              </w:rPr>
            </w:pPr>
            <w:r w:rsidRPr="003B533D">
              <w:rPr>
                <w:color w:val="000000"/>
                <w:sz w:val="18"/>
              </w:rPr>
              <w:t>2021 gads</w:t>
            </w:r>
          </w:p>
        </w:tc>
        <w:tc>
          <w:tcPr>
            <w:tcW w:w="1375" w:type="pct"/>
            <w:gridSpan w:val="3"/>
            <w:shd w:val="clear" w:color="auto" w:fill="auto"/>
            <w:noWrap/>
            <w:vAlign w:val="bottom"/>
            <w:hideMark/>
          </w:tcPr>
          <w:p w14:paraId="10967F09" w14:textId="77777777" w:rsidR="00FA35FA" w:rsidRPr="003B533D" w:rsidRDefault="00FA35FA" w:rsidP="00CF6B48">
            <w:pPr>
              <w:jc w:val="center"/>
              <w:rPr>
                <w:color w:val="000000"/>
                <w:sz w:val="18"/>
              </w:rPr>
            </w:pPr>
            <w:r w:rsidRPr="003B533D">
              <w:rPr>
                <w:color w:val="000000"/>
                <w:sz w:val="18"/>
              </w:rPr>
              <w:t>2022 gads</w:t>
            </w:r>
            <w:r w:rsidR="003D7039" w:rsidRPr="003B533D">
              <w:rPr>
                <w:color w:val="000000"/>
                <w:sz w:val="18"/>
              </w:rPr>
              <w:t xml:space="preserve"> (indikatīvi)</w:t>
            </w:r>
            <w:r w:rsidR="00450127" w:rsidRPr="003B533D">
              <w:rPr>
                <w:rStyle w:val="FootnoteReference"/>
                <w:color w:val="000000"/>
                <w:sz w:val="18"/>
              </w:rPr>
              <w:footnoteReference w:id="12"/>
            </w:r>
          </w:p>
        </w:tc>
      </w:tr>
      <w:tr w:rsidR="003C69C5" w:rsidRPr="003B533D" w14:paraId="7B8FD306" w14:textId="77777777" w:rsidTr="00D14BD5">
        <w:trPr>
          <w:trHeight w:val="870"/>
        </w:trPr>
        <w:tc>
          <w:tcPr>
            <w:tcW w:w="498" w:type="pct"/>
            <w:tcBorders>
              <w:left w:val="single" w:sz="4" w:space="0" w:color="auto"/>
              <w:bottom w:val="single" w:sz="4" w:space="0" w:color="auto"/>
            </w:tcBorders>
            <w:shd w:val="clear" w:color="auto" w:fill="auto"/>
            <w:vAlign w:val="center"/>
            <w:hideMark/>
          </w:tcPr>
          <w:p w14:paraId="6B98FA49" w14:textId="77777777" w:rsidR="00FA35FA" w:rsidRPr="003B533D" w:rsidRDefault="00F01624" w:rsidP="00CF6B48">
            <w:pPr>
              <w:rPr>
                <w:b/>
                <w:bCs/>
                <w:color w:val="000000"/>
                <w:sz w:val="18"/>
              </w:rPr>
            </w:pPr>
            <w:r w:rsidRPr="003B533D">
              <w:rPr>
                <w:b/>
                <w:bCs/>
                <w:color w:val="000000"/>
                <w:sz w:val="18"/>
              </w:rPr>
              <w:t xml:space="preserve">REACT-EU </w:t>
            </w:r>
            <w:r w:rsidR="00FA35FA" w:rsidRPr="003B533D">
              <w:rPr>
                <w:b/>
                <w:bCs/>
                <w:color w:val="000000"/>
                <w:sz w:val="18"/>
              </w:rPr>
              <w:t>SAM Nr. un nosaukums</w:t>
            </w:r>
          </w:p>
        </w:tc>
        <w:tc>
          <w:tcPr>
            <w:tcW w:w="395" w:type="pct"/>
            <w:shd w:val="clear" w:color="auto" w:fill="auto"/>
            <w:vAlign w:val="center"/>
            <w:hideMark/>
          </w:tcPr>
          <w:p w14:paraId="66C6A799" w14:textId="77777777" w:rsidR="00FA35FA" w:rsidRPr="003B533D" w:rsidRDefault="00FA35FA" w:rsidP="00CF6B48">
            <w:pPr>
              <w:rPr>
                <w:b/>
                <w:bCs/>
                <w:color w:val="000000"/>
                <w:sz w:val="18"/>
              </w:rPr>
            </w:pPr>
            <w:r w:rsidRPr="003B533D">
              <w:rPr>
                <w:b/>
                <w:bCs/>
                <w:color w:val="000000"/>
                <w:sz w:val="18"/>
              </w:rPr>
              <w:t xml:space="preserve">Saistītais </w:t>
            </w:r>
            <w:r w:rsidR="00F01624" w:rsidRPr="003B533D">
              <w:rPr>
                <w:b/>
                <w:bCs/>
                <w:color w:val="000000"/>
                <w:sz w:val="18"/>
              </w:rPr>
              <w:t xml:space="preserve">DP </w:t>
            </w:r>
            <w:r w:rsidRPr="003B533D">
              <w:rPr>
                <w:b/>
                <w:bCs/>
                <w:color w:val="000000"/>
                <w:sz w:val="18"/>
              </w:rPr>
              <w:t>SAM</w:t>
            </w:r>
          </w:p>
        </w:tc>
        <w:tc>
          <w:tcPr>
            <w:tcW w:w="348" w:type="pct"/>
            <w:shd w:val="clear" w:color="auto" w:fill="auto"/>
            <w:vAlign w:val="center"/>
            <w:hideMark/>
          </w:tcPr>
          <w:p w14:paraId="6E1873C4" w14:textId="77777777" w:rsidR="00FA35FA" w:rsidRPr="003B533D" w:rsidRDefault="00FA35FA" w:rsidP="00CF6B48">
            <w:pPr>
              <w:rPr>
                <w:b/>
                <w:bCs/>
                <w:color w:val="000000"/>
                <w:sz w:val="18"/>
              </w:rPr>
            </w:pPr>
            <w:r w:rsidRPr="003B533D">
              <w:rPr>
                <w:b/>
                <w:bCs/>
                <w:color w:val="000000"/>
                <w:sz w:val="18"/>
              </w:rPr>
              <w:t>Ministrija</w:t>
            </w:r>
          </w:p>
        </w:tc>
        <w:tc>
          <w:tcPr>
            <w:tcW w:w="305" w:type="pct"/>
            <w:shd w:val="clear" w:color="auto" w:fill="auto"/>
            <w:vAlign w:val="center"/>
            <w:hideMark/>
          </w:tcPr>
          <w:p w14:paraId="3B1E2894" w14:textId="77777777" w:rsidR="00FA35FA" w:rsidRPr="003B533D" w:rsidRDefault="00FA35FA" w:rsidP="00CF6B48">
            <w:pPr>
              <w:rPr>
                <w:b/>
                <w:bCs/>
                <w:color w:val="000000"/>
                <w:sz w:val="18"/>
              </w:rPr>
            </w:pPr>
            <w:r w:rsidRPr="003B533D">
              <w:rPr>
                <w:b/>
                <w:bCs/>
                <w:color w:val="000000"/>
                <w:sz w:val="18"/>
              </w:rPr>
              <w:t>REACT</w:t>
            </w:r>
            <w:r w:rsidR="00F01624" w:rsidRPr="003B533D">
              <w:rPr>
                <w:b/>
                <w:bCs/>
                <w:color w:val="000000"/>
                <w:sz w:val="18"/>
              </w:rPr>
              <w:t>-EU</w:t>
            </w:r>
            <w:r w:rsidRPr="003B533D">
              <w:rPr>
                <w:b/>
                <w:bCs/>
                <w:color w:val="000000"/>
                <w:sz w:val="18"/>
              </w:rPr>
              <w:t xml:space="preserve"> pasākum</w:t>
            </w:r>
            <w:r w:rsidR="00877A77" w:rsidRPr="003B533D">
              <w:rPr>
                <w:b/>
                <w:bCs/>
                <w:color w:val="000000"/>
                <w:sz w:val="18"/>
              </w:rPr>
              <w:t>a Nr.</w:t>
            </w:r>
          </w:p>
        </w:tc>
        <w:tc>
          <w:tcPr>
            <w:tcW w:w="561" w:type="pct"/>
            <w:shd w:val="clear" w:color="auto" w:fill="auto"/>
            <w:vAlign w:val="center"/>
            <w:hideMark/>
          </w:tcPr>
          <w:p w14:paraId="0F0791B5" w14:textId="77777777" w:rsidR="00FA35FA" w:rsidRPr="003B533D" w:rsidRDefault="00FA35FA" w:rsidP="00CF6B48">
            <w:pPr>
              <w:rPr>
                <w:b/>
                <w:bCs/>
                <w:color w:val="000000"/>
                <w:sz w:val="18"/>
              </w:rPr>
            </w:pPr>
            <w:r w:rsidRPr="003B533D">
              <w:rPr>
                <w:b/>
                <w:bCs/>
                <w:color w:val="000000"/>
                <w:sz w:val="18"/>
              </w:rPr>
              <w:t>REACT-EU pasākuma nosaukums</w:t>
            </w:r>
          </w:p>
        </w:tc>
        <w:tc>
          <w:tcPr>
            <w:tcW w:w="284" w:type="pct"/>
            <w:shd w:val="clear" w:color="auto" w:fill="auto"/>
            <w:vAlign w:val="center"/>
            <w:hideMark/>
          </w:tcPr>
          <w:p w14:paraId="306D7B5C" w14:textId="77777777" w:rsidR="00FA35FA" w:rsidRPr="003B533D" w:rsidRDefault="00FA35FA" w:rsidP="00CF6B48">
            <w:pPr>
              <w:rPr>
                <w:b/>
                <w:bCs/>
                <w:color w:val="000000"/>
                <w:sz w:val="18"/>
              </w:rPr>
            </w:pPr>
            <w:r w:rsidRPr="003B533D">
              <w:rPr>
                <w:b/>
                <w:bCs/>
                <w:color w:val="000000"/>
                <w:sz w:val="18"/>
              </w:rPr>
              <w:t>Fonds</w:t>
            </w:r>
          </w:p>
        </w:tc>
        <w:tc>
          <w:tcPr>
            <w:tcW w:w="414" w:type="pct"/>
            <w:shd w:val="clear" w:color="auto" w:fill="auto"/>
            <w:vAlign w:val="center"/>
            <w:hideMark/>
          </w:tcPr>
          <w:p w14:paraId="73225182" w14:textId="77777777" w:rsidR="00FA35FA" w:rsidRPr="003B533D" w:rsidRDefault="005A4007" w:rsidP="00CF6B48">
            <w:pPr>
              <w:rPr>
                <w:b/>
                <w:bCs/>
                <w:color w:val="000000"/>
                <w:sz w:val="18"/>
              </w:rPr>
            </w:pPr>
            <w:r w:rsidRPr="003B533D">
              <w:rPr>
                <w:b/>
                <w:bCs/>
                <w:color w:val="000000"/>
                <w:sz w:val="18"/>
              </w:rPr>
              <w:t xml:space="preserve">Kopējais finansējums, </w:t>
            </w:r>
            <w:r w:rsidR="00F01624" w:rsidRPr="003B533D">
              <w:rPr>
                <w:b/>
                <w:bCs/>
                <w:color w:val="000000"/>
                <w:sz w:val="18"/>
              </w:rPr>
              <w:t>EUR</w:t>
            </w:r>
          </w:p>
        </w:tc>
        <w:tc>
          <w:tcPr>
            <w:tcW w:w="388" w:type="pct"/>
            <w:shd w:val="clear" w:color="auto" w:fill="auto"/>
            <w:vAlign w:val="center"/>
            <w:hideMark/>
          </w:tcPr>
          <w:p w14:paraId="069DE74F" w14:textId="77777777" w:rsidR="00FA35FA" w:rsidRPr="003B533D" w:rsidRDefault="00FA35FA" w:rsidP="00CF6B48">
            <w:pPr>
              <w:rPr>
                <w:b/>
                <w:bCs/>
                <w:color w:val="000000"/>
                <w:sz w:val="18"/>
              </w:rPr>
            </w:pPr>
            <w:r w:rsidRPr="003B533D">
              <w:rPr>
                <w:b/>
                <w:bCs/>
                <w:color w:val="000000"/>
                <w:sz w:val="18"/>
              </w:rPr>
              <w:t>Fond</w:t>
            </w:r>
            <w:r w:rsidR="00F01624" w:rsidRPr="003B533D">
              <w:rPr>
                <w:b/>
                <w:bCs/>
                <w:color w:val="000000"/>
                <w:sz w:val="18"/>
              </w:rPr>
              <w:t>u daļa, EUR</w:t>
            </w:r>
          </w:p>
        </w:tc>
        <w:tc>
          <w:tcPr>
            <w:tcW w:w="432" w:type="pct"/>
            <w:shd w:val="clear" w:color="auto" w:fill="auto"/>
            <w:vAlign w:val="center"/>
            <w:hideMark/>
          </w:tcPr>
          <w:p w14:paraId="72BF7792" w14:textId="77777777" w:rsidR="00FA35FA" w:rsidRPr="003B533D" w:rsidRDefault="00FA35FA" w:rsidP="00CF6B48">
            <w:pPr>
              <w:rPr>
                <w:b/>
                <w:bCs/>
                <w:color w:val="000000"/>
                <w:sz w:val="18"/>
              </w:rPr>
            </w:pPr>
            <w:r w:rsidRPr="003B533D">
              <w:rPr>
                <w:b/>
                <w:bCs/>
                <w:color w:val="000000"/>
                <w:sz w:val="18"/>
              </w:rPr>
              <w:t>Līdzfinansējums</w:t>
            </w:r>
            <w:r w:rsidR="00F01624" w:rsidRPr="003B533D">
              <w:rPr>
                <w:b/>
                <w:bCs/>
                <w:color w:val="000000"/>
                <w:sz w:val="18"/>
              </w:rPr>
              <w:t>, EUR</w:t>
            </w:r>
          </w:p>
        </w:tc>
        <w:tc>
          <w:tcPr>
            <w:tcW w:w="501" w:type="pct"/>
            <w:shd w:val="clear" w:color="auto" w:fill="auto"/>
            <w:vAlign w:val="center"/>
            <w:hideMark/>
          </w:tcPr>
          <w:p w14:paraId="365B0CE2" w14:textId="77777777" w:rsidR="00FA35FA" w:rsidRPr="003B533D" w:rsidRDefault="005A4007" w:rsidP="00CF6B48">
            <w:pPr>
              <w:rPr>
                <w:b/>
                <w:bCs/>
                <w:color w:val="000000"/>
                <w:sz w:val="18"/>
              </w:rPr>
            </w:pPr>
            <w:r w:rsidRPr="003B533D">
              <w:rPr>
                <w:b/>
                <w:bCs/>
                <w:color w:val="000000"/>
                <w:sz w:val="18"/>
              </w:rPr>
              <w:t xml:space="preserve">Kopējais finansējums, </w:t>
            </w:r>
            <w:r w:rsidR="00F01624" w:rsidRPr="003B533D">
              <w:rPr>
                <w:b/>
                <w:bCs/>
                <w:color w:val="000000"/>
                <w:sz w:val="18"/>
              </w:rPr>
              <w:t>EUR</w:t>
            </w:r>
          </w:p>
        </w:tc>
        <w:tc>
          <w:tcPr>
            <w:tcW w:w="356" w:type="pct"/>
            <w:shd w:val="clear" w:color="auto" w:fill="auto"/>
            <w:vAlign w:val="center"/>
            <w:hideMark/>
          </w:tcPr>
          <w:p w14:paraId="5E0A02DB" w14:textId="77777777" w:rsidR="00FA35FA" w:rsidRPr="003B533D" w:rsidRDefault="00FA35FA" w:rsidP="00CF6B48">
            <w:pPr>
              <w:rPr>
                <w:b/>
                <w:bCs/>
                <w:color w:val="000000"/>
                <w:sz w:val="18"/>
              </w:rPr>
            </w:pPr>
            <w:r w:rsidRPr="003B533D">
              <w:rPr>
                <w:b/>
                <w:bCs/>
                <w:color w:val="000000"/>
                <w:sz w:val="18"/>
              </w:rPr>
              <w:t>Fond</w:t>
            </w:r>
            <w:r w:rsidR="00F01624" w:rsidRPr="003B533D">
              <w:rPr>
                <w:b/>
                <w:bCs/>
                <w:color w:val="000000"/>
                <w:sz w:val="18"/>
              </w:rPr>
              <w:t>u daļa, EUR</w:t>
            </w:r>
          </w:p>
        </w:tc>
        <w:tc>
          <w:tcPr>
            <w:tcW w:w="518" w:type="pct"/>
            <w:shd w:val="clear" w:color="auto" w:fill="auto"/>
            <w:vAlign w:val="center"/>
            <w:hideMark/>
          </w:tcPr>
          <w:p w14:paraId="411C73B6" w14:textId="77777777" w:rsidR="00FA35FA" w:rsidRPr="003B533D" w:rsidRDefault="00FA35FA" w:rsidP="00CF6B48">
            <w:pPr>
              <w:rPr>
                <w:b/>
                <w:bCs/>
                <w:color w:val="000000"/>
                <w:sz w:val="18"/>
              </w:rPr>
            </w:pPr>
            <w:r w:rsidRPr="003B533D">
              <w:rPr>
                <w:b/>
                <w:bCs/>
                <w:color w:val="000000"/>
                <w:sz w:val="18"/>
              </w:rPr>
              <w:t>Līdzfinansējums</w:t>
            </w:r>
            <w:r w:rsidR="00F01624" w:rsidRPr="003B533D">
              <w:rPr>
                <w:b/>
                <w:bCs/>
                <w:color w:val="000000"/>
                <w:sz w:val="18"/>
              </w:rPr>
              <w:t>, EUR</w:t>
            </w:r>
          </w:p>
        </w:tc>
      </w:tr>
      <w:tr w:rsidR="003C69C5" w:rsidRPr="003B533D" w14:paraId="47FA4CFF" w14:textId="77777777" w:rsidTr="00D14BD5">
        <w:trPr>
          <w:trHeight w:val="615"/>
        </w:trPr>
        <w:tc>
          <w:tcPr>
            <w:tcW w:w="498" w:type="pct"/>
            <w:vMerge w:val="restart"/>
            <w:tcBorders>
              <w:left w:val="single" w:sz="4" w:space="0" w:color="auto"/>
              <w:bottom w:val="single" w:sz="4" w:space="0" w:color="auto"/>
            </w:tcBorders>
            <w:shd w:val="clear" w:color="auto" w:fill="auto"/>
            <w:vAlign w:val="center"/>
            <w:hideMark/>
          </w:tcPr>
          <w:p w14:paraId="579F7913" w14:textId="77777777" w:rsidR="00FA35FA" w:rsidRPr="003B533D" w:rsidRDefault="00FA35FA" w:rsidP="00CF6B48">
            <w:pPr>
              <w:rPr>
                <w:b/>
                <w:bCs/>
                <w:color w:val="000000"/>
                <w:sz w:val="18"/>
              </w:rPr>
            </w:pPr>
            <w:r w:rsidRPr="003B533D">
              <w:rPr>
                <w:b/>
                <w:bCs/>
                <w:color w:val="000000"/>
                <w:sz w:val="18"/>
              </w:rPr>
              <w:t>13.1.1. Atveseļošanas pasākumi ekonomikas nozarē</w:t>
            </w:r>
          </w:p>
        </w:tc>
        <w:tc>
          <w:tcPr>
            <w:tcW w:w="395" w:type="pct"/>
            <w:shd w:val="clear" w:color="auto" w:fill="auto"/>
            <w:vAlign w:val="center"/>
            <w:hideMark/>
          </w:tcPr>
          <w:p w14:paraId="1BF4BD53" w14:textId="77777777" w:rsidR="00FA35FA" w:rsidRPr="003B533D" w:rsidRDefault="00FA35FA" w:rsidP="00CF6B48">
            <w:pPr>
              <w:rPr>
                <w:color w:val="000000"/>
                <w:sz w:val="18"/>
              </w:rPr>
            </w:pPr>
            <w:r w:rsidRPr="003B533D">
              <w:rPr>
                <w:color w:val="000000"/>
                <w:sz w:val="18"/>
              </w:rPr>
              <w:t xml:space="preserve">3.1.1.SAM  </w:t>
            </w:r>
          </w:p>
        </w:tc>
        <w:tc>
          <w:tcPr>
            <w:tcW w:w="348" w:type="pct"/>
            <w:shd w:val="clear" w:color="auto" w:fill="auto"/>
            <w:vAlign w:val="center"/>
            <w:hideMark/>
          </w:tcPr>
          <w:p w14:paraId="170FD074" w14:textId="77777777" w:rsidR="00FA35FA" w:rsidRPr="003B533D" w:rsidRDefault="00FA35FA" w:rsidP="00CF6B48">
            <w:pPr>
              <w:rPr>
                <w:color w:val="000000"/>
                <w:sz w:val="18"/>
              </w:rPr>
            </w:pPr>
            <w:r w:rsidRPr="003B533D">
              <w:rPr>
                <w:color w:val="000000"/>
                <w:sz w:val="18"/>
              </w:rPr>
              <w:t>EM</w:t>
            </w:r>
          </w:p>
        </w:tc>
        <w:tc>
          <w:tcPr>
            <w:tcW w:w="305" w:type="pct"/>
            <w:shd w:val="clear" w:color="auto" w:fill="auto"/>
            <w:vAlign w:val="center"/>
            <w:hideMark/>
          </w:tcPr>
          <w:p w14:paraId="54BCA790" w14:textId="77777777" w:rsidR="00FA35FA" w:rsidRPr="003B533D" w:rsidRDefault="00FA35FA" w:rsidP="00CF6B48">
            <w:pPr>
              <w:rPr>
                <w:color w:val="000000"/>
                <w:sz w:val="18"/>
              </w:rPr>
            </w:pPr>
            <w:r w:rsidRPr="003B533D">
              <w:rPr>
                <w:color w:val="000000"/>
                <w:sz w:val="18"/>
              </w:rPr>
              <w:t>13.1.1.1.</w:t>
            </w:r>
          </w:p>
        </w:tc>
        <w:tc>
          <w:tcPr>
            <w:tcW w:w="561" w:type="pct"/>
            <w:shd w:val="clear" w:color="auto" w:fill="auto"/>
            <w:vAlign w:val="center"/>
            <w:hideMark/>
          </w:tcPr>
          <w:p w14:paraId="64752CB5" w14:textId="77777777" w:rsidR="00FA35FA" w:rsidRPr="003B533D" w:rsidRDefault="00FA35FA" w:rsidP="00CF6B48">
            <w:pPr>
              <w:rPr>
                <w:color w:val="000000"/>
                <w:sz w:val="18"/>
              </w:rPr>
            </w:pPr>
            <w:r w:rsidRPr="003B533D">
              <w:rPr>
                <w:color w:val="000000"/>
                <w:sz w:val="18"/>
              </w:rPr>
              <w:t>MVU izveide un attīstība (finanšu instrumenti)</w:t>
            </w:r>
          </w:p>
        </w:tc>
        <w:tc>
          <w:tcPr>
            <w:tcW w:w="284" w:type="pct"/>
            <w:shd w:val="clear" w:color="auto" w:fill="auto"/>
            <w:vAlign w:val="center"/>
            <w:hideMark/>
          </w:tcPr>
          <w:p w14:paraId="7E40FD15"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1E3A0CF6" w14:textId="77777777" w:rsidR="00FA35FA" w:rsidRPr="003B533D" w:rsidRDefault="00FA35FA" w:rsidP="00CF6B48">
            <w:pPr>
              <w:jc w:val="center"/>
              <w:rPr>
                <w:color w:val="000000"/>
                <w:sz w:val="18"/>
              </w:rPr>
            </w:pPr>
            <w:r w:rsidRPr="003B533D">
              <w:rPr>
                <w:color w:val="000000"/>
                <w:sz w:val="18"/>
              </w:rPr>
              <w:t>19 300 479</w:t>
            </w:r>
          </w:p>
        </w:tc>
        <w:tc>
          <w:tcPr>
            <w:tcW w:w="388" w:type="pct"/>
            <w:shd w:val="clear" w:color="auto" w:fill="auto"/>
            <w:noWrap/>
            <w:vAlign w:val="center"/>
            <w:hideMark/>
          </w:tcPr>
          <w:p w14:paraId="340FF66F" w14:textId="77777777" w:rsidR="00FA35FA" w:rsidRPr="003B533D" w:rsidRDefault="00FA35FA" w:rsidP="00CF6B48">
            <w:pPr>
              <w:jc w:val="center"/>
              <w:rPr>
                <w:color w:val="000000"/>
                <w:sz w:val="18"/>
              </w:rPr>
            </w:pPr>
            <w:r w:rsidRPr="003B533D">
              <w:rPr>
                <w:color w:val="000000"/>
                <w:sz w:val="18"/>
              </w:rPr>
              <w:t>16 405 407</w:t>
            </w:r>
          </w:p>
        </w:tc>
        <w:tc>
          <w:tcPr>
            <w:tcW w:w="432" w:type="pct"/>
            <w:shd w:val="clear" w:color="auto" w:fill="auto"/>
            <w:noWrap/>
            <w:vAlign w:val="center"/>
            <w:hideMark/>
          </w:tcPr>
          <w:p w14:paraId="636DDB96" w14:textId="77777777" w:rsidR="00FA35FA" w:rsidRPr="003B533D" w:rsidRDefault="00FA35FA" w:rsidP="00CF6B48">
            <w:pPr>
              <w:jc w:val="center"/>
              <w:rPr>
                <w:color w:val="000000"/>
                <w:sz w:val="18"/>
              </w:rPr>
            </w:pPr>
            <w:r w:rsidRPr="003B533D">
              <w:rPr>
                <w:color w:val="000000"/>
                <w:sz w:val="18"/>
              </w:rPr>
              <w:t>2 895 072</w:t>
            </w:r>
          </w:p>
        </w:tc>
        <w:tc>
          <w:tcPr>
            <w:tcW w:w="501" w:type="pct"/>
            <w:shd w:val="clear" w:color="auto" w:fill="auto"/>
            <w:vAlign w:val="center"/>
            <w:hideMark/>
          </w:tcPr>
          <w:p w14:paraId="088DEC7A" w14:textId="77777777" w:rsidR="00FA35FA" w:rsidRPr="003B533D" w:rsidRDefault="00FA35FA" w:rsidP="00CF6B48">
            <w:pPr>
              <w:jc w:val="center"/>
              <w:rPr>
                <w:color w:val="000000"/>
                <w:sz w:val="18"/>
              </w:rPr>
            </w:pPr>
            <w:r w:rsidRPr="003B533D">
              <w:rPr>
                <w:color w:val="000000"/>
                <w:sz w:val="18"/>
              </w:rPr>
              <w:t>5 699 522</w:t>
            </w:r>
          </w:p>
        </w:tc>
        <w:tc>
          <w:tcPr>
            <w:tcW w:w="356" w:type="pct"/>
            <w:shd w:val="clear" w:color="auto" w:fill="auto"/>
            <w:noWrap/>
            <w:vAlign w:val="center"/>
            <w:hideMark/>
          </w:tcPr>
          <w:p w14:paraId="47B5B5C6" w14:textId="77777777" w:rsidR="00FA35FA" w:rsidRPr="003B533D" w:rsidRDefault="00FA35FA" w:rsidP="00CF6B48">
            <w:pPr>
              <w:jc w:val="center"/>
              <w:rPr>
                <w:color w:val="000000"/>
                <w:sz w:val="18"/>
              </w:rPr>
            </w:pPr>
            <w:r w:rsidRPr="003B533D">
              <w:rPr>
                <w:color w:val="000000"/>
                <w:sz w:val="18"/>
              </w:rPr>
              <w:t>4 844 593</w:t>
            </w:r>
          </w:p>
        </w:tc>
        <w:tc>
          <w:tcPr>
            <w:tcW w:w="518" w:type="pct"/>
            <w:shd w:val="clear" w:color="auto" w:fill="auto"/>
            <w:noWrap/>
            <w:vAlign w:val="center"/>
            <w:hideMark/>
          </w:tcPr>
          <w:p w14:paraId="210B4246" w14:textId="77777777" w:rsidR="00FA35FA" w:rsidRPr="003B533D" w:rsidRDefault="00FA35FA" w:rsidP="00CF6B48">
            <w:pPr>
              <w:jc w:val="center"/>
              <w:rPr>
                <w:color w:val="000000"/>
                <w:sz w:val="18"/>
              </w:rPr>
            </w:pPr>
            <w:r w:rsidRPr="003B533D">
              <w:rPr>
                <w:color w:val="000000"/>
                <w:sz w:val="18"/>
              </w:rPr>
              <w:t>854 929</w:t>
            </w:r>
          </w:p>
        </w:tc>
      </w:tr>
      <w:tr w:rsidR="003C69C5" w:rsidRPr="003B533D" w14:paraId="5A980F9B" w14:textId="77777777" w:rsidTr="00D14BD5">
        <w:trPr>
          <w:trHeight w:val="615"/>
        </w:trPr>
        <w:tc>
          <w:tcPr>
            <w:tcW w:w="498" w:type="pct"/>
            <w:vMerge/>
            <w:tcBorders>
              <w:left w:val="single" w:sz="4" w:space="0" w:color="auto"/>
              <w:bottom w:val="single" w:sz="4" w:space="0" w:color="auto"/>
            </w:tcBorders>
            <w:vAlign w:val="center"/>
            <w:hideMark/>
          </w:tcPr>
          <w:p w14:paraId="6868BD1C" w14:textId="77777777" w:rsidR="00FA35FA" w:rsidRPr="003B533D" w:rsidRDefault="00FA35FA" w:rsidP="00CF6B48">
            <w:pPr>
              <w:rPr>
                <w:b/>
                <w:bCs/>
                <w:color w:val="000000"/>
                <w:sz w:val="18"/>
              </w:rPr>
            </w:pPr>
          </w:p>
        </w:tc>
        <w:tc>
          <w:tcPr>
            <w:tcW w:w="395" w:type="pct"/>
            <w:shd w:val="clear" w:color="auto" w:fill="auto"/>
            <w:vAlign w:val="center"/>
            <w:hideMark/>
          </w:tcPr>
          <w:p w14:paraId="152BB949" w14:textId="77777777" w:rsidR="00FA35FA" w:rsidRPr="003B533D" w:rsidRDefault="00FA35FA" w:rsidP="00CF6B48">
            <w:pPr>
              <w:rPr>
                <w:color w:val="000000"/>
                <w:sz w:val="18"/>
              </w:rPr>
            </w:pPr>
            <w:r w:rsidRPr="003B533D">
              <w:rPr>
                <w:color w:val="000000"/>
                <w:sz w:val="18"/>
              </w:rPr>
              <w:t>4.2.1.SAM</w:t>
            </w:r>
          </w:p>
        </w:tc>
        <w:tc>
          <w:tcPr>
            <w:tcW w:w="348" w:type="pct"/>
            <w:shd w:val="clear" w:color="auto" w:fill="auto"/>
            <w:vAlign w:val="center"/>
            <w:hideMark/>
          </w:tcPr>
          <w:p w14:paraId="496FDE64" w14:textId="77777777" w:rsidR="00FA35FA" w:rsidRPr="003B533D" w:rsidRDefault="00FA35FA" w:rsidP="00CF6B48">
            <w:pPr>
              <w:rPr>
                <w:color w:val="000000"/>
                <w:sz w:val="18"/>
              </w:rPr>
            </w:pPr>
            <w:r w:rsidRPr="003B533D">
              <w:rPr>
                <w:color w:val="000000"/>
                <w:sz w:val="18"/>
              </w:rPr>
              <w:t>EM</w:t>
            </w:r>
          </w:p>
        </w:tc>
        <w:tc>
          <w:tcPr>
            <w:tcW w:w="305" w:type="pct"/>
            <w:shd w:val="clear" w:color="auto" w:fill="auto"/>
            <w:vAlign w:val="center"/>
            <w:hideMark/>
          </w:tcPr>
          <w:p w14:paraId="63B376FF" w14:textId="77777777" w:rsidR="00FA35FA" w:rsidRPr="003B533D" w:rsidRDefault="00FA35FA" w:rsidP="00CF6B48">
            <w:pPr>
              <w:rPr>
                <w:color w:val="000000"/>
                <w:sz w:val="18"/>
              </w:rPr>
            </w:pPr>
            <w:r w:rsidRPr="003B533D">
              <w:rPr>
                <w:color w:val="000000"/>
                <w:sz w:val="18"/>
              </w:rPr>
              <w:t>13.1.1.2.</w:t>
            </w:r>
          </w:p>
        </w:tc>
        <w:tc>
          <w:tcPr>
            <w:tcW w:w="561" w:type="pct"/>
            <w:shd w:val="clear" w:color="auto" w:fill="auto"/>
            <w:vAlign w:val="center"/>
            <w:hideMark/>
          </w:tcPr>
          <w:p w14:paraId="76E8F837" w14:textId="77777777" w:rsidR="00FA35FA" w:rsidRPr="003B533D" w:rsidRDefault="00FA35FA" w:rsidP="00CF6B48">
            <w:pPr>
              <w:rPr>
                <w:color w:val="000000"/>
                <w:sz w:val="18"/>
              </w:rPr>
            </w:pPr>
            <w:r w:rsidRPr="003B533D">
              <w:rPr>
                <w:color w:val="000000"/>
                <w:sz w:val="18"/>
              </w:rPr>
              <w:t>Energoefektivitātes veicināšana dzīvojamās ēkās</w:t>
            </w:r>
          </w:p>
        </w:tc>
        <w:tc>
          <w:tcPr>
            <w:tcW w:w="284" w:type="pct"/>
            <w:shd w:val="clear" w:color="auto" w:fill="auto"/>
            <w:vAlign w:val="center"/>
            <w:hideMark/>
          </w:tcPr>
          <w:p w14:paraId="62873F2E"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798FA272" w14:textId="77777777" w:rsidR="00FA35FA" w:rsidRPr="003B533D" w:rsidRDefault="00FA35FA" w:rsidP="00CF6B48">
            <w:pPr>
              <w:jc w:val="center"/>
              <w:rPr>
                <w:color w:val="000000"/>
                <w:sz w:val="18"/>
              </w:rPr>
            </w:pPr>
            <w:r w:rsidRPr="003B533D">
              <w:rPr>
                <w:color w:val="000000"/>
                <w:sz w:val="18"/>
              </w:rPr>
              <w:t>27 020 671</w:t>
            </w:r>
          </w:p>
        </w:tc>
        <w:tc>
          <w:tcPr>
            <w:tcW w:w="388" w:type="pct"/>
            <w:shd w:val="clear" w:color="auto" w:fill="auto"/>
            <w:noWrap/>
            <w:vAlign w:val="center"/>
            <w:hideMark/>
          </w:tcPr>
          <w:p w14:paraId="1657EE58" w14:textId="77777777" w:rsidR="00FA35FA" w:rsidRPr="003B533D" w:rsidRDefault="00FA35FA" w:rsidP="00CF6B48">
            <w:pPr>
              <w:jc w:val="center"/>
              <w:rPr>
                <w:color w:val="000000"/>
                <w:sz w:val="18"/>
              </w:rPr>
            </w:pPr>
            <w:r w:rsidRPr="003B533D">
              <w:rPr>
                <w:color w:val="000000"/>
                <w:sz w:val="18"/>
              </w:rPr>
              <w:t>22 967 570</w:t>
            </w:r>
          </w:p>
        </w:tc>
        <w:tc>
          <w:tcPr>
            <w:tcW w:w="432" w:type="pct"/>
            <w:shd w:val="clear" w:color="auto" w:fill="auto"/>
            <w:noWrap/>
            <w:vAlign w:val="center"/>
            <w:hideMark/>
          </w:tcPr>
          <w:p w14:paraId="465F746B" w14:textId="77777777" w:rsidR="00FA35FA" w:rsidRPr="003B533D" w:rsidRDefault="00FA35FA" w:rsidP="00CF6B48">
            <w:pPr>
              <w:jc w:val="center"/>
              <w:rPr>
                <w:color w:val="000000"/>
                <w:sz w:val="18"/>
              </w:rPr>
            </w:pPr>
            <w:r w:rsidRPr="003B533D">
              <w:rPr>
                <w:color w:val="000000"/>
                <w:sz w:val="18"/>
              </w:rPr>
              <w:t>4 053 101</w:t>
            </w:r>
          </w:p>
        </w:tc>
        <w:tc>
          <w:tcPr>
            <w:tcW w:w="501" w:type="pct"/>
            <w:shd w:val="clear" w:color="auto" w:fill="auto"/>
            <w:vAlign w:val="center"/>
            <w:hideMark/>
          </w:tcPr>
          <w:p w14:paraId="57020D87" w14:textId="77777777" w:rsidR="00FA35FA" w:rsidRPr="003B533D" w:rsidRDefault="00FA35FA" w:rsidP="00CF6B48">
            <w:pPr>
              <w:jc w:val="center"/>
              <w:rPr>
                <w:color w:val="000000"/>
                <w:sz w:val="18"/>
              </w:rPr>
            </w:pPr>
            <w:r w:rsidRPr="003B533D">
              <w:rPr>
                <w:color w:val="000000"/>
                <w:sz w:val="18"/>
              </w:rPr>
              <w:t>7 979 330</w:t>
            </w:r>
          </w:p>
        </w:tc>
        <w:tc>
          <w:tcPr>
            <w:tcW w:w="356" w:type="pct"/>
            <w:shd w:val="clear" w:color="auto" w:fill="auto"/>
            <w:noWrap/>
            <w:vAlign w:val="center"/>
            <w:hideMark/>
          </w:tcPr>
          <w:p w14:paraId="04CDDA06" w14:textId="77777777" w:rsidR="00FA35FA" w:rsidRPr="003B533D" w:rsidRDefault="00FA35FA" w:rsidP="00CF6B48">
            <w:pPr>
              <w:jc w:val="center"/>
              <w:rPr>
                <w:color w:val="000000"/>
                <w:sz w:val="18"/>
              </w:rPr>
            </w:pPr>
            <w:r w:rsidRPr="003B533D">
              <w:rPr>
                <w:color w:val="000000"/>
                <w:sz w:val="18"/>
              </w:rPr>
              <w:t>6 782 430</w:t>
            </w:r>
          </w:p>
        </w:tc>
        <w:tc>
          <w:tcPr>
            <w:tcW w:w="518" w:type="pct"/>
            <w:shd w:val="clear" w:color="auto" w:fill="auto"/>
            <w:noWrap/>
            <w:vAlign w:val="center"/>
            <w:hideMark/>
          </w:tcPr>
          <w:p w14:paraId="6831D3D2" w14:textId="77777777" w:rsidR="00FA35FA" w:rsidRPr="003B533D" w:rsidRDefault="00FA35FA" w:rsidP="00CF6B48">
            <w:pPr>
              <w:jc w:val="center"/>
              <w:rPr>
                <w:color w:val="000000"/>
                <w:sz w:val="18"/>
              </w:rPr>
            </w:pPr>
            <w:r w:rsidRPr="003B533D">
              <w:rPr>
                <w:color w:val="000000"/>
                <w:sz w:val="18"/>
              </w:rPr>
              <w:t>1 196 900</w:t>
            </w:r>
          </w:p>
        </w:tc>
      </w:tr>
      <w:tr w:rsidR="003C69C5" w:rsidRPr="003B533D" w14:paraId="30BEA7A4" w14:textId="77777777" w:rsidTr="00D14BD5">
        <w:trPr>
          <w:trHeight w:val="525"/>
        </w:trPr>
        <w:tc>
          <w:tcPr>
            <w:tcW w:w="498" w:type="pct"/>
            <w:vMerge w:val="restart"/>
            <w:tcBorders>
              <w:left w:val="single" w:sz="4" w:space="0" w:color="auto"/>
              <w:bottom w:val="single" w:sz="4" w:space="0" w:color="auto"/>
            </w:tcBorders>
            <w:shd w:val="clear" w:color="auto" w:fill="auto"/>
            <w:vAlign w:val="center"/>
            <w:hideMark/>
          </w:tcPr>
          <w:p w14:paraId="169B91DD" w14:textId="77777777" w:rsidR="00FA35FA" w:rsidRPr="003B533D" w:rsidRDefault="00FA35FA" w:rsidP="00CF6B48">
            <w:pPr>
              <w:rPr>
                <w:b/>
                <w:bCs/>
                <w:color w:val="000000"/>
                <w:sz w:val="18"/>
              </w:rPr>
            </w:pPr>
            <w:r w:rsidRPr="003B533D">
              <w:rPr>
                <w:b/>
                <w:bCs/>
                <w:color w:val="000000"/>
                <w:sz w:val="18"/>
              </w:rPr>
              <w:t>13.1.2. Atveseļošanas pasākumi izglītības nozarē (ERAF)</w:t>
            </w:r>
          </w:p>
        </w:tc>
        <w:tc>
          <w:tcPr>
            <w:tcW w:w="395" w:type="pct"/>
            <w:shd w:val="clear" w:color="auto" w:fill="auto"/>
            <w:vAlign w:val="center"/>
            <w:hideMark/>
          </w:tcPr>
          <w:p w14:paraId="69379BFB" w14:textId="77777777" w:rsidR="00FA35FA" w:rsidRPr="003B533D" w:rsidRDefault="00FA35FA" w:rsidP="00CF6B48">
            <w:pPr>
              <w:rPr>
                <w:color w:val="000000"/>
                <w:sz w:val="18"/>
              </w:rPr>
            </w:pPr>
            <w:r w:rsidRPr="003B533D">
              <w:rPr>
                <w:color w:val="000000"/>
                <w:sz w:val="18"/>
              </w:rPr>
              <w:t>1.1.1.SAM</w:t>
            </w:r>
          </w:p>
        </w:tc>
        <w:tc>
          <w:tcPr>
            <w:tcW w:w="348" w:type="pct"/>
            <w:shd w:val="clear" w:color="auto" w:fill="auto"/>
            <w:vAlign w:val="center"/>
            <w:hideMark/>
          </w:tcPr>
          <w:p w14:paraId="1567DE14" w14:textId="77777777" w:rsidR="00FA35FA" w:rsidRPr="003B533D" w:rsidRDefault="00FA35FA" w:rsidP="00CF6B48">
            <w:pPr>
              <w:rPr>
                <w:color w:val="000000"/>
                <w:sz w:val="18"/>
              </w:rPr>
            </w:pPr>
            <w:r w:rsidRPr="003B533D">
              <w:rPr>
                <w:color w:val="000000"/>
                <w:sz w:val="18"/>
              </w:rPr>
              <w:t>IZM</w:t>
            </w:r>
          </w:p>
        </w:tc>
        <w:tc>
          <w:tcPr>
            <w:tcW w:w="305" w:type="pct"/>
            <w:shd w:val="clear" w:color="auto" w:fill="auto"/>
            <w:vAlign w:val="center"/>
            <w:hideMark/>
          </w:tcPr>
          <w:p w14:paraId="4CBF5C56" w14:textId="77777777" w:rsidR="00FA35FA" w:rsidRPr="003B533D" w:rsidRDefault="00FA35FA" w:rsidP="00CF6B48">
            <w:pPr>
              <w:rPr>
                <w:color w:val="000000"/>
                <w:sz w:val="18"/>
              </w:rPr>
            </w:pPr>
            <w:r w:rsidRPr="003B533D">
              <w:rPr>
                <w:color w:val="000000"/>
                <w:sz w:val="18"/>
              </w:rPr>
              <w:t>13.1.2.1.</w:t>
            </w:r>
          </w:p>
        </w:tc>
        <w:tc>
          <w:tcPr>
            <w:tcW w:w="561" w:type="pct"/>
            <w:shd w:val="clear" w:color="auto" w:fill="auto"/>
            <w:vAlign w:val="center"/>
            <w:hideMark/>
          </w:tcPr>
          <w:p w14:paraId="64463C7C" w14:textId="77777777" w:rsidR="00FA35FA" w:rsidRPr="003B533D" w:rsidRDefault="00FA35FA" w:rsidP="00CF6B48">
            <w:pPr>
              <w:rPr>
                <w:color w:val="000000"/>
                <w:sz w:val="18"/>
              </w:rPr>
            </w:pPr>
            <w:r w:rsidRPr="003B533D">
              <w:rPr>
                <w:color w:val="000000"/>
                <w:sz w:val="18"/>
              </w:rPr>
              <w:t>Pētniecība un inovācijas</w:t>
            </w:r>
          </w:p>
        </w:tc>
        <w:tc>
          <w:tcPr>
            <w:tcW w:w="284" w:type="pct"/>
            <w:shd w:val="clear" w:color="auto" w:fill="auto"/>
            <w:vAlign w:val="center"/>
            <w:hideMark/>
          </w:tcPr>
          <w:p w14:paraId="758B5ACD"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7E27710A" w14:textId="77777777" w:rsidR="00FA35FA" w:rsidRPr="003B533D" w:rsidRDefault="00FA35FA" w:rsidP="00CF6B48">
            <w:pPr>
              <w:jc w:val="center"/>
              <w:rPr>
                <w:color w:val="000000"/>
                <w:sz w:val="18"/>
              </w:rPr>
            </w:pPr>
            <w:r w:rsidRPr="003B533D">
              <w:rPr>
                <w:color w:val="000000"/>
                <w:sz w:val="18"/>
              </w:rPr>
              <w:t>8 492 211</w:t>
            </w:r>
          </w:p>
        </w:tc>
        <w:tc>
          <w:tcPr>
            <w:tcW w:w="388" w:type="pct"/>
            <w:shd w:val="clear" w:color="auto" w:fill="auto"/>
            <w:noWrap/>
            <w:vAlign w:val="center"/>
            <w:hideMark/>
          </w:tcPr>
          <w:p w14:paraId="4A289587" w14:textId="77777777" w:rsidR="00FA35FA" w:rsidRPr="003B533D" w:rsidRDefault="00FA35FA" w:rsidP="00CF6B48">
            <w:pPr>
              <w:jc w:val="center"/>
              <w:rPr>
                <w:color w:val="000000"/>
                <w:sz w:val="18"/>
              </w:rPr>
            </w:pPr>
            <w:r w:rsidRPr="003B533D">
              <w:rPr>
                <w:color w:val="000000"/>
                <w:sz w:val="18"/>
              </w:rPr>
              <w:t>7 218 379</w:t>
            </w:r>
          </w:p>
        </w:tc>
        <w:tc>
          <w:tcPr>
            <w:tcW w:w="432" w:type="pct"/>
            <w:shd w:val="clear" w:color="auto" w:fill="auto"/>
            <w:noWrap/>
            <w:vAlign w:val="center"/>
            <w:hideMark/>
          </w:tcPr>
          <w:p w14:paraId="11FD307E" w14:textId="77777777" w:rsidR="00FA35FA" w:rsidRPr="003B533D" w:rsidRDefault="00FA35FA" w:rsidP="00CF6B48">
            <w:pPr>
              <w:jc w:val="center"/>
              <w:rPr>
                <w:color w:val="000000"/>
                <w:sz w:val="18"/>
              </w:rPr>
            </w:pPr>
            <w:r w:rsidRPr="003B533D">
              <w:rPr>
                <w:color w:val="000000"/>
                <w:sz w:val="18"/>
              </w:rPr>
              <w:t>1 273 832</w:t>
            </w:r>
          </w:p>
        </w:tc>
        <w:tc>
          <w:tcPr>
            <w:tcW w:w="501" w:type="pct"/>
            <w:shd w:val="clear" w:color="auto" w:fill="auto"/>
            <w:vAlign w:val="center"/>
            <w:hideMark/>
          </w:tcPr>
          <w:p w14:paraId="3939FA16" w14:textId="77777777" w:rsidR="00FA35FA" w:rsidRPr="003B533D" w:rsidRDefault="00FA35FA" w:rsidP="00CF6B48">
            <w:pPr>
              <w:jc w:val="center"/>
              <w:rPr>
                <w:color w:val="000000"/>
                <w:sz w:val="18"/>
              </w:rPr>
            </w:pPr>
            <w:r w:rsidRPr="003B533D">
              <w:rPr>
                <w:color w:val="000000"/>
                <w:sz w:val="18"/>
              </w:rPr>
              <w:t>2 507 790</w:t>
            </w:r>
          </w:p>
        </w:tc>
        <w:tc>
          <w:tcPr>
            <w:tcW w:w="356" w:type="pct"/>
            <w:shd w:val="clear" w:color="auto" w:fill="auto"/>
            <w:noWrap/>
            <w:vAlign w:val="center"/>
            <w:hideMark/>
          </w:tcPr>
          <w:p w14:paraId="003BED32" w14:textId="77777777" w:rsidR="00FA35FA" w:rsidRPr="003B533D" w:rsidRDefault="00FA35FA" w:rsidP="00CF6B48">
            <w:pPr>
              <w:jc w:val="center"/>
              <w:rPr>
                <w:color w:val="000000"/>
                <w:sz w:val="18"/>
              </w:rPr>
            </w:pPr>
            <w:r w:rsidRPr="003B533D">
              <w:rPr>
                <w:color w:val="000000"/>
                <w:sz w:val="18"/>
              </w:rPr>
              <w:t>2 131 621</w:t>
            </w:r>
          </w:p>
        </w:tc>
        <w:tc>
          <w:tcPr>
            <w:tcW w:w="518" w:type="pct"/>
            <w:shd w:val="clear" w:color="auto" w:fill="auto"/>
            <w:noWrap/>
            <w:vAlign w:val="center"/>
            <w:hideMark/>
          </w:tcPr>
          <w:p w14:paraId="16074A6B" w14:textId="77777777" w:rsidR="00FA35FA" w:rsidRPr="003B533D" w:rsidRDefault="00FA35FA" w:rsidP="00CF6B48">
            <w:pPr>
              <w:jc w:val="center"/>
              <w:rPr>
                <w:color w:val="000000"/>
                <w:sz w:val="18"/>
              </w:rPr>
            </w:pPr>
            <w:r w:rsidRPr="003B533D">
              <w:rPr>
                <w:color w:val="000000"/>
                <w:sz w:val="18"/>
              </w:rPr>
              <w:t>376 169</w:t>
            </w:r>
          </w:p>
        </w:tc>
      </w:tr>
      <w:tr w:rsidR="003C69C5" w:rsidRPr="003B533D" w14:paraId="690D7875" w14:textId="77777777" w:rsidTr="00D14BD5">
        <w:trPr>
          <w:trHeight w:val="765"/>
        </w:trPr>
        <w:tc>
          <w:tcPr>
            <w:tcW w:w="498" w:type="pct"/>
            <w:vMerge/>
            <w:tcBorders>
              <w:left w:val="single" w:sz="4" w:space="0" w:color="auto"/>
              <w:bottom w:val="single" w:sz="4" w:space="0" w:color="auto"/>
            </w:tcBorders>
            <w:vAlign w:val="center"/>
            <w:hideMark/>
          </w:tcPr>
          <w:p w14:paraId="1D320C56" w14:textId="77777777" w:rsidR="00FA35FA" w:rsidRPr="003B533D" w:rsidRDefault="00FA35FA" w:rsidP="00CF6B48">
            <w:pPr>
              <w:rPr>
                <w:b/>
                <w:bCs/>
                <w:color w:val="000000"/>
                <w:sz w:val="18"/>
              </w:rPr>
            </w:pPr>
          </w:p>
        </w:tc>
        <w:tc>
          <w:tcPr>
            <w:tcW w:w="395" w:type="pct"/>
            <w:shd w:val="clear" w:color="auto" w:fill="auto"/>
            <w:vAlign w:val="center"/>
            <w:hideMark/>
          </w:tcPr>
          <w:p w14:paraId="24100F6B" w14:textId="77777777" w:rsidR="00FA35FA" w:rsidRPr="003B533D" w:rsidRDefault="00FA35FA" w:rsidP="00CF6B48">
            <w:pPr>
              <w:rPr>
                <w:color w:val="000000"/>
                <w:sz w:val="18"/>
              </w:rPr>
            </w:pPr>
            <w:r w:rsidRPr="003B533D">
              <w:rPr>
                <w:color w:val="000000"/>
                <w:sz w:val="18"/>
              </w:rPr>
              <w:t>8.1.2.SAM</w:t>
            </w:r>
          </w:p>
        </w:tc>
        <w:tc>
          <w:tcPr>
            <w:tcW w:w="348" w:type="pct"/>
            <w:shd w:val="clear" w:color="auto" w:fill="auto"/>
            <w:vAlign w:val="center"/>
            <w:hideMark/>
          </w:tcPr>
          <w:p w14:paraId="172C3CFD" w14:textId="77777777" w:rsidR="00FA35FA" w:rsidRPr="003B533D" w:rsidRDefault="00FA35FA" w:rsidP="00CF6B48">
            <w:pPr>
              <w:rPr>
                <w:color w:val="000000"/>
                <w:sz w:val="18"/>
              </w:rPr>
            </w:pPr>
            <w:r w:rsidRPr="003B533D">
              <w:rPr>
                <w:color w:val="000000"/>
                <w:sz w:val="18"/>
              </w:rPr>
              <w:t>IZM</w:t>
            </w:r>
          </w:p>
        </w:tc>
        <w:tc>
          <w:tcPr>
            <w:tcW w:w="305" w:type="pct"/>
            <w:shd w:val="clear" w:color="auto" w:fill="auto"/>
            <w:vAlign w:val="center"/>
            <w:hideMark/>
          </w:tcPr>
          <w:p w14:paraId="172C6378" w14:textId="77777777" w:rsidR="00FA35FA" w:rsidRPr="003B533D" w:rsidRDefault="00FA35FA" w:rsidP="00CF6B48">
            <w:pPr>
              <w:rPr>
                <w:color w:val="000000"/>
                <w:sz w:val="18"/>
              </w:rPr>
            </w:pPr>
            <w:r w:rsidRPr="003B533D">
              <w:rPr>
                <w:color w:val="000000"/>
                <w:sz w:val="18"/>
              </w:rPr>
              <w:t>13.1.2.2.</w:t>
            </w:r>
          </w:p>
        </w:tc>
        <w:tc>
          <w:tcPr>
            <w:tcW w:w="561" w:type="pct"/>
            <w:shd w:val="clear" w:color="auto" w:fill="auto"/>
            <w:vAlign w:val="center"/>
            <w:hideMark/>
          </w:tcPr>
          <w:p w14:paraId="1CF0B6DB" w14:textId="77777777" w:rsidR="00FA35FA" w:rsidRPr="003B533D" w:rsidRDefault="00FA35FA" w:rsidP="00CF6B48">
            <w:pPr>
              <w:rPr>
                <w:color w:val="000000"/>
                <w:sz w:val="18"/>
              </w:rPr>
            </w:pPr>
            <w:r w:rsidRPr="003B533D">
              <w:rPr>
                <w:color w:val="000000"/>
                <w:sz w:val="18"/>
              </w:rPr>
              <w:t>Vispārējās izglītības iestāžu infrastruktūra</w:t>
            </w:r>
          </w:p>
        </w:tc>
        <w:tc>
          <w:tcPr>
            <w:tcW w:w="284" w:type="pct"/>
            <w:shd w:val="clear" w:color="auto" w:fill="auto"/>
            <w:vAlign w:val="center"/>
            <w:hideMark/>
          </w:tcPr>
          <w:p w14:paraId="59A3B53E"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786CE283" w14:textId="77777777" w:rsidR="00FA35FA" w:rsidRPr="003B533D" w:rsidRDefault="00FA35FA" w:rsidP="00CF6B48">
            <w:pPr>
              <w:jc w:val="center"/>
              <w:rPr>
                <w:color w:val="000000"/>
                <w:sz w:val="18"/>
              </w:rPr>
            </w:pPr>
            <w:r w:rsidRPr="003B533D">
              <w:rPr>
                <w:color w:val="000000"/>
                <w:sz w:val="18"/>
              </w:rPr>
              <w:t>8 152 523</w:t>
            </w:r>
          </w:p>
        </w:tc>
        <w:tc>
          <w:tcPr>
            <w:tcW w:w="388" w:type="pct"/>
            <w:shd w:val="clear" w:color="auto" w:fill="auto"/>
            <w:noWrap/>
            <w:vAlign w:val="center"/>
            <w:hideMark/>
          </w:tcPr>
          <w:p w14:paraId="043AB760" w14:textId="77777777" w:rsidR="00FA35FA" w:rsidRPr="003B533D" w:rsidRDefault="00FA35FA" w:rsidP="00CF6B48">
            <w:pPr>
              <w:jc w:val="center"/>
              <w:rPr>
                <w:color w:val="000000"/>
                <w:sz w:val="18"/>
              </w:rPr>
            </w:pPr>
            <w:r w:rsidRPr="003B533D">
              <w:rPr>
                <w:color w:val="000000"/>
                <w:sz w:val="18"/>
              </w:rPr>
              <w:t>6 929 644</w:t>
            </w:r>
          </w:p>
        </w:tc>
        <w:tc>
          <w:tcPr>
            <w:tcW w:w="432" w:type="pct"/>
            <w:shd w:val="clear" w:color="auto" w:fill="auto"/>
            <w:noWrap/>
            <w:vAlign w:val="center"/>
            <w:hideMark/>
          </w:tcPr>
          <w:p w14:paraId="5B99940C" w14:textId="77777777" w:rsidR="00FA35FA" w:rsidRPr="003B533D" w:rsidRDefault="00FA35FA" w:rsidP="00CF6B48">
            <w:pPr>
              <w:jc w:val="center"/>
              <w:rPr>
                <w:color w:val="000000"/>
                <w:sz w:val="18"/>
              </w:rPr>
            </w:pPr>
            <w:r w:rsidRPr="003B533D">
              <w:rPr>
                <w:color w:val="000000"/>
                <w:sz w:val="18"/>
              </w:rPr>
              <w:t>1 222 879</w:t>
            </w:r>
          </w:p>
        </w:tc>
        <w:tc>
          <w:tcPr>
            <w:tcW w:w="501" w:type="pct"/>
            <w:shd w:val="clear" w:color="auto" w:fill="auto"/>
            <w:vAlign w:val="center"/>
            <w:hideMark/>
          </w:tcPr>
          <w:p w14:paraId="2DD176B6" w14:textId="77777777" w:rsidR="00FA35FA" w:rsidRPr="003B533D" w:rsidRDefault="00FA35FA" w:rsidP="00CF6B48">
            <w:pPr>
              <w:jc w:val="center"/>
              <w:rPr>
                <w:color w:val="000000"/>
                <w:sz w:val="18"/>
              </w:rPr>
            </w:pPr>
            <w:r w:rsidRPr="003B533D">
              <w:rPr>
                <w:color w:val="000000"/>
                <w:sz w:val="18"/>
              </w:rPr>
              <w:t>2 407 478</w:t>
            </w:r>
          </w:p>
        </w:tc>
        <w:tc>
          <w:tcPr>
            <w:tcW w:w="356" w:type="pct"/>
            <w:shd w:val="clear" w:color="auto" w:fill="auto"/>
            <w:noWrap/>
            <w:vAlign w:val="center"/>
            <w:hideMark/>
          </w:tcPr>
          <w:p w14:paraId="57C4029A" w14:textId="77777777" w:rsidR="00FA35FA" w:rsidRPr="003B533D" w:rsidRDefault="00FA35FA" w:rsidP="00CF6B48">
            <w:pPr>
              <w:jc w:val="center"/>
              <w:rPr>
                <w:color w:val="000000"/>
                <w:sz w:val="18"/>
              </w:rPr>
            </w:pPr>
            <w:r w:rsidRPr="003B533D">
              <w:rPr>
                <w:color w:val="000000"/>
                <w:sz w:val="18"/>
              </w:rPr>
              <w:t>2 046 356</w:t>
            </w:r>
          </w:p>
        </w:tc>
        <w:tc>
          <w:tcPr>
            <w:tcW w:w="518" w:type="pct"/>
            <w:shd w:val="clear" w:color="auto" w:fill="auto"/>
            <w:noWrap/>
            <w:vAlign w:val="center"/>
            <w:hideMark/>
          </w:tcPr>
          <w:p w14:paraId="15A4A9A9" w14:textId="77777777" w:rsidR="00FA35FA" w:rsidRPr="003B533D" w:rsidRDefault="00FA35FA" w:rsidP="00CF6B48">
            <w:pPr>
              <w:jc w:val="center"/>
              <w:rPr>
                <w:color w:val="000000"/>
                <w:sz w:val="18"/>
              </w:rPr>
            </w:pPr>
            <w:r w:rsidRPr="003B533D">
              <w:rPr>
                <w:color w:val="000000"/>
                <w:sz w:val="18"/>
              </w:rPr>
              <w:t>361 122</w:t>
            </w:r>
          </w:p>
        </w:tc>
      </w:tr>
      <w:tr w:rsidR="003C69C5" w:rsidRPr="003B533D" w14:paraId="0C1671ED" w14:textId="77777777" w:rsidTr="00D14BD5">
        <w:trPr>
          <w:trHeight w:val="705"/>
        </w:trPr>
        <w:tc>
          <w:tcPr>
            <w:tcW w:w="498" w:type="pct"/>
            <w:vMerge w:val="restart"/>
            <w:tcBorders>
              <w:left w:val="single" w:sz="4" w:space="0" w:color="auto"/>
              <w:bottom w:val="single" w:sz="4" w:space="0" w:color="auto"/>
            </w:tcBorders>
            <w:shd w:val="clear" w:color="auto" w:fill="auto"/>
            <w:vAlign w:val="center"/>
            <w:hideMark/>
          </w:tcPr>
          <w:p w14:paraId="44D305F5" w14:textId="77777777" w:rsidR="00FA35FA" w:rsidRPr="003B533D" w:rsidRDefault="00FA35FA" w:rsidP="00CF6B48">
            <w:pPr>
              <w:rPr>
                <w:b/>
                <w:bCs/>
                <w:color w:val="000000"/>
                <w:sz w:val="18"/>
              </w:rPr>
            </w:pPr>
            <w:r w:rsidRPr="003B533D">
              <w:rPr>
                <w:b/>
                <w:bCs/>
                <w:color w:val="000000"/>
                <w:sz w:val="18"/>
              </w:rPr>
              <w:t>13.1.3. Atveseļošanas pasākumi vides un reģionālās attīstības jomā</w:t>
            </w:r>
          </w:p>
        </w:tc>
        <w:tc>
          <w:tcPr>
            <w:tcW w:w="395" w:type="pct"/>
            <w:shd w:val="clear" w:color="auto" w:fill="auto"/>
            <w:vAlign w:val="center"/>
            <w:hideMark/>
          </w:tcPr>
          <w:p w14:paraId="6E985F98" w14:textId="77777777" w:rsidR="00FA35FA" w:rsidRPr="003B533D" w:rsidRDefault="00FA35FA" w:rsidP="00CF6B48">
            <w:pPr>
              <w:rPr>
                <w:color w:val="000000"/>
                <w:sz w:val="18"/>
              </w:rPr>
            </w:pPr>
            <w:r w:rsidRPr="003B533D">
              <w:rPr>
                <w:color w:val="000000"/>
                <w:sz w:val="18"/>
              </w:rPr>
              <w:t>4.2.2.SAM</w:t>
            </w:r>
          </w:p>
        </w:tc>
        <w:tc>
          <w:tcPr>
            <w:tcW w:w="348" w:type="pct"/>
            <w:shd w:val="clear" w:color="auto" w:fill="auto"/>
            <w:vAlign w:val="center"/>
            <w:hideMark/>
          </w:tcPr>
          <w:p w14:paraId="66983105" w14:textId="77777777" w:rsidR="00FA35FA" w:rsidRPr="003B533D" w:rsidRDefault="00FA35FA" w:rsidP="00CF6B48">
            <w:pPr>
              <w:rPr>
                <w:color w:val="000000"/>
                <w:sz w:val="18"/>
              </w:rPr>
            </w:pPr>
            <w:r w:rsidRPr="003B533D">
              <w:rPr>
                <w:color w:val="000000"/>
                <w:sz w:val="18"/>
              </w:rPr>
              <w:t>VARAM</w:t>
            </w:r>
          </w:p>
        </w:tc>
        <w:tc>
          <w:tcPr>
            <w:tcW w:w="305" w:type="pct"/>
            <w:shd w:val="clear" w:color="auto" w:fill="auto"/>
            <w:vAlign w:val="center"/>
            <w:hideMark/>
          </w:tcPr>
          <w:p w14:paraId="779D6EBF" w14:textId="77777777" w:rsidR="00FA35FA" w:rsidRPr="003B533D" w:rsidRDefault="00FA35FA" w:rsidP="00CF6B48">
            <w:pPr>
              <w:rPr>
                <w:color w:val="000000"/>
                <w:sz w:val="18"/>
              </w:rPr>
            </w:pPr>
            <w:r w:rsidRPr="003B533D">
              <w:rPr>
                <w:color w:val="000000"/>
                <w:sz w:val="18"/>
              </w:rPr>
              <w:t>13.1.3.1.</w:t>
            </w:r>
          </w:p>
        </w:tc>
        <w:tc>
          <w:tcPr>
            <w:tcW w:w="561" w:type="pct"/>
            <w:shd w:val="clear" w:color="auto" w:fill="auto"/>
            <w:vAlign w:val="center"/>
            <w:hideMark/>
          </w:tcPr>
          <w:p w14:paraId="6DAE7EBC" w14:textId="77777777" w:rsidR="00FA35FA" w:rsidRPr="003B533D" w:rsidRDefault="00FA35FA" w:rsidP="00CF6B48">
            <w:pPr>
              <w:rPr>
                <w:color w:val="000000"/>
                <w:sz w:val="18"/>
              </w:rPr>
            </w:pPr>
            <w:r w:rsidRPr="003B533D">
              <w:rPr>
                <w:color w:val="000000"/>
                <w:sz w:val="18"/>
              </w:rPr>
              <w:t>Pašvaldības ēku energoefektivitātes veicināšana</w:t>
            </w:r>
          </w:p>
        </w:tc>
        <w:tc>
          <w:tcPr>
            <w:tcW w:w="284" w:type="pct"/>
            <w:shd w:val="clear" w:color="auto" w:fill="auto"/>
            <w:vAlign w:val="center"/>
            <w:hideMark/>
          </w:tcPr>
          <w:p w14:paraId="5A40DB1F"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0523129A" w14:textId="77777777" w:rsidR="00FA35FA" w:rsidRPr="003B533D" w:rsidRDefault="00FA35FA" w:rsidP="00CF6B48">
            <w:pPr>
              <w:jc w:val="center"/>
              <w:rPr>
                <w:color w:val="000000"/>
                <w:sz w:val="18"/>
              </w:rPr>
            </w:pPr>
            <w:r w:rsidRPr="003B533D">
              <w:rPr>
                <w:color w:val="000000"/>
                <w:sz w:val="18"/>
              </w:rPr>
              <w:t>26 969 411</w:t>
            </w:r>
          </w:p>
        </w:tc>
        <w:tc>
          <w:tcPr>
            <w:tcW w:w="388" w:type="pct"/>
            <w:shd w:val="clear" w:color="auto" w:fill="auto"/>
            <w:noWrap/>
            <w:vAlign w:val="center"/>
            <w:hideMark/>
          </w:tcPr>
          <w:p w14:paraId="2D8D455C" w14:textId="77777777" w:rsidR="00FA35FA" w:rsidRPr="003B533D" w:rsidRDefault="00FA35FA" w:rsidP="00CF6B48">
            <w:pPr>
              <w:jc w:val="center"/>
              <w:rPr>
                <w:color w:val="000000"/>
                <w:sz w:val="18"/>
              </w:rPr>
            </w:pPr>
            <w:r w:rsidRPr="003B533D">
              <w:rPr>
                <w:color w:val="000000"/>
                <w:sz w:val="18"/>
              </w:rPr>
              <w:t>22 923 999</w:t>
            </w:r>
          </w:p>
        </w:tc>
        <w:tc>
          <w:tcPr>
            <w:tcW w:w="432" w:type="pct"/>
            <w:shd w:val="clear" w:color="auto" w:fill="auto"/>
            <w:noWrap/>
            <w:vAlign w:val="center"/>
            <w:hideMark/>
          </w:tcPr>
          <w:p w14:paraId="1FAAA2BB" w14:textId="77777777" w:rsidR="00FA35FA" w:rsidRPr="003B533D" w:rsidRDefault="00FA35FA" w:rsidP="00CF6B48">
            <w:pPr>
              <w:jc w:val="center"/>
              <w:rPr>
                <w:color w:val="000000"/>
                <w:sz w:val="18"/>
              </w:rPr>
            </w:pPr>
            <w:r w:rsidRPr="003B533D">
              <w:rPr>
                <w:color w:val="000000"/>
                <w:sz w:val="18"/>
              </w:rPr>
              <w:t>4 045 412</w:t>
            </w:r>
          </w:p>
        </w:tc>
        <w:tc>
          <w:tcPr>
            <w:tcW w:w="501" w:type="pct"/>
            <w:shd w:val="clear" w:color="auto" w:fill="auto"/>
            <w:vAlign w:val="center"/>
            <w:hideMark/>
          </w:tcPr>
          <w:p w14:paraId="70319E45" w14:textId="77777777" w:rsidR="00FA35FA" w:rsidRPr="003B533D" w:rsidRDefault="00FA35FA" w:rsidP="00CF6B48">
            <w:pPr>
              <w:jc w:val="center"/>
              <w:rPr>
                <w:color w:val="000000"/>
                <w:sz w:val="18"/>
              </w:rPr>
            </w:pPr>
            <w:r w:rsidRPr="003B533D">
              <w:rPr>
                <w:color w:val="000000"/>
                <w:sz w:val="18"/>
              </w:rPr>
              <w:t>22 433 316</w:t>
            </w:r>
          </w:p>
        </w:tc>
        <w:tc>
          <w:tcPr>
            <w:tcW w:w="356" w:type="pct"/>
            <w:shd w:val="clear" w:color="auto" w:fill="auto"/>
            <w:noWrap/>
            <w:vAlign w:val="center"/>
            <w:hideMark/>
          </w:tcPr>
          <w:p w14:paraId="3A91C211" w14:textId="77777777" w:rsidR="00FA35FA" w:rsidRPr="003B533D" w:rsidRDefault="00FA35FA" w:rsidP="00CF6B48">
            <w:pPr>
              <w:jc w:val="center"/>
              <w:rPr>
                <w:color w:val="000000"/>
                <w:sz w:val="18"/>
              </w:rPr>
            </w:pPr>
            <w:r w:rsidRPr="003B533D">
              <w:rPr>
                <w:color w:val="000000"/>
                <w:sz w:val="18"/>
              </w:rPr>
              <w:t>19 068 318</w:t>
            </w:r>
          </w:p>
        </w:tc>
        <w:tc>
          <w:tcPr>
            <w:tcW w:w="518" w:type="pct"/>
            <w:shd w:val="clear" w:color="auto" w:fill="auto"/>
            <w:noWrap/>
            <w:vAlign w:val="center"/>
            <w:hideMark/>
          </w:tcPr>
          <w:p w14:paraId="04CEC98A" w14:textId="77777777" w:rsidR="00FA35FA" w:rsidRPr="003B533D" w:rsidRDefault="00FA35FA" w:rsidP="00CF6B48">
            <w:pPr>
              <w:jc w:val="center"/>
              <w:rPr>
                <w:color w:val="000000"/>
                <w:sz w:val="18"/>
              </w:rPr>
            </w:pPr>
            <w:r w:rsidRPr="003B533D">
              <w:rPr>
                <w:color w:val="000000"/>
                <w:sz w:val="18"/>
              </w:rPr>
              <w:t>3 364 998</w:t>
            </w:r>
          </w:p>
        </w:tc>
      </w:tr>
      <w:tr w:rsidR="003C69C5" w:rsidRPr="003B533D" w14:paraId="471DC599" w14:textId="77777777" w:rsidTr="00D14BD5">
        <w:trPr>
          <w:trHeight w:val="615"/>
        </w:trPr>
        <w:tc>
          <w:tcPr>
            <w:tcW w:w="498" w:type="pct"/>
            <w:vMerge/>
            <w:tcBorders>
              <w:left w:val="single" w:sz="4" w:space="0" w:color="auto"/>
              <w:bottom w:val="single" w:sz="4" w:space="0" w:color="auto"/>
            </w:tcBorders>
            <w:vAlign w:val="center"/>
            <w:hideMark/>
          </w:tcPr>
          <w:p w14:paraId="541D4CD1" w14:textId="77777777" w:rsidR="00FA35FA" w:rsidRPr="003B533D" w:rsidRDefault="00FA35FA" w:rsidP="00CF6B48">
            <w:pPr>
              <w:rPr>
                <w:b/>
                <w:bCs/>
                <w:color w:val="000000"/>
                <w:sz w:val="18"/>
              </w:rPr>
            </w:pPr>
          </w:p>
        </w:tc>
        <w:tc>
          <w:tcPr>
            <w:tcW w:w="395" w:type="pct"/>
            <w:shd w:val="clear" w:color="auto" w:fill="auto"/>
            <w:vAlign w:val="center"/>
            <w:hideMark/>
          </w:tcPr>
          <w:p w14:paraId="0318BEDA" w14:textId="77777777" w:rsidR="00FA35FA" w:rsidRPr="003B533D" w:rsidRDefault="00FA35FA" w:rsidP="00CF6B48">
            <w:pPr>
              <w:rPr>
                <w:color w:val="000000"/>
                <w:sz w:val="18"/>
              </w:rPr>
            </w:pPr>
            <w:r w:rsidRPr="003B533D">
              <w:rPr>
                <w:color w:val="000000"/>
                <w:sz w:val="18"/>
              </w:rPr>
              <w:t>5.2.1.SAM</w:t>
            </w:r>
          </w:p>
        </w:tc>
        <w:tc>
          <w:tcPr>
            <w:tcW w:w="348" w:type="pct"/>
            <w:shd w:val="clear" w:color="auto" w:fill="auto"/>
            <w:vAlign w:val="center"/>
            <w:hideMark/>
          </w:tcPr>
          <w:p w14:paraId="675E6B43" w14:textId="77777777" w:rsidR="00FA35FA" w:rsidRPr="003B533D" w:rsidRDefault="00FA35FA" w:rsidP="00CF6B48">
            <w:pPr>
              <w:rPr>
                <w:color w:val="000000"/>
                <w:sz w:val="18"/>
              </w:rPr>
            </w:pPr>
            <w:r w:rsidRPr="003B533D">
              <w:rPr>
                <w:color w:val="000000"/>
                <w:sz w:val="18"/>
              </w:rPr>
              <w:t>VARAM</w:t>
            </w:r>
          </w:p>
        </w:tc>
        <w:tc>
          <w:tcPr>
            <w:tcW w:w="305" w:type="pct"/>
            <w:shd w:val="clear" w:color="auto" w:fill="auto"/>
            <w:vAlign w:val="center"/>
            <w:hideMark/>
          </w:tcPr>
          <w:p w14:paraId="2C45E0C8" w14:textId="77777777" w:rsidR="00FA35FA" w:rsidRPr="003B533D" w:rsidRDefault="00FA35FA" w:rsidP="00CF6B48">
            <w:pPr>
              <w:rPr>
                <w:color w:val="000000"/>
                <w:sz w:val="18"/>
              </w:rPr>
            </w:pPr>
            <w:r w:rsidRPr="003B533D">
              <w:rPr>
                <w:color w:val="000000"/>
                <w:sz w:val="18"/>
              </w:rPr>
              <w:t>13.1.3.2.</w:t>
            </w:r>
          </w:p>
        </w:tc>
        <w:tc>
          <w:tcPr>
            <w:tcW w:w="561" w:type="pct"/>
            <w:shd w:val="clear" w:color="auto" w:fill="auto"/>
            <w:vAlign w:val="center"/>
            <w:hideMark/>
          </w:tcPr>
          <w:p w14:paraId="0FCD114E" w14:textId="77777777" w:rsidR="00FA35FA" w:rsidRPr="003B533D" w:rsidRDefault="00FA35FA" w:rsidP="00CF6B48">
            <w:pPr>
              <w:rPr>
                <w:color w:val="000000"/>
                <w:sz w:val="18"/>
              </w:rPr>
            </w:pPr>
            <w:r w:rsidRPr="003B533D">
              <w:rPr>
                <w:color w:val="000000"/>
                <w:sz w:val="18"/>
              </w:rPr>
              <w:t>Atkritumu atkārtota izmantošana, pārstrāde un reģenerācija</w:t>
            </w:r>
          </w:p>
        </w:tc>
        <w:tc>
          <w:tcPr>
            <w:tcW w:w="284" w:type="pct"/>
            <w:shd w:val="clear" w:color="auto" w:fill="auto"/>
            <w:vAlign w:val="center"/>
            <w:hideMark/>
          </w:tcPr>
          <w:p w14:paraId="491D9D1A"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1020B807" w14:textId="77777777" w:rsidR="00FA35FA" w:rsidRPr="003B533D" w:rsidRDefault="00FA35FA" w:rsidP="00CF6B48">
            <w:pPr>
              <w:jc w:val="center"/>
              <w:rPr>
                <w:color w:val="000000"/>
                <w:sz w:val="18"/>
              </w:rPr>
            </w:pPr>
            <w:r w:rsidRPr="003B533D">
              <w:rPr>
                <w:color w:val="000000"/>
                <w:sz w:val="18"/>
              </w:rPr>
              <w:t>20 567 275</w:t>
            </w:r>
          </w:p>
        </w:tc>
        <w:tc>
          <w:tcPr>
            <w:tcW w:w="388" w:type="pct"/>
            <w:shd w:val="clear" w:color="auto" w:fill="auto"/>
            <w:noWrap/>
            <w:vAlign w:val="center"/>
            <w:hideMark/>
          </w:tcPr>
          <w:p w14:paraId="5240A641" w14:textId="77777777" w:rsidR="00FA35FA" w:rsidRPr="003B533D" w:rsidRDefault="00FA35FA" w:rsidP="00CF6B48">
            <w:pPr>
              <w:jc w:val="center"/>
              <w:rPr>
                <w:color w:val="000000"/>
                <w:sz w:val="18"/>
              </w:rPr>
            </w:pPr>
            <w:r w:rsidRPr="003B533D">
              <w:rPr>
                <w:color w:val="000000"/>
                <w:sz w:val="18"/>
              </w:rPr>
              <w:t>17 482 183</w:t>
            </w:r>
          </w:p>
        </w:tc>
        <w:tc>
          <w:tcPr>
            <w:tcW w:w="432" w:type="pct"/>
            <w:shd w:val="clear" w:color="auto" w:fill="auto"/>
            <w:noWrap/>
            <w:vAlign w:val="center"/>
            <w:hideMark/>
          </w:tcPr>
          <w:p w14:paraId="1536F0EB" w14:textId="77777777" w:rsidR="00FA35FA" w:rsidRPr="003B533D" w:rsidRDefault="00FA35FA" w:rsidP="00CF6B48">
            <w:pPr>
              <w:jc w:val="center"/>
              <w:rPr>
                <w:color w:val="000000"/>
                <w:sz w:val="18"/>
              </w:rPr>
            </w:pPr>
            <w:r w:rsidRPr="003B533D">
              <w:rPr>
                <w:color w:val="000000"/>
                <w:sz w:val="18"/>
              </w:rPr>
              <w:t>3 085 092</w:t>
            </w:r>
          </w:p>
        </w:tc>
        <w:tc>
          <w:tcPr>
            <w:tcW w:w="501" w:type="pct"/>
            <w:shd w:val="clear" w:color="auto" w:fill="auto"/>
            <w:vAlign w:val="center"/>
            <w:hideMark/>
          </w:tcPr>
          <w:p w14:paraId="77C53106" w14:textId="77777777" w:rsidR="00FA35FA" w:rsidRPr="003B533D" w:rsidRDefault="00FA35FA" w:rsidP="00CF6B48">
            <w:pPr>
              <w:jc w:val="center"/>
              <w:rPr>
                <w:color w:val="000000"/>
                <w:sz w:val="18"/>
              </w:rPr>
            </w:pPr>
            <w:r w:rsidRPr="003B533D">
              <w:rPr>
                <w:color w:val="000000"/>
                <w:sz w:val="18"/>
              </w:rPr>
              <w:t>0</w:t>
            </w:r>
          </w:p>
        </w:tc>
        <w:tc>
          <w:tcPr>
            <w:tcW w:w="356" w:type="pct"/>
            <w:shd w:val="clear" w:color="auto" w:fill="auto"/>
            <w:noWrap/>
            <w:vAlign w:val="center"/>
            <w:hideMark/>
          </w:tcPr>
          <w:p w14:paraId="62F6A239" w14:textId="77777777" w:rsidR="00FA35FA" w:rsidRPr="003B533D" w:rsidRDefault="00FA35FA" w:rsidP="00CF6B48">
            <w:pPr>
              <w:jc w:val="center"/>
              <w:rPr>
                <w:color w:val="000000"/>
                <w:sz w:val="18"/>
              </w:rPr>
            </w:pPr>
            <w:r w:rsidRPr="003B533D">
              <w:rPr>
                <w:color w:val="000000"/>
                <w:sz w:val="18"/>
              </w:rPr>
              <w:t>0</w:t>
            </w:r>
          </w:p>
        </w:tc>
        <w:tc>
          <w:tcPr>
            <w:tcW w:w="518" w:type="pct"/>
            <w:shd w:val="clear" w:color="auto" w:fill="auto"/>
            <w:noWrap/>
            <w:vAlign w:val="center"/>
            <w:hideMark/>
          </w:tcPr>
          <w:p w14:paraId="2ABA460A" w14:textId="77777777" w:rsidR="00FA35FA" w:rsidRPr="003B533D" w:rsidRDefault="00FA35FA" w:rsidP="00CF6B48">
            <w:pPr>
              <w:jc w:val="center"/>
              <w:rPr>
                <w:color w:val="000000"/>
                <w:sz w:val="18"/>
              </w:rPr>
            </w:pPr>
            <w:r w:rsidRPr="003B533D">
              <w:rPr>
                <w:color w:val="000000"/>
                <w:sz w:val="18"/>
              </w:rPr>
              <w:t>0</w:t>
            </w:r>
          </w:p>
        </w:tc>
      </w:tr>
      <w:tr w:rsidR="003C69C5" w:rsidRPr="003B533D" w14:paraId="1E5D1525" w14:textId="77777777" w:rsidTr="00D14BD5">
        <w:trPr>
          <w:trHeight w:val="915"/>
        </w:trPr>
        <w:tc>
          <w:tcPr>
            <w:tcW w:w="498" w:type="pct"/>
            <w:vMerge/>
            <w:tcBorders>
              <w:left w:val="single" w:sz="4" w:space="0" w:color="auto"/>
              <w:bottom w:val="single" w:sz="4" w:space="0" w:color="auto"/>
            </w:tcBorders>
            <w:vAlign w:val="center"/>
            <w:hideMark/>
          </w:tcPr>
          <w:p w14:paraId="5C3261DC" w14:textId="77777777" w:rsidR="00FA35FA" w:rsidRPr="003B533D" w:rsidRDefault="00FA35FA" w:rsidP="00CF6B48">
            <w:pPr>
              <w:rPr>
                <w:b/>
                <w:bCs/>
                <w:color w:val="000000"/>
                <w:sz w:val="18"/>
              </w:rPr>
            </w:pPr>
          </w:p>
        </w:tc>
        <w:tc>
          <w:tcPr>
            <w:tcW w:w="395" w:type="pct"/>
            <w:shd w:val="clear" w:color="auto" w:fill="auto"/>
            <w:vAlign w:val="center"/>
            <w:hideMark/>
          </w:tcPr>
          <w:p w14:paraId="13E1289D" w14:textId="77777777" w:rsidR="00FA35FA" w:rsidRPr="003B533D" w:rsidRDefault="00FA35FA" w:rsidP="00CF6B48">
            <w:pPr>
              <w:rPr>
                <w:color w:val="000000"/>
                <w:sz w:val="18"/>
              </w:rPr>
            </w:pPr>
            <w:r w:rsidRPr="003B533D">
              <w:rPr>
                <w:color w:val="000000"/>
                <w:sz w:val="18"/>
              </w:rPr>
              <w:t>5.6.2.SAM</w:t>
            </w:r>
          </w:p>
        </w:tc>
        <w:tc>
          <w:tcPr>
            <w:tcW w:w="348" w:type="pct"/>
            <w:shd w:val="clear" w:color="auto" w:fill="auto"/>
            <w:vAlign w:val="center"/>
            <w:hideMark/>
          </w:tcPr>
          <w:p w14:paraId="3FDFD3E5" w14:textId="77777777" w:rsidR="00FA35FA" w:rsidRPr="003B533D" w:rsidRDefault="00FA35FA" w:rsidP="00CF6B48">
            <w:pPr>
              <w:rPr>
                <w:color w:val="000000"/>
                <w:sz w:val="18"/>
              </w:rPr>
            </w:pPr>
            <w:r w:rsidRPr="003B533D">
              <w:rPr>
                <w:color w:val="000000"/>
                <w:sz w:val="18"/>
              </w:rPr>
              <w:t>VARAM</w:t>
            </w:r>
          </w:p>
        </w:tc>
        <w:tc>
          <w:tcPr>
            <w:tcW w:w="305" w:type="pct"/>
            <w:shd w:val="clear" w:color="auto" w:fill="auto"/>
            <w:vAlign w:val="center"/>
            <w:hideMark/>
          </w:tcPr>
          <w:p w14:paraId="08D0CF43" w14:textId="77777777" w:rsidR="00FA35FA" w:rsidRPr="003B533D" w:rsidRDefault="00FA35FA" w:rsidP="00CF6B48">
            <w:pPr>
              <w:rPr>
                <w:color w:val="000000"/>
                <w:sz w:val="18"/>
              </w:rPr>
            </w:pPr>
            <w:r w:rsidRPr="003B533D">
              <w:rPr>
                <w:color w:val="000000"/>
                <w:sz w:val="18"/>
              </w:rPr>
              <w:t>13.1.3.3.</w:t>
            </w:r>
          </w:p>
        </w:tc>
        <w:tc>
          <w:tcPr>
            <w:tcW w:w="561" w:type="pct"/>
            <w:shd w:val="clear" w:color="auto" w:fill="auto"/>
            <w:vAlign w:val="center"/>
            <w:hideMark/>
          </w:tcPr>
          <w:p w14:paraId="4DABF35D" w14:textId="77777777" w:rsidR="00FA35FA" w:rsidRPr="003B533D" w:rsidRDefault="00FA35FA" w:rsidP="00CF6B48">
            <w:pPr>
              <w:rPr>
                <w:color w:val="000000"/>
                <w:sz w:val="18"/>
              </w:rPr>
            </w:pPr>
            <w:r w:rsidRPr="003B533D">
              <w:rPr>
                <w:color w:val="000000"/>
                <w:sz w:val="18"/>
              </w:rPr>
              <w:t xml:space="preserve">Teritoriju </w:t>
            </w:r>
            <w:proofErr w:type="spellStart"/>
            <w:r w:rsidRPr="003B533D">
              <w:rPr>
                <w:color w:val="000000"/>
                <w:sz w:val="18"/>
              </w:rPr>
              <w:t>revitalizācija</w:t>
            </w:r>
            <w:proofErr w:type="spellEnd"/>
            <w:r w:rsidRPr="003B533D">
              <w:rPr>
                <w:color w:val="000000"/>
                <w:sz w:val="18"/>
              </w:rPr>
              <w:t xml:space="preserve"> uzņēmējdarbības veicināšanai pašvaldībās</w:t>
            </w:r>
          </w:p>
        </w:tc>
        <w:tc>
          <w:tcPr>
            <w:tcW w:w="284" w:type="pct"/>
            <w:shd w:val="clear" w:color="auto" w:fill="auto"/>
            <w:vAlign w:val="center"/>
            <w:hideMark/>
          </w:tcPr>
          <w:p w14:paraId="58A40F33"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28E7FE41" w14:textId="77777777" w:rsidR="00FA35FA" w:rsidRPr="003B533D" w:rsidRDefault="00FA35FA" w:rsidP="00CF6B48">
            <w:pPr>
              <w:jc w:val="center"/>
              <w:rPr>
                <w:color w:val="000000"/>
                <w:sz w:val="18"/>
              </w:rPr>
            </w:pPr>
            <w:r w:rsidRPr="003B533D">
              <w:rPr>
                <w:color w:val="000000"/>
                <w:sz w:val="18"/>
              </w:rPr>
              <w:t>28 430 000</w:t>
            </w:r>
          </w:p>
        </w:tc>
        <w:tc>
          <w:tcPr>
            <w:tcW w:w="388" w:type="pct"/>
            <w:shd w:val="clear" w:color="auto" w:fill="auto"/>
            <w:noWrap/>
            <w:vAlign w:val="center"/>
            <w:hideMark/>
          </w:tcPr>
          <w:p w14:paraId="6711DE93" w14:textId="77777777" w:rsidR="00FA35FA" w:rsidRPr="003B533D" w:rsidRDefault="00FA35FA" w:rsidP="00CF6B48">
            <w:pPr>
              <w:jc w:val="center"/>
              <w:rPr>
                <w:color w:val="000000"/>
                <w:sz w:val="18"/>
              </w:rPr>
            </w:pPr>
            <w:r w:rsidRPr="003B533D">
              <w:rPr>
                <w:color w:val="000000"/>
                <w:sz w:val="18"/>
              </w:rPr>
              <w:t>24 165 500</w:t>
            </w:r>
          </w:p>
        </w:tc>
        <w:tc>
          <w:tcPr>
            <w:tcW w:w="432" w:type="pct"/>
            <w:shd w:val="clear" w:color="auto" w:fill="auto"/>
            <w:noWrap/>
            <w:vAlign w:val="center"/>
            <w:hideMark/>
          </w:tcPr>
          <w:p w14:paraId="33949AE0" w14:textId="77777777" w:rsidR="00FA35FA" w:rsidRPr="003B533D" w:rsidRDefault="00FA35FA" w:rsidP="00CF6B48">
            <w:pPr>
              <w:jc w:val="center"/>
              <w:rPr>
                <w:color w:val="000000"/>
                <w:sz w:val="18"/>
              </w:rPr>
            </w:pPr>
            <w:r w:rsidRPr="003B533D">
              <w:rPr>
                <w:color w:val="000000"/>
                <w:sz w:val="18"/>
              </w:rPr>
              <w:t>4 264 500</w:t>
            </w:r>
          </w:p>
        </w:tc>
        <w:tc>
          <w:tcPr>
            <w:tcW w:w="501" w:type="pct"/>
            <w:shd w:val="clear" w:color="auto" w:fill="auto"/>
            <w:vAlign w:val="center"/>
            <w:hideMark/>
          </w:tcPr>
          <w:p w14:paraId="6706454F" w14:textId="77777777" w:rsidR="00FA35FA" w:rsidRPr="003B533D" w:rsidRDefault="00FA35FA" w:rsidP="00CF6B48">
            <w:pPr>
              <w:jc w:val="center"/>
              <w:rPr>
                <w:color w:val="000000"/>
                <w:sz w:val="18"/>
              </w:rPr>
            </w:pPr>
            <w:r w:rsidRPr="003B533D">
              <w:rPr>
                <w:color w:val="000000"/>
                <w:sz w:val="18"/>
              </w:rPr>
              <w:t>0</w:t>
            </w:r>
          </w:p>
        </w:tc>
        <w:tc>
          <w:tcPr>
            <w:tcW w:w="356" w:type="pct"/>
            <w:shd w:val="clear" w:color="auto" w:fill="auto"/>
            <w:noWrap/>
            <w:vAlign w:val="center"/>
            <w:hideMark/>
          </w:tcPr>
          <w:p w14:paraId="769DE1E7" w14:textId="77777777" w:rsidR="00FA35FA" w:rsidRPr="003B533D" w:rsidRDefault="00FA35FA" w:rsidP="00CF6B48">
            <w:pPr>
              <w:jc w:val="center"/>
              <w:rPr>
                <w:color w:val="000000"/>
                <w:sz w:val="18"/>
              </w:rPr>
            </w:pPr>
            <w:r w:rsidRPr="003B533D">
              <w:rPr>
                <w:color w:val="000000"/>
                <w:sz w:val="18"/>
              </w:rPr>
              <w:t>0</w:t>
            </w:r>
          </w:p>
        </w:tc>
        <w:tc>
          <w:tcPr>
            <w:tcW w:w="518" w:type="pct"/>
            <w:shd w:val="clear" w:color="auto" w:fill="auto"/>
            <w:noWrap/>
            <w:vAlign w:val="center"/>
            <w:hideMark/>
          </w:tcPr>
          <w:p w14:paraId="21F064F0" w14:textId="77777777" w:rsidR="00FA35FA" w:rsidRPr="003B533D" w:rsidRDefault="00FA35FA" w:rsidP="00CF6B48">
            <w:pPr>
              <w:jc w:val="center"/>
              <w:rPr>
                <w:color w:val="000000"/>
                <w:sz w:val="18"/>
              </w:rPr>
            </w:pPr>
            <w:r w:rsidRPr="003B533D">
              <w:rPr>
                <w:color w:val="000000"/>
                <w:sz w:val="18"/>
              </w:rPr>
              <w:t>0</w:t>
            </w:r>
          </w:p>
        </w:tc>
      </w:tr>
      <w:tr w:rsidR="003C69C5" w:rsidRPr="003B533D" w14:paraId="61B0526F" w14:textId="77777777" w:rsidTr="00D14BD5">
        <w:trPr>
          <w:trHeight w:val="615"/>
        </w:trPr>
        <w:tc>
          <w:tcPr>
            <w:tcW w:w="498" w:type="pct"/>
            <w:tcBorders>
              <w:left w:val="single" w:sz="4" w:space="0" w:color="auto"/>
              <w:bottom w:val="single" w:sz="4" w:space="0" w:color="auto"/>
            </w:tcBorders>
            <w:shd w:val="clear" w:color="auto" w:fill="auto"/>
            <w:vAlign w:val="center"/>
            <w:hideMark/>
          </w:tcPr>
          <w:p w14:paraId="7400EAA1" w14:textId="77777777" w:rsidR="00FA35FA" w:rsidRPr="003B533D" w:rsidRDefault="00FA35FA" w:rsidP="00CF6B48">
            <w:pPr>
              <w:rPr>
                <w:b/>
                <w:bCs/>
                <w:color w:val="000000"/>
                <w:sz w:val="18"/>
              </w:rPr>
            </w:pPr>
            <w:r w:rsidRPr="003B533D">
              <w:rPr>
                <w:b/>
                <w:bCs/>
                <w:color w:val="000000"/>
                <w:sz w:val="18"/>
              </w:rPr>
              <w:t xml:space="preserve">13.1.4. Atveseļošanas pasākumi </w:t>
            </w:r>
            <w:r w:rsidRPr="003B533D">
              <w:rPr>
                <w:b/>
                <w:bCs/>
                <w:color w:val="000000"/>
                <w:sz w:val="18"/>
              </w:rPr>
              <w:lastRenderedPageBreak/>
              <w:t>kultūras jomā</w:t>
            </w:r>
          </w:p>
        </w:tc>
        <w:tc>
          <w:tcPr>
            <w:tcW w:w="395" w:type="pct"/>
            <w:shd w:val="clear" w:color="auto" w:fill="auto"/>
            <w:vAlign w:val="center"/>
            <w:hideMark/>
          </w:tcPr>
          <w:p w14:paraId="6236198C" w14:textId="77777777" w:rsidR="00FA35FA" w:rsidRPr="003B533D" w:rsidRDefault="00FA35FA" w:rsidP="00CF6B48">
            <w:pPr>
              <w:rPr>
                <w:color w:val="000000"/>
                <w:sz w:val="18"/>
              </w:rPr>
            </w:pPr>
            <w:r w:rsidRPr="003B533D">
              <w:rPr>
                <w:color w:val="000000"/>
                <w:sz w:val="18"/>
              </w:rPr>
              <w:lastRenderedPageBreak/>
              <w:t>N/A (jauns SAM)</w:t>
            </w:r>
          </w:p>
        </w:tc>
        <w:tc>
          <w:tcPr>
            <w:tcW w:w="348" w:type="pct"/>
            <w:shd w:val="clear" w:color="auto" w:fill="auto"/>
            <w:vAlign w:val="center"/>
            <w:hideMark/>
          </w:tcPr>
          <w:p w14:paraId="507F01D3" w14:textId="77777777" w:rsidR="00FA35FA" w:rsidRPr="003B533D" w:rsidRDefault="00FA35FA" w:rsidP="00CF6B48">
            <w:pPr>
              <w:rPr>
                <w:color w:val="000000"/>
                <w:sz w:val="18"/>
              </w:rPr>
            </w:pPr>
            <w:r w:rsidRPr="003B533D">
              <w:rPr>
                <w:color w:val="000000"/>
                <w:sz w:val="18"/>
              </w:rPr>
              <w:t>KM</w:t>
            </w:r>
          </w:p>
        </w:tc>
        <w:tc>
          <w:tcPr>
            <w:tcW w:w="305" w:type="pct"/>
            <w:shd w:val="clear" w:color="auto" w:fill="auto"/>
            <w:vAlign w:val="center"/>
            <w:hideMark/>
          </w:tcPr>
          <w:p w14:paraId="3375E00F" w14:textId="77777777" w:rsidR="00FA35FA" w:rsidRPr="003B533D" w:rsidRDefault="00FA35FA" w:rsidP="00CF6B48">
            <w:pPr>
              <w:rPr>
                <w:color w:val="000000"/>
                <w:sz w:val="18"/>
              </w:rPr>
            </w:pPr>
            <w:r w:rsidRPr="003B533D">
              <w:rPr>
                <w:color w:val="000000"/>
                <w:sz w:val="18"/>
              </w:rPr>
              <w:t>13.1.4.</w:t>
            </w:r>
          </w:p>
        </w:tc>
        <w:tc>
          <w:tcPr>
            <w:tcW w:w="561" w:type="pct"/>
            <w:shd w:val="clear" w:color="auto" w:fill="auto"/>
            <w:vAlign w:val="center"/>
            <w:hideMark/>
          </w:tcPr>
          <w:p w14:paraId="4C216236" w14:textId="77777777" w:rsidR="00FA35FA" w:rsidRPr="003B533D" w:rsidRDefault="00FA35FA" w:rsidP="00CF6B48">
            <w:pPr>
              <w:rPr>
                <w:color w:val="000000"/>
                <w:sz w:val="18"/>
              </w:rPr>
            </w:pPr>
            <w:r w:rsidRPr="003B533D">
              <w:rPr>
                <w:color w:val="000000"/>
                <w:sz w:val="18"/>
              </w:rPr>
              <w:t xml:space="preserve">Atbalsts kultūras jomas uzņēmumiem un NVO </w:t>
            </w:r>
          </w:p>
        </w:tc>
        <w:tc>
          <w:tcPr>
            <w:tcW w:w="284" w:type="pct"/>
            <w:shd w:val="clear" w:color="auto" w:fill="auto"/>
            <w:vAlign w:val="center"/>
            <w:hideMark/>
          </w:tcPr>
          <w:p w14:paraId="37C18563"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162703A7" w14:textId="77777777" w:rsidR="00FA35FA" w:rsidRPr="003B533D" w:rsidRDefault="00FA35FA" w:rsidP="00CF6B48">
            <w:pPr>
              <w:jc w:val="center"/>
              <w:rPr>
                <w:color w:val="000000"/>
                <w:sz w:val="18"/>
              </w:rPr>
            </w:pPr>
            <w:r w:rsidRPr="003B533D">
              <w:rPr>
                <w:color w:val="000000"/>
                <w:sz w:val="18"/>
              </w:rPr>
              <w:t>9 264 230</w:t>
            </w:r>
          </w:p>
        </w:tc>
        <w:tc>
          <w:tcPr>
            <w:tcW w:w="388" w:type="pct"/>
            <w:shd w:val="clear" w:color="auto" w:fill="auto"/>
            <w:noWrap/>
            <w:vAlign w:val="center"/>
            <w:hideMark/>
          </w:tcPr>
          <w:p w14:paraId="71C3EB97" w14:textId="77777777" w:rsidR="00FA35FA" w:rsidRPr="003B533D" w:rsidRDefault="00FA35FA" w:rsidP="00CF6B48">
            <w:pPr>
              <w:jc w:val="center"/>
              <w:rPr>
                <w:color w:val="000000"/>
                <w:sz w:val="18"/>
              </w:rPr>
            </w:pPr>
            <w:r w:rsidRPr="003B533D">
              <w:rPr>
                <w:color w:val="000000"/>
                <w:sz w:val="18"/>
              </w:rPr>
              <w:t>7 874 595</w:t>
            </w:r>
          </w:p>
        </w:tc>
        <w:tc>
          <w:tcPr>
            <w:tcW w:w="432" w:type="pct"/>
            <w:shd w:val="clear" w:color="auto" w:fill="auto"/>
            <w:noWrap/>
            <w:vAlign w:val="center"/>
            <w:hideMark/>
          </w:tcPr>
          <w:p w14:paraId="0431FC77" w14:textId="77777777" w:rsidR="00FA35FA" w:rsidRPr="003B533D" w:rsidRDefault="00FA35FA" w:rsidP="00CF6B48">
            <w:pPr>
              <w:jc w:val="center"/>
              <w:rPr>
                <w:color w:val="000000"/>
                <w:sz w:val="18"/>
              </w:rPr>
            </w:pPr>
            <w:r w:rsidRPr="003B533D">
              <w:rPr>
                <w:color w:val="000000"/>
                <w:sz w:val="18"/>
              </w:rPr>
              <w:t>1 389 635</w:t>
            </w:r>
          </w:p>
        </w:tc>
        <w:tc>
          <w:tcPr>
            <w:tcW w:w="501" w:type="pct"/>
            <w:shd w:val="clear" w:color="auto" w:fill="auto"/>
            <w:vAlign w:val="center"/>
            <w:hideMark/>
          </w:tcPr>
          <w:p w14:paraId="0CAF1768" w14:textId="77777777" w:rsidR="00FA35FA" w:rsidRPr="003B533D" w:rsidRDefault="00FA35FA" w:rsidP="00CF6B48">
            <w:pPr>
              <w:jc w:val="center"/>
              <w:rPr>
                <w:color w:val="000000"/>
                <w:sz w:val="18"/>
              </w:rPr>
            </w:pPr>
            <w:r w:rsidRPr="003B533D">
              <w:rPr>
                <w:color w:val="000000"/>
                <w:sz w:val="18"/>
              </w:rPr>
              <w:t>2 735 771</w:t>
            </w:r>
          </w:p>
        </w:tc>
        <w:tc>
          <w:tcPr>
            <w:tcW w:w="356" w:type="pct"/>
            <w:shd w:val="clear" w:color="auto" w:fill="auto"/>
            <w:noWrap/>
            <w:vAlign w:val="center"/>
            <w:hideMark/>
          </w:tcPr>
          <w:p w14:paraId="3421B0C5" w14:textId="77777777" w:rsidR="00FA35FA" w:rsidRPr="003B533D" w:rsidRDefault="00FA35FA" w:rsidP="00CF6B48">
            <w:pPr>
              <w:jc w:val="center"/>
              <w:rPr>
                <w:color w:val="000000"/>
                <w:sz w:val="18"/>
              </w:rPr>
            </w:pPr>
            <w:r w:rsidRPr="003B533D">
              <w:rPr>
                <w:color w:val="000000"/>
                <w:sz w:val="18"/>
              </w:rPr>
              <w:t>2 325 405</w:t>
            </w:r>
          </w:p>
        </w:tc>
        <w:tc>
          <w:tcPr>
            <w:tcW w:w="518" w:type="pct"/>
            <w:shd w:val="clear" w:color="auto" w:fill="auto"/>
            <w:noWrap/>
            <w:vAlign w:val="center"/>
            <w:hideMark/>
          </w:tcPr>
          <w:p w14:paraId="0B87540E" w14:textId="77777777" w:rsidR="00FA35FA" w:rsidRPr="003B533D" w:rsidRDefault="00FA35FA" w:rsidP="00CF6B48">
            <w:pPr>
              <w:jc w:val="center"/>
              <w:rPr>
                <w:color w:val="000000"/>
                <w:sz w:val="18"/>
              </w:rPr>
            </w:pPr>
            <w:r w:rsidRPr="003B533D">
              <w:rPr>
                <w:color w:val="000000"/>
                <w:sz w:val="18"/>
              </w:rPr>
              <w:t>410 366</w:t>
            </w:r>
          </w:p>
        </w:tc>
      </w:tr>
      <w:tr w:rsidR="003C69C5" w:rsidRPr="003B533D" w14:paraId="183E278F" w14:textId="77777777" w:rsidTr="00D14BD5">
        <w:trPr>
          <w:trHeight w:val="705"/>
        </w:trPr>
        <w:tc>
          <w:tcPr>
            <w:tcW w:w="498" w:type="pct"/>
            <w:tcBorders>
              <w:left w:val="single" w:sz="4" w:space="0" w:color="auto"/>
              <w:bottom w:val="single" w:sz="4" w:space="0" w:color="auto"/>
            </w:tcBorders>
            <w:shd w:val="clear" w:color="auto" w:fill="auto"/>
            <w:vAlign w:val="center"/>
            <w:hideMark/>
          </w:tcPr>
          <w:p w14:paraId="445752C0" w14:textId="63761D5E" w:rsidR="00FA35FA" w:rsidRPr="003B533D" w:rsidRDefault="00FA35FA" w:rsidP="00CF6B48">
            <w:pPr>
              <w:rPr>
                <w:b/>
                <w:bCs/>
                <w:color w:val="000000"/>
                <w:sz w:val="18"/>
              </w:rPr>
            </w:pPr>
            <w:r w:rsidRPr="003B533D">
              <w:rPr>
                <w:b/>
                <w:bCs/>
                <w:color w:val="000000"/>
                <w:sz w:val="18"/>
              </w:rPr>
              <w:t>13.1.5. Atveseļoš</w:t>
            </w:r>
            <w:r w:rsidR="003B533D">
              <w:rPr>
                <w:b/>
                <w:bCs/>
                <w:color w:val="000000"/>
                <w:sz w:val="18"/>
              </w:rPr>
              <w:t xml:space="preserve">anas pasākumi veselības nozarē </w:t>
            </w:r>
            <w:r w:rsidRPr="003B533D">
              <w:rPr>
                <w:b/>
                <w:bCs/>
                <w:color w:val="000000"/>
                <w:sz w:val="18"/>
              </w:rPr>
              <w:t>(ERAF)</w:t>
            </w:r>
          </w:p>
        </w:tc>
        <w:tc>
          <w:tcPr>
            <w:tcW w:w="395" w:type="pct"/>
            <w:shd w:val="clear" w:color="auto" w:fill="auto"/>
            <w:vAlign w:val="center"/>
            <w:hideMark/>
          </w:tcPr>
          <w:p w14:paraId="650E7533" w14:textId="77777777" w:rsidR="00FA35FA" w:rsidRPr="003B533D" w:rsidRDefault="00FA35FA" w:rsidP="00CF6B48">
            <w:pPr>
              <w:rPr>
                <w:color w:val="000000"/>
                <w:sz w:val="18"/>
              </w:rPr>
            </w:pPr>
            <w:r w:rsidRPr="003B533D">
              <w:rPr>
                <w:color w:val="000000"/>
                <w:sz w:val="18"/>
              </w:rPr>
              <w:t xml:space="preserve">9.3.2.SAM  </w:t>
            </w:r>
          </w:p>
        </w:tc>
        <w:tc>
          <w:tcPr>
            <w:tcW w:w="348" w:type="pct"/>
            <w:shd w:val="clear" w:color="auto" w:fill="auto"/>
            <w:vAlign w:val="center"/>
            <w:hideMark/>
          </w:tcPr>
          <w:p w14:paraId="76B3237B" w14:textId="77777777" w:rsidR="00FA35FA" w:rsidRPr="003B533D" w:rsidRDefault="00FA35FA" w:rsidP="00CF6B48">
            <w:pPr>
              <w:rPr>
                <w:color w:val="000000"/>
                <w:sz w:val="18"/>
              </w:rPr>
            </w:pPr>
            <w:r w:rsidRPr="003B533D">
              <w:rPr>
                <w:color w:val="000000"/>
                <w:sz w:val="18"/>
              </w:rPr>
              <w:t>VM</w:t>
            </w:r>
          </w:p>
        </w:tc>
        <w:tc>
          <w:tcPr>
            <w:tcW w:w="305" w:type="pct"/>
            <w:shd w:val="clear" w:color="auto" w:fill="auto"/>
            <w:vAlign w:val="center"/>
            <w:hideMark/>
          </w:tcPr>
          <w:p w14:paraId="51650C7C" w14:textId="77777777" w:rsidR="00FA35FA" w:rsidRPr="003B533D" w:rsidRDefault="00FA35FA" w:rsidP="00CF6B48">
            <w:pPr>
              <w:rPr>
                <w:color w:val="000000"/>
                <w:sz w:val="18"/>
              </w:rPr>
            </w:pPr>
            <w:r w:rsidRPr="003B533D">
              <w:rPr>
                <w:color w:val="000000"/>
                <w:sz w:val="18"/>
              </w:rPr>
              <w:t>13.1.5.</w:t>
            </w:r>
          </w:p>
        </w:tc>
        <w:tc>
          <w:tcPr>
            <w:tcW w:w="561" w:type="pct"/>
            <w:shd w:val="clear" w:color="auto" w:fill="auto"/>
            <w:vAlign w:val="center"/>
            <w:hideMark/>
          </w:tcPr>
          <w:p w14:paraId="2C9CD2FB" w14:textId="77777777" w:rsidR="00FA35FA" w:rsidRPr="003B533D" w:rsidRDefault="00FA35FA" w:rsidP="00CF6B48">
            <w:pPr>
              <w:rPr>
                <w:color w:val="000000"/>
                <w:sz w:val="18"/>
              </w:rPr>
            </w:pPr>
            <w:r w:rsidRPr="003B533D">
              <w:rPr>
                <w:color w:val="000000"/>
                <w:sz w:val="18"/>
              </w:rPr>
              <w:t xml:space="preserve">Veselības aprūpes infrastruktūra </w:t>
            </w:r>
          </w:p>
        </w:tc>
        <w:tc>
          <w:tcPr>
            <w:tcW w:w="284" w:type="pct"/>
            <w:shd w:val="clear" w:color="auto" w:fill="auto"/>
            <w:vAlign w:val="center"/>
            <w:hideMark/>
          </w:tcPr>
          <w:p w14:paraId="1756AA2C"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72CB1C4B" w14:textId="77777777" w:rsidR="00FA35FA" w:rsidRPr="003B533D" w:rsidRDefault="00FA35FA" w:rsidP="00CF6B48">
            <w:pPr>
              <w:jc w:val="center"/>
              <w:rPr>
                <w:color w:val="000000"/>
                <w:sz w:val="18"/>
              </w:rPr>
            </w:pPr>
            <w:r w:rsidRPr="003B533D">
              <w:rPr>
                <w:color w:val="000000"/>
                <w:sz w:val="18"/>
              </w:rPr>
              <w:t>52 188 496</w:t>
            </w:r>
          </w:p>
        </w:tc>
        <w:tc>
          <w:tcPr>
            <w:tcW w:w="388" w:type="pct"/>
            <w:shd w:val="clear" w:color="auto" w:fill="auto"/>
            <w:noWrap/>
            <w:vAlign w:val="center"/>
            <w:hideMark/>
          </w:tcPr>
          <w:p w14:paraId="75095FEE" w14:textId="77777777" w:rsidR="00FA35FA" w:rsidRPr="003B533D" w:rsidRDefault="00FA35FA" w:rsidP="00CF6B48">
            <w:pPr>
              <w:jc w:val="center"/>
              <w:rPr>
                <w:color w:val="000000"/>
                <w:sz w:val="18"/>
              </w:rPr>
            </w:pPr>
            <w:r w:rsidRPr="003B533D">
              <w:rPr>
                <w:color w:val="000000"/>
                <w:sz w:val="18"/>
              </w:rPr>
              <w:t>44 360 221</w:t>
            </w:r>
          </w:p>
        </w:tc>
        <w:tc>
          <w:tcPr>
            <w:tcW w:w="432" w:type="pct"/>
            <w:shd w:val="clear" w:color="auto" w:fill="auto"/>
            <w:noWrap/>
            <w:vAlign w:val="center"/>
            <w:hideMark/>
          </w:tcPr>
          <w:p w14:paraId="03B222E1" w14:textId="77777777" w:rsidR="00FA35FA" w:rsidRPr="003B533D" w:rsidRDefault="00FA35FA" w:rsidP="00CF6B48">
            <w:pPr>
              <w:jc w:val="center"/>
              <w:rPr>
                <w:color w:val="000000"/>
                <w:sz w:val="18"/>
              </w:rPr>
            </w:pPr>
            <w:r w:rsidRPr="003B533D">
              <w:rPr>
                <w:color w:val="000000"/>
                <w:sz w:val="18"/>
              </w:rPr>
              <w:t>7 828 275</w:t>
            </w:r>
          </w:p>
        </w:tc>
        <w:tc>
          <w:tcPr>
            <w:tcW w:w="501" w:type="pct"/>
            <w:shd w:val="clear" w:color="auto" w:fill="auto"/>
            <w:vAlign w:val="center"/>
            <w:hideMark/>
          </w:tcPr>
          <w:p w14:paraId="63F0B720" w14:textId="77777777" w:rsidR="00FA35FA" w:rsidRPr="003B533D" w:rsidRDefault="00FA35FA" w:rsidP="00CF6B48">
            <w:pPr>
              <w:jc w:val="center"/>
              <w:rPr>
                <w:color w:val="000000"/>
                <w:sz w:val="18"/>
              </w:rPr>
            </w:pPr>
            <w:r w:rsidRPr="003B533D">
              <w:rPr>
                <w:color w:val="000000"/>
                <w:sz w:val="18"/>
              </w:rPr>
              <w:t>15 411 505</w:t>
            </w:r>
          </w:p>
        </w:tc>
        <w:tc>
          <w:tcPr>
            <w:tcW w:w="356" w:type="pct"/>
            <w:shd w:val="clear" w:color="auto" w:fill="auto"/>
            <w:noWrap/>
            <w:vAlign w:val="center"/>
            <w:hideMark/>
          </w:tcPr>
          <w:p w14:paraId="24AE38F8" w14:textId="77777777" w:rsidR="00FA35FA" w:rsidRPr="003B533D" w:rsidRDefault="00FA35FA" w:rsidP="00CF6B48">
            <w:pPr>
              <w:jc w:val="center"/>
              <w:rPr>
                <w:color w:val="000000"/>
                <w:sz w:val="18"/>
              </w:rPr>
            </w:pPr>
            <w:r w:rsidRPr="003B533D">
              <w:rPr>
                <w:color w:val="000000"/>
                <w:sz w:val="18"/>
              </w:rPr>
              <w:t>13 099 779</w:t>
            </w:r>
          </w:p>
        </w:tc>
        <w:tc>
          <w:tcPr>
            <w:tcW w:w="518" w:type="pct"/>
            <w:shd w:val="clear" w:color="auto" w:fill="auto"/>
            <w:noWrap/>
            <w:vAlign w:val="center"/>
            <w:hideMark/>
          </w:tcPr>
          <w:p w14:paraId="4ACC3C9D" w14:textId="77777777" w:rsidR="00FA35FA" w:rsidRPr="003B533D" w:rsidRDefault="00FA35FA" w:rsidP="00CF6B48">
            <w:pPr>
              <w:jc w:val="center"/>
              <w:rPr>
                <w:color w:val="000000"/>
                <w:sz w:val="18"/>
              </w:rPr>
            </w:pPr>
            <w:r w:rsidRPr="003B533D">
              <w:rPr>
                <w:color w:val="000000"/>
                <w:sz w:val="18"/>
              </w:rPr>
              <w:t>2 311 726</w:t>
            </w:r>
          </w:p>
        </w:tc>
      </w:tr>
      <w:tr w:rsidR="003C69C5" w:rsidRPr="003B533D" w14:paraId="20990CE6" w14:textId="77777777" w:rsidTr="00D14BD5">
        <w:trPr>
          <w:trHeight w:val="1005"/>
        </w:trPr>
        <w:tc>
          <w:tcPr>
            <w:tcW w:w="498" w:type="pct"/>
            <w:tcBorders>
              <w:left w:val="single" w:sz="4" w:space="0" w:color="auto"/>
              <w:bottom w:val="single" w:sz="4" w:space="0" w:color="auto"/>
            </w:tcBorders>
            <w:shd w:val="clear" w:color="auto" w:fill="auto"/>
            <w:vAlign w:val="center"/>
            <w:hideMark/>
          </w:tcPr>
          <w:p w14:paraId="2380483B" w14:textId="77777777" w:rsidR="00FA35FA" w:rsidRPr="003B533D" w:rsidRDefault="00FA35FA" w:rsidP="00CF6B48">
            <w:pPr>
              <w:rPr>
                <w:b/>
                <w:bCs/>
                <w:color w:val="000000"/>
                <w:sz w:val="18"/>
              </w:rPr>
            </w:pPr>
            <w:r w:rsidRPr="003B533D">
              <w:rPr>
                <w:b/>
                <w:bCs/>
                <w:color w:val="000000"/>
                <w:sz w:val="18"/>
              </w:rPr>
              <w:t>13.1.6. Atveseļošanas pasākumi ekonomikas nozarē – nodarbināto apmācības (ERAF)</w:t>
            </w:r>
          </w:p>
        </w:tc>
        <w:tc>
          <w:tcPr>
            <w:tcW w:w="395" w:type="pct"/>
            <w:shd w:val="clear" w:color="auto" w:fill="auto"/>
            <w:vAlign w:val="center"/>
            <w:hideMark/>
          </w:tcPr>
          <w:p w14:paraId="0B5FCA84" w14:textId="77777777" w:rsidR="00FA35FA" w:rsidRPr="003B533D" w:rsidRDefault="00FA35FA" w:rsidP="00CF6B48">
            <w:pPr>
              <w:rPr>
                <w:color w:val="000000"/>
                <w:sz w:val="18"/>
              </w:rPr>
            </w:pPr>
            <w:r w:rsidRPr="003B533D">
              <w:rPr>
                <w:color w:val="000000"/>
                <w:sz w:val="18"/>
              </w:rPr>
              <w:t>1.2.2.SAM</w:t>
            </w:r>
          </w:p>
        </w:tc>
        <w:tc>
          <w:tcPr>
            <w:tcW w:w="348" w:type="pct"/>
            <w:shd w:val="clear" w:color="auto" w:fill="auto"/>
            <w:vAlign w:val="center"/>
            <w:hideMark/>
          </w:tcPr>
          <w:p w14:paraId="74E8DD93" w14:textId="77777777" w:rsidR="00FA35FA" w:rsidRPr="003B533D" w:rsidRDefault="00FA35FA" w:rsidP="00CF6B48">
            <w:pPr>
              <w:rPr>
                <w:color w:val="000000"/>
                <w:sz w:val="18"/>
              </w:rPr>
            </w:pPr>
            <w:r w:rsidRPr="003B533D">
              <w:rPr>
                <w:color w:val="000000"/>
                <w:sz w:val="18"/>
              </w:rPr>
              <w:t>EM</w:t>
            </w:r>
          </w:p>
        </w:tc>
        <w:tc>
          <w:tcPr>
            <w:tcW w:w="305" w:type="pct"/>
            <w:shd w:val="clear" w:color="auto" w:fill="auto"/>
            <w:vAlign w:val="center"/>
            <w:hideMark/>
          </w:tcPr>
          <w:p w14:paraId="24895660" w14:textId="77777777" w:rsidR="00FA35FA" w:rsidRPr="003B533D" w:rsidRDefault="00FA35FA" w:rsidP="00CF6B48">
            <w:pPr>
              <w:rPr>
                <w:color w:val="000000"/>
                <w:sz w:val="18"/>
              </w:rPr>
            </w:pPr>
            <w:r w:rsidRPr="003B533D">
              <w:rPr>
                <w:color w:val="000000"/>
                <w:sz w:val="18"/>
              </w:rPr>
              <w:t>13.1.6.</w:t>
            </w:r>
          </w:p>
        </w:tc>
        <w:tc>
          <w:tcPr>
            <w:tcW w:w="561" w:type="pct"/>
            <w:shd w:val="clear" w:color="auto" w:fill="auto"/>
            <w:vAlign w:val="center"/>
            <w:hideMark/>
          </w:tcPr>
          <w:p w14:paraId="43C37206" w14:textId="77777777" w:rsidR="00FA35FA" w:rsidRPr="003B533D" w:rsidRDefault="00FA35FA" w:rsidP="00CF6B48">
            <w:pPr>
              <w:rPr>
                <w:color w:val="000000"/>
                <w:sz w:val="18"/>
              </w:rPr>
            </w:pPr>
            <w:r w:rsidRPr="003B533D">
              <w:rPr>
                <w:color w:val="000000"/>
                <w:sz w:val="18"/>
              </w:rPr>
              <w:t>Nodarbināto apmācības</w:t>
            </w:r>
          </w:p>
        </w:tc>
        <w:tc>
          <w:tcPr>
            <w:tcW w:w="284" w:type="pct"/>
            <w:shd w:val="clear" w:color="auto" w:fill="auto"/>
            <w:vAlign w:val="center"/>
            <w:hideMark/>
          </w:tcPr>
          <w:p w14:paraId="3BFA1F28" w14:textId="77777777" w:rsidR="00FA35FA" w:rsidRPr="003B533D" w:rsidRDefault="00FA35FA" w:rsidP="00CF6B48">
            <w:pPr>
              <w:rPr>
                <w:color w:val="000000"/>
                <w:sz w:val="18"/>
              </w:rPr>
            </w:pPr>
            <w:r w:rsidRPr="003B533D">
              <w:rPr>
                <w:color w:val="000000"/>
                <w:sz w:val="18"/>
              </w:rPr>
              <w:t>ERAF</w:t>
            </w:r>
          </w:p>
        </w:tc>
        <w:tc>
          <w:tcPr>
            <w:tcW w:w="414" w:type="pct"/>
            <w:shd w:val="clear" w:color="auto" w:fill="auto"/>
            <w:vAlign w:val="center"/>
            <w:hideMark/>
          </w:tcPr>
          <w:p w14:paraId="058A063F" w14:textId="77777777" w:rsidR="00FA35FA" w:rsidRPr="003B533D" w:rsidRDefault="00FA35FA" w:rsidP="00CF6B48">
            <w:pPr>
              <w:jc w:val="center"/>
              <w:rPr>
                <w:color w:val="000000"/>
                <w:sz w:val="18"/>
              </w:rPr>
            </w:pPr>
            <w:r w:rsidRPr="003B533D">
              <w:rPr>
                <w:color w:val="000000"/>
                <w:sz w:val="18"/>
              </w:rPr>
              <w:t>15 208 778</w:t>
            </w:r>
          </w:p>
        </w:tc>
        <w:tc>
          <w:tcPr>
            <w:tcW w:w="388" w:type="pct"/>
            <w:shd w:val="clear" w:color="auto" w:fill="auto"/>
            <w:noWrap/>
            <w:vAlign w:val="center"/>
            <w:hideMark/>
          </w:tcPr>
          <w:p w14:paraId="1B1E41A8" w14:textId="77777777" w:rsidR="00FA35FA" w:rsidRPr="003B533D" w:rsidRDefault="00FA35FA" w:rsidP="00CF6B48">
            <w:pPr>
              <w:jc w:val="center"/>
              <w:rPr>
                <w:color w:val="000000"/>
                <w:sz w:val="18"/>
              </w:rPr>
            </w:pPr>
            <w:r w:rsidRPr="003B533D">
              <w:rPr>
                <w:color w:val="000000"/>
                <w:sz w:val="18"/>
              </w:rPr>
              <w:t>12 927 461</w:t>
            </w:r>
          </w:p>
        </w:tc>
        <w:tc>
          <w:tcPr>
            <w:tcW w:w="432" w:type="pct"/>
            <w:shd w:val="clear" w:color="auto" w:fill="auto"/>
            <w:noWrap/>
            <w:vAlign w:val="center"/>
            <w:hideMark/>
          </w:tcPr>
          <w:p w14:paraId="72C9884B" w14:textId="77777777" w:rsidR="00FA35FA" w:rsidRPr="003B533D" w:rsidRDefault="00FA35FA" w:rsidP="00CF6B48">
            <w:pPr>
              <w:jc w:val="center"/>
              <w:rPr>
                <w:color w:val="000000"/>
                <w:sz w:val="18"/>
              </w:rPr>
            </w:pPr>
            <w:r w:rsidRPr="003B533D">
              <w:rPr>
                <w:color w:val="000000"/>
                <w:sz w:val="18"/>
              </w:rPr>
              <w:t>2 281 317</w:t>
            </w:r>
          </w:p>
        </w:tc>
        <w:tc>
          <w:tcPr>
            <w:tcW w:w="501" w:type="pct"/>
            <w:shd w:val="clear" w:color="auto" w:fill="auto"/>
            <w:vAlign w:val="center"/>
            <w:hideMark/>
          </w:tcPr>
          <w:p w14:paraId="387EA347" w14:textId="77777777" w:rsidR="00FA35FA" w:rsidRPr="003B533D" w:rsidRDefault="00FA35FA" w:rsidP="00CF6B48">
            <w:pPr>
              <w:jc w:val="center"/>
              <w:rPr>
                <w:color w:val="000000"/>
                <w:sz w:val="18"/>
              </w:rPr>
            </w:pPr>
            <w:r w:rsidRPr="003B533D">
              <w:rPr>
                <w:color w:val="000000"/>
                <w:sz w:val="18"/>
              </w:rPr>
              <w:t>4 491 223</w:t>
            </w:r>
          </w:p>
        </w:tc>
        <w:tc>
          <w:tcPr>
            <w:tcW w:w="356" w:type="pct"/>
            <w:shd w:val="clear" w:color="auto" w:fill="auto"/>
            <w:noWrap/>
            <w:vAlign w:val="center"/>
            <w:hideMark/>
          </w:tcPr>
          <w:p w14:paraId="6D4AA259" w14:textId="77777777" w:rsidR="00FA35FA" w:rsidRPr="003B533D" w:rsidRDefault="00FA35FA" w:rsidP="00CF6B48">
            <w:pPr>
              <w:jc w:val="center"/>
              <w:rPr>
                <w:color w:val="000000"/>
                <w:sz w:val="18"/>
              </w:rPr>
            </w:pPr>
            <w:r w:rsidRPr="003B533D">
              <w:rPr>
                <w:color w:val="000000"/>
                <w:sz w:val="18"/>
              </w:rPr>
              <w:t>3 817 539</w:t>
            </w:r>
          </w:p>
        </w:tc>
        <w:tc>
          <w:tcPr>
            <w:tcW w:w="518" w:type="pct"/>
            <w:shd w:val="clear" w:color="auto" w:fill="auto"/>
            <w:noWrap/>
            <w:vAlign w:val="center"/>
            <w:hideMark/>
          </w:tcPr>
          <w:p w14:paraId="63431C14" w14:textId="77777777" w:rsidR="00FA35FA" w:rsidRPr="003B533D" w:rsidRDefault="00FA35FA" w:rsidP="00CF6B48">
            <w:pPr>
              <w:jc w:val="center"/>
              <w:rPr>
                <w:color w:val="000000"/>
                <w:sz w:val="18"/>
              </w:rPr>
            </w:pPr>
            <w:r w:rsidRPr="003B533D">
              <w:rPr>
                <w:color w:val="000000"/>
                <w:sz w:val="18"/>
              </w:rPr>
              <w:t>673 684</w:t>
            </w:r>
          </w:p>
        </w:tc>
      </w:tr>
      <w:tr w:rsidR="003C69C5" w:rsidRPr="003B533D" w14:paraId="286D3D8A" w14:textId="77777777" w:rsidTr="00D14BD5">
        <w:trPr>
          <w:trHeight w:val="630"/>
        </w:trPr>
        <w:tc>
          <w:tcPr>
            <w:tcW w:w="498" w:type="pct"/>
            <w:vMerge w:val="restart"/>
            <w:tcBorders>
              <w:left w:val="single" w:sz="4" w:space="0" w:color="auto"/>
              <w:bottom w:val="single" w:sz="4" w:space="0" w:color="auto"/>
            </w:tcBorders>
            <w:shd w:val="clear" w:color="auto" w:fill="auto"/>
            <w:vAlign w:val="center"/>
            <w:hideMark/>
          </w:tcPr>
          <w:p w14:paraId="2A90A108" w14:textId="77777777" w:rsidR="00FA35FA" w:rsidRPr="003B533D" w:rsidRDefault="00FA35FA" w:rsidP="00CF6B48">
            <w:pPr>
              <w:rPr>
                <w:b/>
                <w:bCs/>
                <w:color w:val="000000"/>
                <w:sz w:val="18"/>
              </w:rPr>
            </w:pPr>
            <w:r w:rsidRPr="003B533D">
              <w:rPr>
                <w:b/>
                <w:bCs/>
                <w:color w:val="000000"/>
                <w:sz w:val="18"/>
              </w:rPr>
              <w:t>14.1.1. Atveseļošanas pasākumi izglītības nozarē (ESF)</w:t>
            </w:r>
          </w:p>
        </w:tc>
        <w:tc>
          <w:tcPr>
            <w:tcW w:w="395" w:type="pct"/>
            <w:shd w:val="clear" w:color="auto" w:fill="auto"/>
            <w:vAlign w:val="center"/>
            <w:hideMark/>
          </w:tcPr>
          <w:p w14:paraId="097E82B5" w14:textId="77777777" w:rsidR="00FA35FA" w:rsidRPr="003B533D" w:rsidRDefault="00FA35FA" w:rsidP="00CF6B48">
            <w:pPr>
              <w:rPr>
                <w:color w:val="000000"/>
                <w:sz w:val="18"/>
              </w:rPr>
            </w:pPr>
            <w:r w:rsidRPr="003B533D">
              <w:rPr>
                <w:color w:val="000000"/>
                <w:sz w:val="18"/>
              </w:rPr>
              <w:t>8.2.3.SAM</w:t>
            </w:r>
          </w:p>
        </w:tc>
        <w:tc>
          <w:tcPr>
            <w:tcW w:w="348" w:type="pct"/>
            <w:shd w:val="clear" w:color="auto" w:fill="auto"/>
            <w:vAlign w:val="center"/>
            <w:hideMark/>
          </w:tcPr>
          <w:p w14:paraId="55690237" w14:textId="77777777" w:rsidR="00FA35FA" w:rsidRPr="003B533D" w:rsidRDefault="00FA35FA" w:rsidP="00CF6B48">
            <w:pPr>
              <w:rPr>
                <w:color w:val="000000"/>
                <w:sz w:val="18"/>
              </w:rPr>
            </w:pPr>
            <w:r w:rsidRPr="003B533D">
              <w:rPr>
                <w:color w:val="000000"/>
                <w:sz w:val="18"/>
              </w:rPr>
              <w:t>IZM</w:t>
            </w:r>
          </w:p>
        </w:tc>
        <w:tc>
          <w:tcPr>
            <w:tcW w:w="305" w:type="pct"/>
            <w:shd w:val="clear" w:color="auto" w:fill="auto"/>
            <w:vAlign w:val="center"/>
            <w:hideMark/>
          </w:tcPr>
          <w:p w14:paraId="3886D51E" w14:textId="77777777" w:rsidR="00FA35FA" w:rsidRPr="003B533D" w:rsidRDefault="00FA35FA" w:rsidP="00CF6B48">
            <w:pPr>
              <w:rPr>
                <w:color w:val="000000"/>
                <w:sz w:val="18"/>
              </w:rPr>
            </w:pPr>
            <w:r w:rsidRPr="003B533D">
              <w:rPr>
                <w:color w:val="000000"/>
                <w:sz w:val="18"/>
              </w:rPr>
              <w:t>14.1.1.1.</w:t>
            </w:r>
          </w:p>
        </w:tc>
        <w:tc>
          <w:tcPr>
            <w:tcW w:w="561" w:type="pct"/>
            <w:shd w:val="clear" w:color="auto" w:fill="auto"/>
            <w:vAlign w:val="center"/>
            <w:hideMark/>
          </w:tcPr>
          <w:p w14:paraId="27AAB146" w14:textId="77777777" w:rsidR="00FA35FA" w:rsidRPr="003B533D" w:rsidRDefault="00FA35FA" w:rsidP="00CF6B48">
            <w:pPr>
              <w:rPr>
                <w:color w:val="000000"/>
                <w:sz w:val="18"/>
              </w:rPr>
            </w:pPr>
            <w:r w:rsidRPr="003B533D">
              <w:rPr>
                <w:color w:val="000000"/>
                <w:sz w:val="18"/>
              </w:rPr>
              <w:t>Efektīvas pārvaldības nodrošināšana augstskolās</w:t>
            </w:r>
          </w:p>
        </w:tc>
        <w:tc>
          <w:tcPr>
            <w:tcW w:w="284" w:type="pct"/>
            <w:shd w:val="clear" w:color="auto" w:fill="auto"/>
            <w:vAlign w:val="center"/>
            <w:hideMark/>
          </w:tcPr>
          <w:p w14:paraId="5A5F87F2" w14:textId="77777777" w:rsidR="00FA35FA" w:rsidRPr="003B533D" w:rsidRDefault="00FA35FA" w:rsidP="00CF6B48">
            <w:pPr>
              <w:rPr>
                <w:color w:val="000000"/>
                <w:sz w:val="18"/>
              </w:rPr>
            </w:pPr>
            <w:r w:rsidRPr="003B533D">
              <w:rPr>
                <w:color w:val="000000"/>
                <w:sz w:val="18"/>
              </w:rPr>
              <w:t>ESF</w:t>
            </w:r>
          </w:p>
        </w:tc>
        <w:tc>
          <w:tcPr>
            <w:tcW w:w="414" w:type="pct"/>
            <w:shd w:val="clear" w:color="auto" w:fill="auto"/>
            <w:vAlign w:val="center"/>
            <w:hideMark/>
          </w:tcPr>
          <w:p w14:paraId="1DEF2DA0" w14:textId="77777777" w:rsidR="00FA35FA" w:rsidRPr="003B533D" w:rsidRDefault="00FA35FA" w:rsidP="00CF6B48">
            <w:pPr>
              <w:jc w:val="center"/>
              <w:rPr>
                <w:color w:val="000000"/>
                <w:sz w:val="18"/>
              </w:rPr>
            </w:pPr>
            <w:r w:rsidRPr="003B533D">
              <w:rPr>
                <w:color w:val="000000"/>
                <w:sz w:val="18"/>
              </w:rPr>
              <w:t>6 068 071</w:t>
            </w:r>
          </w:p>
        </w:tc>
        <w:tc>
          <w:tcPr>
            <w:tcW w:w="388" w:type="pct"/>
            <w:shd w:val="clear" w:color="auto" w:fill="auto"/>
            <w:noWrap/>
            <w:vAlign w:val="center"/>
            <w:hideMark/>
          </w:tcPr>
          <w:p w14:paraId="7BB61D60" w14:textId="77777777" w:rsidR="00FA35FA" w:rsidRPr="003B533D" w:rsidRDefault="00FA35FA" w:rsidP="00CF6B48">
            <w:pPr>
              <w:jc w:val="center"/>
              <w:rPr>
                <w:color w:val="000000"/>
                <w:sz w:val="18"/>
              </w:rPr>
            </w:pPr>
            <w:r w:rsidRPr="003B533D">
              <w:rPr>
                <w:color w:val="000000"/>
                <w:sz w:val="18"/>
              </w:rPr>
              <w:t>5 157 860</w:t>
            </w:r>
          </w:p>
        </w:tc>
        <w:tc>
          <w:tcPr>
            <w:tcW w:w="432" w:type="pct"/>
            <w:shd w:val="clear" w:color="auto" w:fill="auto"/>
            <w:noWrap/>
            <w:vAlign w:val="center"/>
            <w:hideMark/>
          </w:tcPr>
          <w:p w14:paraId="1491EC4E" w14:textId="77777777" w:rsidR="00FA35FA" w:rsidRPr="003B533D" w:rsidRDefault="00FA35FA" w:rsidP="00CF6B48">
            <w:pPr>
              <w:jc w:val="center"/>
              <w:rPr>
                <w:color w:val="000000"/>
                <w:sz w:val="18"/>
              </w:rPr>
            </w:pPr>
            <w:r w:rsidRPr="003B533D">
              <w:rPr>
                <w:color w:val="000000"/>
                <w:sz w:val="18"/>
              </w:rPr>
              <w:t>910 211</w:t>
            </w:r>
          </w:p>
        </w:tc>
        <w:tc>
          <w:tcPr>
            <w:tcW w:w="501" w:type="pct"/>
            <w:shd w:val="clear" w:color="auto" w:fill="auto"/>
            <w:vAlign w:val="center"/>
            <w:hideMark/>
          </w:tcPr>
          <w:p w14:paraId="3D232CB3" w14:textId="77777777" w:rsidR="00FA35FA" w:rsidRPr="003B533D" w:rsidRDefault="00FA35FA" w:rsidP="00CF6B48">
            <w:pPr>
              <w:jc w:val="center"/>
              <w:rPr>
                <w:color w:val="000000"/>
                <w:sz w:val="18"/>
              </w:rPr>
            </w:pPr>
            <w:r w:rsidRPr="003B533D">
              <w:rPr>
                <w:color w:val="000000"/>
                <w:sz w:val="18"/>
              </w:rPr>
              <w:t>1 791 930</w:t>
            </w:r>
          </w:p>
        </w:tc>
        <w:tc>
          <w:tcPr>
            <w:tcW w:w="356" w:type="pct"/>
            <w:shd w:val="clear" w:color="auto" w:fill="auto"/>
            <w:noWrap/>
            <w:vAlign w:val="center"/>
            <w:hideMark/>
          </w:tcPr>
          <w:p w14:paraId="0976A9FE" w14:textId="77777777" w:rsidR="00FA35FA" w:rsidRPr="003B533D" w:rsidRDefault="00FA35FA" w:rsidP="00CF6B48">
            <w:pPr>
              <w:jc w:val="center"/>
              <w:rPr>
                <w:color w:val="000000"/>
                <w:sz w:val="18"/>
              </w:rPr>
            </w:pPr>
            <w:r w:rsidRPr="003B533D">
              <w:rPr>
                <w:color w:val="000000"/>
                <w:sz w:val="18"/>
              </w:rPr>
              <w:t>1 523 140</w:t>
            </w:r>
          </w:p>
        </w:tc>
        <w:tc>
          <w:tcPr>
            <w:tcW w:w="518" w:type="pct"/>
            <w:shd w:val="clear" w:color="auto" w:fill="auto"/>
            <w:noWrap/>
            <w:vAlign w:val="center"/>
            <w:hideMark/>
          </w:tcPr>
          <w:p w14:paraId="28643C62" w14:textId="77777777" w:rsidR="00FA35FA" w:rsidRPr="003B533D" w:rsidRDefault="00FA35FA" w:rsidP="00CF6B48">
            <w:pPr>
              <w:jc w:val="center"/>
              <w:rPr>
                <w:color w:val="000000"/>
                <w:sz w:val="18"/>
              </w:rPr>
            </w:pPr>
            <w:r w:rsidRPr="003B533D">
              <w:rPr>
                <w:color w:val="000000"/>
                <w:sz w:val="18"/>
              </w:rPr>
              <w:t>268 790</w:t>
            </w:r>
          </w:p>
        </w:tc>
      </w:tr>
      <w:tr w:rsidR="003C69C5" w:rsidRPr="003B533D" w14:paraId="4509134A" w14:textId="77777777" w:rsidTr="00D14BD5">
        <w:trPr>
          <w:trHeight w:val="615"/>
        </w:trPr>
        <w:tc>
          <w:tcPr>
            <w:tcW w:w="498" w:type="pct"/>
            <w:vMerge/>
            <w:tcBorders>
              <w:left w:val="single" w:sz="4" w:space="0" w:color="auto"/>
              <w:bottom w:val="single" w:sz="4" w:space="0" w:color="auto"/>
            </w:tcBorders>
            <w:vAlign w:val="center"/>
            <w:hideMark/>
          </w:tcPr>
          <w:p w14:paraId="01DEAAFB" w14:textId="77777777" w:rsidR="00FA35FA" w:rsidRPr="003B533D" w:rsidRDefault="00FA35FA" w:rsidP="00CF6B48">
            <w:pPr>
              <w:rPr>
                <w:b/>
                <w:bCs/>
                <w:color w:val="000000"/>
                <w:sz w:val="18"/>
              </w:rPr>
            </w:pPr>
          </w:p>
        </w:tc>
        <w:tc>
          <w:tcPr>
            <w:tcW w:w="395" w:type="pct"/>
            <w:shd w:val="clear" w:color="auto" w:fill="auto"/>
            <w:vAlign w:val="center"/>
            <w:hideMark/>
          </w:tcPr>
          <w:p w14:paraId="56521C79" w14:textId="77777777" w:rsidR="00FA35FA" w:rsidRPr="003B533D" w:rsidRDefault="00FA35FA" w:rsidP="00CF6B48">
            <w:pPr>
              <w:rPr>
                <w:color w:val="000000"/>
                <w:sz w:val="18"/>
              </w:rPr>
            </w:pPr>
            <w:r w:rsidRPr="003B533D">
              <w:rPr>
                <w:color w:val="000000"/>
                <w:sz w:val="18"/>
              </w:rPr>
              <w:t>8.3.3.SAM</w:t>
            </w:r>
          </w:p>
        </w:tc>
        <w:tc>
          <w:tcPr>
            <w:tcW w:w="348" w:type="pct"/>
            <w:shd w:val="clear" w:color="auto" w:fill="auto"/>
            <w:vAlign w:val="center"/>
            <w:hideMark/>
          </w:tcPr>
          <w:p w14:paraId="271B3E21" w14:textId="77777777" w:rsidR="00FA35FA" w:rsidRPr="003B533D" w:rsidRDefault="00FA35FA" w:rsidP="00CF6B48">
            <w:pPr>
              <w:rPr>
                <w:color w:val="000000"/>
                <w:sz w:val="18"/>
              </w:rPr>
            </w:pPr>
            <w:r w:rsidRPr="003B533D">
              <w:rPr>
                <w:color w:val="000000"/>
                <w:sz w:val="18"/>
              </w:rPr>
              <w:t>IZM</w:t>
            </w:r>
          </w:p>
        </w:tc>
        <w:tc>
          <w:tcPr>
            <w:tcW w:w="305" w:type="pct"/>
            <w:shd w:val="clear" w:color="auto" w:fill="auto"/>
            <w:vAlign w:val="center"/>
            <w:hideMark/>
          </w:tcPr>
          <w:p w14:paraId="5B2B3F3E" w14:textId="77777777" w:rsidR="00FA35FA" w:rsidRPr="003B533D" w:rsidRDefault="00FA35FA" w:rsidP="00CF6B48">
            <w:pPr>
              <w:rPr>
                <w:color w:val="000000"/>
                <w:sz w:val="18"/>
              </w:rPr>
            </w:pPr>
            <w:r w:rsidRPr="003B533D">
              <w:rPr>
                <w:color w:val="000000"/>
                <w:sz w:val="18"/>
              </w:rPr>
              <w:t>14.1.1.2.</w:t>
            </w:r>
          </w:p>
        </w:tc>
        <w:tc>
          <w:tcPr>
            <w:tcW w:w="561" w:type="pct"/>
            <w:shd w:val="clear" w:color="auto" w:fill="auto"/>
            <w:vAlign w:val="center"/>
            <w:hideMark/>
          </w:tcPr>
          <w:p w14:paraId="252623C3" w14:textId="77777777" w:rsidR="00FA35FA" w:rsidRPr="003B533D" w:rsidRDefault="00FA35FA" w:rsidP="00CF6B48">
            <w:pPr>
              <w:rPr>
                <w:color w:val="000000"/>
                <w:sz w:val="18"/>
              </w:rPr>
            </w:pPr>
            <w:r w:rsidRPr="003B533D">
              <w:rPr>
                <w:color w:val="000000"/>
                <w:sz w:val="18"/>
              </w:rPr>
              <w:t xml:space="preserve">Atbalsts NEET jauniešiem </w:t>
            </w:r>
          </w:p>
        </w:tc>
        <w:tc>
          <w:tcPr>
            <w:tcW w:w="284" w:type="pct"/>
            <w:shd w:val="clear" w:color="auto" w:fill="auto"/>
            <w:vAlign w:val="center"/>
            <w:hideMark/>
          </w:tcPr>
          <w:p w14:paraId="4336BB71" w14:textId="77777777" w:rsidR="00FA35FA" w:rsidRPr="003B533D" w:rsidRDefault="00FA35FA" w:rsidP="00CF6B48">
            <w:pPr>
              <w:rPr>
                <w:color w:val="000000"/>
                <w:sz w:val="18"/>
              </w:rPr>
            </w:pPr>
            <w:r w:rsidRPr="003B533D">
              <w:rPr>
                <w:color w:val="000000"/>
                <w:sz w:val="18"/>
              </w:rPr>
              <w:t>ESF</w:t>
            </w:r>
          </w:p>
        </w:tc>
        <w:tc>
          <w:tcPr>
            <w:tcW w:w="414" w:type="pct"/>
            <w:shd w:val="clear" w:color="auto" w:fill="auto"/>
            <w:vAlign w:val="center"/>
            <w:hideMark/>
          </w:tcPr>
          <w:p w14:paraId="25C1C275" w14:textId="77777777" w:rsidR="00FA35FA" w:rsidRPr="003B533D" w:rsidRDefault="00FA35FA" w:rsidP="00CF6B48">
            <w:pPr>
              <w:jc w:val="center"/>
              <w:rPr>
                <w:color w:val="000000"/>
                <w:sz w:val="18"/>
              </w:rPr>
            </w:pPr>
            <w:r w:rsidRPr="003B533D">
              <w:rPr>
                <w:color w:val="000000"/>
                <w:sz w:val="18"/>
              </w:rPr>
              <w:t>1 158 029</w:t>
            </w:r>
          </w:p>
        </w:tc>
        <w:tc>
          <w:tcPr>
            <w:tcW w:w="388" w:type="pct"/>
            <w:shd w:val="clear" w:color="auto" w:fill="auto"/>
            <w:noWrap/>
            <w:vAlign w:val="center"/>
            <w:hideMark/>
          </w:tcPr>
          <w:p w14:paraId="154DC545" w14:textId="77777777" w:rsidR="00FA35FA" w:rsidRPr="003B533D" w:rsidRDefault="00FA35FA" w:rsidP="00CF6B48">
            <w:pPr>
              <w:jc w:val="center"/>
              <w:rPr>
                <w:color w:val="000000"/>
                <w:sz w:val="18"/>
              </w:rPr>
            </w:pPr>
            <w:r w:rsidRPr="003B533D">
              <w:rPr>
                <w:color w:val="000000"/>
                <w:sz w:val="18"/>
              </w:rPr>
              <w:t>984 324</w:t>
            </w:r>
          </w:p>
        </w:tc>
        <w:tc>
          <w:tcPr>
            <w:tcW w:w="432" w:type="pct"/>
            <w:shd w:val="clear" w:color="auto" w:fill="auto"/>
            <w:noWrap/>
            <w:vAlign w:val="center"/>
            <w:hideMark/>
          </w:tcPr>
          <w:p w14:paraId="63959579" w14:textId="77777777" w:rsidR="00FA35FA" w:rsidRPr="003B533D" w:rsidRDefault="00FA35FA" w:rsidP="00CF6B48">
            <w:pPr>
              <w:jc w:val="center"/>
              <w:rPr>
                <w:color w:val="000000"/>
                <w:sz w:val="18"/>
              </w:rPr>
            </w:pPr>
            <w:r w:rsidRPr="003B533D">
              <w:rPr>
                <w:color w:val="000000"/>
                <w:sz w:val="18"/>
              </w:rPr>
              <w:t>173 705</w:t>
            </w:r>
          </w:p>
        </w:tc>
        <w:tc>
          <w:tcPr>
            <w:tcW w:w="501" w:type="pct"/>
            <w:shd w:val="clear" w:color="auto" w:fill="auto"/>
            <w:vAlign w:val="center"/>
            <w:hideMark/>
          </w:tcPr>
          <w:p w14:paraId="7C941FA4" w14:textId="77777777" w:rsidR="00FA35FA" w:rsidRPr="003B533D" w:rsidRDefault="00FA35FA" w:rsidP="00CF6B48">
            <w:pPr>
              <w:jc w:val="center"/>
              <w:rPr>
                <w:color w:val="000000"/>
                <w:sz w:val="18"/>
              </w:rPr>
            </w:pPr>
            <w:r w:rsidRPr="003B533D">
              <w:rPr>
                <w:color w:val="000000"/>
                <w:sz w:val="18"/>
              </w:rPr>
              <w:t>341 972</w:t>
            </w:r>
          </w:p>
        </w:tc>
        <w:tc>
          <w:tcPr>
            <w:tcW w:w="356" w:type="pct"/>
            <w:shd w:val="clear" w:color="auto" w:fill="auto"/>
            <w:noWrap/>
            <w:vAlign w:val="center"/>
            <w:hideMark/>
          </w:tcPr>
          <w:p w14:paraId="598ECADE" w14:textId="77777777" w:rsidR="00FA35FA" w:rsidRPr="003B533D" w:rsidRDefault="00FA35FA" w:rsidP="00CF6B48">
            <w:pPr>
              <w:jc w:val="center"/>
              <w:rPr>
                <w:color w:val="000000"/>
                <w:sz w:val="18"/>
              </w:rPr>
            </w:pPr>
            <w:r w:rsidRPr="003B533D">
              <w:rPr>
                <w:color w:val="000000"/>
                <w:sz w:val="18"/>
              </w:rPr>
              <w:t>290 676</w:t>
            </w:r>
          </w:p>
        </w:tc>
        <w:tc>
          <w:tcPr>
            <w:tcW w:w="518" w:type="pct"/>
            <w:shd w:val="clear" w:color="auto" w:fill="auto"/>
            <w:noWrap/>
            <w:vAlign w:val="center"/>
            <w:hideMark/>
          </w:tcPr>
          <w:p w14:paraId="56097CE4" w14:textId="77777777" w:rsidR="00FA35FA" w:rsidRPr="003B533D" w:rsidRDefault="00FA35FA" w:rsidP="00CF6B48">
            <w:pPr>
              <w:jc w:val="center"/>
              <w:rPr>
                <w:color w:val="000000"/>
                <w:sz w:val="18"/>
              </w:rPr>
            </w:pPr>
            <w:r w:rsidRPr="003B533D">
              <w:rPr>
                <w:color w:val="000000"/>
                <w:sz w:val="18"/>
              </w:rPr>
              <w:t>51 296</w:t>
            </w:r>
          </w:p>
        </w:tc>
      </w:tr>
      <w:tr w:rsidR="003C69C5" w:rsidRPr="003B533D" w14:paraId="62426A14" w14:textId="77777777" w:rsidTr="00D14BD5">
        <w:trPr>
          <w:trHeight w:val="615"/>
        </w:trPr>
        <w:tc>
          <w:tcPr>
            <w:tcW w:w="498" w:type="pct"/>
            <w:tcBorders>
              <w:left w:val="single" w:sz="4" w:space="0" w:color="auto"/>
              <w:bottom w:val="single" w:sz="4" w:space="0" w:color="auto"/>
            </w:tcBorders>
            <w:shd w:val="clear" w:color="auto" w:fill="auto"/>
            <w:vAlign w:val="center"/>
            <w:hideMark/>
          </w:tcPr>
          <w:p w14:paraId="0835DD45" w14:textId="77777777" w:rsidR="00FA35FA" w:rsidRPr="003B533D" w:rsidRDefault="00FA35FA" w:rsidP="00CF6B48">
            <w:pPr>
              <w:rPr>
                <w:b/>
                <w:bCs/>
                <w:color w:val="000000"/>
                <w:sz w:val="18"/>
              </w:rPr>
            </w:pPr>
            <w:r w:rsidRPr="003B533D">
              <w:rPr>
                <w:b/>
                <w:bCs/>
                <w:color w:val="000000"/>
                <w:sz w:val="18"/>
              </w:rPr>
              <w:t>14.1.2. Atveseļošanas pasākumi labklājības jomā</w:t>
            </w:r>
          </w:p>
        </w:tc>
        <w:tc>
          <w:tcPr>
            <w:tcW w:w="395" w:type="pct"/>
            <w:shd w:val="clear" w:color="auto" w:fill="auto"/>
            <w:vAlign w:val="center"/>
            <w:hideMark/>
          </w:tcPr>
          <w:p w14:paraId="15765C50" w14:textId="77777777" w:rsidR="00FA35FA" w:rsidRPr="003B533D" w:rsidRDefault="00FA35FA" w:rsidP="00CF6B48">
            <w:pPr>
              <w:rPr>
                <w:color w:val="000000"/>
                <w:sz w:val="18"/>
              </w:rPr>
            </w:pPr>
            <w:r w:rsidRPr="003B533D">
              <w:rPr>
                <w:color w:val="000000"/>
                <w:sz w:val="18"/>
              </w:rPr>
              <w:t>7.1.1. SAM</w:t>
            </w:r>
          </w:p>
        </w:tc>
        <w:tc>
          <w:tcPr>
            <w:tcW w:w="348" w:type="pct"/>
            <w:shd w:val="clear" w:color="auto" w:fill="auto"/>
            <w:vAlign w:val="center"/>
            <w:hideMark/>
          </w:tcPr>
          <w:p w14:paraId="78C01E09" w14:textId="77777777" w:rsidR="00FA35FA" w:rsidRPr="003B533D" w:rsidRDefault="00FA35FA" w:rsidP="00CF6B48">
            <w:pPr>
              <w:rPr>
                <w:color w:val="000000"/>
                <w:sz w:val="18"/>
              </w:rPr>
            </w:pPr>
            <w:r w:rsidRPr="003B533D">
              <w:rPr>
                <w:color w:val="000000"/>
                <w:sz w:val="18"/>
              </w:rPr>
              <w:t>LM</w:t>
            </w:r>
          </w:p>
        </w:tc>
        <w:tc>
          <w:tcPr>
            <w:tcW w:w="305" w:type="pct"/>
            <w:shd w:val="clear" w:color="auto" w:fill="auto"/>
            <w:vAlign w:val="center"/>
            <w:hideMark/>
          </w:tcPr>
          <w:p w14:paraId="7D4D2937" w14:textId="77777777" w:rsidR="00FA35FA" w:rsidRPr="003B533D" w:rsidRDefault="00FA35FA" w:rsidP="00CF6B48">
            <w:pPr>
              <w:rPr>
                <w:color w:val="000000"/>
                <w:sz w:val="18"/>
              </w:rPr>
            </w:pPr>
            <w:r w:rsidRPr="003B533D">
              <w:rPr>
                <w:color w:val="000000"/>
                <w:sz w:val="18"/>
              </w:rPr>
              <w:t>14.1.2.</w:t>
            </w:r>
          </w:p>
        </w:tc>
        <w:tc>
          <w:tcPr>
            <w:tcW w:w="561" w:type="pct"/>
            <w:shd w:val="clear" w:color="auto" w:fill="auto"/>
            <w:vAlign w:val="center"/>
            <w:hideMark/>
          </w:tcPr>
          <w:p w14:paraId="14331D31" w14:textId="77777777" w:rsidR="00FA35FA" w:rsidRPr="003B533D" w:rsidRDefault="00FA35FA" w:rsidP="00CF6B48">
            <w:pPr>
              <w:rPr>
                <w:color w:val="000000"/>
                <w:sz w:val="18"/>
              </w:rPr>
            </w:pPr>
            <w:r w:rsidRPr="003B533D">
              <w:rPr>
                <w:color w:val="000000"/>
                <w:sz w:val="18"/>
              </w:rPr>
              <w:t xml:space="preserve">Nodarbinātības pasākumi </w:t>
            </w:r>
          </w:p>
        </w:tc>
        <w:tc>
          <w:tcPr>
            <w:tcW w:w="284" w:type="pct"/>
            <w:shd w:val="clear" w:color="auto" w:fill="auto"/>
            <w:vAlign w:val="center"/>
            <w:hideMark/>
          </w:tcPr>
          <w:p w14:paraId="07F39E2C" w14:textId="77777777" w:rsidR="00FA35FA" w:rsidRPr="003B533D" w:rsidRDefault="00FA35FA" w:rsidP="00CF6B48">
            <w:pPr>
              <w:rPr>
                <w:color w:val="000000"/>
                <w:sz w:val="18"/>
              </w:rPr>
            </w:pPr>
            <w:r w:rsidRPr="003B533D">
              <w:rPr>
                <w:color w:val="000000"/>
                <w:sz w:val="18"/>
              </w:rPr>
              <w:t>ESF</w:t>
            </w:r>
          </w:p>
        </w:tc>
        <w:tc>
          <w:tcPr>
            <w:tcW w:w="414" w:type="pct"/>
            <w:shd w:val="clear" w:color="auto" w:fill="auto"/>
            <w:vAlign w:val="center"/>
            <w:hideMark/>
          </w:tcPr>
          <w:p w14:paraId="2807A865" w14:textId="77777777" w:rsidR="00FA35FA" w:rsidRPr="003B533D" w:rsidRDefault="00FA35FA" w:rsidP="00CF6B48">
            <w:pPr>
              <w:jc w:val="center"/>
              <w:rPr>
                <w:color w:val="000000"/>
                <w:sz w:val="18"/>
              </w:rPr>
            </w:pPr>
            <w:r w:rsidRPr="003B533D">
              <w:rPr>
                <w:color w:val="000000"/>
                <w:sz w:val="18"/>
              </w:rPr>
              <w:t>12 429 509</w:t>
            </w:r>
          </w:p>
        </w:tc>
        <w:tc>
          <w:tcPr>
            <w:tcW w:w="388" w:type="pct"/>
            <w:shd w:val="clear" w:color="auto" w:fill="auto"/>
            <w:noWrap/>
            <w:vAlign w:val="center"/>
            <w:hideMark/>
          </w:tcPr>
          <w:p w14:paraId="48D3FD30" w14:textId="77777777" w:rsidR="00FA35FA" w:rsidRPr="003B533D" w:rsidRDefault="00FA35FA" w:rsidP="00CF6B48">
            <w:pPr>
              <w:jc w:val="center"/>
              <w:rPr>
                <w:color w:val="000000"/>
                <w:sz w:val="18"/>
              </w:rPr>
            </w:pPr>
            <w:r w:rsidRPr="003B533D">
              <w:rPr>
                <w:color w:val="000000"/>
                <w:sz w:val="18"/>
              </w:rPr>
              <w:t>10 565 082</w:t>
            </w:r>
          </w:p>
        </w:tc>
        <w:tc>
          <w:tcPr>
            <w:tcW w:w="432" w:type="pct"/>
            <w:shd w:val="clear" w:color="auto" w:fill="auto"/>
            <w:noWrap/>
            <w:vAlign w:val="center"/>
            <w:hideMark/>
          </w:tcPr>
          <w:p w14:paraId="07A4F3C1" w14:textId="77777777" w:rsidR="00FA35FA" w:rsidRPr="003B533D" w:rsidRDefault="00FA35FA" w:rsidP="00CF6B48">
            <w:pPr>
              <w:jc w:val="center"/>
              <w:rPr>
                <w:color w:val="000000"/>
                <w:sz w:val="18"/>
              </w:rPr>
            </w:pPr>
            <w:r w:rsidRPr="003B533D">
              <w:rPr>
                <w:color w:val="000000"/>
                <w:sz w:val="18"/>
              </w:rPr>
              <w:t>1 864 427</w:t>
            </w:r>
          </w:p>
        </w:tc>
        <w:tc>
          <w:tcPr>
            <w:tcW w:w="501" w:type="pct"/>
            <w:shd w:val="clear" w:color="auto" w:fill="auto"/>
            <w:vAlign w:val="center"/>
            <w:hideMark/>
          </w:tcPr>
          <w:p w14:paraId="5E27FA5E" w14:textId="77777777" w:rsidR="00FA35FA" w:rsidRPr="003B533D" w:rsidRDefault="00FA35FA" w:rsidP="00CF6B48">
            <w:pPr>
              <w:jc w:val="center"/>
              <w:rPr>
                <w:color w:val="000000"/>
                <w:sz w:val="18"/>
              </w:rPr>
            </w:pPr>
            <w:r w:rsidRPr="003B533D">
              <w:rPr>
                <w:color w:val="000000"/>
                <w:sz w:val="18"/>
              </w:rPr>
              <w:t>3 670 492</w:t>
            </w:r>
          </w:p>
        </w:tc>
        <w:tc>
          <w:tcPr>
            <w:tcW w:w="356" w:type="pct"/>
            <w:shd w:val="clear" w:color="auto" w:fill="auto"/>
            <w:noWrap/>
            <w:vAlign w:val="center"/>
            <w:hideMark/>
          </w:tcPr>
          <w:p w14:paraId="3EBCDE63" w14:textId="77777777" w:rsidR="00FA35FA" w:rsidRPr="003B533D" w:rsidRDefault="00FA35FA" w:rsidP="00CF6B48">
            <w:pPr>
              <w:jc w:val="center"/>
              <w:rPr>
                <w:color w:val="000000"/>
                <w:sz w:val="18"/>
              </w:rPr>
            </w:pPr>
            <w:r w:rsidRPr="003B533D">
              <w:rPr>
                <w:color w:val="000000"/>
                <w:sz w:val="18"/>
              </w:rPr>
              <w:t>3 119 918</w:t>
            </w:r>
          </w:p>
        </w:tc>
        <w:tc>
          <w:tcPr>
            <w:tcW w:w="518" w:type="pct"/>
            <w:shd w:val="clear" w:color="auto" w:fill="auto"/>
            <w:noWrap/>
            <w:vAlign w:val="center"/>
            <w:hideMark/>
          </w:tcPr>
          <w:p w14:paraId="6EAC4791" w14:textId="77777777" w:rsidR="00FA35FA" w:rsidRPr="003B533D" w:rsidRDefault="00FA35FA" w:rsidP="00CF6B48">
            <w:pPr>
              <w:jc w:val="center"/>
              <w:rPr>
                <w:color w:val="000000"/>
                <w:sz w:val="18"/>
              </w:rPr>
            </w:pPr>
            <w:r w:rsidRPr="003B533D">
              <w:rPr>
                <w:color w:val="000000"/>
                <w:sz w:val="18"/>
              </w:rPr>
              <w:t>550 574</w:t>
            </w:r>
          </w:p>
        </w:tc>
      </w:tr>
      <w:tr w:rsidR="003C69C5" w:rsidRPr="003B533D" w14:paraId="03C9EBA7" w14:textId="77777777" w:rsidTr="00D14BD5">
        <w:trPr>
          <w:trHeight w:val="915"/>
        </w:trPr>
        <w:tc>
          <w:tcPr>
            <w:tcW w:w="498" w:type="pct"/>
            <w:tcBorders>
              <w:left w:val="single" w:sz="4" w:space="0" w:color="auto"/>
              <w:bottom w:val="single" w:sz="4" w:space="0" w:color="auto"/>
            </w:tcBorders>
            <w:shd w:val="clear" w:color="auto" w:fill="auto"/>
            <w:vAlign w:val="center"/>
            <w:hideMark/>
          </w:tcPr>
          <w:p w14:paraId="28EC6A64" w14:textId="77777777" w:rsidR="00FA35FA" w:rsidRPr="003B533D" w:rsidRDefault="00FA35FA" w:rsidP="00CF6B48">
            <w:pPr>
              <w:rPr>
                <w:b/>
                <w:bCs/>
                <w:color w:val="000000"/>
                <w:sz w:val="18"/>
              </w:rPr>
            </w:pPr>
            <w:r w:rsidRPr="003B533D">
              <w:rPr>
                <w:b/>
                <w:bCs/>
                <w:color w:val="000000"/>
                <w:sz w:val="18"/>
              </w:rPr>
              <w:t>14.1.3. Atveseļošanas pasākumi veselības nozarē (ESF)</w:t>
            </w:r>
          </w:p>
        </w:tc>
        <w:tc>
          <w:tcPr>
            <w:tcW w:w="395" w:type="pct"/>
            <w:shd w:val="clear" w:color="auto" w:fill="auto"/>
            <w:vAlign w:val="center"/>
            <w:hideMark/>
          </w:tcPr>
          <w:p w14:paraId="10BA521A" w14:textId="77777777" w:rsidR="00FA35FA" w:rsidRPr="003B533D" w:rsidRDefault="00FA35FA" w:rsidP="00CF6B48">
            <w:pPr>
              <w:rPr>
                <w:color w:val="000000"/>
                <w:sz w:val="18"/>
              </w:rPr>
            </w:pPr>
            <w:r w:rsidRPr="003B533D">
              <w:rPr>
                <w:color w:val="000000"/>
                <w:sz w:val="18"/>
              </w:rPr>
              <w:t>9.2.7. SAM</w:t>
            </w:r>
          </w:p>
        </w:tc>
        <w:tc>
          <w:tcPr>
            <w:tcW w:w="348" w:type="pct"/>
            <w:shd w:val="clear" w:color="auto" w:fill="auto"/>
            <w:vAlign w:val="center"/>
            <w:hideMark/>
          </w:tcPr>
          <w:p w14:paraId="56EC65C4" w14:textId="77777777" w:rsidR="00FA35FA" w:rsidRPr="003B533D" w:rsidRDefault="00FA35FA" w:rsidP="00CF6B48">
            <w:pPr>
              <w:rPr>
                <w:color w:val="000000"/>
                <w:sz w:val="18"/>
              </w:rPr>
            </w:pPr>
            <w:r w:rsidRPr="003B533D">
              <w:rPr>
                <w:color w:val="000000"/>
                <w:sz w:val="18"/>
              </w:rPr>
              <w:t>VM</w:t>
            </w:r>
          </w:p>
        </w:tc>
        <w:tc>
          <w:tcPr>
            <w:tcW w:w="305" w:type="pct"/>
            <w:shd w:val="clear" w:color="auto" w:fill="auto"/>
            <w:vAlign w:val="center"/>
            <w:hideMark/>
          </w:tcPr>
          <w:p w14:paraId="4609047E" w14:textId="77777777" w:rsidR="00FA35FA" w:rsidRPr="003B533D" w:rsidRDefault="00FA35FA" w:rsidP="00CF6B48">
            <w:pPr>
              <w:rPr>
                <w:color w:val="000000"/>
                <w:sz w:val="18"/>
              </w:rPr>
            </w:pPr>
            <w:r w:rsidRPr="003B533D">
              <w:rPr>
                <w:color w:val="000000"/>
                <w:sz w:val="18"/>
              </w:rPr>
              <w:t>14.1.3.</w:t>
            </w:r>
          </w:p>
        </w:tc>
        <w:tc>
          <w:tcPr>
            <w:tcW w:w="561" w:type="pct"/>
            <w:shd w:val="clear" w:color="auto" w:fill="auto"/>
            <w:vAlign w:val="center"/>
            <w:hideMark/>
          </w:tcPr>
          <w:p w14:paraId="62FE2C04" w14:textId="77777777" w:rsidR="00FA35FA" w:rsidRPr="003B533D" w:rsidRDefault="00FA35FA" w:rsidP="00CF6B48">
            <w:pPr>
              <w:rPr>
                <w:color w:val="000000"/>
                <w:sz w:val="18"/>
              </w:rPr>
            </w:pPr>
            <w:r w:rsidRPr="003B533D">
              <w:rPr>
                <w:color w:val="000000"/>
                <w:sz w:val="18"/>
              </w:rPr>
              <w:t>Atbalsts ārstniecības personālam (piemaksas par darbu COVID-19 apstākļos)</w:t>
            </w:r>
          </w:p>
        </w:tc>
        <w:tc>
          <w:tcPr>
            <w:tcW w:w="284" w:type="pct"/>
            <w:shd w:val="clear" w:color="auto" w:fill="auto"/>
            <w:vAlign w:val="center"/>
            <w:hideMark/>
          </w:tcPr>
          <w:p w14:paraId="4BEB71EA" w14:textId="77777777" w:rsidR="00FA35FA" w:rsidRPr="003B533D" w:rsidRDefault="00FA35FA" w:rsidP="00CF6B48">
            <w:pPr>
              <w:rPr>
                <w:color w:val="000000"/>
                <w:sz w:val="18"/>
              </w:rPr>
            </w:pPr>
            <w:r w:rsidRPr="003B533D">
              <w:rPr>
                <w:color w:val="000000"/>
                <w:sz w:val="18"/>
              </w:rPr>
              <w:t>ESF</w:t>
            </w:r>
          </w:p>
        </w:tc>
        <w:tc>
          <w:tcPr>
            <w:tcW w:w="414" w:type="pct"/>
            <w:shd w:val="clear" w:color="auto" w:fill="auto"/>
            <w:vAlign w:val="center"/>
            <w:hideMark/>
          </w:tcPr>
          <w:p w14:paraId="227DFD65" w14:textId="77777777" w:rsidR="00FA35FA" w:rsidRPr="003B533D" w:rsidRDefault="00FA35FA" w:rsidP="00CF6B48">
            <w:pPr>
              <w:jc w:val="center"/>
              <w:rPr>
                <w:color w:val="000000"/>
                <w:sz w:val="18"/>
              </w:rPr>
            </w:pPr>
            <w:r w:rsidRPr="003B533D">
              <w:rPr>
                <w:color w:val="000000"/>
                <w:sz w:val="18"/>
              </w:rPr>
              <w:t>4 592 478</w:t>
            </w:r>
          </w:p>
        </w:tc>
        <w:tc>
          <w:tcPr>
            <w:tcW w:w="388" w:type="pct"/>
            <w:shd w:val="clear" w:color="auto" w:fill="auto"/>
            <w:noWrap/>
            <w:vAlign w:val="center"/>
            <w:hideMark/>
          </w:tcPr>
          <w:p w14:paraId="566EC7EF" w14:textId="77777777" w:rsidR="00FA35FA" w:rsidRPr="003B533D" w:rsidRDefault="00FA35FA" w:rsidP="00CF6B48">
            <w:pPr>
              <w:jc w:val="center"/>
              <w:rPr>
                <w:color w:val="000000"/>
                <w:sz w:val="18"/>
              </w:rPr>
            </w:pPr>
            <w:r w:rsidRPr="003B533D">
              <w:rPr>
                <w:color w:val="000000"/>
                <w:sz w:val="18"/>
              </w:rPr>
              <w:t>3 903 606</w:t>
            </w:r>
          </w:p>
        </w:tc>
        <w:tc>
          <w:tcPr>
            <w:tcW w:w="432" w:type="pct"/>
            <w:shd w:val="clear" w:color="auto" w:fill="auto"/>
            <w:noWrap/>
            <w:vAlign w:val="center"/>
            <w:hideMark/>
          </w:tcPr>
          <w:p w14:paraId="72F8F729" w14:textId="77777777" w:rsidR="00FA35FA" w:rsidRPr="003B533D" w:rsidRDefault="00FA35FA" w:rsidP="00CF6B48">
            <w:pPr>
              <w:jc w:val="center"/>
              <w:rPr>
                <w:color w:val="000000"/>
                <w:sz w:val="18"/>
              </w:rPr>
            </w:pPr>
            <w:r w:rsidRPr="003B533D">
              <w:rPr>
                <w:color w:val="000000"/>
                <w:sz w:val="18"/>
              </w:rPr>
              <w:t>688 872</w:t>
            </w:r>
          </w:p>
        </w:tc>
        <w:tc>
          <w:tcPr>
            <w:tcW w:w="501" w:type="pct"/>
            <w:shd w:val="clear" w:color="auto" w:fill="auto"/>
            <w:vAlign w:val="center"/>
            <w:hideMark/>
          </w:tcPr>
          <w:p w14:paraId="542EC9D8" w14:textId="77777777" w:rsidR="00FA35FA" w:rsidRPr="003B533D" w:rsidRDefault="00FA35FA" w:rsidP="00CF6B48">
            <w:pPr>
              <w:jc w:val="center"/>
              <w:rPr>
                <w:color w:val="000000"/>
                <w:sz w:val="18"/>
              </w:rPr>
            </w:pPr>
            <w:r w:rsidRPr="003B533D">
              <w:rPr>
                <w:color w:val="000000"/>
                <w:sz w:val="18"/>
              </w:rPr>
              <w:t>1 356 180</w:t>
            </w:r>
          </w:p>
        </w:tc>
        <w:tc>
          <w:tcPr>
            <w:tcW w:w="356" w:type="pct"/>
            <w:shd w:val="clear" w:color="auto" w:fill="auto"/>
            <w:noWrap/>
            <w:vAlign w:val="center"/>
            <w:hideMark/>
          </w:tcPr>
          <w:p w14:paraId="22023751" w14:textId="77777777" w:rsidR="00FA35FA" w:rsidRPr="003B533D" w:rsidRDefault="00FA35FA" w:rsidP="00CF6B48">
            <w:pPr>
              <w:jc w:val="center"/>
              <w:rPr>
                <w:color w:val="000000"/>
                <w:sz w:val="18"/>
              </w:rPr>
            </w:pPr>
            <w:r w:rsidRPr="003B533D">
              <w:rPr>
                <w:color w:val="000000"/>
                <w:sz w:val="18"/>
              </w:rPr>
              <w:t>1 152 753</w:t>
            </w:r>
          </w:p>
        </w:tc>
        <w:tc>
          <w:tcPr>
            <w:tcW w:w="518" w:type="pct"/>
            <w:shd w:val="clear" w:color="auto" w:fill="auto"/>
            <w:noWrap/>
            <w:vAlign w:val="center"/>
            <w:hideMark/>
          </w:tcPr>
          <w:p w14:paraId="4A10DBB8" w14:textId="77777777" w:rsidR="00FA35FA" w:rsidRPr="003B533D" w:rsidRDefault="00FA35FA" w:rsidP="00CF6B48">
            <w:pPr>
              <w:jc w:val="center"/>
              <w:rPr>
                <w:color w:val="000000"/>
                <w:sz w:val="18"/>
              </w:rPr>
            </w:pPr>
            <w:r w:rsidRPr="003B533D">
              <w:rPr>
                <w:color w:val="000000"/>
                <w:sz w:val="18"/>
              </w:rPr>
              <w:t>203 427</w:t>
            </w:r>
          </w:p>
        </w:tc>
      </w:tr>
      <w:tr w:rsidR="00FA35FA" w:rsidRPr="003B533D" w14:paraId="49B13673" w14:textId="77777777" w:rsidTr="00D14BD5">
        <w:trPr>
          <w:trHeight w:val="585"/>
        </w:trPr>
        <w:tc>
          <w:tcPr>
            <w:tcW w:w="2107" w:type="pct"/>
            <w:gridSpan w:val="5"/>
            <w:tcBorders>
              <w:left w:val="single" w:sz="4" w:space="0" w:color="auto"/>
              <w:bottom w:val="single" w:sz="4" w:space="0" w:color="auto"/>
            </w:tcBorders>
            <w:shd w:val="clear" w:color="auto" w:fill="auto"/>
            <w:vAlign w:val="center"/>
            <w:hideMark/>
          </w:tcPr>
          <w:p w14:paraId="746215EB" w14:textId="77777777" w:rsidR="00FA35FA" w:rsidRPr="003B533D" w:rsidRDefault="00CA3C4B" w:rsidP="00CA3C4B">
            <w:pPr>
              <w:rPr>
                <w:color w:val="000000"/>
                <w:sz w:val="18"/>
              </w:rPr>
            </w:pPr>
            <w:r w:rsidRPr="003B533D">
              <w:rPr>
                <w:color w:val="000000"/>
                <w:sz w:val="18"/>
              </w:rPr>
              <w:t>Darbības programma</w:t>
            </w:r>
            <w:r w:rsidR="000A7FA7" w:rsidRPr="003B533D">
              <w:rPr>
                <w:color w:val="000000"/>
                <w:sz w:val="18"/>
              </w:rPr>
              <w:t xml:space="preserve"> pārtikas un pamata materiālās palīdzības sniegšanai vistrūcīgākajām personām 2014.–2020. gada plānošanas periodā</w:t>
            </w:r>
            <w:r w:rsidRPr="003B533D">
              <w:rPr>
                <w:color w:val="000000"/>
                <w:sz w:val="18"/>
              </w:rPr>
              <w:t xml:space="preserve"> (LM)</w:t>
            </w:r>
            <w:r w:rsidR="00667588" w:rsidRPr="003B533D">
              <w:rPr>
                <w:rStyle w:val="FootnoteReference"/>
                <w:color w:val="000000"/>
                <w:sz w:val="18"/>
              </w:rPr>
              <w:footnoteReference w:id="13"/>
            </w:r>
          </w:p>
        </w:tc>
        <w:tc>
          <w:tcPr>
            <w:tcW w:w="284" w:type="pct"/>
            <w:shd w:val="clear" w:color="auto" w:fill="auto"/>
            <w:vAlign w:val="center"/>
            <w:hideMark/>
          </w:tcPr>
          <w:p w14:paraId="71EFD7AC" w14:textId="77777777" w:rsidR="00FA35FA" w:rsidRPr="003B533D" w:rsidRDefault="00A1258D" w:rsidP="00CF6B48">
            <w:pPr>
              <w:rPr>
                <w:color w:val="000000"/>
                <w:sz w:val="18"/>
              </w:rPr>
            </w:pPr>
            <w:r w:rsidRPr="003B533D">
              <w:rPr>
                <w:color w:val="000000"/>
                <w:sz w:val="18"/>
              </w:rPr>
              <w:t>EAFVP</w:t>
            </w:r>
          </w:p>
        </w:tc>
        <w:tc>
          <w:tcPr>
            <w:tcW w:w="414" w:type="pct"/>
            <w:shd w:val="clear" w:color="auto" w:fill="auto"/>
            <w:vAlign w:val="center"/>
            <w:hideMark/>
          </w:tcPr>
          <w:p w14:paraId="1931D2B4" w14:textId="77777777" w:rsidR="00FA35FA" w:rsidRPr="003B533D" w:rsidRDefault="00FA35FA" w:rsidP="00CF6B48">
            <w:pPr>
              <w:jc w:val="center"/>
              <w:rPr>
                <w:color w:val="000000"/>
                <w:sz w:val="18"/>
              </w:rPr>
            </w:pPr>
            <w:r w:rsidRPr="003B533D">
              <w:rPr>
                <w:color w:val="000000"/>
                <w:sz w:val="18"/>
              </w:rPr>
              <w:t>7 203 976</w:t>
            </w:r>
          </w:p>
        </w:tc>
        <w:tc>
          <w:tcPr>
            <w:tcW w:w="388" w:type="pct"/>
            <w:shd w:val="clear" w:color="auto" w:fill="auto"/>
            <w:noWrap/>
            <w:vAlign w:val="center"/>
            <w:hideMark/>
          </w:tcPr>
          <w:p w14:paraId="276D088D" w14:textId="77777777" w:rsidR="00FA35FA" w:rsidRPr="003B533D" w:rsidRDefault="00FA35FA" w:rsidP="00CF6B48">
            <w:pPr>
              <w:jc w:val="center"/>
              <w:rPr>
                <w:color w:val="000000"/>
                <w:sz w:val="18"/>
              </w:rPr>
            </w:pPr>
            <w:r w:rsidRPr="003B533D">
              <w:rPr>
                <w:color w:val="000000"/>
                <w:sz w:val="18"/>
              </w:rPr>
              <w:t>6 123 379</w:t>
            </w:r>
          </w:p>
        </w:tc>
        <w:tc>
          <w:tcPr>
            <w:tcW w:w="432" w:type="pct"/>
            <w:shd w:val="clear" w:color="auto" w:fill="auto"/>
            <w:noWrap/>
            <w:vAlign w:val="center"/>
            <w:hideMark/>
          </w:tcPr>
          <w:p w14:paraId="1CEDD5CD" w14:textId="77777777" w:rsidR="00FA35FA" w:rsidRPr="003B533D" w:rsidRDefault="00FA35FA" w:rsidP="00CF6B48">
            <w:pPr>
              <w:jc w:val="center"/>
              <w:rPr>
                <w:color w:val="000000"/>
                <w:sz w:val="18"/>
              </w:rPr>
            </w:pPr>
            <w:r w:rsidRPr="003B533D">
              <w:rPr>
                <w:color w:val="000000"/>
                <w:sz w:val="18"/>
              </w:rPr>
              <w:t>1 080 597</w:t>
            </w:r>
          </w:p>
        </w:tc>
        <w:tc>
          <w:tcPr>
            <w:tcW w:w="501" w:type="pct"/>
            <w:shd w:val="clear" w:color="auto" w:fill="auto"/>
            <w:vAlign w:val="center"/>
            <w:hideMark/>
          </w:tcPr>
          <w:p w14:paraId="6B2FE55F" w14:textId="406417C8" w:rsidR="00FA35FA" w:rsidRPr="003B533D" w:rsidRDefault="00FA35FA" w:rsidP="00D42DED">
            <w:pPr>
              <w:jc w:val="center"/>
              <w:rPr>
                <w:color w:val="000000"/>
                <w:sz w:val="18"/>
              </w:rPr>
            </w:pPr>
            <w:r w:rsidRPr="003B533D">
              <w:rPr>
                <w:color w:val="000000"/>
                <w:sz w:val="18"/>
              </w:rPr>
              <w:t>2 127 36</w:t>
            </w:r>
            <w:r w:rsidR="00D42DED" w:rsidRPr="003B533D">
              <w:rPr>
                <w:color w:val="000000"/>
                <w:sz w:val="18"/>
              </w:rPr>
              <w:t>7</w:t>
            </w:r>
          </w:p>
        </w:tc>
        <w:tc>
          <w:tcPr>
            <w:tcW w:w="356" w:type="pct"/>
            <w:shd w:val="clear" w:color="auto" w:fill="auto"/>
            <w:noWrap/>
            <w:vAlign w:val="center"/>
            <w:hideMark/>
          </w:tcPr>
          <w:p w14:paraId="277F6DCA" w14:textId="77777777" w:rsidR="00FA35FA" w:rsidRPr="003B533D" w:rsidRDefault="00FA35FA" w:rsidP="00CF6B48">
            <w:pPr>
              <w:jc w:val="center"/>
              <w:rPr>
                <w:color w:val="000000"/>
                <w:sz w:val="18"/>
              </w:rPr>
            </w:pPr>
            <w:r w:rsidRPr="003B533D">
              <w:rPr>
                <w:color w:val="000000"/>
                <w:sz w:val="18"/>
              </w:rPr>
              <w:t>1 808 262</w:t>
            </w:r>
          </w:p>
        </w:tc>
        <w:tc>
          <w:tcPr>
            <w:tcW w:w="518" w:type="pct"/>
            <w:shd w:val="clear" w:color="auto" w:fill="auto"/>
            <w:noWrap/>
            <w:vAlign w:val="center"/>
            <w:hideMark/>
          </w:tcPr>
          <w:p w14:paraId="5EA3B705" w14:textId="5AF13224" w:rsidR="00FA35FA" w:rsidRPr="003B533D" w:rsidRDefault="00FA35FA" w:rsidP="00CF6B48">
            <w:pPr>
              <w:jc w:val="center"/>
              <w:rPr>
                <w:color w:val="000000"/>
                <w:sz w:val="18"/>
              </w:rPr>
            </w:pPr>
            <w:r w:rsidRPr="003B533D">
              <w:rPr>
                <w:color w:val="000000"/>
                <w:sz w:val="18"/>
              </w:rPr>
              <w:t>319 10</w:t>
            </w:r>
            <w:r w:rsidR="00D42DED" w:rsidRPr="003B533D">
              <w:rPr>
                <w:color w:val="000000"/>
                <w:sz w:val="18"/>
              </w:rPr>
              <w:t>5</w:t>
            </w:r>
          </w:p>
        </w:tc>
      </w:tr>
      <w:tr w:rsidR="00FA35FA" w:rsidRPr="003B533D" w14:paraId="434A651E" w14:textId="77777777" w:rsidTr="00D14BD5">
        <w:trPr>
          <w:trHeight w:val="315"/>
        </w:trPr>
        <w:tc>
          <w:tcPr>
            <w:tcW w:w="2107" w:type="pct"/>
            <w:gridSpan w:val="5"/>
            <w:vMerge w:val="restart"/>
            <w:shd w:val="clear" w:color="auto" w:fill="auto"/>
            <w:vAlign w:val="center"/>
          </w:tcPr>
          <w:p w14:paraId="2E82A861" w14:textId="77777777" w:rsidR="00FA35FA" w:rsidRPr="003B533D" w:rsidRDefault="00FA35FA" w:rsidP="00CF6B48">
            <w:pPr>
              <w:rPr>
                <w:sz w:val="18"/>
                <w:szCs w:val="20"/>
              </w:rPr>
            </w:pPr>
          </w:p>
        </w:tc>
        <w:tc>
          <w:tcPr>
            <w:tcW w:w="284" w:type="pct"/>
            <w:shd w:val="clear" w:color="auto" w:fill="auto"/>
            <w:noWrap/>
            <w:vAlign w:val="bottom"/>
            <w:hideMark/>
          </w:tcPr>
          <w:p w14:paraId="65825978" w14:textId="77777777" w:rsidR="00FA35FA" w:rsidRPr="003B533D" w:rsidRDefault="00FA35FA" w:rsidP="00CF6B48">
            <w:pPr>
              <w:jc w:val="right"/>
              <w:rPr>
                <w:b/>
                <w:bCs/>
                <w:color w:val="000000"/>
                <w:sz w:val="18"/>
              </w:rPr>
            </w:pPr>
            <w:r w:rsidRPr="003B533D">
              <w:rPr>
                <w:b/>
                <w:bCs/>
                <w:color w:val="000000"/>
                <w:sz w:val="18"/>
              </w:rPr>
              <w:t>Kopā</w:t>
            </w:r>
          </w:p>
        </w:tc>
        <w:tc>
          <w:tcPr>
            <w:tcW w:w="414" w:type="pct"/>
            <w:shd w:val="clear" w:color="auto" w:fill="auto"/>
            <w:noWrap/>
            <w:vAlign w:val="bottom"/>
            <w:hideMark/>
          </w:tcPr>
          <w:p w14:paraId="54AF2E54" w14:textId="77777777" w:rsidR="00FA35FA" w:rsidRPr="003B533D" w:rsidRDefault="00FA35FA" w:rsidP="00CF6B48">
            <w:pPr>
              <w:jc w:val="right"/>
              <w:rPr>
                <w:color w:val="000000"/>
                <w:sz w:val="18"/>
              </w:rPr>
            </w:pPr>
            <w:r w:rsidRPr="003B533D">
              <w:rPr>
                <w:color w:val="000000"/>
                <w:sz w:val="18"/>
              </w:rPr>
              <w:t>247 046 137</w:t>
            </w:r>
          </w:p>
        </w:tc>
        <w:tc>
          <w:tcPr>
            <w:tcW w:w="388" w:type="pct"/>
            <w:shd w:val="clear" w:color="auto" w:fill="auto"/>
            <w:noWrap/>
            <w:vAlign w:val="bottom"/>
            <w:hideMark/>
          </w:tcPr>
          <w:p w14:paraId="5F912F45" w14:textId="77777777" w:rsidR="00FA35FA" w:rsidRPr="003B533D" w:rsidRDefault="00FA35FA" w:rsidP="00CF6B48">
            <w:pPr>
              <w:jc w:val="right"/>
              <w:rPr>
                <w:b/>
                <w:color w:val="000000"/>
                <w:sz w:val="18"/>
              </w:rPr>
            </w:pPr>
            <w:r w:rsidRPr="003B533D">
              <w:rPr>
                <w:b/>
                <w:color w:val="000000"/>
                <w:sz w:val="18"/>
              </w:rPr>
              <w:t>209 989 210</w:t>
            </w:r>
          </w:p>
        </w:tc>
        <w:tc>
          <w:tcPr>
            <w:tcW w:w="432" w:type="pct"/>
            <w:shd w:val="clear" w:color="auto" w:fill="auto"/>
            <w:noWrap/>
            <w:vAlign w:val="bottom"/>
            <w:hideMark/>
          </w:tcPr>
          <w:p w14:paraId="5FCF5357" w14:textId="77777777" w:rsidR="00FA35FA" w:rsidRPr="003B533D" w:rsidRDefault="00FA35FA" w:rsidP="00CF6B48">
            <w:pPr>
              <w:jc w:val="right"/>
              <w:rPr>
                <w:color w:val="000000"/>
                <w:sz w:val="18"/>
              </w:rPr>
            </w:pPr>
            <w:r w:rsidRPr="003B533D">
              <w:rPr>
                <w:color w:val="000000"/>
                <w:sz w:val="18"/>
              </w:rPr>
              <w:t>37 056 927</w:t>
            </w:r>
          </w:p>
        </w:tc>
        <w:tc>
          <w:tcPr>
            <w:tcW w:w="501" w:type="pct"/>
            <w:shd w:val="clear" w:color="auto" w:fill="auto"/>
            <w:noWrap/>
            <w:vAlign w:val="bottom"/>
            <w:hideMark/>
          </w:tcPr>
          <w:p w14:paraId="2FBD1250" w14:textId="721D6ACA" w:rsidR="00FA35FA" w:rsidRPr="003B533D" w:rsidRDefault="00FA35FA" w:rsidP="00CF6B48">
            <w:pPr>
              <w:jc w:val="right"/>
              <w:rPr>
                <w:color w:val="000000"/>
                <w:sz w:val="18"/>
              </w:rPr>
            </w:pPr>
            <w:r w:rsidRPr="003B533D">
              <w:rPr>
                <w:color w:val="000000"/>
                <w:sz w:val="18"/>
              </w:rPr>
              <w:t>72 953 87</w:t>
            </w:r>
            <w:r w:rsidR="007D428D" w:rsidRPr="003B533D">
              <w:rPr>
                <w:color w:val="000000"/>
                <w:sz w:val="18"/>
              </w:rPr>
              <w:t>6</w:t>
            </w:r>
            <w:r w:rsidR="00406974" w:rsidRPr="003B533D">
              <w:rPr>
                <w:color w:val="000000"/>
                <w:sz w:val="18"/>
              </w:rPr>
              <w:t>4</w:t>
            </w:r>
          </w:p>
        </w:tc>
        <w:tc>
          <w:tcPr>
            <w:tcW w:w="356" w:type="pct"/>
            <w:shd w:val="clear" w:color="auto" w:fill="auto"/>
            <w:noWrap/>
            <w:vAlign w:val="bottom"/>
            <w:hideMark/>
          </w:tcPr>
          <w:p w14:paraId="03745B83" w14:textId="77777777" w:rsidR="00FA35FA" w:rsidRPr="003B533D" w:rsidRDefault="00FA35FA" w:rsidP="00CF6B48">
            <w:pPr>
              <w:jc w:val="right"/>
              <w:rPr>
                <w:b/>
                <w:color w:val="000000"/>
                <w:sz w:val="18"/>
              </w:rPr>
            </w:pPr>
            <w:r w:rsidRPr="003B533D">
              <w:rPr>
                <w:b/>
                <w:color w:val="000000"/>
                <w:sz w:val="18"/>
              </w:rPr>
              <w:t>62 010 790</w:t>
            </w:r>
          </w:p>
        </w:tc>
        <w:tc>
          <w:tcPr>
            <w:tcW w:w="518" w:type="pct"/>
            <w:shd w:val="clear" w:color="auto" w:fill="auto"/>
            <w:noWrap/>
            <w:vAlign w:val="bottom"/>
            <w:hideMark/>
          </w:tcPr>
          <w:p w14:paraId="21E758E7" w14:textId="6D96ADCF" w:rsidR="00FA35FA" w:rsidRPr="003B533D" w:rsidRDefault="00FA35FA" w:rsidP="00CF6B48">
            <w:pPr>
              <w:jc w:val="right"/>
              <w:rPr>
                <w:color w:val="000000"/>
                <w:sz w:val="18"/>
              </w:rPr>
            </w:pPr>
            <w:r w:rsidRPr="003B533D">
              <w:rPr>
                <w:color w:val="000000"/>
                <w:sz w:val="18"/>
              </w:rPr>
              <w:t>10 943 08</w:t>
            </w:r>
            <w:r w:rsidR="007D428D" w:rsidRPr="003B533D">
              <w:rPr>
                <w:color w:val="000000"/>
                <w:sz w:val="18"/>
              </w:rPr>
              <w:t>6</w:t>
            </w:r>
          </w:p>
        </w:tc>
      </w:tr>
      <w:tr w:rsidR="00FA35FA" w:rsidRPr="003B533D" w14:paraId="28BCAAE5" w14:textId="77777777" w:rsidTr="00D14BD5">
        <w:trPr>
          <w:trHeight w:val="735"/>
        </w:trPr>
        <w:tc>
          <w:tcPr>
            <w:tcW w:w="2107" w:type="pct"/>
            <w:gridSpan w:val="5"/>
            <w:vMerge/>
            <w:shd w:val="clear" w:color="auto" w:fill="auto"/>
            <w:vAlign w:val="center"/>
            <w:hideMark/>
          </w:tcPr>
          <w:p w14:paraId="18160984" w14:textId="77777777" w:rsidR="00FA35FA" w:rsidRPr="003B533D" w:rsidRDefault="00FA35FA" w:rsidP="00CF6B48">
            <w:pPr>
              <w:rPr>
                <w:sz w:val="18"/>
                <w:szCs w:val="20"/>
              </w:rPr>
            </w:pPr>
          </w:p>
        </w:tc>
        <w:tc>
          <w:tcPr>
            <w:tcW w:w="284" w:type="pct"/>
            <w:shd w:val="clear" w:color="auto" w:fill="auto"/>
            <w:noWrap/>
            <w:vAlign w:val="bottom"/>
            <w:hideMark/>
          </w:tcPr>
          <w:p w14:paraId="2077C9B9" w14:textId="77777777" w:rsidR="00FA35FA" w:rsidRPr="003B533D" w:rsidRDefault="00FA35FA" w:rsidP="00CF6B48">
            <w:pPr>
              <w:jc w:val="right"/>
              <w:rPr>
                <w:b/>
                <w:bCs/>
                <w:color w:val="000000"/>
                <w:sz w:val="18"/>
              </w:rPr>
            </w:pPr>
            <w:r w:rsidRPr="003B533D">
              <w:rPr>
                <w:b/>
                <w:bCs/>
                <w:color w:val="000000"/>
                <w:sz w:val="18"/>
              </w:rPr>
              <w:t>ERAF</w:t>
            </w:r>
          </w:p>
        </w:tc>
        <w:tc>
          <w:tcPr>
            <w:tcW w:w="414" w:type="pct"/>
            <w:shd w:val="clear" w:color="auto" w:fill="auto"/>
            <w:noWrap/>
            <w:vAlign w:val="bottom"/>
            <w:hideMark/>
          </w:tcPr>
          <w:p w14:paraId="2E827D99" w14:textId="77777777" w:rsidR="00FA35FA" w:rsidRPr="003B533D" w:rsidRDefault="00FA35FA" w:rsidP="00CF6B48">
            <w:pPr>
              <w:jc w:val="right"/>
              <w:rPr>
                <w:color w:val="000000"/>
                <w:sz w:val="18"/>
              </w:rPr>
            </w:pPr>
            <w:r w:rsidRPr="003B533D">
              <w:rPr>
                <w:color w:val="000000"/>
                <w:sz w:val="18"/>
              </w:rPr>
              <w:t>215 594 074</w:t>
            </w:r>
          </w:p>
        </w:tc>
        <w:tc>
          <w:tcPr>
            <w:tcW w:w="388" w:type="pct"/>
            <w:shd w:val="clear" w:color="auto" w:fill="auto"/>
            <w:noWrap/>
            <w:vAlign w:val="bottom"/>
            <w:hideMark/>
          </w:tcPr>
          <w:p w14:paraId="5F1923AF" w14:textId="77777777" w:rsidR="00FA35FA" w:rsidRPr="003B533D" w:rsidRDefault="00FA35FA" w:rsidP="00CF6B48">
            <w:pPr>
              <w:jc w:val="right"/>
              <w:rPr>
                <w:color w:val="000000"/>
                <w:sz w:val="18"/>
              </w:rPr>
            </w:pPr>
            <w:r w:rsidRPr="003B533D">
              <w:rPr>
                <w:color w:val="000000"/>
                <w:sz w:val="18"/>
              </w:rPr>
              <w:t>183 254 959</w:t>
            </w:r>
          </w:p>
        </w:tc>
        <w:tc>
          <w:tcPr>
            <w:tcW w:w="432" w:type="pct"/>
            <w:shd w:val="clear" w:color="auto" w:fill="auto"/>
            <w:noWrap/>
            <w:vAlign w:val="bottom"/>
            <w:hideMark/>
          </w:tcPr>
          <w:p w14:paraId="627AC6E4" w14:textId="77777777" w:rsidR="00FA35FA" w:rsidRPr="003B533D" w:rsidRDefault="00FA35FA" w:rsidP="00CF6B48">
            <w:pPr>
              <w:jc w:val="right"/>
              <w:rPr>
                <w:color w:val="000000"/>
                <w:sz w:val="18"/>
              </w:rPr>
            </w:pPr>
            <w:r w:rsidRPr="003B533D">
              <w:rPr>
                <w:color w:val="000000"/>
                <w:sz w:val="18"/>
              </w:rPr>
              <w:t>32 339 115</w:t>
            </w:r>
          </w:p>
        </w:tc>
        <w:tc>
          <w:tcPr>
            <w:tcW w:w="501" w:type="pct"/>
            <w:shd w:val="clear" w:color="auto" w:fill="auto"/>
            <w:noWrap/>
            <w:vAlign w:val="bottom"/>
            <w:hideMark/>
          </w:tcPr>
          <w:p w14:paraId="1B2CFC43" w14:textId="77777777" w:rsidR="00FA35FA" w:rsidRPr="003B533D" w:rsidRDefault="00FA35FA" w:rsidP="00CF6B48">
            <w:pPr>
              <w:jc w:val="right"/>
              <w:rPr>
                <w:color w:val="000000"/>
                <w:sz w:val="18"/>
              </w:rPr>
            </w:pPr>
            <w:r w:rsidRPr="003B533D">
              <w:rPr>
                <w:color w:val="000000"/>
                <w:sz w:val="18"/>
              </w:rPr>
              <w:t>63 665 935</w:t>
            </w:r>
          </w:p>
        </w:tc>
        <w:tc>
          <w:tcPr>
            <w:tcW w:w="356" w:type="pct"/>
            <w:shd w:val="clear" w:color="auto" w:fill="auto"/>
            <w:noWrap/>
            <w:vAlign w:val="bottom"/>
            <w:hideMark/>
          </w:tcPr>
          <w:p w14:paraId="27D64B3E" w14:textId="77777777" w:rsidR="00FA35FA" w:rsidRPr="003B533D" w:rsidRDefault="00FA35FA" w:rsidP="00CF6B48">
            <w:pPr>
              <w:jc w:val="right"/>
              <w:rPr>
                <w:color w:val="000000"/>
                <w:sz w:val="18"/>
              </w:rPr>
            </w:pPr>
            <w:r w:rsidRPr="003B533D">
              <w:rPr>
                <w:color w:val="000000"/>
                <w:sz w:val="18"/>
              </w:rPr>
              <w:t>54 116 041</w:t>
            </w:r>
          </w:p>
        </w:tc>
        <w:tc>
          <w:tcPr>
            <w:tcW w:w="518" w:type="pct"/>
            <w:shd w:val="clear" w:color="auto" w:fill="auto"/>
            <w:noWrap/>
            <w:vAlign w:val="bottom"/>
            <w:hideMark/>
          </w:tcPr>
          <w:p w14:paraId="63114623" w14:textId="77777777" w:rsidR="00FA35FA" w:rsidRPr="003B533D" w:rsidRDefault="00FA35FA" w:rsidP="00CF6B48">
            <w:pPr>
              <w:jc w:val="right"/>
              <w:rPr>
                <w:color w:val="000000"/>
                <w:sz w:val="18"/>
              </w:rPr>
            </w:pPr>
            <w:r w:rsidRPr="003B533D">
              <w:rPr>
                <w:color w:val="000000"/>
                <w:sz w:val="18"/>
              </w:rPr>
              <w:t>9 549 894</w:t>
            </w:r>
          </w:p>
        </w:tc>
      </w:tr>
      <w:tr w:rsidR="00FA35FA" w:rsidRPr="003B533D" w14:paraId="4214BA96" w14:textId="77777777" w:rsidTr="00D14BD5">
        <w:trPr>
          <w:trHeight w:val="315"/>
        </w:trPr>
        <w:tc>
          <w:tcPr>
            <w:tcW w:w="2107" w:type="pct"/>
            <w:gridSpan w:val="5"/>
            <w:vMerge/>
            <w:shd w:val="clear" w:color="auto" w:fill="auto"/>
            <w:vAlign w:val="center"/>
            <w:hideMark/>
          </w:tcPr>
          <w:p w14:paraId="68F4E888" w14:textId="77777777" w:rsidR="00FA35FA" w:rsidRPr="003B533D" w:rsidRDefault="00FA35FA" w:rsidP="00CF6B48">
            <w:pPr>
              <w:rPr>
                <w:sz w:val="18"/>
                <w:szCs w:val="20"/>
              </w:rPr>
            </w:pPr>
          </w:p>
        </w:tc>
        <w:tc>
          <w:tcPr>
            <w:tcW w:w="284" w:type="pct"/>
            <w:tcBorders>
              <w:bottom w:val="single" w:sz="4" w:space="0" w:color="auto"/>
            </w:tcBorders>
            <w:shd w:val="clear" w:color="auto" w:fill="auto"/>
            <w:noWrap/>
            <w:vAlign w:val="bottom"/>
            <w:hideMark/>
          </w:tcPr>
          <w:p w14:paraId="1689A557" w14:textId="77777777" w:rsidR="00FA35FA" w:rsidRPr="003B533D" w:rsidRDefault="00FA35FA" w:rsidP="00CF6B48">
            <w:pPr>
              <w:jc w:val="right"/>
              <w:rPr>
                <w:b/>
                <w:bCs/>
                <w:color w:val="000000"/>
                <w:sz w:val="18"/>
              </w:rPr>
            </w:pPr>
            <w:r w:rsidRPr="003B533D">
              <w:rPr>
                <w:b/>
                <w:bCs/>
                <w:color w:val="000000"/>
                <w:sz w:val="18"/>
              </w:rPr>
              <w:t>ESF</w:t>
            </w:r>
          </w:p>
        </w:tc>
        <w:tc>
          <w:tcPr>
            <w:tcW w:w="414" w:type="pct"/>
            <w:tcBorders>
              <w:bottom w:val="single" w:sz="4" w:space="0" w:color="auto"/>
            </w:tcBorders>
            <w:shd w:val="clear" w:color="auto" w:fill="auto"/>
            <w:noWrap/>
            <w:vAlign w:val="bottom"/>
            <w:hideMark/>
          </w:tcPr>
          <w:p w14:paraId="3998BEB7" w14:textId="77777777" w:rsidR="00FA35FA" w:rsidRPr="003B533D" w:rsidRDefault="00FA35FA" w:rsidP="00CF6B48">
            <w:pPr>
              <w:jc w:val="right"/>
              <w:rPr>
                <w:color w:val="000000"/>
                <w:sz w:val="18"/>
              </w:rPr>
            </w:pPr>
            <w:r w:rsidRPr="003B533D">
              <w:rPr>
                <w:color w:val="000000"/>
                <w:sz w:val="18"/>
              </w:rPr>
              <w:t>24 248 087</w:t>
            </w:r>
          </w:p>
        </w:tc>
        <w:tc>
          <w:tcPr>
            <w:tcW w:w="388" w:type="pct"/>
            <w:tcBorders>
              <w:bottom w:val="single" w:sz="4" w:space="0" w:color="auto"/>
            </w:tcBorders>
            <w:shd w:val="clear" w:color="auto" w:fill="auto"/>
            <w:noWrap/>
            <w:vAlign w:val="bottom"/>
            <w:hideMark/>
          </w:tcPr>
          <w:p w14:paraId="33D95097" w14:textId="77777777" w:rsidR="00FA35FA" w:rsidRPr="003B533D" w:rsidRDefault="00FA35FA" w:rsidP="00CF6B48">
            <w:pPr>
              <w:jc w:val="right"/>
              <w:rPr>
                <w:color w:val="000000"/>
                <w:sz w:val="18"/>
              </w:rPr>
            </w:pPr>
            <w:r w:rsidRPr="003B533D">
              <w:rPr>
                <w:color w:val="000000"/>
                <w:sz w:val="18"/>
              </w:rPr>
              <w:t>20 610 872</w:t>
            </w:r>
          </w:p>
        </w:tc>
        <w:tc>
          <w:tcPr>
            <w:tcW w:w="432" w:type="pct"/>
            <w:tcBorders>
              <w:bottom w:val="single" w:sz="4" w:space="0" w:color="auto"/>
            </w:tcBorders>
            <w:shd w:val="clear" w:color="auto" w:fill="auto"/>
            <w:noWrap/>
            <w:vAlign w:val="bottom"/>
            <w:hideMark/>
          </w:tcPr>
          <w:p w14:paraId="32F59017" w14:textId="77777777" w:rsidR="00FA35FA" w:rsidRPr="003B533D" w:rsidRDefault="00FA35FA" w:rsidP="00CF6B48">
            <w:pPr>
              <w:jc w:val="right"/>
              <w:rPr>
                <w:color w:val="000000"/>
                <w:sz w:val="18"/>
              </w:rPr>
            </w:pPr>
            <w:r w:rsidRPr="003B533D">
              <w:rPr>
                <w:color w:val="000000"/>
                <w:sz w:val="18"/>
              </w:rPr>
              <w:t>3 637 215</w:t>
            </w:r>
          </w:p>
        </w:tc>
        <w:tc>
          <w:tcPr>
            <w:tcW w:w="501" w:type="pct"/>
            <w:tcBorders>
              <w:bottom w:val="single" w:sz="4" w:space="0" w:color="auto"/>
            </w:tcBorders>
            <w:shd w:val="clear" w:color="auto" w:fill="auto"/>
            <w:noWrap/>
            <w:vAlign w:val="bottom"/>
            <w:hideMark/>
          </w:tcPr>
          <w:p w14:paraId="11A59707" w14:textId="77777777" w:rsidR="00FA35FA" w:rsidRPr="003B533D" w:rsidRDefault="00FA35FA" w:rsidP="00CF6B48">
            <w:pPr>
              <w:jc w:val="right"/>
              <w:rPr>
                <w:color w:val="000000"/>
                <w:sz w:val="18"/>
              </w:rPr>
            </w:pPr>
            <w:r w:rsidRPr="003B533D">
              <w:rPr>
                <w:color w:val="000000"/>
                <w:sz w:val="18"/>
              </w:rPr>
              <w:t>7 160 574</w:t>
            </w:r>
          </w:p>
        </w:tc>
        <w:tc>
          <w:tcPr>
            <w:tcW w:w="356" w:type="pct"/>
            <w:tcBorders>
              <w:bottom w:val="single" w:sz="4" w:space="0" w:color="auto"/>
            </w:tcBorders>
            <w:shd w:val="clear" w:color="auto" w:fill="auto"/>
            <w:noWrap/>
            <w:vAlign w:val="bottom"/>
            <w:hideMark/>
          </w:tcPr>
          <w:p w14:paraId="189FA4C3" w14:textId="77777777" w:rsidR="00FA35FA" w:rsidRPr="003B533D" w:rsidRDefault="00FA35FA" w:rsidP="00CF6B48">
            <w:pPr>
              <w:jc w:val="right"/>
              <w:rPr>
                <w:color w:val="000000"/>
                <w:sz w:val="18"/>
              </w:rPr>
            </w:pPr>
            <w:r w:rsidRPr="003B533D">
              <w:rPr>
                <w:color w:val="000000"/>
                <w:sz w:val="18"/>
              </w:rPr>
              <w:t>6 086 487</w:t>
            </w:r>
          </w:p>
        </w:tc>
        <w:tc>
          <w:tcPr>
            <w:tcW w:w="518" w:type="pct"/>
            <w:tcBorders>
              <w:bottom w:val="single" w:sz="4" w:space="0" w:color="auto"/>
            </w:tcBorders>
            <w:shd w:val="clear" w:color="auto" w:fill="auto"/>
            <w:noWrap/>
            <w:vAlign w:val="bottom"/>
            <w:hideMark/>
          </w:tcPr>
          <w:p w14:paraId="3F808FAD" w14:textId="77777777" w:rsidR="00FA35FA" w:rsidRPr="003B533D" w:rsidRDefault="00FA35FA" w:rsidP="00CF6B48">
            <w:pPr>
              <w:jc w:val="right"/>
              <w:rPr>
                <w:color w:val="000000"/>
                <w:sz w:val="18"/>
              </w:rPr>
            </w:pPr>
            <w:r w:rsidRPr="003B533D">
              <w:rPr>
                <w:color w:val="000000"/>
                <w:sz w:val="18"/>
              </w:rPr>
              <w:t>1 074 087</w:t>
            </w:r>
          </w:p>
        </w:tc>
      </w:tr>
      <w:tr w:rsidR="00FA35FA" w:rsidRPr="00DF3670" w14:paraId="5D5B1551" w14:textId="77777777" w:rsidTr="00D14BD5">
        <w:trPr>
          <w:trHeight w:val="315"/>
        </w:trPr>
        <w:tc>
          <w:tcPr>
            <w:tcW w:w="2107" w:type="pct"/>
            <w:gridSpan w:val="5"/>
            <w:vMerge/>
            <w:shd w:val="clear" w:color="auto" w:fill="auto"/>
            <w:vAlign w:val="center"/>
            <w:hideMark/>
          </w:tcPr>
          <w:p w14:paraId="3046E50F" w14:textId="77777777" w:rsidR="00FA35FA" w:rsidRPr="003B533D" w:rsidRDefault="00FA35FA" w:rsidP="00CF6B48">
            <w:pPr>
              <w:rPr>
                <w:sz w:val="18"/>
                <w:szCs w:val="20"/>
              </w:rPr>
            </w:pPr>
          </w:p>
        </w:tc>
        <w:tc>
          <w:tcPr>
            <w:tcW w:w="284" w:type="pct"/>
            <w:tcBorders>
              <w:bottom w:val="single" w:sz="4" w:space="0" w:color="auto"/>
            </w:tcBorders>
            <w:shd w:val="clear" w:color="auto" w:fill="auto"/>
            <w:noWrap/>
            <w:vAlign w:val="bottom"/>
            <w:hideMark/>
          </w:tcPr>
          <w:p w14:paraId="2ACE3EC0" w14:textId="77777777" w:rsidR="00FA35FA" w:rsidRPr="003B533D" w:rsidRDefault="00A1258D" w:rsidP="00CF6B48">
            <w:pPr>
              <w:jc w:val="right"/>
              <w:rPr>
                <w:b/>
                <w:bCs/>
                <w:color w:val="000000"/>
                <w:sz w:val="18"/>
              </w:rPr>
            </w:pPr>
            <w:r w:rsidRPr="003B533D">
              <w:rPr>
                <w:b/>
                <w:bCs/>
                <w:color w:val="000000"/>
                <w:sz w:val="18"/>
              </w:rPr>
              <w:t>EAFVP</w:t>
            </w:r>
          </w:p>
        </w:tc>
        <w:tc>
          <w:tcPr>
            <w:tcW w:w="414" w:type="pct"/>
            <w:tcBorders>
              <w:bottom w:val="single" w:sz="4" w:space="0" w:color="auto"/>
            </w:tcBorders>
            <w:shd w:val="clear" w:color="auto" w:fill="auto"/>
            <w:noWrap/>
            <w:vAlign w:val="bottom"/>
            <w:hideMark/>
          </w:tcPr>
          <w:p w14:paraId="454A1E79" w14:textId="77777777" w:rsidR="00FA35FA" w:rsidRPr="003B533D" w:rsidRDefault="00FA35FA" w:rsidP="00CF6B48">
            <w:pPr>
              <w:jc w:val="right"/>
              <w:rPr>
                <w:color w:val="000000"/>
                <w:sz w:val="18"/>
              </w:rPr>
            </w:pPr>
            <w:r w:rsidRPr="003B533D">
              <w:rPr>
                <w:color w:val="000000"/>
                <w:sz w:val="18"/>
              </w:rPr>
              <w:t>7 203 976</w:t>
            </w:r>
          </w:p>
        </w:tc>
        <w:tc>
          <w:tcPr>
            <w:tcW w:w="388" w:type="pct"/>
            <w:tcBorders>
              <w:bottom w:val="single" w:sz="4" w:space="0" w:color="auto"/>
            </w:tcBorders>
            <w:shd w:val="clear" w:color="auto" w:fill="auto"/>
            <w:noWrap/>
            <w:vAlign w:val="bottom"/>
            <w:hideMark/>
          </w:tcPr>
          <w:p w14:paraId="477FCFD0" w14:textId="77777777" w:rsidR="00FA35FA" w:rsidRPr="003B533D" w:rsidRDefault="00FA35FA" w:rsidP="00CF6B48">
            <w:pPr>
              <w:jc w:val="right"/>
              <w:rPr>
                <w:color w:val="000000"/>
                <w:sz w:val="18"/>
              </w:rPr>
            </w:pPr>
            <w:r w:rsidRPr="003B533D">
              <w:rPr>
                <w:color w:val="000000"/>
                <w:sz w:val="18"/>
              </w:rPr>
              <w:t>6 123 379</w:t>
            </w:r>
          </w:p>
        </w:tc>
        <w:tc>
          <w:tcPr>
            <w:tcW w:w="432" w:type="pct"/>
            <w:tcBorders>
              <w:bottom w:val="single" w:sz="4" w:space="0" w:color="auto"/>
            </w:tcBorders>
            <w:shd w:val="clear" w:color="auto" w:fill="auto"/>
            <w:noWrap/>
            <w:vAlign w:val="bottom"/>
            <w:hideMark/>
          </w:tcPr>
          <w:p w14:paraId="0D543FD3" w14:textId="77777777" w:rsidR="00FA35FA" w:rsidRPr="003B533D" w:rsidRDefault="00FA35FA" w:rsidP="00CF6B48">
            <w:pPr>
              <w:jc w:val="right"/>
              <w:rPr>
                <w:color w:val="000000"/>
                <w:sz w:val="18"/>
              </w:rPr>
            </w:pPr>
            <w:r w:rsidRPr="003B533D">
              <w:rPr>
                <w:color w:val="000000"/>
                <w:sz w:val="18"/>
              </w:rPr>
              <w:t>1 080 597</w:t>
            </w:r>
          </w:p>
        </w:tc>
        <w:tc>
          <w:tcPr>
            <w:tcW w:w="501" w:type="pct"/>
            <w:tcBorders>
              <w:bottom w:val="single" w:sz="4" w:space="0" w:color="auto"/>
            </w:tcBorders>
            <w:shd w:val="clear" w:color="auto" w:fill="auto"/>
            <w:noWrap/>
            <w:vAlign w:val="bottom"/>
            <w:hideMark/>
          </w:tcPr>
          <w:p w14:paraId="74212C49" w14:textId="4896C3BA" w:rsidR="00FA35FA" w:rsidRPr="003B533D" w:rsidRDefault="00FA35FA" w:rsidP="001E5F22">
            <w:pPr>
              <w:jc w:val="right"/>
              <w:rPr>
                <w:color w:val="000000"/>
                <w:sz w:val="18"/>
              </w:rPr>
            </w:pPr>
            <w:r w:rsidRPr="003B533D">
              <w:rPr>
                <w:color w:val="000000"/>
                <w:sz w:val="18"/>
              </w:rPr>
              <w:t>2 127 36</w:t>
            </w:r>
            <w:r w:rsidR="001E5F22" w:rsidRPr="003B533D">
              <w:rPr>
                <w:color w:val="000000"/>
                <w:sz w:val="18"/>
              </w:rPr>
              <w:t>7</w:t>
            </w:r>
          </w:p>
        </w:tc>
        <w:tc>
          <w:tcPr>
            <w:tcW w:w="356" w:type="pct"/>
            <w:tcBorders>
              <w:bottom w:val="single" w:sz="4" w:space="0" w:color="auto"/>
            </w:tcBorders>
            <w:shd w:val="clear" w:color="auto" w:fill="auto"/>
            <w:noWrap/>
            <w:vAlign w:val="bottom"/>
            <w:hideMark/>
          </w:tcPr>
          <w:p w14:paraId="37ACD3EC" w14:textId="77777777" w:rsidR="00FA35FA" w:rsidRPr="003B533D" w:rsidRDefault="00FA35FA" w:rsidP="00CF6B48">
            <w:pPr>
              <w:jc w:val="right"/>
              <w:rPr>
                <w:color w:val="000000"/>
                <w:sz w:val="18"/>
              </w:rPr>
            </w:pPr>
            <w:r w:rsidRPr="003B533D">
              <w:rPr>
                <w:color w:val="000000"/>
                <w:sz w:val="18"/>
              </w:rPr>
              <w:t>1 808 262</w:t>
            </w:r>
          </w:p>
        </w:tc>
        <w:tc>
          <w:tcPr>
            <w:tcW w:w="518" w:type="pct"/>
            <w:tcBorders>
              <w:bottom w:val="single" w:sz="4" w:space="0" w:color="auto"/>
            </w:tcBorders>
            <w:shd w:val="clear" w:color="auto" w:fill="auto"/>
            <w:noWrap/>
            <w:vAlign w:val="bottom"/>
            <w:hideMark/>
          </w:tcPr>
          <w:p w14:paraId="7C4AD1AF" w14:textId="5ADF9534" w:rsidR="00FA35FA" w:rsidRPr="00DF3670" w:rsidRDefault="00FA35FA" w:rsidP="00CF6B48">
            <w:pPr>
              <w:jc w:val="right"/>
              <w:rPr>
                <w:color w:val="000000"/>
                <w:sz w:val="18"/>
              </w:rPr>
            </w:pPr>
            <w:r w:rsidRPr="003B533D">
              <w:rPr>
                <w:color w:val="000000"/>
                <w:sz w:val="18"/>
              </w:rPr>
              <w:t>319 10</w:t>
            </w:r>
            <w:r w:rsidR="001E5F22" w:rsidRPr="003B533D">
              <w:rPr>
                <w:color w:val="000000"/>
                <w:sz w:val="18"/>
              </w:rPr>
              <w:t>5</w:t>
            </w:r>
          </w:p>
        </w:tc>
      </w:tr>
    </w:tbl>
    <w:p w14:paraId="0A4DB040" w14:textId="77777777" w:rsidR="00FA35FA" w:rsidRPr="00C17043" w:rsidRDefault="00FA35FA" w:rsidP="009625CE">
      <w:pPr>
        <w:rPr>
          <w:sz w:val="20"/>
          <w:szCs w:val="22"/>
        </w:rPr>
      </w:pPr>
    </w:p>
    <w:sectPr w:rsidR="00FA35FA" w:rsidRPr="00C17043" w:rsidSect="00751D17">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2324" w14:textId="77777777" w:rsidR="00D55A0C" w:rsidRDefault="00D55A0C" w:rsidP="00A96BDE">
      <w:r>
        <w:separator/>
      </w:r>
    </w:p>
  </w:endnote>
  <w:endnote w:type="continuationSeparator" w:id="0">
    <w:p w14:paraId="08A83792" w14:textId="77777777" w:rsidR="00D55A0C" w:rsidRDefault="00D55A0C" w:rsidP="00A96BDE">
      <w:r>
        <w:continuationSeparator/>
      </w:r>
    </w:p>
  </w:endnote>
  <w:endnote w:type="continuationNotice" w:id="1">
    <w:p w14:paraId="1D3159D2" w14:textId="77777777" w:rsidR="00D55A0C" w:rsidRDefault="00D5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0C4D" w14:textId="77777777" w:rsidR="00713606" w:rsidRDefault="0071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BC61" w14:textId="193A9F28" w:rsidR="00406C9B" w:rsidRPr="005526F0" w:rsidRDefault="00406C9B">
    <w:pPr>
      <w:pStyle w:val="Footer"/>
      <w:rPr>
        <w:noProof/>
        <w:sz w:val="20"/>
        <w:szCs w:val="20"/>
      </w:rP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713606">
      <w:rPr>
        <w:noProof/>
        <w:sz w:val="20"/>
        <w:szCs w:val="20"/>
      </w:rPr>
      <w:t>FMAnot_20</w:t>
    </w:r>
    <w:bookmarkStart w:id="1" w:name="_GoBack"/>
    <w:bookmarkEnd w:id="1"/>
    <w:r>
      <w:rPr>
        <w:noProof/>
        <w:sz w:val="20"/>
        <w:szCs w:val="20"/>
      </w:rPr>
      <w:t>052021_DP</w:t>
    </w:r>
    <w:r w:rsidRPr="00861BA2">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D710" w14:textId="1625DDC1" w:rsidR="00406C9B" w:rsidRDefault="00406C9B">
    <w:pPr>
      <w:pStyle w:val="Foote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713606">
      <w:rPr>
        <w:noProof/>
        <w:sz w:val="20"/>
        <w:szCs w:val="20"/>
      </w:rPr>
      <w:t>FMAnot_20</w:t>
    </w:r>
    <w:r>
      <w:rPr>
        <w:noProof/>
        <w:sz w:val="20"/>
        <w:szCs w:val="20"/>
      </w:rPr>
      <w:t>052021_DP</w:t>
    </w:r>
    <w:r w:rsidRPr="00861BA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297B" w14:textId="77777777" w:rsidR="00D55A0C" w:rsidRDefault="00D55A0C" w:rsidP="00A96BDE">
      <w:r>
        <w:separator/>
      </w:r>
    </w:p>
  </w:footnote>
  <w:footnote w:type="continuationSeparator" w:id="0">
    <w:p w14:paraId="458653FD" w14:textId="77777777" w:rsidR="00D55A0C" w:rsidRDefault="00D55A0C" w:rsidP="00A96BDE">
      <w:r>
        <w:continuationSeparator/>
      </w:r>
    </w:p>
  </w:footnote>
  <w:footnote w:type="continuationNotice" w:id="1">
    <w:p w14:paraId="329E4CB1" w14:textId="77777777" w:rsidR="00D55A0C" w:rsidRDefault="00D55A0C"/>
  </w:footnote>
  <w:footnote w:id="2">
    <w:p w14:paraId="41C63711" w14:textId="77777777" w:rsidR="00406C9B" w:rsidRPr="00B41779" w:rsidRDefault="00406C9B" w:rsidP="00C12CEB">
      <w:pPr>
        <w:pStyle w:val="FootnoteText"/>
        <w:jc w:val="both"/>
      </w:pPr>
      <w:r w:rsidRPr="00B41779">
        <w:rPr>
          <w:rStyle w:val="FootnoteReference"/>
        </w:rPr>
        <w:footnoteRef/>
      </w:r>
      <w:r w:rsidRPr="00B41779">
        <w:t xml:space="preserve"> 2020. gada 23. decembra EIROPAS PARLAMENTA UN PADOMES REGULA (ES) 2020/2221 ar ko Regulu (ES) Nr. 1303/2013 groza attiecībā uz papildu resursiem un īstenošanas kārtību, lai palīdzētu veicināt ar Covid-19 pandēmiju un tās sociālajām sekām saistītās krīzes seku pārvarēšanu un sagatavoties zaļai, digitālai un noturīgai ekonomikas atveseļošanai (REACT-EU)  </w:t>
      </w:r>
      <w:hyperlink r:id="rId1" w:history="1">
        <w:r w:rsidRPr="00B41779">
          <w:rPr>
            <w:color w:val="0000FF"/>
            <w:u w:val="single"/>
          </w:rPr>
          <w:t>EUR-</w:t>
        </w:r>
        <w:proofErr w:type="spellStart"/>
        <w:r w:rsidRPr="00B41779">
          <w:rPr>
            <w:color w:val="0000FF"/>
            <w:u w:val="single"/>
          </w:rPr>
          <w:t>Lex</w:t>
        </w:r>
        <w:proofErr w:type="spellEnd"/>
        <w:r w:rsidRPr="00B41779">
          <w:rPr>
            <w:color w:val="0000FF"/>
            <w:u w:val="single"/>
          </w:rPr>
          <w:t xml:space="preserve"> - 32020R2221 - EN - EUR-</w:t>
        </w:r>
        <w:proofErr w:type="spellStart"/>
        <w:r w:rsidRPr="00B41779">
          <w:rPr>
            <w:color w:val="0000FF"/>
            <w:u w:val="single"/>
          </w:rPr>
          <w:t>Lex</w:t>
        </w:r>
        <w:proofErr w:type="spellEnd"/>
        <w:r w:rsidRPr="00B41779">
          <w:rPr>
            <w:color w:val="0000FF"/>
            <w:u w:val="single"/>
          </w:rPr>
          <w:t xml:space="preserve"> (europa.eu)</w:t>
        </w:r>
      </w:hyperlink>
    </w:p>
  </w:footnote>
  <w:footnote w:id="3">
    <w:p w14:paraId="6C3B6B0E" w14:textId="77777777" w:rsidR="00406C9B" w:rsidRPr="00B41779" w:rsidRDefault="00406C9B" w:rsidP="00B41779">
      <w:pPr>
        <w:pStyle w:val="FootnoteText"/>
        <w:jc w:val="both"/>
      </w:pPr>
      <w:r w:rsidRPr="00B41779">
        <w:rPr>
          <w:rStyle w:val="FootnoteReference"/>
        </w:rPr>
        <w:footnoteRef/>
      </w:r>
      <w:r w:rsidRPr="00B41779">
        <w:t xml:space="preserve"> 2020. gada 23. decembra EIROPAS PARLAMENTA UN PADOMES REGULA (ES) 2020/2221 ar ko Regulu (ES) Nr. 1303/2013 groza attiecībā uz papildu resursiem un īstenošanas kārtību, lai palīdzētu veicināt ar Covid-19 pandēmiju un tās sociālajām sekām saistītās krīzes seku pārvarēšanu un sagatavoties zaļai, digitālai un noturīgai ekonomikas atveseļošanai (REACT-EU)  </w:t>
      </w:r>
      <w:hyperlink r:id="rId2" w:history="1">
        <w:r w:rsidRPr="00B41779">
          <w:rPr>
            <w:color w:val="0000FF"/>
            <w:u w:val="single"/>
          </w:rPr>
          <w:t>EUR-</w:t>
        </w:r>
        <w:proofErr w:type="spellStart"/>
        <w:r w:rsidRPr="00B41779">
          <w:rPr>
            <w:color w:val="0000FF"/>
            <w:u w:val="single"/>
          </w:rPr>
          <w:t>Lex</w:t>
        </w:r>
        <w:proofErr w:type="spellEnd"/>
        <w:r w:rsidRPr="00B41779">
          <w:rPr>
            <w:color w:val="0000FF"/>
            <w:u w:val="single"/>
          </w:rPr>
          <w:t xml:space="preserve"> - 32020R2221 - EN - EUR-</w:t>
        </w:r>
        <w:proofErr w:type="spellStart"/>
        <w:r w:rsidRPr="00B41779">
          <w:rPr>
            <w:color w:val="0000FF"/>
            <w:u w:val="single"/>
          </w:rPr>
          <w:t>Lex</w:t>
        </w:r>
        <w:proofErr w:type="spellEnd"/>
        <w:r w:rsidRPr="00B41779">
          <w:rPr>
            <w:color w:val="0000FF"/>
            <w:u w:val="single"/>
          </w:rPr>
          <w:t xml:space="preserve"> (europa.eu)</w:t>
        </w:r>
      </w:hyperlink>
    </w:p>
  </w:footnote>
  <w:footnote w:id="4">
    <w:p w14:paraId="3E86D6CC" w14:textId="77777777" w:rsidR="00406C9B" w:rsidRDefault="00406C9B" w:rsidP="00BE05FE">
      <w:pPr>
        <w:pStyle w:val="FootnoteText"/>
      </w:pPr>
      <w:r>
        <w:rPr>
          <w:rStyle w:val="FootnoteReference"/>
        </w:rPr>
        <w:footnoteRef/>
      </w:r>
      <w:r>
        <w:t xml:space="preserve"> </w:t>
      </w:r>
      <w:r w:rsidRPr="001C23AC">
        <w:t>Ministru kabine</w:t>
      </w:r>
      <w:r>
        <w:t>ta 2020.gada 12.marta rīkojums Nr.</w:t>
      </w:r>
      <w:r w:rsidRPr="001C23AC">
        <w:t>103 “Par ārkārtējās situācijas izsludināšanu”</w:t>
      </w:r>
    </w:p>
  </w:footnote>
  <w:footnote w:id="5">
    <w:p w14:paraId="55EB1A5D" w14:textId="77777777" w:rsidR="00406C9B" w:rsidRDefault="00406C9B" w:rsidP="002A2186">
      <w:pPr>
        <w:pStyle w:val="FootnoteText"/>
      </w:pPr>
      <w:r>
        <w:rPr>
          <w:rStyle w:val="FootnoteReference"/>
        </w:rPr>
        <w:footnoteRef/>
      </w:r>
      <w:r>
        <w:t xml:space="preserve"> </w:t>
      </w:r>
      <w:r w:rsidRPr="00E53499">
        <w:t>Integrētās teritoriālās investīcijas</w:t>
      </w:r>
    </w:p>
  </w:footnote>
  <w:footnote w:id="6">
    <w:p w14:paraId="375F3BDA" w14:textId="77777777" w:rsidR="00406C9B" w:rsidRPr="00FF4F65" w:rsidRDefault="00406C9B" w:rsidP="008F3B2E">
      <w:pPr>
        <w:pStyle w:val="FootnoteText"/>
      </w:pPr>
      <w:r>
        <w:rPr>
          <w:rStyle w:val="FootnoteReference"/>
        </w:rPr>
        <w:footnoteRef/>
      </w:r>
      <w:r>
        <w:t xml:space="preserve"> </w:t>
      </w:r>
      <w:r w:rsidRPr="00A53393">
        <w:t>FM indikatīvo aprēķinu par deklarējamo Izdevumu rezervi perioda beigās skatīt esfondi.lv mājaslapā. Esfondi.lv</w:t>
      </w:r>
      <w:r w:rsidRPr="00A53393">
        <w:sym w:font="Wingdings" w:char="F0E0"/>
      </w:r>
      <w:r w:rsidRPr="00A53393">
        <w:t>ES fondi 2014-2020</w:t>
      </w:r>
      <w:r w:rsidRPr="00A53393">
        <w:sym w:font="Wingdings" w:char="F0E0"/>
      </w:r>
      <w:r w:rsidRPr="00A53393">
        <w:t>Ieviešana</w:t>
      </w:r>
      <w:r w:rsidRPr="00A53393">
        <w:sym w:font="Wingdings" w:char="F0E0"/>
      </w:r>
      <w:r w:rsidRPr="00A53393">
        <w:t>Ieviešanas plāni un to izpilde</w:t>
      </w:r>
      <w:r w:rsidRPr="00A53393">
        <w:sym w:font="Wingdings" w:char="F0E0"/>
      </w:r>
      <w:r w:rsidRPr="00A53393">
        <w:t>2021.gads</w:t>
      </w:r>
      <w:r w:rsidRPr="00A53393">
        <w:sym w:font="Wingdings" w:char="F0E0"/>
      </w:r>
      <w:r w:rsidRPr="00A53393">
        <w:t>1.punkts “Maksājumu finansējuma saņēmējiem un deklarējamo izdevumu plāni, izpilde un prognozes</w:t>
      </w:r>
      <w:r w:rsidRPr="00A53393">
        <w:sym w:font="Wingdings" w:char="F0E0"/>
      </w:r>
      <w:r w:rsidRPr="00A53393">
        <w:t>Maijs; https://www.esfondi.lv/2021.gads</w:t>
      </w:r>
    </w:p>
  </w:footnote>
  <w:footnote w:id="7">
    <w:p w14:paraId="5B87DA68" w14:textId="77777777" w:rsidR="00406C9B" w:rsidRPr="00B41779" w:rsidRDefault="00406C9B" w:rsidP="003D38DF">
      <w:pPr>
        <w:pStyle w:val="FootnoteText"/>
        <w:jc w:val="both"/>
      </w:pPr>
      <w:r w:rsidRPr="00B41779">
        <w:rPr>
          <w:rStyle w:val="FootnoteReference"/>
        </w:rPr>
        <w:footnoteRef/>
      </w:r>
      <w:r w:rsidRPr="00B41779">
        <w:t xml:space="preserve"> </w:t>
      </w:r>
      <w:r w:rsidRPr="00F21729">
        <w:rPr>
          <w:bCs/>
          <w:iCs/>
        </w:rPr>
        <w:t>REACT-EU finansējum</w:t>
      </w:r>
      <w:r>
        <w:rPr>
          <w:bCs/>
          <w:iCs/>
        </w:rPr>
        <w:t>a apjomu piešķir</w:t>
      </w:r>
      <w:r w:rsidRPr="00F21729">
        <w:rPr>
          <w:bCs/>
          <w:iCs/>
        </w:rPr>
        <w:t>, balstoties uz metodoloģiju, kas ņem vērā jaunākos pieejamos statistikas datus par COVID-19 krīzes ekonomiskās un sociālās ietekmes nopietnību, tostarp IKP kritumu, bezdarba (kopējo un jauniešu) līmeni un dalībvalstu relatīvo labklājību.</w:t>
      </w:r>
    </w:p>
  </w:footnote>
  <w:footnote w:id="8">
    <w:p w14:paraId="05D2BB2D" w14:textId="77777777" w:rsidR="00406C9B" w:rsidRPr="00B41779" w:rsidRDefault="00406C9B" w:rsidP="003D38DF">
      <w:pPr>
        <w:pStyle w:val="FootnoteText"/>
        <w:jc w:val="both"/>
      </w:pPr>
      <w:r w:rsidRPr="00B41779">
        <w:rPr>
          <w:rStyle w:val="FootnoteReference"/>
        </w:rPr>
        <w:footnoteRef/>
      </w:r>
      <w:r w:rsidRPr="00B41779">
        <w:t xml:space="preserve"> 12.02.2021. KOMISIJAS ĪSTENOŠANAS LĒMUMS, ar kuru nosaka 2021. gadam paredzēto REACT-EU resursu sadalījumu pa dalībvalstīm</w:t>
      </w:r>
    </w:p>
  </w:footnote>
  <w:footnote w:id="9">
    <w:p w14:paraId="00635656" w14:textId="77777777" w:rsidR="00406C9B" w:rsidRPr="00A53393" w:rsidRDefault="00406C9B" w:rsidP="008F3B2E">
      <w:pPr>
        <w:pStyle w:val="FootnoteText"/>
      </w:pPr>
      <w:r>
        <w:rPr>
          <w:rStyle w:val="FootnoteReference"/>
        </w:rPr>
        <w:footnoteRef/>
      </w:r>
      <w:r>
        <w:t xml:space="preserve"> </w:t>
      </w:r>
      <w:r w:rsidRPr="00A53393">
        <w:t>FM indikatīvo aprēķinu par deklarējamo Izdevumu rezervi perioda beigās skatīt esfondi.lv mājaslapā. Esfondi.lv</w:t>
      </w:r>
      <w:r w:rsidRPr="00A53393">
        <w:sym w:font="Wingdings" w:char="F0E0"/>
      </w:r>
      <w:r w:rsidRPr="00A53393">
        <w:t>ES fondi 2014-2020</w:t>
      </w:r>
      <w:r w:rsidRPr="00A53393">
        <w:sym w:font="Wingdings" w:char="F0E0"/>
      </w:r>
      <w:r w:rsidRPr="00A53393">
        <w:t>Ieviešana</w:t>
      </w:r>
      <w:r w:rsidRPr="00A53393">
        <w:sym w:font="Wingdings" w:char="F0E0"/>
      </w:r>
      <w:r w:rsidRPr="00A53393">
        <w:t>Ieviešanas plāni un to izpilde</w:t>
      </w:r>
      <w:r w:rsidRPr="00A53393">
        <w:sym w:font="Wingdings" w:char="F0E0"/>
      </w:r>
      <w:r w:rsidRPr="00A53393">
        <w:t>2021.gads</w:t>
      </w:r>
      <w:r w:rsidRPr="00A53393">
        <w:sym w:font="Wingdings" w:char="F0E0"/>
      </w:r>
      <w:r w:rsidRPr="00A53393">
        <w:t>1.punkts “Maksājumu finansējuma saņēmējiem un deklarējamo izdevumu plāni, izpilde un prognozes</w:t>
      </w:r>
      <w:r w:rsidRPr="00A53393">
        <w:sym w:font="Wingdings" w:char="F0E0"/>
      </w:r>
      <w:r w:rsidRPr="00A53393">
        <w:t>Maijs; https://www.esfondi.lv/2021.gads</w:t>
      </w:r>
    </w:p>
  </w:footnote>
  <w:footnote w:id="10">
    <w:p w14:paraId="7DF3E26D" w14:textId="77777777" w:rsidR="00406C9B" w:rsidRPr="00FF4F65" w:rsidRDefault="00406C9B" w:rsidP="008F3B2E">
      <w:pPr>
        <w:pStyle w:val="FootnoteText"/>
      </w:pPr>
      <w:r w:rsidRPr="00A53393">
        <w:rPr>
          <w:rStyle w:val="FootnoteReference"/>
        </w:rPr>
        <w:footnoteRef/>
      </w:r>
      <w:r w:rsidRPr="00A53393">
        <w:t xml:space="preserve"> Atbilstoši EIROPAS PARLAMENTA UN PADOMES REGULAS (ES) Nr. 2018/1046 21. panta 1.daļai, uz </w:t>
      </w:r>
      <w:r w:rsidRPr="002B3727">
        <w:t>REACT-EU neattiecas EIROPAS PARLAMENTA UN PADOMES REGULAS (ES) Nr. 1303/2013</w:t>
      </w:r>
      <w:r w:rsidRPr="00A53393">
        <w:t xml:space="preserve"> 130. panta 3.daļa (10% izdevumu elastība starp prioritārajiem virzieniem, noslēdzot darbības programmu)</w:t>
      </w:r>
    </w:p>
  </w:footnote>
  <w:footnote w:id="11">
    <w:p w14:paraId="104270DB" w14:textId="77777777" w:rsidR="00406C9B" w:rsidRDefault="00406C9B">
      <w:pPr>
        <w:pStyle w:val="FootnoteText"/>
      </w:pPr>
      <w:r>
        <w:rPr>
          <w:rStyle w:val="FootnoteReference"/>
        </w:rPr>
        <w:footnoteRef/>
      </w:r>
      <w:r>
        <w:t xml:space="preserve"> SAM un pasākumu ieviešanas finanšu plūsmas sadalījumā pa gadiem būs atbilstošas ieviešanas plāniem līdz 2023. gada beigām.</w:t>
      </w:r>
    </w:p>
  </w:footnote>
  <w:footnote w:id="12">
    <w:p w14:paraId="5FF029CB" w14:textId="77777777" w:rsidR="00406C9B" w:rsidRDefault="00406C9B">
      <w:pPr>
        <w:pStyle w:val="FootnoteText"/>
      </w:pPr>
      <w:r>
        <w:rPr>
          <w:rStyle w:val="FootnoteReference"/>
        </w:rPr>
        <w:footnoteRef/>
      </w:r>
      <w:r>
        <w:t xml:space="preserve"> Finansējums indikatīvs un atkarīgs no EK lēmuma par REACT-EU finansējuma apjomu, kas piešķirams Latvijai (EK lēmums gaidāms 2021. gada otrajā pusgadā).</w:t>
      </w:r>
    </w:p>
  </w:footnote>
  <w:footnote w:id="13">
    <w:p w14:paraId="1B803F58" w14:textId="77777777" w:rsidR="00406C9B" w:rsidRDefault="00406C9B">
      <w:pPr>
        <w:pStyle w:val="FootnoteText"/>
      </w:pPr>
      <w:r>
        <w:rPr>
          <w:rStyle w:val="FootnoteReference"/>
        </w:rPr>
        <w:footnoteRef/>
      </w:r>
      <w:r>
        <w:t xml:space="preserve"> </w:t>
      </w:r>
      <w:r w:rsidRPr="00B7049D">
        <w:t xml:space="preserve">Grozījumi </w:t>
      </w:r>
      <w:r w:rsidRPr="008B558F">
        <w:rPr>
          <w:color w:val="000000"/>
        </w:rPr>
        <w:t>darbības programmā “Pārtikas un pamata materiālās palīdzības sniegšanai vistrūcīgākajām personām 2014.–2020. gada plānošanas periodā” Ministru Kabinetā tiek skatīti atsevišķi no šiem darbības programmas grozījumiem.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37A5" w14:textId="77777777" w:rsidR="00713606" w:rsidRDefault="0071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6769"/>
      <w:docPartObj>
        <w:docPartGallery w:val="Page Numbers (Top of Page)"/>
        <w:docPartUnique/>
      </w:docPartObj>
    </w:sdtPr>
    <w:sdtEndPr>
      <w:rPr>
        <w:noProof/>
      </w:rPr>
    </w:sdtEndPr>
    <w:sdtContent>
      <w:p w14:paraId="49BB347F" w14:textId="4CF5890D" w:rsidR="00406C9B" w:rsidRDefault="00406C9B">
        <w:pPr>
          <w:pStyle w:val="Header"/>
          <w:jc w:val="center"/>
        </w:pPr>
        <w:r>
          <w:fldChar w:fldCharType="begin"/>
        </w:r>
        <w:r>
          <w:instrText xml:space="preserve"> PAGE   \* MERGEFORMAT </w:instrText>
        </w:r>
        <w:r>
          <w:fldChar w:fldCharType="separate"/>
        </w:r>
        <w:r w:rsidR="00713606">
          <w:rPr>
            <w:noProof/>
          </w:rPr>
          <w:t>2</w:t>
        </w:r>
        <w:r>
          <w:rPr>
            <w:noProof/>
          </w:rPr>
          <w:fldChar w:fldCharType="end"/>
        </w:r>
      </w:p>
    </w:sdtContent>
  </w:sdt>
  <w:p w14:paraId="2DD9C5D4" w14:textId="77777777" w:rsidR="00406C9B" w:rsidRDefault="00406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C092" w14:textId="77777777" w:rsidR="00713606" w:rsidRDefault="0071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722"/>
    <w:multiLevelType w:val="hybridMultilevel"/>
    <w:tmpl w:val="F01E3D72"/>
    <w:lvl w:ilvl="0" w:tplc="32B80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0C0FC3"/>
    <w:multiLevelType w:val="hybridMultilevel"/>
    <w:tmpl w:val="48FAF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61B60"/>
    <w:multiLevelType w:val="hybridMultilevel"/>
    <w:tmpl w:val="6696F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4D5067"/>
    <w:multiLevelType w:val="hybridMultilevel"/>
    <w:tmpl w:val="78503BB8"/>
    <w:lvl w:ilvl="0" w:tplc="32B80916">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5" w15:restartNumberingAfterBreak="0">
    <w:nsid w:val="12DD5C66"/>
    <w:multiLevelType w:val="hybridMultilevel"/>
    <w:tmpl w:val="DBD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AA1184"/>
    <w:multiLevelType w:val="hybridMultilevel"/>
    <w:tmpl w:val="5C28BF9A"/>
    <w:lvl w:ilvl="0" w:tplc="32B80916">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7" w15:restartNumberingAfterBreak="0">
    <w:nsid w:val="13FF5732"/>
    <w:multiLevelType w:val="hybridMultilevel"/>
    <w:tmpl w:val="CC9AAF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801C9B"/>
    <w:multiLevelType w:val="hybridMultilevel"/>
    <w:tmpl w:val="2D6A9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593C19"/>
    <w:multiLevelType w:val="hybridMultilevel"/>
    <w:tmpl w:val="93FE1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10422C"/>
    <w:multiLevelType w:val="hybridMultilevel"/>
    <w:tmpl w:val="C48CC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837531"/>
    <w:multiLevelType w:val="hybridMultilevel"/>
    <w:tmpl w:val="72269E74"/>
    <w:lvl w:ilvl="0" w:tplc="04260017">
      <w:start w:val="1"/>
      <w:numFmt w:val="lowerLetter"/>
      <w:lvlText w:val="%1)"/>
      <w:lvlJc w:val="left"/>
      <w:pPr>
        <w:ind w:left="869" w:hanging="360"/>
      </w:pPr>
      <w:rPr>
        <w:rFonts w:hint="default"/>
      </w:rPr>
    </w:lvl>
    <w:lvl w:ilvl="1" w:tplc="04260019">
      <w:start w:val="1"/>
      <w:numFmt w:val="lowerLetter"/>
      <w:lvlText w:val="%2."/>
      <w:lvlJc w:val="left"/>
      <w:pPr>
        <w:ind w:left="1589" w:hanging="360"/>
      </w:pPr>
    </w:lvl>
    <w:lvl w:ilvl="2" w:tplc="0426001B" w:tentative="1">
      <w:start w:val="1"/>
      <w:numFmt w:val="lowerRoman"/>
      <w:lvlText w:val="%3."/>
      <w:lvlJc w:val="right"/>
      <w:pPr>
        <w:ind w:left="2309" w:hanging="180"/>
      </w:pPr>
    </w:lvl>
    <w:lvl w:ilvl="3" w:tplc="0426000F" w:tentative="1">
      <w:start w:val="1"/>
      <w:numFmt w:val="decimal"/>
      <w:lvlText w:val="%4."/>
      <w:lvlJc w:val="left"/>
      <w:pPr>
        <w:ind w:left="3029" w:hanging="360"/>
      </w:pPr>
    </w:lvl>
    <w:lvl w:ilvl="4" w:tplc="04260019" w:tentative="1">
      <w:start w:val="1"/>
      <w:numFmt w:val="lowerLetter"/>
      <w:lvlText w:val="%5."/>
      <w:lvlJc w:val="left"/>
      <w:pPr>
        <w:ind w:left="3749" w:hanging="360"/>
      </w:pPr>
    </w:lvl>
    <w:lvl w:ilvl="5" w:tplc="0426001B" w:tentative="1">
      <w:start w:val="1"/>
      <w:numFmt w:val="lowerRoman"/>
      <w:lvlText w:val="%6."/>
      <w:lvlJc w:val="right"/>
      <w:pPr>
        <w:ind w:left="4469" w:hanging="180"/>
      </w:pPr>
    </w:lvl>
    <w:lvl w:ilvl="6" w:tplc="0426000F" w:tentative="1">
      <w:start w:val="1"/>
      <w:numFmt w:val="decimal"/>
      <w:lvlText w:val="%7."/>
      <w:lvlJc w:val="left"/>
      <w:pPr>
        <w:ind w:left="5189" w:hanging="360"/>
      </w:pPr>
    </w:lvl>
    <w:lvl w:ilvl="7" w:tplc="04260019" w:tentative="1">
      <w:start w:val="1"/>
      <w:numFmt w:val="lowerLetter"/>
      <w:lvlText w:val="%8."/>
      <w:lvlJc w:val="left"/>
      <w:pPr>
        <w:ind w:left="5909" w:hanging="360"/>
      </w:pPr>
    </w:lvl>
    <w:lvl w:ilvl="8" w:tplc="0426001B" w:tentative="1">
      <w:start w:val="1"/>
      <w:numFmt w:val="lowerRoman"/>
      <w:lvlText w:val="%9."/>
      <w:lvlJc w:val="right"/>
      <w:pPr>
        <w:ind w:left="6629" w:hanging="180"/>
      </w:pPr>
    </w:lvl>
  </w:abstractNum>
  <w:abstractNum w:abstractNumId="12" w15:restartNumberingAfterBreak="0">
    <w:nsid w:val="364C36DA"/>
    <w:multiLevelType w:val="hybridMultilevel"/>
    <w:tmpl w:val="5FD26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7458B0"/>
    <w:multiLevelType w:val="hybridMultilevel"/>
    <w:tmpl w:val="5C14D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792744"/>
    <w:multiLevelType w:val="hybridMultilevel"/>
    <w:tmpl w:val="2DA464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09729D7"/>
    <w:multiLevelType w:val="hybridMultilevel"/>
    <w:tmpl w:val="D2326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E835A2"/>
    <w:multiLevelType w:val="hybridMultilevel"/>
    <w:tmpl w:val="68F887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D51FA8"/>
    <w:multiLevelType w:val="hybridMultilevel"/>
    <w:tmpl w:val="4D30A5C6"/>
    <w:lvl w:ilvl="0" w:tplc="3B023EC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7A673C"/>
    <w:multiLevelType w:val="hybridMultilevel"/>
    <w:tmpl w:val="325AEC42"/>
    <w:lvl w:ilvl="0" w:tplc="4EE29284">
      <w:start w:val="1"/>
      <w:numFmt w:val="decimal"/>
      <w:lvlText w:val="%1."/>
      <w:lvlJc w:val="left"/>
      <w:pPr>
        <w:ind w:left="869" w:hanging="360"/>
      </w:pPr>
      <w:rPr>
        <w:rFonts w:ascii="Times New Roman" w:hAnsi="Times New Roman" w:cs="Times New Roman" w:hint="default"/>
      </w:rPr>
    </w:lvl>
    <w:lvl w:ilvl="1" w:tplc="04260019">
      <w:start w:val="1"/>
      <w:numFmt w:val="lowerLetter"/>
      <w:lvlText w:val="%2."/>
      <w:lvlJc w:val="left"/>
      <w:pPr>
        <w:ind w:left="1589" w:hanging="360"/>
      </w:pPr>
    </w:lvl>
    <w:lvl w:ilvl="2" w:tplc="0426001B" w:tentative="1">
      <w:start w:val="1"/>
      <w:numFmt w:val="lowerRoman"/>
      <w:lvlText w:val="%3."/>
      <w:lvlJc w:val="right"/>
      <w:pPr>
        <w:ind w:left="2309" w:hanging="180"/>
      </w:pPr>
    </w:lvl>
    <w:lvl w:ilvl="3" w:tplc="0426000F" w:tentative="1">
      <w:start w:val="1"/>
      <w:numFmt w:val="decimal"/>
      <w:lvlText w:val="%4."/>
      <w:lvlJc w:val="left"/>
      <w:pPr>
        <w:ind w:left="3029" w:hanging="360"/>
      </w:pPr>
    </w:lvl>
    <w:lvl w:ilvl="4" w:tplc="04260019" w:tentative="1">
      <w:start w:val="1"/>
      <w:numFmt w:val="lowerLetter"/>
      <w:lvlText w:val="%5."/>
      <w:lvlJc w:val="left"/>
      <w:pPr>
        <w:ind w:left="3749" w:hanging="360"/>
      </w:pPr>
    </w:lvl>
    <w:lvl w:ilvl="5" w:tplc="0426001B" w:tentative="1">
      <w:start w:val="1"/>
      <w:numFmt w:val="lowerRoman"/>
      <w:lvlText w:val="%6."/>
      <w:lvlJc w:val="right"/>
      <w:pPr>
        <w:ind w:left="4469" w:hanging="180"/>
      </w:pPr>
    </w:lvl>
    <w:lvl w:ilvl="6" w:tplc="0426000F" w:tentative="1">
      <w:start w:val="1"/>
      <w:numFmt w:val="decimal"/>
      <w:lvlText w:val="%7."/>
      <w:lvlJc w:val="left"/>
      <w:pPr>
        <w:ind w:left="5189" w:hanging="360"/>
      </w:pPr>
    </w:lvl>
    <w:lvl w:ilvl="7" w:tplc="04260019" w:tentative="1">
      <w:start w:val="1"/>
      <w:numFmt w:val="lowerLetter"/>
      <w:lvlText w:val="%8."/>
      <w:lvlJc w:val="left"/>
      <w:pPr>
        <w:ind w:left="5909" w:hanging="360"/>
      </w:pPr>
    </w:lvl>
    <w:lvl w:ilvl="8" w:tplc="0426001B" w:tentative="1">
      <w:start w:val="1"/>
      <w:numFmt w:val="lowerRoman"/>
      <w:lvlText w:val="%9."/>
      <w:lvlJc w:val="right"/>
      <w:pPr>
        <w:ind w:left="6629" w:hanging="180"/>
      </w:pPr>
    </w:lvl>
  </w:abstractNum>
  <w:abstractNum w:abstractNumId="19" w15:restartNumberingAfterBreak="0">
    <w:nsid w:val="47BA609D"/>
    <w:multiLevelType w:val="multilevel"/>
    <w:tmpl w:val="17686082"/>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4CFA5993"/>
    <w:multiLevelType w:val="hybridMultilevel"/>
    <w:tmpl w:val="DBF26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6D2793"/>
    <w:multiLevelType w:val="hybridMultilevel"/>
    <w:tmpl w:val="C380BAA8"/>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2" w15:restartNumberingAfterBreak="0">
    <w:nsid w:val="54B01DDA"/>
    <w:multiLevelType w:val="hybridMultilevel"/>
    <w:tmpl w:val="B806504C"/>
    <w:lvl w:ilvl="0" w:tplc="04260019">
      <w:start w:val="1"/>
      <w:numFmt w:val="lowerLetter"/>
      <w:lvlText w:val="%1."/>
      <w:lvlJc w:val="left"/>
      <w:pPr>
        <w:ind w:left="869" w:hanging="360"/>
      </w:pPr>
      <w:rPr>
        <w:rFonts w:hint="default"/>
      </w:rPr>
    </w:lvl>
    <w:lvl w:ilvl="1" w:tplc="04260019">
      <w:start w:val="1"/>
      <w:numFmt w:val="lowerLetter"/>
      <w:lvlText w:val="%2."/>
      <w:lvlJc w:val="left"/>
      <w:pPr>
        <w:ind w:left="1589" w:hanging="360"/>
      </w:pPr>
    </w:lvl>
    <w:lvl w:ilvl="2" w:tplc="0426001B" w:tentative="1">
      <w:start w:val="1"/>
      <w:numFmt w:val="lowerRoman"/>
      <w:lvlText w:val="%3."/>
      <w:lvlJc w:val="right"/>
      <w:pPr>
        <w:ind w:left="2309" w:hanging="180"/>
      </w:pPr>
    </w:lvl>
    <w:lvl w:ilvl="3" w:tplc="0426000F" w:tentative="1">
      <w:start w:val="1"/>
      <w:numFmt w:val="decimal"/>
      <w:lvlText w:val="%4."/>
      <w:lvlJc w:val="left"/>
      <w:pPr>
        <w:ind w:left="3029" w:hanging="360"/>
      </w:pPr>
    </w:lvl>
    <w:lvl w:ilvl="4" w:tplc="04260019" w:tentative="1">
      <w:start w:val="1"/>
      <w:numFmt w:val="lowerLetter"/>
      <w:lvlText w:val="%5."/>
      <w:lvlJc w:val="left"/>
      <w:pPr>
        <w:ind w:left="3749" w:hanging="360"/>
      </w:pPr>
    </w:lvl>
    <w:lvl w:ilvl="5" w:tplc="0426001B" w:tentative="1">
      <w:start w:val="1"/>
      <w:numFmt w:val="lowerRoman"/>
      <w:lvlText w:val="%6."/>
      <w:lvlJc w:val="right"/>
      <w:pPr>
        <w:ind w:left="4469" w:hanging="180"/>
      </w:pPr>
    </w:lvl>
    <w:lvl w:ilvl="6" w:tplc="0426000F" w:tentative="1">
      <w:start w:val="1"/>
      <w:numFmt w:val="decimal"/>
      <w:lvlText w:val="%7."/>
      <w:lvlJc w:val="left"/>
      <w:pPr>
        <w:ind w:left="5189" w:hanging="360"/>
      </w:pPr>
    </w:lvl>
    <w:lvl w:ilvl="7" w:tplc="04260019" w:tentative="1">
      <w:start w:val="1"/>
      <w:numFmt w:val="lowerLetter"/>
      <w:lvlText w:val="%8."/>
      <w:lvlJc w:val="left"/>
      <w:pPr>
        <w:ind w:left="5909" w:hanging="360"/>
      </w:pPr>
    </w:lvl>
    <w:lvl w:ilvl="8" w:tplc="0426001B" w:tentative="1">
      <w:start w:val="1"/>
      <w:numFmt w:val="lowerRoman"/>
      <w:lvlText w:val="%9."/>
      <w:lvlJc w:val="right"/>
      <w:pPr>
        <w:ind w:left="6629" w:hanging="180"/>
      </w:pPr>
    </w:lvl>
  </w:abstractNum>
  <w:abstractNum w:abstractNumId="23" w15:restartNumberingAfterBreak="0">
    <w:nsid w:val="5A053A15"/>
    <w:multiLevelType w:val="hybridMultilevel"/>
    <w:tmpl w:val="F8686820"/>
    <w:lvl w:ilvl="0" w:tplc="0426000F">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4" w15:restartNumberingAfterBreak="0">
    <w:nsid w:val="5B731988"/>
    <w:multiLevelType w:val="hybridMultilevel"/>
    <w:tmpl w:val="6C8EF7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806BB3"/>
    <w:multiLevelType w:val="hybridMultilevel"/>
    <w:tmpl w:val="873C67EA"/>
    <w:lvl w:ilvl="0" w:tplc="D2D606E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BA1B2C"/>
    <w:multiLevelType w:val="hybridMultilevel"/>
    <w:tmpl w:val="2382852C"/>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7" w15:restartNumberingAfterBreak="0">
    <w:nsid w:val="62215FAB"/>
    <w:multiLevelType w:val="multilevel"/>
    <w:tmpl w:val="94340C5E"/>
    <w:lvl w:ilvl="0">
      <w:start w:val="1"/>
      <w:numFmt w:val="decimal"/>
      <w:lvlText w:val="%1."/>
      <w:lvlJc w:val="left"/>
      <w:pPr>
        <w:ind w:left="360" w:hanging="360"/>
      </w:pPr>
      <w:rPr>
        <w:rFonts w:hint="default"/>
      </w:rPr>
    </w:lvl>
    <w:lvl w:ilvl="1">
      <w:start w:val="1"/>
      <w:numFmt w:val="decimal"/>
      <w:isLgl/>
      <w:lvlText w:val="%1.%2."/>
      <w:lvlJc w:val="left"/>
      <w:pPr>
        <w:ind w:left="1712" w:hanging="720"/>
      </w:pPr>
      <w:rPr>
        <w:rFonts w:hint="default"/>
      </w:rPr>
    </w:lvl>
    <w:lvl w:ilvl="2">
      <w:start w:val="1"/>
      <w:numFmt w:val="bullet"/>
      <w:lvlText w:val=""/>
      <w:lvlJc w:val="left"/>
      <w:pPr>
        <w:ind w:left="1440" w:hanging="720"/>
      </w:pPr>
      <w:rPr>
        <w:rFonts w:ascii="Symbol" w:hAnsi="Symbol"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15:restartNumberingAfterBreak="0">
    <w:nsid w:val="63F33B0D"/>
    <w:multiLevelType w:val="hybridMultilevel"/>
    <w:tmpl w:val="2C669EC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8F610B"/>
    <w:multiLevelType w:val="hybridMultilevel"/>
    <w:tmpl w:val="4798F5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8A60DE"/>
    <w:multiLevelType w:val="hybridMultilevel"/>
    <w:tmpl w:val="57AA94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0456913"/>
    <w:multiLevelType w:val="hybridMultilevel"/>
    <w:tmpl w:val="C7A24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5B338E"/>
    <w:multiLevelType w:val="hybridMultilevel"/>
    <w:tmpl w:val="49BE8800"/>
    <w:lvl w:ilvl="0" w:tplc="341211C0">
      <w:start w:val="18"/>
      <w:numFmt w:val="bullet"/>
      <w:lvlText w:val="-"/>
      <w:lvlJc w:val="left"/>
      <w:pPr>
        <w:ind w:left="1080" w:hanging="360"/>
      </w:pPr>
      <w:rPr>
        <w:rFonts w:ascii="Calibri" w:eastAsia="Times New Roman"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4" w15:restartNumberingAfterBreak="0">
    <w:nsid w:val="760D2179"/>
    <w:multiLevelType w:val="hybridMultilevel"/>
    <w:tmpl w:val="7BBAF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705BB6"/>
    <w:multiLevelType w:val="hybridMultilevel"/>
    <w:tmpl w:val="408ED48E"/>
    <w:lvl w:ilvl="0" w:tplc="04260019">
      <w:start w:val="1"/>
      <w:numFmt w:val="lowerLetter"/>
      <w:lvlText w:val="%1."/>
      <w:lvlJc w:val="left"/>
      <w:pPr>
        <w:ind w:left="839" w:hanging="360"/>
      </w:pPr>
    </w:lvl>
    <w:lvl w:ilvl="1" w:tplc="04260019" w:tentative="1">
      <w:start w:val="1"/>
      <w:numFmt w:val="lowerLetter"/>
      <w:lvlText w:val="%2."/>
      <w:lvlJc w:val="left"/>
      <w:pPr>
        <w:ind w:left="1559" w:hanging="360"/>
      </w:pPr>
    </w:lvl>
    <w:lvl w:ilvl="2" w:tplc="0426001B" w:tentative="1">
      <w:start w:val="1"/>
      <w:numFmt w:val="lowerRoman"/>
      <w:lvlText w:val="%3."/>
      <w:lvlJc w:val="right"/>
      <w:pPr>
        <w:ind w:left="2279" w:hanging="180"/>
      </w:pPr>
    </w:lvl>
    <w:lvl w:ilvl="3" w:tplc="0426000F" w:tentative="1">
      <w:start w:val="1"/>
      <w:numFmt w:val="decimal"/>
      <w:lvlText w:val="%4."/>
      <w:lvlJc w:val="left"/>
      <w:pPr>
        <w:ind w:left="2999" w:hanging="360"/>
      </w:pPr>
    </w:lvl>
    <w:lvl w:ilvl="4" w:tplc="04260019" w:tentative="1">
      <w:start w:val="1"/>
      <w:numFmt w:val="lowerLetter"/>
      <w:lvlText w:val="%5."/>
      <w:lvlJc w:val="left"/>
      <w:pPr>
        <w:ind w:left="3719" w:hanging="360"/>
      </w:pPr>
    </w:lvl>
    <w:lvl w:ilvl="5" w:tplc="0426001B" w:tentative="1">
      <w:start w:val="1"/>
      <w:numFmt w:val="lowerRoman"/>
      <w:lvlText w:val="%6."/>
      <w:lvlJc w:val="right"/>
      <w:pPr>
        <w:ind w:left="4439" w:hanging="180"/>
      </w:pPr>
    </w:lvl>
    <w:lvl w:ilvl="6" w:tplc="0426000F" w:tentative="1">
      <w:start w:val="1"/>
      <w:numFmt w:val="decimal"/>
      <w:lvlText w:val="%7."/>
      <w:lvlJc w:val="left"/>
      <w:pPr>
        <w:ind w:left="5159" w:hanging="360"/>
      </w:pPr>
    </w:lvl>
    <w:lvl w:ilvl="7" w:tplc="04260019" w:tentative="1">
      <w:start w:val="1"/>
      <w:numFmt w:val="lowerLetter"/>
      <w:lvlText w:val="%8."/>
      <w:lvlJc w:val="left"/>
      <w:pPr>
        <w:ind w:left="5879" w:hanging="360"/>
      </w:pPr>
    </w:lvl>
    <w:lvl w:ilvl="8" w:tplc="0426001B" w:tentative="1">
      <w:start w:val="1"/>
      <w:numFmt w:val="lowerRoman"/>
      <w:lvlText w:val="%9."/>
      <w:lvlJc w:val="right"/>
      <w:pPr>
        <w:ind w:left="6599" w:hanging="180"/>
      </w:pPr>
    </w:lvl>
  </w:abstractNum>
  <w:num w:numId="1">
    <w:abstractNumId w:val="2"/>
  </w:num>
  <w:num w:numId="2">
    <w:abstractNumId w:val="29"/>
  </w:num>
  <w:num w:numId="3">
    <w:abstractNumId w:val="15"/>
  </w:num>
  <w:num w:numId="4">
    <w:abstractNumId w:val="25"/>
  </w:num>
  <w:num w:numId="5">
    <w:abstractNumId w:val="5"/>
  </w:num>
  <w:num w:numId="6">
    <w:abstractNumId w:val="31"/>
  </w:num>
  <w:num w:numId="7">
    <w:abstractNumId w:val="3"/>
  </w:num>
  <w:num w:numId="8">
    <w:abstractNumId w:val="10"/>
  </w:num>
  <w:num w:numId="9">
    <w:abstractNumId w:val="34"/>
  </w:num>
  <w:num w:numId="10">
    <w:abstractNumId w:val="13"/>
  </w:num>
  <w:num w:numId="11">
    <w:abstractNumId w:val="33"/>
  </w:num>
  <w:num w:numId="12">
    <w:abstractNumId w:val="24"/>
  </w:num>
  <w:num w:numId="13">
    <w:abstractNumId w:val="1"/>
  </w:num>
  <w:num w:numId="14">
    <w:abstractNumId w:val="17"/>
  </w:num>
  <w:num w:numId="15">
    <w:abstractNumId w:val="20"/>
  </w:num>
  <w:num w:numId="16">
    <w:abstractNumId w:val="23"/>
  </w:num>
  <w:num w:numId="17">
    <w:abstractNumId w:val="7"/>
  </w:num>
  <w:num w:numId="18">
    <w:abstractNumId w:val="18"/>
  </w:num>
  <w:num w:numId="19">
    <w:abstractNumId w:val="35"/>
  </w:num>
  <w:num w:numId="20">
    <w:abstractNumId w:val="11"/>
  </w:num>
  <w:num w:numId="21">
    <w:abstractNumId w:val="22"/>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12"/>
  </w:num>
  <w:num w:numId="27">
    <w:abstractNumId w:val="28"/>
  </w:num>
  <w:num w:numId="28">
    <w:abstractNumId w:val="30"/>
  </w:num>
  <w:num w:numId="29">
    <w:abstractNumId w:val="14"/>
  </w:num>
  <w:num w:numId="30">
    <w:abstractNumId w:val="32"/>
  </w:num>
  <w:num w:numId="31">
    <w:abstractNumId w:val="27"/>
  </w:num>
  <w:num w:numId="32">
    <w:abstractNumId w:val="6"/>
  </w:num>
  <w:num w:numId="33">
    <w:abstractNumId w:val="4"/>
  </w:num>
  <w:num w:numId="34">
    <w:abstractNumId w:val="0"/>
  </w:num>
  <w:num w:numId="35">
    <w:abstractNumId w:val="21"/>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D92"/>
    <w:rsid w:val="00003988"/>
    <w:rsid w:val="00004BE5"/>
    <w:rsid w:val="0000546F"/>
    <w:rsid w:val="00005ED3"/>
    <w:rsid w:val="00013E3B"/>
    <w:rsid w:val="0001610B"/>
    <w:rsid w:val="000229A9"/>
    <w:rsid w:val="00024CA6"/>
    <w:rsid w:val="000252CB"/>
    <w:rsid w:val="00026B46"/>
    <w:rsid w:val="0002725B"/>
    <w:rsid w:val="000304C5"/>
    <w:rsid w:val="0003733B"/>
    <w:rsid w:val="000426BA"/>
    <w:rsid w:val="00051CD5"/>
    <w:rsid w:val="000523F4"/>
    <w:rsid w:val="00054003"/>
    <w:rsid w:val="00056469"/>
    <w:rsid w:val="00056D2E"/>
    <w:rsid w:val="00065FC4"/>
    <w:rsid w:val="00067EF3"/>
    <w:rsid w:val="000704F2"/>
    <w:rsid w:val="00072315"/>
    <w:rsid w:val="000729B6"/>
    <w:rsid w:val="00073285"/>
    <w:rsid w:val="0007343C"/>
    <w:rsid w:val="00080225"/>
    <w:rsid w:val="00084E41"/>
    <w:rsid w:val="00084E8C"/>
    <w:rsid w:val="00085455"/>
    <w:rsid w:val="00087782"/>
    <w:rsid w:val="000879B8"/>
    <w:rsid w:val="00087CF0"/>
    <w:rsid w:val="00091C77"/>
    <w:rsid w:val="0009279B"/>
    <w:rsid w:val="000949A9"/>
    <w:rsid w:val="000956DE"/>
    <w:rsid w:val="00096A3E"/>
    <w:rsid w:val="000A0D0D"/>
    <w:rsid w:val="000A1590"/>
    <w:rsid w:val="000A1A81"/>
    <w:rsid w:val="000A27BD"/>
    <w:rsid w:val="000A2A68"/>
    <w:rsid w:val="000A439C"/>
    <w:rsid w:val="000A7B17"/>
    <w:rsid w:val="000A7FA7"/>
    <w:rsid w:val="000B00D2"/>
    <w:rsid w:val="000B0E5C"/>
    <w:rsid w:val="000C3599"/>
    <w:rsid w:val="000C3671"/>
    <w:rsid w:val="000C3C66"/>
    <w:rsid w:val="000C67FE"/>
    <w:rsid w:val="000C697D"/>
    <w:rsid w:val="000D51E5"/>
    <w:rsid w:val="000D5464"/>
    <w:rsid w:val="000D5BFA"/>
    <w:rsid w:val="000D7381"/>
    <w:rsid w:val="000D7670"/>
    <w:rsid w:val="000E3C5D"/>
    <w:rsid w:val="000E4152"/>
    <w:rsid w:val="000E4B2A"/>
    <w:rsid w:val="000F0372"/>
    <w:rsid w:val="000F2CBB"/>
    <w:rsid w:val="000F791A"/>
    <w:rsid w:val="001001FF"/>
    <w:rsid w:val="00100A3D"/>
    <w:rsid w:val="00101650"/>
    <w:rsid w:val="001070A3"/>
    <w:rsid w:val="001108CC"/>
    <w:rsid w:val="00116880"/>
    <w:rsid w:val="00123009"/>
    <w:rsid w:val="00123BA2"/>
    <w:rsid w:val="00126F28"/>
    <w:rsid w:val="00132746"/>
    <w:rsid w:val="00132E08"/>
    <w:rsid w:val="001359BC"/>
    <w:rsid w:val="001377AB"/>
    <w:rsid w:val="001377BC"/>
    <w:rsid w:val="00137C0D"/>
    <w:rsid w:val="00137E58"/>
    <w:rsid w:val="00141677"/>
    <w:rsid w:val="00143486"/>
    <w:rsid w:val="00150599"/>
    <w:rsid w:val="00150801"/>
    <w:rsid w:val="001524D6"/>
    <w:rsid w:val="00152BF3"/>
    <w:rsid w:val="00156EE9"/>
    <w:rsid w:val="0015763F"/>
    <w:rsid w:val="00157ADF"/>
    <w:rsid w:val="00157F8B"/>
    <w:rsid w:val="001602A6"/>
    <w:rsid w:val="00163248"/>
    <w:rsid w:val="001651F6"/>
    <w:rsid w:val="001657C7"/>
    <w:rsid w:val="00167A49"/>
    <w:rsid w:val="001703AB"/>
    <w:rsid w:val="001705EC"/>
    <w:rsid w:val="00172520"/>
    <w:rsid w:val="00174D5D"/>
    <w:rsid w:val="001775A7"/>
    <w:rsid w:val="00182714"/>
    <w:rsid w:val="00185BF4"/>
    <w:rsid w:val="0018727B"/>
    <w:rsid w:val="00190265"/>
    <w:rsid w:val="00190650"/>
    <w:rsid w:val="00190973"/>
    <w:rsid w:val="00195236"/>
    <w:rsid w:val="0019538F"/>
    <w:rsid w:val="00196443"/>
    <w:rsid w:val="001A1FE4"/>
    <w:rsid w:val="001A2E50"/>
    <w:rsid w:val="001A6ADD"/>
    <w:rsid w:val="001B1266"/>
    <w:rsid w:val="001B1505"/>
    <w:rsid w:val="001B1A3C"/>
    <w:rsid w:val="001B1D27"/>
    <w:rsid w:val="001B31C7"/>
    <w:rsid w:val="001B3B6B"/>
    <w:rsid w:val="001B45C9"/>
    <w:rsid w:val="001B562B"/>
    <w:rsid w:val="001C0C76"/>
    <w:rsid w:val="001C2C6F"/>
    <w:rsid w:val="001C320F"/>
    <w:rsid w:val="001C652D"/>
    <w:rsid w:val="001D0F9F"/>
    <w:rsid w:val="001D3E61"/>
    <w:rsid w:val="001D50EF"/>
    <w:rsid w:val="001E379D"/>
    <w:rsid w:val="001E5F22"/>
    <w:rsid w:val="001F60DC"/>
    <w:rsid w:val="001F621E"/>
    <w:rsid w:val="001F6E12"/>
    <w:rsid w:val="00200374"/>
    <w:rsid w:val="002007AD"/>
    <w:rsid w:val="00200F43"/>
    <w:rsid w:val="002017BB"/>
    <w:rsid w:val="0020465A"/>
    <w:rsid w:val="00211219"/>
    <w:rsid w:val="00211BD4"/>
    <w:rsid w:val="002167D7"/>
    <w:rsid w:val="00216ABF"/>
    <w:rsid w:val="00217C8D"/>
    <w:rsid w:val="00221ADA"/>
    <w:rsid w:val="0022207D"/>
    <w:rsid w:val="00223EAD"/>
    <w:rsid w:val="00225FE2"/>
    <w:rsid w:val="00226FC0"/>
    <w:rsid w:val="00235BB5"/>
    <w:rsid w:val="0023706F"/>
    <w:rsid w:val="0023791A"/>
    <w:rsid w:val="00243A03"/>
    <w:rsid w:val="002444DB"/>
    <w:rsid w:val="00255CA2"/>
    <w:rsid w:val="0026043C"/>
    <w:rsid w:val="0026071B"/>
    <w:rsid w:val="002646C7"/>
    <w:rsid w:val="00270CCF"/>
    <w:rsid w:val="00274D63"/>
    <w:rsid w:val="00275D1C"/>
    <w:rsid w:val="00276FF3"/>
    <w:rsid w:val="002778AA"/>
    <w:rsid w:val="00281AE7"/>
    <w:rsid w:val="00285F8A"/>
    <w:rsid w:val="00286728"/>
    <w:rsid w:val="002925BA"/>
    <w:rsid w:val="0029322E"/>
    <w:rsid w:val="00294D4A"/>
    <w:rsid w:val="0029576A"/>
    <w:rsid w:val="00296CAD"/>
    <w:rsid w:val="002A1344"/>
    <w:rsid w:val="002A2186"/>
    <w:rsid w:val="002B001C"/>
    <w:rsid w:val="002B02A6"/>
    <w:rsid w:val="002B0936"/>
    <w:rsid w:val="002B0FB2"/>
    <w:rsid w:val="002B3DD8"/>
    <w:rsid w:val="002C0AC2"/>
    <w:rsid w:val="002C516B"/>
    <w:rsid w:val="002C6ECD"/>
    <w:rsid w:val="002D04B5"/>
    <w:rsid w:val="002D061A"/>
    <w:rsid w:val="002D1644"/>
    <w:rsid w:val="002E4B67"/>
    <w:rsid w:val="002E76F7"/>
    <w:rsid w:val="002F078A"/>
    <w:rsid w:val="002F322D"/>
    <w:rsid w:val="002F5146"/>
    <w:rsid w:val="002F673A"/>
    <w:rsid w:val="00300D74"/>
    <w:rsid w:val="00307DB3"/>
    <w:rsid w:val="00312B78"/>
    <w:rsid w:val="0031476D"/>
    <w:rsid w:val="00315070"/>
    <w:rsid w:val="00316127"/>
    <w:rsid w:val="00317B85"/>
    <w:rsid w:val="0032113F"/>
    <w:rsid w:val="0032227B"/>
    <w:rsid w:val="00323163"/>
    <w:rsid w:val="00324CAC"/>
    <w:rsid w:val="003307DE"/>
    <w:rsid w:val="00332298"/>
    <w:rsid w:val="00333169"/>
    <w:rsid w:val="003350BD"/>
    <w:rsid w:val="00340A01"/>
    <w:rsid w:val="0034112A"/>
    <w:rsid w:val="00342412"/>
    <w:rsid w:val="00343EF8"/>
    <w:rsid w:val="00344154"/>
    <w:rsid w:val="00344DD5"/>
    <w:rsid w:val="00346A11"/>
    <w:rsid w:val="00350A18"/>
    <w:rsid w:val="00350D2C"/>
    <w:rsid w:val="00353032"/>
    <w:rsid w:val="00353989"/>
    <w:rsid w:val="00353F57"/>
    <w:rsid w:val="00354BD1"/>
    <w:rsid w:val="003621E4"/>
    <w:rsid w:val="003628E8"/>
    <w:rsid w:val="003726AC"/>
    <w:rsid w:val="0037350F"/>
    <w:rsid w:val="0037429B"/>
    <w:rsid w:val="00376C5F"/>
    <w:rsid w:val="00377394"/>
    <w:rsid w:val="00380FC5"/>
    <w:rsid w:val="003822D6"/>
    <w:rsid w:val="003903AE"/>
    <w:rsid w:val="00396DEE"/>
    <w:rsid w:val="003A577E"/>
    <w:rsid w:val="003A6690"/>
    <w:rsid w:val="003B533D"/>
    <w:rsid w:val="003B5C80"/>
    <w:rsid w:val="003B6443"/>
    <w:rsid w:val="003C0646"/>
    <w:rsid w:val="003C086F"/>
    <w:rsid w:val="003C47D9"/>
    <w:rsid w:val="003C4F2B"/>
    <w:rsid w:val="003C69C5"/>
    <w:rsid w:val="003D0787"/>
    <w:rsid w:val="003D1C3C"/>
    <w:rsid w:val="003D38DF"/>
    <w:rsid w:val="003D4545"/>
    <w:rsid w:val="003D46CC"/>
    <w:rsid w:val="003D4BED"/>
    <w:rsid w:val="003D7039"/>
    <w:rsid w:val="003E3888"/>
    <w:rsid w:val="003E598F"/>
    <w:rsid w:val="003E5B87"/>
    <w:rsid w:val="003E6C42"/>
    <w:rsid w:val="003E7EC8"/>
    <w:rsid w:val="003F2481"/>
    <w:rsid w:val="003F25BA"/>
    <w:rsid w:val="003F4828"/>
    <w:rsid w:val="003F50AF"/>
    <w:rsid w:val="003F5907"/>
    <w:rsid w:val="00402708"/>
    <w:rsid w:val="00403015"/>
    <w:rsid w:val="004041B9"/>
    <w:rsid w:val="00406974"/>
    <w:rsid w:val="00406C9B"/>
    <w:rsid w:val="004104EA"/>
    <w:rsid w:val="00411F27"/>
    <w:rsid w:val="004125C4"/>
    <w:rsid w:val="00414D90"/>
    <w:rsid w:val="00416228"/>
    <w:rsid w:val="00422448"/>
    <w:rsid w:val="004234AE"/>
    <w:rsid w:val="00424BAF"/>
    <w:rsid w:val="00427428"/>
    <w:rsid w:val="00430855"/>
    <w:rsid w:val="00430D1F"/>
    <w:rsid w:val="00431873"/>
    <w:rsid w:val="00431B4B"/>
    <w:rsid w:val="00432A70"/>
    <w:rsid w:val="00432CC0"/>
    <w:rsid w:val="00433606"/>
    <w:rsid w:val="004361DA"/>
    <w:rsid w:val="00437194"/>
    <w:rsid w:val="00443916"/>
    <w:rsid w:val="0044456F"/>
    <w:rsid w:val="00444846"/>
    <w:rsid w:val="00444AD0"/>
    <w:rsid w:val="00445F9C"/>
    <w:rsid w:val="00450127"/>
    <w:rsid w:val="004528C5"/>
    <w:rsid w:val="00453F2C"/>
    <w:rsid w:val="004545FC"/>
    <w:rsid w:val="004564A2"/>
    <w:rsid w:val="00457AE1"/>
    <w:rsid w:val="00461626"/>
    <w:rsid w:val="00465280"/>
    <w:rsid w:val="00467EF1"/>
    <w:rsid w:val="00470256"/>
    <w:rsid w:val="00470657"/>
    <w:rsid w:val="004712B7"/>
    <w:rsid w:val="0047379C"/>
    <w:rsid w:val="0047447E"/>
    <w:rsid w:val="0047759E"/>
    <w:rsid w:val="00477B6D"/>
    <w:rsid w:val="00477E32"/>
    <w:rsid w:val="00480FBA"/>
    <w:rsid w:val="0048306D"/>
    <w:rsid w:val="004831FA"/>
    <w:rsid w:val="00483A18"/>
    <w:rsid w:val="00483EFF"/>
    <w:rsid w:val="00485365"/>
    <w:rsid w:val="00487051"/>
    <w:rsid w:val="004900D8"/>
    <w:rsid w:val="00491B3E"/>
    <w:rsid w:val="004A007B"/>
    <w:rsid w:val="004A08B8"/>
    <w:rsid w:val="004A29A6"/>
    <w:rsid w:val="004A4517"/>
    <w:rsid w:val="004A6D1B"/>
    <w:rsid w:val="004B329D"/>
    <w:rsid w:val="004B3303"/>
    <w:rsid w:val="004B5FC8"/>
    <w:rsid w:val="004C016B"/>
    <w:rsid w:val="004C2C1C"/>
    <w:rsid w:val="004D0006"/>
    <w:rsid w:val="004D12B2"/>
    <w:rsid w:val="004D18B9"/>
    <w:rsid w:val="004D1FD9"/>
    <w:rsid w:val="004D53ED"/>
    <w:rsid w:val="004D6FE4"/>
    <w:rsid w:val="004E134F"/>
    <w:rsid w:val="004E2C4B"/>
    <w:rsid w:val="004E2E22"/>
    <w:rsid w:val="004E30E1"/>
    <w:rsid w:val="004E5504"/>
    <w:rsid w:val="004E5FF0"/>
    <w:rsid w:val="004E6FE9"/>
    <w:rsid w:val="004F222B"/>
    <w:rsid w:val="004F301C"/>
    <w:rsid w:val="004F6CBB"/>
    <w:rsid w:val="004F70AB"/>
    <w:rsid w:val="00505A76"/>
    <w:rsid w:val="00511D6F"/>
    <w:rsid w:val="00512933"/>
    <w:rsid w:val="005136E6"/>
    <w:rsid w:val="00514158"/>
    <w:rsid w:val="005150B8"/>
    <w:rsid w:val="00517EBA"/>
    <w:rsid w:val="0052095C"/>
    <w:rsid w:val="005222DB"/>
    <w:rsid w:val="0052542E"/>
    <w:rsid w:val="00526B31"/>
    <w:rsid w:val="00526EBB"/>
    <w:rsid w:val="00530E9C"/>
    <w:rsid w:val="00532497"/>
    <w:rsid w:val="0053353B"/>
    <w:rsid w:val="005371DD"/>
    <w:rsid w:val="00540A11"/>
    <w:rsid w:val="00541B28"/>
    <w:rsid w:val="00542016"/>
    <w:rsid w:val="0054503A"/>
    <w:rsid w:val="00546403"/>
    <w:rsid w:val="005526F0"/>
    <w:rsid w:val="0055666C"/>
    <w:rsid w:val="005634A4"/>
    <w:rsid w:val="00566A9C"/>
    <w:rsid w:val="00567981"/>
    <w:rsid w:val="00570DB8"/>
    <w:rsid w:val="00576D74"/>
    <w:rsid w:val="00577BCD"/>
    <w:rsid w:val="00583CE4"/>
    <w:rsid w:val="0058570F"/>
    <w:rsid w:val="005871AF"/>
    <w:rsid w:val="0059043C"/>
    <w:rsid w:val="005940B8"/>
    <w:rsid w:val="00594574"/>
    <w:rsid w:val="005A1706"/>
    <w:rsid w:val="005A4007"/>
    <w:rsid w:val="005A4042"/>
    <w:rsid w:val="005B2F11"/>
    <w:rsid w:val="005B3B08"/>
    <w:rsid w:val="005B3B1C"/>
    <w:rsid w:val="005B4B38"/>
    <w:rsid w:val="005B79B1"/>
    <w:rsid w:val="005C3F2B"/>
    <w:rsid w:val="005C7412"/>
    <w:rsid w:val="005D07BA"/>
    <w:rsid w:val="005D19DE"/>
    <w:rsid w:val="005D1ED8"/>
    <w:rsid w:val="005D3C78"/>
    <w:rsid w:val="005D5A02"/>
    <w:rsid w:val="005E06B1"/>
    <w:rsid w:val="005E28E2"/>
    <w:rsid w:val="005E3FD6"/>
    <w:rsid w:val="005E482C"/>
    <w:rsid w:val="005E4AA8"/>
    <w:rsid w:val="005E61EE"/>
    <w:rsid w:val="005E655B"/>
    <w:rsid w:val="005E724A"/>
    <w:rsid w:val="005E7734"/>
    <w:rsid w:val="005F10EA"/>
    <w:rsid w:val="005F20A4"/>
    <w:rsid w:val="005F4D22"/>
    <w:rsid w:val="005F7654"/>
    <w:rsid w:val="005F7E1D"/>
    <w:rsid w:val="00600595"/>
    <w:rsid w:val="00600AE2"/>
    <w:rsid w:val="0060247F"/>
    <w:rsid w:val="00603B5B"/>
    <w:rsid w:val="00603DF9"/>
    <w:rsid w:val="0060482C"/>
    <w:rsid w:val="00605EB4"/>
    <w:rsid w:val="006157A8"/>
    <w:rsid w:val="00615CF8"/>
    <w:rsid w:val="00616F80"/>
    <w:rsid w:val="00617008"/>
    <w:rsid w:val="006178FD"/>
    <w:rsid w:val="00617C19"/>
    <w:rsid w:val="00620BF2"/>
    <w:rsid w:val="00621D26"/>
    <w:rsid w:val="00627563"/>
    <w:rsid w:val="00627EA7"/>
    <w:rsid w:val="00634677"/>
    <w:rsid w:val="00637116"/>
    <w:rsid w:val="00641154"/>
    <w:rsid w:val="0064250F"/>
    <w:rsid w:val="00643B48"/>
    <w:rsid w:val="0066039A"/>
    <w:rsid w:val="0066212E"/>
    <w:rsid w:val="0066451F"/>
    <w:rsid w:val="00667588"/>
    <w:rsid w:val="0067246D"/>
    <w:rsid w:val="006770C7"/>
    <w:rsid w:val="00680D18"/>
    <w:rsid w:val="006833CF"/>
    <w:rsid w:val="0068625B"/>
    <w:rsid w:val="0068646A"/>
    <w:rsid w:val="00686470"/>
    <w:rsid w:val="00687EF4"/>
    <w:rsid w:val="006903B6"/>
    <w:rsid w:val="00692971"/>
    <w:rsid w:val="00695030"/>
    <w:rsid w:val="00695EB6"/>
    <w:rsid w:val="006A1579"/>
    <w:rsid w:val="006A53D4"/>
    <w:rsid w:val="006A6BA0"/>
    <w:rsid w:val="006B129A"/>
    <w:rsid w:val="006B17A1"/>
    <w:rsid w:val="006B35BE"/>
    <w:rsid w:val="006B4398"/>
    <w:rsid w:val="006B4584"/>
    <w:rsid w:val="006B4A4B"/>
    <w:rsid w:val="006B5440"/>
    <w:rsid w:val="006C0B34"/>
    <w:rsid w:val="006C1B63"/>
    <w:rsid w:val="006C4725"/>
    <w:rsid w:val="006C5CD3"/>
    <w:rsid w:val="006D011B"/>
    <w:rsid w:val="006D31F5"/>
    <w:rsid w:val="006D3AD6"/>
    <w:rsid w:val="006D4100"/>
    <w:rsid w:val="006D5511"/>
    <w:rsid w:val="006D69D6"/>
    <w:rsid w:val="006E5CF2"/>
    <w:rsid w:val="006E6F63"/>
    <w:rsid w:val="006F3205"/>
    <w:rsid w:val="006F36DE"/>
    <w:rsid w:val="006F3F56"/>
    <w:rsid w:val="006F4812"/>
    <w:rsid w:val="006F6A9E"/>
    <w:rsid w:val="007019F1"/>
    <w:rsid w:val="007020C8"/>
    <w:rsid w:val="00703E95"/>
    <w:rsid w:val="00705807"/>
    <w:rsid w:val="0070580D"/>
    <w:rsid w:val="00713606"/>
    <w:rsid w:val="00714274"/>
    <w:rsid w:val="00716DEE"/>
    <w:rsid w:val="00716FB2"/>
    <w:rsid w:val="00717721"/>
    <w:rsid w:val="00723484"/>
    <w:rsid w:val="00724035"/>
    <w:rsid w:val="007259B8"/>
    <w:rsid w:val="00726EC1"/>
    <w:rsid w:val="00726F1E"/>
    <w:rsid w:val="007309EF"/>
    <w:rsid w:val="00731D96"/>
    <w:rsid w:val="0073274A"/>
    <w:rsid w:val="007339C4"/>
    <w:rsid w:val="007351AF"/>
    <w:rsid w:val="00736BD6"/>
    <w:rsid w:val="007438E5"/>
    <w:rsid w:val="00745CC8"/>
    <w:rsid w:val="00751D17"/>
    <w:rsid w:val="007539EB"/>
    <w:rsid w:val="00754D04"/>
    <w:rsid w:val="007551BD"/>
    <w:rsid w:val="00755C3B"/>
    <w:rsid w:val="00756BBA"/>
    <w:rsid w:val="007576F2"/>
    <w:rsid w:val="00762228"/>
    <w:rsid w:val="00763486"/>
    <w:rsid w:val="007636C8"/>
    <w:rsid w:val="00763B6E"/>
    <w:rsid w:val="00766209"/>
    <w:rsid w:val="00773186"/>
    <w:rsid w:val="00776DED"/>
    <w:rsid w:val="00776DFF"/>
    <w:rsid w:val="00777D1D"/>
    <w:rsid w:val="007808C8"/>
    <w:rsid w:val="007819FF"/>
    <w:rsid w:val="00782D33"/>
    <w:rsid w:val="007842F5"/>
    <w:rsid w:val="007864B8"/>
    <w:rsid w:val="00787AB6"/>
    <w:rsid w:val="00787E34"/>
    <w:rsid w:val="00790E82"/>
    <w:rsid w:val="007927ED"/>
    <w:rsid w:val="00794022"/>
    <w:rsid w:val="00795511"/>
    <w:rsid w:val="00795A40"/>
    <w:rsid w:val="007A1F9F"/>
    <w:rsid w:val="007A3276"/>
    <w:rsid w:val="007A4F99"/>
    <w:rsid w:val="007A5BD6"/>
    <w:rsid w:val="007A743E"/>
    <w:rsid w:val="007B04AA"/>
    <w:rsid w:val="007B10AC"/>
    <w:rsid w:val="007B2CE5"/>
    <w:rsid w:val="007B480B"/>
    <w:rsid w:val="007C1625"/>
    <w:rsid w:val="007C27F7"/>
    <w:rsid w:val="007C2BF6"/>
    <w:rsid w:val="007D00C6"/>
    <w:rsid w:val="007D0941"/>
    <w:rsid w:val="007D3362"/>
    <w:rsid w:val="007D428D"/>
    <w:rsid w:val="007E0D28"/>
    <w:rsid w:val="007F2A15"/>
    <w:rsid w:val="007F55F8"/>
    <w:rsid w:val="008059CC"/>
    <w:rsid w:val="008104F1"/>
    <w:rsid w:val="00815680"/>
    <w:rsid w:val="00815736"/>
    <w:rsid w:val="0081609B"/>
    <w:rsid w:val="00821955"/>
    <w:rsid w:val="00822DEA"/>
    <w:rsid w:val="00822E2F"/>
    <w:rsid w:val="00825493"/>
    <w:rsid w:val="00825C20"/>
    <w:rsid w:val="00830A99"/>
    <w:rsid w:val="0083277E"/>
    <w:rsid w:val="00833A56"/>
    <w:rsid w:val="008352AF"/>
    <w:rsid w:val="00835AE7"/>
    <w:rsid w:val="00835E55"/>
    <w:rsid w:val="00836F27"/>
    <w:rsid w:val="0083707D"/>
    <w:rsid w:val="00837261"/>
    <w:rsid w:val="00842473"/>
    <w:rsid w:val="0084438F"/>
    <w:rsid w:val="0084551B"/>
    <w:rsid w:val="0084702D"/>
    <w:rsid w:val="0085168E"/>
    <w:rsid w:val="00852D0B"/>
    <w:rsid w:val="0086039D"/>
    <w:rsid w:val="00862131"/>
    <w:rsid w:val="008621AA"/>
    <w:rsid w:val="00866BEA"/>
    <w:rsid w:val="00871606"/>
    <w:rsid w:val="0087357A"/>
    <w:rsid w:val="00873ED0"/>
    <w:rsid w:val="00877A77"/>
    <w:rsid w:val="00880692"/>
    <w:rsid w:val="00884606"/>
    <w:rsid w:val="00885C45"/>
    <w:rsid w:val="00887D70"/>
    <w:rsid w:val="008907CA"/>
    <w:rsid w:val="00890E56"/>
    <w:rsid w:val="00891B97"/>
    <w:rsid w:val="0089473B"/>
    <w:rsid w:val="00895AC1"/>
    <w:rsid w:val="00897536"/>
    <w:rsid w:val="008A1EDA"/>
    <w:rsid w:val="008A2DE4"/>
    <w:rsid w:val="008A75F5"/>
    <w:rsid w:val="008B0943"/>
    <w:rsid w:val="008B0DD2"/>
    <w:rsid w:val="008B19B9"/>
    <w:rsid w:val="008B392D"/>
    <w:rsid w:val="008B558F"/>
    <w:rsid w:val="008B72EA"/>
    <w:rsid w:val="008C18E8"/>
    <w:rsid w:val="008C2DA3"/>
    <w:rsid w:val="008C3CBB"/>
    <w:rsid w:val="008C3F35"/>
    <w:rsid w:val="008C4A73"/>
    <w:rsid w:val="008D04B5"/>
    <w:rsid w:val="008D1BC1"/>
    <w:rsid w:val="008D3C78"/>
    <w:rsid w:val="008D3FEA"/>
    <w:rsid w:val="008E0E78"/>
    <w:rsid w:val="008E1101"/>
    <w:rsid w:val="008E1DE7"/>
    <w:rsid w:val="008E5A6A"/>
    <w:rsid w:val="008E6938"/>
    <w:rsid w:val="008E6DF1"/>
    <w:rsid w:val="008E7460"/>
    <w:rsid w:val="008E74C3"/>
    <w:rsid w:val="008F0C62"/>
    <w:rsid w:val="008F19D6"/>
    <w:rsid w:val="008F3B2E"/>
    <w:rsid w:val="008F5498"/>
    <w:rsid w:val="008F5F68"/>
    <w:rsid w:val="008F74C3"/>
    <w:rsid w:val="00903148"/>
    <w:rsid w:val="00903B1F"/>
    <w:rsid w:val="009058CE"/>
    <w:rsid w:val="00905FCF"/>
    <w:rsid w:val="00907246"/>
    <w:rsid w:val="00907CBB"/>
    <w:rsid w:val="00915BC9"/>
    <w:rsid w:val="0092501B"/>
    <w:rsid w:val="00932C51"/>
    <w:rsid w:val="00937929"/>
    <w:rsid w:val="00942876"/>
    <w:rsid w:val="009517C1"/>
    <w:rsid w:val="00954D60"/>
    <w:rsid w:val="0095693B"/>
    <w:rsid w:val="00960C16"/>
    <w:rsid w:val="009625CE"/>
    <w:rsid w:val="00963B39"/>
    <w:rsid w:val="009652CA"/>
    <w:rsid w:val="00966A2A"/>
    <w:rsid w:val="00972881"/>
    <w:rsid w:val="009728F3"/>
    <w:rsid w:val="00973B6A"/>
    <w:rsid w:val="009779D8"/>
    <w:rsid w:val="009822E1"/>
    <w:rsid w:val="009862C6"/>
    <w:rsid w:val="00986F45"/>
    <w:rsid w:val="00987988"/>
    <w:rsid w:val="00987BF7"/>
    <w:rsid w:val="0099012E"/>
    <w:rsid w:val="00990CE5"/>
    <w:rsid w:val="009937F3"/>
    <w:rsid w:val="00994652"/>
    <w:rsid w:val="0099538E"/>
    <w:rsid w:val="009955D9"/>
    <w:rsid w:val="009A133A"/>
    <w:rsid w:val="009A188B"/>
    <w:rsid w:val="009A4D13"/>
    <w:rsid w:val="009A4D29"/>
    <w:rsid w:val="009A7203"/>
    <w:rsid w:val="009A7816"/>
    <w:rsid w:val="009B4297"/>
    <w:rsid w:val="009B5669"/>
    <w:rsid w:val="009B7E1F"/>
    <w:rsid w:val="009C0940"/>
    <w:rsid w:val="009C0CC1"/>
    <w:rsid w:val="009C50CB"/>
    <w:rsid w:val="009C5CDD"/>
    <w:rsid w:val="009C6BBE"/>
    <w:rsid w:val="009D6DBC"/>
    <w:rsid w:val="009D6FB3"/>
    <w:rsid w:val="009D7004"/>
    <w:rsid w:val="009D70FF"/>
    <w:rsid w:val="009E3A0E"/>
    <w:rsid w:val="009E4E90"/>
    <w:rsid w:val="009E5FD5"/>
    <w:rsid w:val="009E7B24"/>
    <w:rsid w:val="009F025C"/>
    <w:rsid w:val="009F36A0"/>
    <w:rsid w:val="009F48BB"/>
    <w:rsid w:val="009F611B"/>
    <w:rsid w:val="009F6466"/>
    <w:rsid w:val="00A00BC4"/>
    <w:rsid w:val="00A02E1E"/>
    <w:rsid w:val="00A0460A"/>
    <w:rsid w:val="00A04E5D"/>
    <w:rsid w:val="00A05A63"/>
    <w:rsid w:val="00A123BD"/>
    <w:rsid w:val="00A1258D"/>
    <w:rsid w:val="00A16623"/>
    <w:rsid w:val="00A20531"/>
    <w:rsid w:val="00A244AC"/>
    <w:rsid w:val="00A30BEB"/>
    <w:rsid w:val="00A30E20"/>
    <w:rsid w:val="00A33428"/>
    <w:rsid w:val="00A35883"/>
    <w:rsid w:val="00A37C50"/>
    <w:rsid w:val="00A40FAE"/>
    <w:rsid w:val="00A414D8"/>
    <w:rsid w:val="00A433BE"/>
    <w:rsid w:val="00A477C2"/>
    <w:rsid w:val="00A47D1B"/>
    <w:rsid w:val="00A51A4F"/>
    <w:rsid w:val="00A51D00"/>
    <w:rsid w:val="00A558DD"/>
    <w:rsid w:val="00A57CB5"/>
    <w:rsid w:val="00A60AFB"/>
    <w:rsid w:val="00A67699"/>
    <w:rsid w:val="00A70351"/>
    <w:rsid w:val="00A74089"/>
    <w:rsid w:val="00A74160"/>
    <w:rsid w:val="00A75802"/>
    <w:rsid w:val="00A81A85"/>
    <w:rsid w:val="00A83064"/>
    <w:rsid w:val="00A8361A"/>
    <w:rsid w:val="00A8366C"/>
    <w:rsid w:val="00A84A7C"/>
    <w:rsid w:val="00A85168"/>
    <w:rsid w:val="00A92B8B"/>
    <w:rsid w:val="00A92DA9"/>
    <w:rsid w:val="00A96BDE"/>
    <w:rsid w:val="00AA0B68"/>
    <w:rsid w:val="00AA2DFA"/>
    <w:rsid w:val="00AA4490"/>
    <w:rsid w:val="00AA6899"/>
    <w:rsid w:val="00AB164A"/>
    <w:rsid w:val="00AB17FE"/>
    <w:rsid w:val="00AB3DD3"/>
    <w:rsid w:val="00AB53CD"/>
    <w:rsid w:val="00AB6E28"/>
    <w:rsid w:val="00AC0DA9"/>
    <w:rsid w:val="00AC3F11"/>
    <w:rsid w:val="00AC3F13"/>
    <w:rsid w:val="00AC3F60"/>
    <w:rsid w:val="00AC4E2A"/>
    <w:rsid w:val="00AC515A"/>
    <w:rsid w:val="00AD4574"/>
    <w:rsid w:val="00AD6A66"/>
    <w:rsid w:val="00AE2DEB"/>
    <w:rsid w:val="00AE3564"/>
    <w:rsid w:val="00AE7059"/>
    <w:rsid w:val="00AE7234"/>
    <w:rsid w:val="00AF7119"/>
    <w:rsid w:val="00B03B13"/>
    <w:rsid w:val="00B06C1E"/>
    <w:rsid w:val="00B124F8"/>
    <w:rsid w:val="00B1274D"/>
    <w:rsid w:val="00B14BC1"/>
    <w:rsid w:val="00B16124"/>
    <w:rsid w:val="00B16994"/>
    <w:rsid w:val="00B17179"/>
    <w:rsid w:val="00B17241"/>
    <w:rsid w:val="00B17CE5"/>
    <w:rsid w:val="00B209D9"/>
    <w:rsid w:val="00B22190"/>
    <w:rsid w:val="00B2256D"/>
    <w:rsid w:val="00B23D70"/>
    <w:rsid w:val="00B307F2"/>
    <w:rsid w:val="00B3140D"/>
    <w:rsid w:val="00B3232E"/>
    <w:rsid w:val="00B32380"/>
    <w:rsid w:val="00B361FC"/>
    <w:rsid w:val="00B40AA2"/>
    <w:rsid w:val="00B40CC2"/>
    <w:rsid w:val="00B41779"/>
    <w:rsid w:val="00B43DEA"/>
    <w:rsid w:val="00B44013"/>
    <w:rsid w:val="00B44450"/>
    <w:rsid w:val="00B448BC"/>
    <w:rsid w:val="00B45C78"/>
    <w:rsid w:val="00B466D9"/>
    <w:rsid w:val="00B47C2A"/>
    <w:rsid w:val="00B525AA"/>
    <w:rsid w:val="00B53E5F"/>
    <w:rsid w:val="00B5642A"/>
    <w:rsid w:val="00B56B32"/>
    <w:rsid w:val="00B617ED"/>
    <w:rsid w:val="00B619E7"/>
    <w:rsid w:val="00B6767C"/>
    <w:rsid w:val="00B7049D"/>
    <w:rsid w:val="00B7191D"/>
    <w:rsid w:val="00B725A2"/>
    <w:rsid w:val="00B74312"/>
    <w:rsid w:val="00B76B8A"/>
    <w:rsid w:val="00B82ECD"/>
    <w:rsid w:val="00B86C9F"/>
    <w:rsid w:val="00B923FF"/>
    <w:rsid w:val="00B92FA2"/>
    <w:rsid w:val="00B94112"/>
    <w:rsid w:val="00B953FD"/>
    <w:rsid w:val="00B95766"/>
    <w:rsid w:val="00BA0575"/>
    <w:rsid w:val="00BA4767"/>
    <w:rsid w:val="00BA523B"/>
    <w:rsid w:val="00BB383E"/>
    <w:rsid w:val="00BB47F6"/>
    <w:rsid w:val="00BB4AC0"/>
    <w:rsid w:val="00BB53E7"/>
    <w:rsid w:val="00BB69EE"/>
    <w:rsid w:val="00BB6FA1"/>
    <w:rsid w:val="00BC0631"/>
    <w:rsid w:val="00BC2166"/>
    <w:rsid w:val="00BC3431"/>
    <w:rsid w:val="00BC4647"/>
    <w:rsid w:val="00BC47F2"/>
    <w:rsid w:val="00BC67BD"/>
    <w:rsid w:val="00BD0482"/>
    <w:rsid w:val="00BD06BA"/>
    <w:rsid w:val="00BD0ADB"/>
    <w:rsid w:val="00BD436E"/>
    <w:rsid w:val="00BD4388"/>
    <w:rsid w:val="00BD5588"/>
    <w:rsid w:val="00BD75B5"/>
    <w:rsid w:val="00BE05FE"/>
    <w:rsid w:val="00BE740A"/>
    <w:rsid w:val="00BF1A10"/>
    <w:rsid w:val="00BF55EF"/>
    <w:rsid w:val="00BF5AFA"/>
    <w:rsid w:val="00BF680C"/>
    <w:rsid w:val="00C00FA1"/>
    <w:rsid w:val="00C03C27"/>
    <w:rsid w:val="00C06B6A"/>
    <w:rsid w:val="00C11E46"/>
    <w:rsid w:val="00C12CEB"/>
    <w:rsid w:val="00C14620"/>
    <w:rsid w:val="00C17043"/>
    <w:rsid w:val="00C21AAB"/>
    <w:rsid w:val="00C22361"/>
    <w:rsid w:val="00C25E14"/>
    <w:rsid w:val="00C27877"/>
    <w:rsid w:val="00C313ED"/>
    <w:rsid w:val="00C33E71"/>
    <w:rsid w:val="00C35DF0"/>
    <w:rsid w:val="00C35E3B"/>
    <w:rsid w:val="00C40D1B"/>
    <w:rsid w:val="00C430B2"/>
    <w:rsid w:val="00C4507B"/>
    <w:rsid w:val="00C5029E"/>
    <w:rsid w:val="00C50F51"/>
    <w:rsid w:val="00C5598D"/>
    <w:rsid w:val="00C57D96"/>
    <w:rsid w:val="00C64834"/>
    <w:rsid w:val="00C65F83"/>
    <w:rsid w:val="00C66EA4"/>
    <w:rsid w:val="00C7141D"/>
    <w:rsid w:val="00C72053"/>
    <w:rsid w:val="00C73E39"/>
    <w:rsid w:val="00C763AA"/>
    <w:rsid w:val="00C805E2"/>
    <w:rsid w:val="00C842DE"/>
    <w:rsid w:val="00C86EA5"/>
    <w:rsid w:val="00C94C05"/>
    <w:rsid w:val="00CA2D76"/>
    <w:rsid w:val="00CA3C4B"/>
    <w:rsid w:val="00CA75B8"/>
    <w:rsid w:val="00CB2324"/>
    <w:rsid w:val="00CB2574"/>
    <w:rsid w:val="00CB3327"/>
    <w:rsid w:val="00CB6784"/>
    <w:rsid w:val="00CC028E"/>
    <w:rsid w:val="00CC041F"/>
    <w:rsid w:val="00CC45ED"/>
    <w:rsid w:val="00CC59AA"/>
    <w:rsid w:val="00CC6F5F"/>
    <w:rsid w:val="00CC7355"/>
    <w:rsid w:val="00CD02BC"/>
    <w:rsid w:val="00CD129A"/>
    <w:rsid w:val="00CD1692"/>
    <w:rsid w:val="00CD3450"/>
    <w:rsid w:val="00CD3F62"/>
    <w:rsid w:val="00CD6ADB"/>
    <w:rsid w:val="00CE08B9"/>
    <w:rsid w:val="00CE2185"/>
    <w:rsid w:val="00CE263D"/>
    <w:rsid w:val="00CE3A2F"/>
    <w:rsid w:val="00CE5FC1"/>
    <w:rsid w:val="00CF3941"/>
    <w:rsid w:val="00CF3D4E"/>
    <w:rsid w:val="00CF411A"/>
    <w:rsid w:val="00CF4EC3"/>
    <w:rsid w:val="00CF6B48"/>
    <w:rsid w:val="00CF706A"/>
    <w:rsid w:val="00D00965"/>
    <w:rsid w:val="00D0550B"/>
    <w:rsid w:val="00D1050E"/>
    <w:rsid w:val="00D14BD5"/>
    <w:rsid w:val="00D15DD1"/>
    <w:rsid w:val="00D202B6"/>
    <w:rsid w:val="00D21B8C"/>
    <w:rsid w:val="00D22E41"/>
    <w:rsid w:val="00D247A1"/>
    <w:rsid w:val="00D2600A"/>
    <w:rsid w:val="00D31FAA"/>
    <w:rsid w:val="00D32729"/>
    <w:rsid w:val="00D36E0F"/>
    <w:rsid w:val="00D408FF"/>
    <w:rsid w:val="00D41129"/>
    <w:rsid w:val="00D42DED"/>
    <w:rsid w:val="00D45932"/>
    <w:rsid w:val="00D461CE"/>
    <w:rsid w:val="00D46A50"/>
    <w:rsid w:val="00D4711C"/>
    <w:rsid w:val="00D51448"/>
    <w:rsid w:val="00D52120"/>
    <w:rsid w:val="00D54A16"/>
    <w:rsid w:val="00D55A0C"/>
    <w:rsid w:val="00D57787"/>
    <w:rsid w:val="00D625DB"/>
    <w:rsid w:val="00D64F5E"/>
    <w:rsid w:val="00D655B9"/>
    <w:rsid w:val="00D67EE1"/>
    <w:rsid w:val="00D7024F"/>
    <w:rsid w:val="00D70D2A"/>
    <w:rsid w:val="00D7100D"/>
    <w:rsid w:val="00D72C43"/>
    <w:rsid w:val="00D77E29"/>
    <w:rsid w:val="00D805F9"/>
    <w:rsid w:val="00D87F6E"/>
    <w:rsid w:val="00D9062D"/>
    <w:rsid w:val="00D92D7D"/>
    <w:rsid w:val="00DA054F"/>
    <w:rsid w:val="00DA2536"/>
    <w:rsid w:val="00DA301E"/>
    <w:rsid w:val="00DA56C9"/>
    <w:rsid w:val="00DA6303"/>
    <w:rsid w:val="00DA6A88"/>
    <w:rsid w:val="00DA6E54"/>
    <w:rsid w:val="00DB2CE0"/>
    <w:rsid w:val="00DB4FB6"/>
    <w:rsid w:val="00DB6F38"/>
    <w:rsid w:val="00DB70D3"/>
    <w:rsid w:val="00DC055D"/>
    <w:rsid w:val="00DC0ACA"/>
    <w:rsid w:val="00DC4B25"/>
    <w:rsid w:val="00DC5A0F"/>
    <w:rsid w:val="00DC61B8"/>
    <w:rsid w:val="00DC6B00"/>
    <w:rsid w:val="00DD0091"/>
    <w:rsid w:val="00DD07BA"/>
    <w:rsid w:val="00DD1254"/>
    <w:rsid w:val="00DD15C5"/>
    <w:rsid w:val="00DD19BB"/>
    <w:rsid w:val="00DD21F6"/>
    <w:rsid w:val="00DD4AF2"/>
    <w:rsid w:val="00DD68C4"/>
    <w:rsid w:val="00DD6A1D"/>
    <w:rsid w:val="00DE028E"/>
    <w:rsid w:val="00DE1044"/>
    <w:rsid w:val="00DE140B"/>
    <w:rsid w:val="00DE23FF"/>
    <w:rsid w:val="00DE2BEF"/>
    <w:rsid w:val="00DE2DD1"/>
    <w:rsid w:val="00DE5A8B"/>
    <w:rsid w:val="00E020AE"/>
    <w:rsid w:val="00E06D6C"/>
    <w:rsid w:val="00E07328"/>
    <w:rsid w:val="00E124FD"/>
    <w:rsid w:val="00E13BBD"/>
    <w:rsid w:val="00E16F88"/>
    <w:rsid w:val="00E170D1"/>
    <w:rsid w:val="00E17F58"/>
    <w:rsid w:val="00E20C7B"/>
    <w:rsid w:val="00E33546"/>
    <w:rsid w:val="00E3516C"/>
    <w:rsid w:val="00E3549F"/>
    <w:rsid w:val="00E356D4"/>
    <w:rsid w:val="00E37E3D"/>
    <w:rsid w:val="00E408FD"/>
    <w:rsid w:val="00E40A95"/>
    <w:rsid w:val="00E42CBC"/>
    <w:rsid w:val="00E43077"/>
    <w:rsid w:val="00E430E0"/>
    <w:rsid w:val="00E44472"/>
    <w:rsid w:val="00E4473F"/>
    <w:rsid w:val="00E47F91"/>
    <w:rsid w:val="00E521F3"/>
    <w:rsid w:val="00E52400"/>
    <w:rsid w:val="00E53141"/>
    <w:rsid w:val="00E53499"/>
    <w:rsid w:val="00E56C0F"/>
    <w:rsid w:val="00E572C5"/>
    <w:rsid w:val="00E5799A"/>
    <w:rsid w:val="00E60410"/>
    <w:rsid w:val="00E60EFD"/>
    <w:rsid w:val="00E633A9"/>
    <w:rsid w:val="00E65655"/>
    <w:rsid w:val="00E70E10"/>
    <w:rsid w:val="00E70F3F"/>
    <w:rsid w:val="00E718C5"/>
    <w:rsid w:val="00E7351F"/>
    <w:rsid w:val="00E76E4F"/>
    <w:rsid w:val="00E856D0"/>
    <w:rsid w:val="00E95B3F"/>
    <w:rsid w:val="00E972A0"/>
    <w:rsid w:val="00EA4498"/>
    <w:rsid w:val="00EA7F17"/>
    <w:rsid w:val="00EB2F10"/>
    <w:rsid w:val="00EB60DC"/>
    <w:rsid w:val="00EB6491"/>
    <w:rsid w:val="00EC503D"/>
    <w:rsid w:val="00EC6B0D"/>
    <w:rsid w:val="00EC74E7"/>
    <w:rsid w:val="00ED2962"/>
    <w:rsid w:val="00ED5714"/>
    <w:rsid w:val="00ED7749"/>
    <w:rsid w:val="00EE3F19"/>
    <w:rsid w:val="00EE48CD"/>
    <w:rsid w:val="00EE53ED"/>
    <w:rsid w:val="00EE7372"/>
    <w:rsid w:val="00EF3556"/>
    <w:rsid w:val="00EF60EF"/>
    <w:rsid w:val="00EF7DFE"/>
    <w:rsid w:val="00F00A8D"/>
    <w:rsid w:val="00F00EDC"/>
    <w:rsid w:val="00F01624"/>
    <w:rsid w:val="00F01FCE"/>
    <w:rsid w:val="00F035D8"/>
    <w:rsid w:val="00F03AB2"/>
    <w:rsid w:val="00F043C9"/>
    <w:rsid w:val="00F05CC1"/>
    <w:rsid w:val="00F0627E"/>
    <w:rsid w:val="00F064C2"/>
    <w:rsid w:val="00F126F7"/>
    <w:rsid w:val="00F157DB"/>
    <w:rsid w:val="00F171F6"/>
    <w:rsid w:val="00F2073E"/>
    <w:rsid w:val="00F21729"/>
    <w:rsid w:val="00F236C4"/>
    <w:rsid w:val="00F24E42"/>
    <w:rsid w:val="00F25CC2"/>
    <w:rsid w:val="00F272AE"/>
    <w:rsid w:val="00F3068C"/>
    <w:rsid w:val="00F30DC3"/>
    <w:rsid w:val="00F3142D"/>
    <w:rsid w:val="00F3203F"/>
    <w:rsid w:val="00F32FF3"/>
    <w:rsid w:val="00F36B98"/>
    <w:rsid w:val="00F36FBB"/>
    <w:rsid w:val="00F40422"/>
    <w:rsid w:val="00F40428"/>
    <w:rsid w:val="00F405EE"/>
    <w:rsid w:val="00F42488"/>
    <w:rsid w:val="00F44FB3"/>
    <w:rsid w:val="00F4552E"/>
    <w:rsid w:val="00F52453"/>
    <w:rsid w:val="00F54E79"/>
    <w:rsid w:val="00F560C0"/>
    <w:rsid w:val="00F56F24"/>
    <w:rsid w:val="00F571F4"/>
    <w:rsid w:val="00F601E4"/>
    <w:rsid w:val="00F60A10"/>
    <w:rsid w:val="00F611B5"/>
    <w:rsid w:val="00F6127C"/>
    <w:rsid w:val="00F64F73"/>
    <w:rsid w:val="00F65FE3"/>
    <w:rsid w:val="00F661B0"/>
    <w:rsid w:val="00F666AE"/>
    <w:rsid w:val="00F67333"/>
    <w:rsid w:val="00F6743A"/>
    <w:rsid w:val="00F72A95"/>
    <w:rsid w:val="00F72C3E"/>
    <w:rsid w:val="00F73541"/>
    <w:rsid w:val="00F748F4"/>
    <w:rsid w:val="00F8540E"/>
    <w:rsid w:val="00F86A82"/>
    <w:rsid w:val="00F87B22"/>
    <w:rsid w:val="00F96A20"/>
    <w:rsid w:val="00F96BC4"/>
    <w:rsid w:val="00FA10EE"/>
    <w:rsid w:val="00FA1921"/>
    <w:rsid w:val="00FA3024"/>
    <w:rsid w:val="00FA35FA"/>
    <w:rsid w:val="00FA56EC"/>
    <w:rsid w:val="00FA6B73"/>
    <w:rsid w:val="00FB0262"/>
    <w:rsid w:val="00FB4844"/>
    <w:rsid w:val="00FB55E3"/>
    <w:rsid w:val="00FB6396"/>
    <w:rsid w:val="00FC14DC"/>
    <w:rsid w:val="00FC4910"/>
    <w:rsid w:val="00FC63E6"/>
    <w:rsid w:val="00FD01BE"/>
    <w:rsid w:val="00FD416B"/>
    <w:rsid w:val="00FD4DA5"/>
    <w:rsid w:val="00FD6733"/>
    <w:rsid w:val="00FE0177"/>
    <w:rsid w:val="00FE1957"/>
    <w:rsid w:val="00FE2C35"/>
    <w:rsid w:val="00FE3757"/>
    <w:rsid w:val="00FF038F"/>
    <w:rsid w:val="00FF4F65"/>
    <w:rsid w:val="00FF61B5"/>
    <w:rsid w:val="00FF7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C6C81"/>
  <w15:docId w15:val="{CB42A7EB-4030-429F-A2B4-89BF18C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EE-V">
    <w:name w:val="EE-V"/>
    <w:basedOn w:val="Normal"/>
    <w:autoRedefine/>
    <w:rsid w:val="000F791A"/>
    <w:pPr>
      <w:spacing w:before="100" w:beforeAutospacing="1" w:after="100" w:afterAutospacing="1"/>
      <w:jc w:val="center"/>
    </w:pPr>
    <w:rPr>
      <w:b/>
      <w:smallCaps/>
      <w:sz w:val="56"/>
      <w:szCs w:val="56"/>
    </w:rPr>
  </w:style>
  <w:style w:type="paragraph" w:styleId="ListParagraph">
    <w:name w:val="List Paragraph"/>
    <w:aliases w:val="2,Strip,H&amp;P List Paragraph,Normal bullet 2,Bullet list,Saistīto dokumentu saraksts,Syle 1,Numurets,List Paragraph11,OBC Bullet,Bullet Style,L,Akapit z listą BS,Bullet 1,Bullet Points,Dot pt,F5 List Paragraph,IFCL - List Paragraph"/>
    <w:basedOn w:val="Normal"/>
    <w:link w:val="ListParagraphChar"/>
    <w:uiPriority w:val="34"/>
    <w:qFormat/>
    <w:rsid w:val="000F79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Akapit z listą BS Char"/>
    <w:link w:val="ListParagraph"/>
    <w:uiPriority w:val="34"/>
    <w:qFormat/>
    <w:locked/>
    <w:rsid w:val="000F791A"/>
  </w:style>
  <w:style w:type="character" w:styleId="CommentReference">
    <w:name w:val="annotation reference"/>
    <w:basedOn w:val="DefaultParagraphFont"/>
    <w:uiPriority w:val="99"/>
    <w:semiHidden/>
    <w:unhideWhenUsed/>
    <w:rsid w:val="0083707D"/>
    <w:rPr>
      <w:sz w:val="16"/>
      <w:szCs w:val="16"/>
    </w:rPr>
  </w:style>
  <w:style w:type="paragraph" w:styleId="CommentText">
    <w:name w:val="annotation text"/>
    <w:basedOn w:val="Normal"/>
    <w:link w:val="CommentTextChar"/>
    <w:uiPriority w:val="99"/>
    <w:unhideWhenUsed/>
    <w:rsid w:val="0083707D"/>
    <w:rPr>
      <w:sz w:val="20"/>
      <w:szCs w:val="20"/>
    </w:rPr>
  </w:style>
  <w:style w:type="character" w:customStyle="1" w:styleId="CommentTextChar">
    <w:name w:val="Comment Text Char"/>
    <w:basedOn w:val="DefaultParagraphFont"/>
    <w:link w:val="CommentText"/>
    <w:uiPriority w:val="99"/>
    <w:rsid w:val="008370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07D"/>
    <w:rPr>
      <w:b/>
      <w:bCs/>
    </w:rPr>
  </w:style>
  <w:style w:type="character" w:customStyle="1" w:styleId="CommentSubjectChar">
    <w:name w:val="Comment Subject Char"/>
    <w:basedOn w:val="CommentTextChar"/>
    <w:link w:val="CommentSubject"/>
    <w:uiPriority w:val="99"/>
    <w:semiHidden/>
    <w:rsid w:val="0083707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3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D"/>
    <w:rPr>
      <w:rFonts w:ascii="Segoe UI" w:eastAsia="Times New Roman" w:hAnsi="Segoe UI" w:cs="Segoe UI"/>
      <w:sz w:val="18"/>
      <w:szCs w:val="18"/>
      <w:lang w:eastAsia="lv-LV"/>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A96BDE"/>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qFormat/>
    <w:rsid w:val="00A96B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qFormat/>
    <w:rsid w:val="00A96BDE"/>
    <w:rPr>
      <w:vertAlign w:val="superscript"/>
    </w:rPr>
  </w:style>
  <w:style w:type="paragraph" w:styleId="Header">
    <w:name w:val="header"/>
    <w:basedOn w:val="Normal"/>
    <w:link w:val="HeaderChar"/>
    <w:uiPriority w:val="99"/>
    <w:unhideWhenUsed/>
    <w:rsid w:val="00583CE4"/>
    <w:pPr>
      <w:tabs>
        <w:tab w:val="center" w:pos="4153"/>
        <w:tab w:val="right" w:pos="8306"/>
      </w:tabs>
    </w:pPr>
  </w:style>
  <w:style w:type="character" w:customStyle="1" w:styleId="HeaderChar">
    <w:name w:val="Header Char"/>
    <w:basedOn w:val="DefaultParagraphFont"/>
    <w:link w:val="Header"/>
    <w:uiPriority w:val="99"/>
    <w:rsid w:val="00583C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CE4"/>
    <w:pPr>
      <w:tabs>
        <w:tab w:val="center" w:pos="4153"/>
        <w:tab w:val="right" w:pos="8306"/>
      </w:tabs>
    </w:pPr>
  </w:style>
  <w:style w:type="character" w:customStyle="1" w:styleId="FooterChar">
    <w:name w:val="Footer Char"/>
    <w:basedOn w:val="DefaultParagraphFont"/>
    <w:link w:val="Footer"/>
    <w:uiPriority w:val="99"/>
    <w:rsid w:val="00583CE4"/>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562B"/>
    <w:rPr>
      <w:color w:val="800080" w:themeColor="followedHyperlink"/>
      <w:u w:val="single"/>
    </w:rPr>
  </w:style>
  <w:style w:type="paragraph" w:customStyle="1" w:styleId="CharCharCharChar">
    <w:name w:val="Char Char Char Char"/>
    <w:aliases w:val="Char2"/>
    <w:basedOn w:val="Normal"/>
    <w:next w:val="Normal"/>
    <w:link w:val="FootnoteReference"/>
    <w:uiPriority w:val="99"/>
    <w:rsid w:val="00C33E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DB4FB6"/>
    <w:pPr>
      <w:spacing w:before="100" w:beforeAutospacing="1" w:after="100" w:afterAutospacing="1"/>
    </w:pPr>
  </w:style>
  <w:style w:type="paragraph" w:styleId="Revision">
    <w:name w:val="Revision"/>
    <w:hidden/>
    <w:uiPriority w:val="99"/>
    <w:semiHidden/>
    <w:rsid w:val="00B466D9"/>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41B28"/>
    <w:pPr>
      <w:spacing w:before="75" w:after="75"/>
      <w:ind w:firstLine="375"/>
      <w:jc w:val="both"/>
    </w:pPr>
  </w:style>
  <w:style w:type="paragraph" w:customStyle="1" w:styleId="tvhtml">
    <w:name w:val="tv_html"/>
    <w:basedOn w:val="Normal"/>
    <w:rsid w:val="00541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1057">
      <w:bodyDiv w:val="1"/>
      <w:marLeft w:val="0"/>
      <w:marRight w:val="0"/>
      <w:marTop w:val="0"/>
      <w:marBottom w:val="0"/>
      <w:divBdr>
        <w:top w:val="none" w:sz="0" w:space="0" w:color="auto"/>
        <w:left w:val="none" w:sz="0" w:space="0" w:color="auto"/>
        <w:bottom w:val="none" w:sz="0" w:space="0" w:color="auto"/>
        <w:right w:val="none" w:sz="0" w:space="0" w:color="auto"/>
      </w:divBdr>
      <w:divsChild>
        <w:div w:id="1969313578">
          <w:marLeft w:val="0"/>
          <w:marRight w:val="0"/>
          <w:marTop w:val="0"/>
          <w:marBottom w:val="567"/>
          <w:divBdr>
            <w:top w:val="none" w:sz="0" w:space="0" w:color="auto"/>
            <w:left w:val="none" w:sz="0" w:space="0" w:color="auto"/>
            <w:bottom w:val="none" w:sz="0" w:space="0" w:color="auto"/>
            <w:right w:val="none" w:sz="0" w:space="0" w:color="auto"/>
          </w:divBdr>
        </w:div>
      </w:divsChild>
    </w:div>
    <w:div w:id="83646816">
      <w:bodyDiv w:val="1"/>
      <w:marLeft w:val="0"/>
      <w:marRight w:val="0"/>
      <w:marTop w:val="0"/>
      <w:marBottom w:val="0"/>
      <w:divBdr>
        <w:top w:val="none" w:sz="0" w:space="0" w:color="auto"/>
        <w:left w:val="none" w:sz="0" w:space="0" w:color="auto"/>
        <w:bottom w:val="none" w:sz="0" w:space="0" w:color="auto"/>
        <w:right w:val="none" w:sz="0" w:space="0" w:color="auto"/>
      </w:divBdr>
    </w:div>
    <w:div w:id="202180479">
      <w:bodyDiv w:val="1"/>
      <w:marLeft w:val="0"/>
      <w:marRight w:val="0"/>
      <w:marTop w:val="0"/>
      <w:marBottom w:val="0"/>
      <w:divBdr>
        <w:top w:val="none" w:sz="0" w:space="0" w:color="auto"/>
        <w:left w:val="none" w:sz="0" w:space="0" w:color="auto"/>
        <w:bottom w:val="none" w:sz="0" w:space="0" w:color="auto"/>
        <w:right w:val="none" w:sz="0" w:space="0" w:color="auto"/>
      </w:divBdr>
    </w:div>
    <w:div w:id="251859108">
      <w:bodyDiv w:val="1"/>
      <w:marLeft w:val="0"/>
      <w:marRight w:val="0"/>
      <w:marTop w:val="0"/>
      <w:marBottom w:val="0"/>
      <w:divBdr>
        <w:top w:val="none" w:sz="0" w:space="0" w:color="auto"/>
        <w:left w:val="none" w:sz="0" w:space="0" w:color="auto"/>
        <w:bottom w:val="none" w:sz="0" w:space="0" w:color="auto"/>
        <w:right w:val="none" w:sz="0" w:space="0" w:color="auto"/>
      </w:divBdr>
    </w:div>
    <w:div w:id="331298080">
      <w:bodyDiv w:val="1"/>
      <w:marLeft w:val="0"/>
      <w:marRight w:val="0"/>
      <w:marTop w:val="0"/>
      <w:marBottom w:val="0"/>
      <w:divBdr>
        <w:top w:val="none" w:sz="0" w:space="0" w:color="auto"/>
        <w:left w:val="none" w:sz="0" w:space="0" w:color="auto"/>
        <w:bottom w:val="none" w:sz="0" w:space="0" w:color="auto"/>
        <w:right w:val="none" w:sz="0" w:space="0" w:color="auto"/>
      </w:divBdr>
      <w:divsChild>
        <w:div w:id="2048872681">
          <w:marLeft w:val="547"/>
          <w:marRight w:val="0"/>
          <w:marTop w:val="0"/>
          <w:marBottom w:val="0"/>
          <w:divBdr>
            <w:top w:val="none" w:sz="0" w:space="0" w:color="auto"/>
            <w:left w:val="none" w:sz="0" w:space="0" w:color="auto"/>
            <w:bottom w:val="none" w:sz="0" w:space="0" w:color="auto"/>
            <w:right w:val="none" w:sz="0" w:space="0" w:color="auto"/>
          </w:divBdr>
        </w:div>
        <w:div w:id="238754658">
          <w:marLeft w:val="547"/>
          <w:marRight w:val="0"/>
          <w:marTop w:val="0"/>
          <w:marBottom w:val="0"/>
          <w:divBdr>
            <w:top w:val="none" w:sz="0" w:space="0" w:color="auto"/>
            <w:left w:val="none" w:sz="0" w:space="0" w:color="auto"/>
            <w:bottom w:val="none" w:sz="0" w:space="0" w:color="auto"/>
            <w:right w:val="none" w:sz="0" w:space="0" w:color="auto"/>
          </w:divBdr>
        </w:div>
      </w:divsChild>
    </w:div>
    <w:div w:id="415441997">
      <w:bodyDiv w:val="1"/>
      <w:marLeft w:val="0"/>
      <w:marRight w:val="0"/>
      <w:marTop w:val="0"/>
      <w:marBottom w:val="0"/>
      <w:divBdr>
        <w:top w:val="none" w:sz="0" w:space="0" w:color="auto"/>
        <w:left w:val="none" w:sz="0" w:space="0" w:color="auto"/>
        <w:bottom w:val="none" w:sz="0" w:space="0" w:color="auto"/>
        <w:right w:val="none" w:sz="0" w:space="0" w:color="auto"/>
      </w:divBdr>
    </w:div>
    <w:div w:id="456415226">
      <w:bodyDiv w:val="1"/>
      <w:marLeft w:val="0"/>
      <w:marRight w:val="0"/>
      <w:marTop w:val="0"/>
      <w:marBottom w:val="0"/>
      <w:divBdr>
        <w:top w:val="none" w:sz="0" w:space="0" w:color="auto"/>
        <w:left w:val="none" w:sz="0" w:space="0" w:color="auto"/>
        <w:bottom w:val="none" w:sz="0" w:space="0" w:color="auto"/>
        <w:right w:val="none" w:sz="0" w:space="0" w:color="auto"/>
      </w:divBdr>
    </w:div>
    <w:div w:id="538783315">
      <w:bodyDiv w:val="1"/>
      <w:marLeft w:val="0"/>
      <w:marRight w:val="0"/>
      <w:marTop w:val="0"/>
      <w:marBottom w:val="0"/>
      <w:divBdr>
        <w:top w:val="none" w:sz="0" w:space="0" w:color="auto"/>
        <w:left w:val="none" w:sz="0" w:space="0" w:color="auto"/>
        <w:bottom w:val="none" w:sz="0" w:space="0" w:color="auto"/>
        <w:right w:val="none" w:sz="0" w:space="0" w:color="auto"/>
      </w:divBdr>
    </w:div>
    <w:div w:id="574315318">
      <w:bodyDiv w:val="1"/>
      <w:marLeft w:val="0"/>
      <w:marRight w:val="0"/>
      <w:marTop w:val="0"/>
      <w:marBottom w:val="0"/>
      <w:divBdr>
        <w:top w:val="none" w:sz="0" w:space="0" w:color="auto"/>
        <w:left w:val="none" w:sz="0" w:space="0" w:color="auto"/>
        <w:bottom w:val="none" w:sz="0" w:space="0" w:color="auto"/>
        <w:right w:val="none" w:sz="0" w:space="0" w:color="auto"/>
      </w:divBdr>
    </w:div>
    <w:div w:id="581064143">
      <w:bodyDiv w:val="1"/>
      <w:marLeft w:val="0"/>
      <w:marRight w:val="0"/>
      <w:marTop w:val="0"/>
      <w:marBottom w:val="0"/>
      <w:divBdr>
        <w:top w:val="none" w:sz="0" w:space="0" w:color="auto"/>
        <w:left w:val="none" w:sz="0" w:space="0" w:color="auto"/>
        <w:bottom w:val="none" w:sz="0" w:space="0" w:color="auto"/>
        <w:right w:val="none" w:sz="0" w:space="0" w:color="auto"/>
      </w:divBdr>
    </w:div>
    <w:div w:id="624847514">
      <w:bodyDiv w:val="1"/>
      <w:marLeft w:val="0"/>
      <w:marRight w:val="0"/>
      <w:marTop w:val="0"/>
      <w:marBottom w:val="0"/>
      <w:divBdr>
        <w:top w:val="none" w:sz="0" w:space="0" w:color="auto"/>
        <w:left w:val="none" w:sz="0" w:space="0" w:color="auto"/>
        <w:bottom w:val="none" w:sz="0" w:space="0" w:color="auto"/>
        <w:right w:val="none" w:sz="0" w:space="0" w:color="auto"/>
      </w:divBdr>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72300778">
      <w:bodyDiv w:val="1"/>
      <w:marLeft w:val="0"/>
      <w:marRight w:val="0"/>
      <w:marTop w:val="0"/>
      <w:marBottom w:val="0"/>
      <w:divBdr>
        <w:top w:val="none" w:sz="0" w:space="0" w:color="auto"/>
        <w:left w:val="none" w:sz="0" w:space="0" w:color="auto"/>
        <w:bottom w:val="none" w:sz="0" w:space="0" w:color="auto"/>
        <w:right w:val="none" w:sz="0" w:space="0" w:color="auto"/>
      </w:divBdr>
    </w:div>
    <w:div w:id="811364722">
      <w:bodyDiv w:val="1"/>
      <w:marLeft w:val="0"/>
      <w:marRight w:val="0"/>
      <w:marTop w:val="0"/>
      <w:marBottom w:val="0"/>
      <w:divBdr>
        <w:top w:val="none" w:sz="0" w:space="0" w:color="auto"/>
        <w:left w:val="none" w:sz="0" w:space="0" w:color="auto"/>
        <w:bottom w:val="none" w:sz="0" w:space="0" w:color="auto"/>
        <w:right w:val="none" w:sz="0" w:space="0" w:color="auto"/>
      </w:divBdr>
    </w:div>
    <w:div w:id="915355940">
      <w:bodyDiv w:val="1"/>
      <w:marLeft w:val="0"/>
      <w:marRight w:val="0"/>
      <w:marTop w:val="0"/>
      <w:marBottom w:val="0"/>
      <w:divBdr>
        <w:top w:val="none" w:sz="0" w:space="0" w:color="auto"/>
        <w:left w:val="none" w:sz="0" w:space="0" w:color="auto"/>
        <w:bottom w:val="none" w:sz="0" w:space="0" w:color="auto"/>
        <w:right w:val="none" w:sz="0" w:space="0" w:color="auto"/>
      </w:divBdr>
    </w:div>
    <w:div w:id="917862110">
      <w:bodyDiv w:val="1"/>
      <w:marLeft w:val="0"/>
      <w:marRight w:val="0"/>
      <w:marTop w:val="0"/>
      <w:marBottom w:val="0"/>
      <w:divBdr>
        <w:top w:val="none" w:sz="0" w:space="0" w:color="auto"/>
        <w:left w:val="none" w:sz="0" w:space="0" w:color="auto"/>
        <w:bottom w:val="none" w:sz="0" w:space="0" w:color="auto"/>
        <w:right w:val="none" w:sz="0" w:space="0" w:color="auto"/>
      </w:divBdr>
    </w:div>
    <w:div w:id="1043821867">
      <w:bodyDiv w:val="1"/>
      <w:marLeft w:val="0"/>
      <w:marRight w:val="0"/>
      <w:marTop w:val="0"/>
      <w:marBottom w:val="0"/>
      <w:divBdr>
        <w:top w:val="none" w:sz="0" w:space="0" w:color="auto"/>
        <w:left w:val="none" w:sz="0" w:space="0" w:color="auto"/>
        <w:bottom w:val="none" w:sz="0" w:space="0" w:color="auto"/>
        <w:right w:val="none" w:sz="0" w:space="0" w:color="auto"/>
      </w:divBdr>
    </w:div>
    <w:div w:id="1077290314">
      <w:bodyDiv w:val="1"/>
      <w:marLeft w:val="0"/>
      <w:marRight w:val="0"/>
      <w:marTop w:val="0"/>
      <w:marBottom w:val="0"/>
      <w:divBdr>
        <w:top w:val="none" w:sz="0" w:space="0" w:color="auto"/>
        <w:left w:val="none" w:sz="0" w:space="0" w:color="auto"/>
        <w:bottom w:val="none" w:sz="0" w:space="0" w:color="auto"/>
        <w:right w:val="none" w:sz="0" w:space="0" w:color="auto"/>
      </w:divBdr>
    </w:div>
    <w:div w:id="1133131913">
      <w:bodyDiv w:val="1"/>
      <w:marLeft w:val="0"/>
      <w:marRight w:val="0"/>
      <w:marTop w:val="0"/>
      <w:marBottom w:val="0"/>
      <w:divBdr>
        <w:top w:val="none" w:sz="0" w:space="0" w:color="auto"/>
        <w:left w:val="none" w:sz="0" w:space="0" w:color="auto"/>
        <w:bottom w:val="none" w:sz="0" w:space="0" w:color="auto"/>
        <w:right w:val="none" w:sz="0" w:space="0" w:color="auto"/>
      </w:divBdr>
    </w:div>
    <w:div w:id="1217624996">
      <w:bodyDiv w:val="1"/>
      <w:marLeft w:val="0"/>
      <w:marRight w:val="0"/>
      <w:marTop w:val="0"/>
      <w:marBottom w:val="0"/>
      <w:divBdr>
        <w:top w:val="none" w:sz="0" w:space="0" w:color="auto"/>
        <w:left w:val="none" w:sz="0" w:space="0" w:color="auto"/>
        <w:bottom w:val="none" w:sz="0" w:space="0" w:color="auto"/>
        <w:right w:val="none" w:sz="0" w:space="0" w:color="auto"/>
      </w:divBdr>
    </w:div>
    <w:div w:id="1360856346">
      <w:bodyDiv w:val="1"/>
      <w:marLeft w:val="0"/>
      <w:marRight w:val="0"/>
      <w:marTop w:val="0"/>
      <w:marBottom w:val="0"/>
      <w:divBdr>
        <w:top w:val="none" w:sz="0" w:space="0" w:color="auto"/>
        <w:left w:val="none" w:sz="0" w:space="0" w:color="auto"/>
        <w:bottom w:val="none" w:sz="0" w:space="0" w:color="auto"/>
        <w:right w:val="none" w:sz="0" w:space="0" w:color="auto"/>
      </w:divBdr>
    </w:div>
    <w:div w:id="1416169522">
      <w:bodyDiv w:val="1"/>
      <w:marLeft w:val="0"/>
      <w:marRight w:val="0"/>
      <w:marTop w:val="0"/>
      <w:marBottom w:val="0"/>
      <w:divBdr>
        <w:top w:val="none" w:sz="0" w:space="0" w:color="auto"/>
        <w:left w:val="none" w:sz="0" w:space="0" w:color="auto"/>
        <w:bottom w:val="none" w:sz="0" w:space="0" w:color="auto"/>
        <w:right w:val="none" w:sz="0" w:space="0" w:color="auto"/>
      </w:divBdr>
    </w:div>
    <w:div w:id="1428161684">
      <w:bodyDiv w:val="1"/>
      <w:marLeft w:val="0"/>
      <w:marRight w:val="0"/>
      <w:marTop w:val="0"/>
      <w:marBottom w:val="0"/>
      <w:divBdr>
        <w:top w:val="none" w:sz="0" w:space="0" w:color="auto"/>
        <w:left w:val="none" w:sz="0" w:space="0" w:color="auto"/>
        <w:bottom w:val="none" w:sz="0" w:space="0" w:color="auto"/>
        <w:right w:val="none" w:sz="0" w:space="0" w:color="auto"/>
      </w:divBdr>
    </w:div>
    <w:div w:id="1507012779">
      <w:bodyDiv w:val="1"/>
      <w:marLeft w:val="0"/>
      <w:marRight w:val="0"/>
      <w:marTop w:val="0"/>
      <w:marBottom w:val="0"/>
      <w:divBdr>
        <w:top w:val="none" w:sz="0" w:space="0" w:color="auto"/>
        <w:left w:val="none" w:sz="0" w:space="0" w:color="auto"/>
        <w:bottom w:val="none" w:sz="0" w:space="0" w:color="auto"/>
        <w:right w:val="none" w:sz="0" w:space="0" w:color="auto"/>
      </w:divBdr>
    </w:div>
    <w:div w:id="1632127168">
      <w:bodyDiv w:val="1"/>
      <w:marLeft w:val="0"/>
      <w:marRight w:val="0"/>
      <w:marTop w:val="0"/>
      <w:marBottom w:val="0"/>
      <w:divBdr>
        <w:top w:val="none" w:sz="0" w:space="0" w:color="auto"/>
        <w:left w:val="none" w:sz="0" w:space="0" w:color="auto"/>
        <w:bottom w:val="none" w:sz="0" w:space="0" w:color="auto"/>
        <w:right w:val="none" w:sz="0" w:space="0" w:color="auto"/>
      </w:divBdr>
    </w:div>
    <w:div w:id="1723213356">
      <w:bodyDiv w:val="1"/>
      <w:marLeft w:val="0"/>
      <w:marRight w:val="0"/>
      <w:marTop w:val="0"/>
      <w:marBottom w:val="0"/>
      <w:divBdr>
        <w:top w:val="none" w:sz="0" w:space="0" w:color="auto"/>
        <w:left w:val="none" w:sz="0" w:space="0" w:color="auto"/>
        <w:bottom w:val="none" w:sz="0" w:space="0" w:color="auto"/>
        <w:right w:val="none" w:sz="0" w:space="0" w:color="auto"/>
      </w:divBdr>
    </w:div>
    <w:div w:id="1767381849">
      <w:bodyDiv w:val="1"/>
      <w:marLeft w:val="0"/>
      <w:marRight w:val="0"/>
      <w:marTop w:val="0"/>
      <w:marBottom w:val="0"/>
      <w:divBdr>
        <w:top w:val="none" w:sz="0" w:space="0" w:color="auto"/>
        <w:left w:val="none" w:sz="0" w:space="0" w:color="auto"/>
        <w:bottom w:val="none" w:sz="0" w:space="0" w:color="auto"/>
        <w:right w:val="none" w:sz="0" w:space="0" w:color="auto"/>
      </w:divBdr>
    </w:div>
    <w:div w:id="1868912345">
      <w:bodyDiv w:val="1"/>
      <w:marLeft w:val="0"/>
      <w:marRight w:val="0"/>
      <w:marTop w:val="0"/>
      <w:marBottom w:val="0"/>
      <w:divBdr>
        <w:top w:val="none" w:sz="0" w:space="0" w:color="auto"/>
        <w:left w:val="none" w:sz="0" w:space="0" w:color="auto"/>
        <w:bottom w:val="none" w:sz="0" w:space="0" w:color="auto"/>
        <w:right w:val="none" w:sz="0" w:space="0" w:color="auto"/>
      </w:divBdr>
    </w:div>
    <w:div w:id="1970235217">
      <w:bodyDiv w:val="1"/>
      <w:marLeft w:val="0"/>
      <w:marRight w:val="0"/>
      <w:marTop w:val="0"/>
      <w:marBottom w:val="0"/>
      <w:divBdr>
        <w:top w:val="none" w:sz="0" w:space="0" w:color="auto"/>
        <w:left w:val="none" w:sz="0" w:space="0" w:color="auto"/>
        <w:bottom w:val="none" w:sz="0" w:space="0" w:color="auto"/>
        <w:right w:val="none" w:sz="0" w:space="0" w:color="auto"/>
      </w:divBdr>
    </w:div>
    <w:div w:id="2023240478">
      <w:bodyDiv w:val="1"/>
      <w:marLeft w:val="0"/>
      <w:marRight w:val="0"/>
      <w:marTop w:val="0"/>
      <w:marBottom w:val="0"/>
      <w:divBdr>
        <w:top w:val="none" w:sz="0" w:space="0" w:color="auto"/>
        <w:left w:val="none" w:sz="0" w:space="0" w:color="auto"/>
        <w:bottom w:val="none" w:sz="0" w:space="0" w:color="auto"/>
        <w:right w:val="none" w:sz="0" w:space="0" w:color="auto"/>
      </w:divBdr>
    </w:div>
    <w:div w:id="20961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katerina.Sorokina@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fond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omitejas.esfond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32020R2221" TargetMode="External"/><Relationship Id="rId1" Type="http://schemas.openxmlformats.org/officeDocument/2006/relationships/hyperlink" Target="https://eur-lex.europa.eu/legal-content/EN/TXT/?uri=CELEX%3A32020R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6A09-436B-40B3-85DA-424DDD9B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15</Pages>
  <Words>19856</Words>
  <Characters>11318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 2020.gada plānošanas perioda darbības programmā “Izaugsme un nodarbinātība”” sākotnējās ietekmes novērtējuma ziņojums (anotācija)</vt:lpstr>
    </vt:vector>
  </TitlesOfParts>
  <Manager/>
  <Company>Finanšu ministrija</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 2020.gada plānošanas perioda darbības programmā “Izaugsme un nodarbinātība”” sākotnējās ietekmes novērtējuma ziņojums (anotācija)</dc:title>
  <dc:subject>Anotācija</dc:subject>
  <dc:creator>Jekaterina Sorokina</dc:creator>
  <dc:description>Tālr.: 67083839, E-pasts: 
jekaterina.sorokina@fm.gov.lv</dc:description>
  <cp:lastModifiedBy>Finanšu ministrija</cp:lastModifiedBy>
  <cp:revision>172</cp:revision>
  <cp:lastPrinted>2019-11-04T07:49:00Z</cp:lastPrinted>
  <dcterms:created xsi:type="dcterms:W3CDTF">2021-05-10T10:50:00Z</dcterms:created>
  <dcterms:modified xsi:type="dcterms:W3CDTF">2021-05-20T11:29:00Z</dcterms:modified>
</cp:coreProperties>
</file>