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4CA4D" w14:textId="77777777" w:rsidR="00F574F8" w:rsidRPr="00712B66" w:rsidRDefault="00F574F8" w:rsidP="00F574F8">
      <w:pPr>
        <w:pStyle w:val="naislab"/>
        <w:spacing w:before="0" w:after="0"/>
        <w:jc w:val="left"/>
        <w:rPr>
          <w:sz w:val="28"/>
          <w:szCs w:val="28"/>
        </w:rPr>
      </w:pPr>
      <w:r w:rsidRPr="00712B66">
        <w:rPr>
          <w:sz w:val="28"/>
          <w:szCs w:val="28"/>
        </w:rPr>
        <w:t> </w:t>
      </w:r>
    </w:p>
    <w:p w14:paraId="72C1C2D0" w14:textId="77777777" w:rsidR="00F574F8" w:rsidRPr="00493FCD" w:rsidRDefault="00F574F8" w:rsidP="00F574F8">
      <w:pPr>
        <w:pStyle w:val="naisnod"/>
        <w:spacing w:before="0" w:after="0"/>
        <w:ind w:firstLine="720"/>
      </w:pPr>
      <w:r w:rsidRPr="00493FCD">
        <w:t>Izziņa par atzinumos sniegtajiem iebildumiem</w:t>
      </w:r>
    </w:p>
    <w:p w14:paraId="0E5B9369" w14:textId="77777777" w:rsidR="00F574F8" w:rsidRPr="00493FCD" w:rsidRDefault="00F574F8" w:rsidP="00F574F8">
      <w:pPr>
        <w:pStyle w:val="naisf"/>
        <w:spacing w:before="0" w:after="0"/>
        <w:ind w:firstLine="720"/>
      </w:pPr>
    </w:p>
    <w:tbl>
      <w:tblPr>
        <w:tblW w:w="0" w:type="auto"/>
        <w:jc w:val="center"/>
        <w:tblLook w:val="00A0" w:firstRow="1" w:lastRow="0" w:firstColumn="1" w:lastColumn="0" w:noHBand="0" w:noVBand="0"/>
      </w:tblPr>
      <w:tblGrid>
        <w:gridCol w:w="10188"/>
      </w:tblGrid>
      <w:tr w:rsidR="00F574F8" w:rsidRPr="00493FCD" w14:paraId="3D09D04B" w14:textId="77777777" w:rsidTr="0084067E">
        <w:trPr>
          <w:jc w:val="center"/>
        </w:trPr>
        <w:tc>
          <w:tcPr>
            <w:tcW w:w="10188" w:type="dxa"/>
            <w:tcBorders>
              <w:bottom w:val="single" w:sz="6" w:space="0" w:color="000000"/>
            </w:tcBorders>
          </w:tcPr>
          <w:p w14:paraId="6A32E1B5" w14:textId="0B7C63FE" w:rsidR="00F574F8" w:rsidRPr="00493FCD" w:rsidRDefault="00F574F8" w:rsidP="004A14BA">
            <w:pPr>
              <w:ind w:firstLine="720"/>
              <w:jc w:val="center"/>
              <w:rPr>
                <w:b/>
              </w:rPr>
            </w:pPr>
            <w:r w:rsidRPr="00493FCD">
              <w:rPr>
                <w:b/>
              </w:rPr>
              <w:t>Ministru kabineta noteikumu projektam “Kārtība, kādā pieprasa un sniedz kredītiestādes rīcībā esošās neizpaužamās ziņas</w:t>
            </w:r>
            <w:r w:rsidR="004A14BA">
              <w:rPr>
                <w:b/>
              </w:rPr>
              <w:t>, arī ziņas darījuma pārraudzības gadījumā</w:t>
            </w:r>
            <w:r w:rsidRPr="00493FCD">
              <w:rPr>
                <w:b/>
              </w:rPr>
              <w:t>” (turpmāk – projekts) (vss – 72)</w:t>
            </w:r>
          </w:p>
        </w:tc>
      </w:tr>
    </w:tbl>
    <w:p w14:paraId="3C88AA88" w14:textId="77777777" w:rsidR="00F574F8" w:rsidRPr="00493FCD" w:rsidRDefault="00F574F8" w:rsidP="00F574F8">
      <w:pPr>
        <w:pStyle w:val="naisc"/>
        <w:spacing w:before="0" w:after="0"/>
        <w:ind w:firstLine="1080"/>
      </w:pPr>
      <w:r w:rsidRPr="00493FCD">
        <w:t>(dokumenta veids un nosaukums)</w:t>
      </w:r>
    </w:p>
    <w:p w14:paraId="620302B7" w14:textId="77777777" w:rsidR="00F574F8" w:rsidRPr="00493FCD" w:rsidRDefault="00F574F8" w:rsidP="00F574F8">
      <w:pPr>
        <w:pStyle w:val="naisf"/>
        <w:spacing w:before="0" w:after="0"/>
        <w:ind w:firstLine="720"/>
      </w:pPr>
    </w:p>
    <w:p w14:paraId="288C021F" w14:textId="77777777" w:rsidR="00F574F8" w:rsidRPr="00493FCD" w:rsidRDefault="00F574F8" w:rsidP="00F574F8">
      <w:pPr>
        <w:pStyle w:val="naisf"/>
        <w:spacing w:before="0" w:after="0"/>
        <w:ind w:firstLine="0"/>
        <w:jc w:val="center"/>
        <w:rPr>
          <w:b/>
        </w:rPr>
      </w:pPr>
      <w:r w:rsidRPr="00493FCD">
        <w:rPr>
          <w:b/>
        </w:rPr>
        <w:t>I. Jautājumi, par kuriem saskaņošanā vienošanās nav panākta</w:t>
      </w:r>
    </w:p>
    <w:p w14:paraId="1E3A185C" w14:textId="77777777" w:rsidR="00F574F8" w:rsidRPr="00493FCD" w:rsidRDefault="00F574F8" w:rsidP="00F574F8">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86"/>
        <w:gridCol w:w="4111"/>
        <w:gridCol w:w="3119"/>
        <w:gridCol w:w="1724"/>
        <w:gridCol w:w="1920"/>
      </w:tblGrid>
      <w:tr w:rsidR="00F574F8" w:rsidRPr="00493FCD" w14:paraId="64E0036B" w14:textId="77777777" w:rsidTr="00DA2DBC">
        <w:tc>
          <w:tcPr>
            <w:tcW w:w="708" w:type="dxa"/>
            <w:tcBorders>
              <w:top w:val="single" w:sz="6" w:space="0" w:color="000000"/>
              <w:left w:val="single" w:sz="6" w:space="0" w:color="000000"/>
              <w:bottom w:val="single" w:sz="6" w:space="0" w:color="000000"/>
              <w:right w:val="single" w:sz="6" w:space="0" w:color="000000"/>
            </w:tcBorders>
            <w:vAlign w:val="center"/>
          </w:tcPr>
          <w:p w14:paraId="35C544A2" w14:textId="77777777" w:rsidR="00F574F8" w:rsidRPr="00493FCD" w:rsidRDefault="00F574F8" w:rsidP="0084067E">
            <w:pPr>
              <w:pStyle w:val="naisc"/>
              <w:spacing w:before="0" w:after="0"/>
            </w:pPr>
            <w:r w:rsidRPr="00493FCD">
              <w:t>Nr. p.k.</w:t>
            </w:r>
          </w:p>
        </w:tc>
        <w:tc>
          <w:tcPr>
            <w:tcW w:w="2686" w:type="dxa"/>
            <w:tcBorders>
              <w:top w:val="single" w:sz="6" w:space="0" w:color="000000"/>
              <w:left w:val="single" w:sz="6" w:space="0" w:color="000000"/>
              <w:bottom w:val="single" w:sz="6" w:space="0" w:color="000000"/>
              <w:right w:val="single" w:sz="6" w:space="0" w:color="000000"/>
            </w:tcBorders>
            <w:vAlign w:val="center"/>
          </w:tcPr>
          <w:p w14:paraId="6BE6D211" w14:textId="77777777" w:rsidR="00F574F8" w:rsidRPr="00493FCD" w:rsidRDefault="00F574F8" w:rsidP="0084067E">
            <w:pPr>
              <w:pStyle w:val="naisc"/>
              <w:spacing w:before="0" w:after="0"/>
              <w:ind w:firstLine="12"/>
            </w:pPr>
            <w:r w:rsidRPr="00493FCD">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1115C081" w14:textId="77777777" w:rsidR="00F574F8" w:rsidRPr="00493FCD" w:rsidRDefault="00F574F8" w:rsidP="0084067E">
            <w:pPr>
              <w:pStyle w:val="naisc"/>
              <w:spacing w:before="0" w:after="0"/>
              <w:ind w:right="3"/>
            </w:pPr>
            <w:r w:rsidRPr="00493FCD">
              <w:t>Atzinumā norādītais ministrijas (citas institūcijas) iebildums, kā arī saskaņošanā papildus izteiktais iebildums par projekta konkrēto punktu (pantu)</w:t>
            </w:r>
          </w:p>
        </w:tc>
        <w:tc>
          <w:tcPr>
            <w:tcW w:w="3119" w:type="dxa"/>
            <w:tcBorders>
              <w:top w:val="single" w:sz="6" w:space="0" w:color="000000"/>
              <w:left w:val="single" w:sz="6" w:space="0" w:color="000000"/>
              <w:bottom w:val="single" w:sz="6" w:space="0" w:color="000000"/>
              <w:right w:val="single" w:sz="6" w:space="0" w:color="000000"/>
            </w:tcBorders>
            <w:vAlign w:val="center"/>
          </w:tcPr>
          <w:p w14:paraId="0A86BEC0" w14:textId="77777777" w:rsidR="00F574F8" w:rsidRPr="00493FCD" w:rsidRDefault="00F574F8" w:rsidP="0084067E">
            <w:pPr>
              <w:pStyle w:val="naisc"/>
              <w:spacing w:before="0" w:after="0"/>
              <w:ind w:firstLine="21"/>
            </w:pPr>
            <w:r w:rsidRPr="00493FCD">
              <w:t>Atbildīgās ministrijas pamatojums iebilduma noraidījumam</w:t>
            </w:r>
          </w:p>
        </w:tc>
        <w:tc>
          <w:tcPr>
            <w:tcW w:w="1724" w:type="dxa"/>
            <w:tcBorders>
              <w:top w:val="single" w:sz="4" w:space="0" w:color="auto"/>
              <w:left w:val="single" w:sz="4" w:space="0" w:color="auto"/>
              <w:bottom w:val="single" w:sz="4" w:space="0" w:color="auto"/>
              <w:right w:val="single" w:sz="4" w:space="0" w:color="auto"/>
            </w:tcBorders>
            <w:vAlign w:val="center"/>
          </w:tcPr>
          <w:p w14:paraId="6E5093D4" w14:textId="77777777" w:rsidR="00F574F8" w:rsidRPr="00493FCD" w:rsidRDefault="00F574F8" w:rsidP="0084067E">
            <w:pPr>
              <w:jc w:val="center"/>
            </w:pPr>
            <w:r w:rsidRPr="00493FCD">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2444222E" w14:textId="77777777" w:rsidR="00F574F8" w:rsidRPr="00493FCD" w:rsidRDefault="00F574F8" w:rsidP="0084067E">
            <w:pPr>
              <w:jc w:val="center"/>
            </w:pPr>
            <w:r w:rsidRPr="00493FCD">
              <w:t>Projekta attiecīgā punkta (panta) galīgā redakcija</w:t>
            </w:r>
          </w:p>
        </w:tc>
      </w:tr>
      <w:tr w:rsidR="00F574F8" w:rsidRPr="00493FCD" w14:paraId="2E61DED9" w14:textId="77777777" w:rsidTr="00DA2DBC">
        <w:tc>
          <w:tcPr>
            <w:tcW w:w="708" w:type="dxa"/>
            <w:tcBorders>
              <w:top w:val="single" w:sz="6" w:space="0" w:color="000000"/>
              <w:left w:val="single" w:sz="6" w:space="0" w:color="000000"/>
              <w:bottom w:val="single" w:sz="6" w:space="0" w:color="000000"/>
              <w:right w:val="single" w:sz="6" w:space="0" w:color="000000"/>
            </w:tcBorders>
          </w:tcPr>
          <w:p w14:paraId="00F00F5E" w14:textId="77777777" w:rsidR="00F574F8" w:rsidRPr="00493FCD" w:rsidRDefault="00F574F8" w:rsidP="0084067E">
            <w:pPr>
              <w:pStyle w:val="naisc"/>
              <w:spacing w:before="0" w:after="0"/>
              <w:rPr>
                <w:sz w:val="20"/>
                <w:szCs w:val="20"/>
              </w:rPr>
            </w:pPr>
            <w:r w:rsidRPr="00493FCD">
              <w:rPr>
                <w:sz w:val="20"/>
                <w:szCs w:val="20"/>
              </w:rPr>
              <w:t>1</w:t>
            </w:r>
          </w:p>
        </w:tc>
        <w:tc>
          <w:tcPr>
            <w:tcW w:w="2686" w:type="dxa"/>
            <w:tcBorders>
              <w:top w:val="single" w:sz="6" w:space="0" w:color="000000"/>
              <w:left w:val="single" w:sz="6" w:space="0" w:color="000000"/>
              <w:bottom w:val="single" w:sz="6" w:space="0" w:color="000000"/>
              <w:right w:val="single" w:sz="6" w:space="0" w:color="000000"/>
            </w:tcBorders>
          </w:tcPr>
          <w:p w14:paraId="148A476B" w14:textId="77777777" w:rsidR="00F574F8" w:rsidRPr="00493FCD" w:rsidRDefault="00F574F8" w:rsidP="0084067E">
            <w:pPr>
              <w:pStyle w:val="naisc"/>
              <w:spacing w:before="0" w:after="0"/>
              <w:ind w:firstLine="720"/>
              <w:rPr>
                <w:sz w:val="20"/>
                <w:szCs w:val="20"/>
              </w:rPr>
            </w:pPr>
            <w:r w:rsidRPr="00493FCD">
              <w:rPr>
                <w:sz w:val="20"/>
                <w:szCs w:val="20"/>
              </w:rPr>
              <w:t>2</w:t>
            </w:r>
          </w:p>
        </w:tc>
        <w:tc>
          <w:tcPr>
            <w:tcW w:w="4111" w:type="dxa"/>
            <w:tcBorders>
              <w:top w:val="single" w:sz="6" w:space="0" w:color="000000"/>
              <w:left w:val="single" w:sz="6" w:space="0" w:color="000000"/>
              <w:bottom w:val="single" w:sz="6" w:space="0" w:color="000000"/>
              <w:right w:val="single" w:sz="6" w:space="0" w:color="000000"/>
            </w:tcBorders>
          </w:tcPr>
          <w:p w14:paraId="17E2852E" w14:textId="77777777" w:rsidR="00F574F8" w:rsidRPr="00493FCD" w:rsidRDefault="00F574F8" w:rsidP="0084067E">
            <w:pPr>
              <w:pStyle w:val="naisc"/>
              <w:spacing w:before="0" w:after="0"/>
              <w:ind w:firstLine="720"/>
              <w:rPr>
                <w:sz w:val="20"/>
                <w:szCs w:val="20"/>
              </w:rPr>
            </w:pPr>
            <w:r w:rsidRPr="00493FCD">
              <w:rPr>
                <w:sz w:val="20"/>
                <w:szCs w:val="20"/>
              </w:rPr>
              <w:t>3</w:t>
            </w:r>
          </w:p>
        </w:tc>
        <w:tc>
          <w:tcPr>
            <w:tcW w:w="3119" w:type="dxa"/>
            <w:tcBorders>
              <w:top w:val="single" w:sz="6" w:space="0" w:color="000000"/>
              <w:left w:val="single" w:sz="6" w:space="0" w:color="000000"/>
              <w:bottom w:val="single" w:sz="6" w:space="0" w:color="000000"/>
              <w:right w:val="single" w:sz="6" w:space="0" w:color="000000"/>
            </w:tcBorders>
          </w:tcPr>
          <w:p w14:paraId="681BE241" w14:textId="77777777" w:rsidR="00F574F8" w:rsidRPr="00493FCD" w:rsidRDefault="00F574F8" w:rsidP="0084067E">
            <w:pPr>
              <w:pStyle w:val="naisc"/>
              <w:spacing w:before="0" w:after="0"/>
              <w:ind w:firstLine="720"/>
              <w:rPr>
                <w:sz w:val="20"/>
                <w:szCs w:val="20"/>
              </w:rPr>
            </w:pPr>
            <w:r w:rsidRPr="00493FCD">
              <w:rPr>
                <w:sz w:val="20"/>
                <w:szCs w:val="20"/>
              </w:rPr>
              <w:t>4</w:t>
            </w:r>
          </w:p>
        </w:tc>
        <w:tc>
          <w:tcPr>
            <w:tcW w:w="1724" w:type="dxa"/>
            <w:tcBorders>
              <w:top w:val="single" w:sz="4" w:space="0" w:color="auto"/>
              <w:left w:val="single" w:sz="4" w:space="0" w:color="auto"/>
              <w:bottom w:val="single" w:sz="4" w:space="0" w:color="auto"/>
              <w:right w:val="single" w:sz="4" w:space="0" w:color="auto"/>
            </w:tcBorders>
          </w:tcPr>
          <w:p w14:paraId="10C3C413" w14:textId="77777777" w:rsidR="00F574F8" w:rsidRPr="00493FCD" w:rsidRDefault="00F574F8" w:rsidP="0084067E">
            <w:pPr>
              <w:jc w:val="center"/>
              <w:rPr>
                <w:sz w:val="20"/>
                <w:szCs w:val="20"/>
              </w:rPr>
            </w:pPr>
            <w:r w:rsidRPr="00493FCD">
              <w:rPr>
                <w:sz w:val="20"/>
                <w:szCs w:val="20"/>
              </w:rPr>
              <w:t>5</w:t>
            </w:r>
          </w:p>
        </w:tc>
        <w:tc>
          <w:tcPr>
            <w:tcW w:w="1920" w:type="dxa"/>
            <w:tcBorders>
              <w:top w:val="single" w:sz="4" w:space="0" w:color="auto"/>
              <w:left w:val="single" w:sz="4" w:space="0" w:color="auto"/>
              <w:bottom w:val="single" w:sz="4" w:space="0" w:color="auto"/>
            </w:tcBorders>
          </w:tcPr>
          <w:p w14:paraId="4145D0A3" w14:textId="77777777" w:rsidR="00F574F8" w:rsidRPr="00493FCD" w:rsidRDefault="00F574F8" w:rsidP="0084067E">
            <w:pPr>
              <w:jc w:val="center"/>
              <w:rPr>
                <w:sz w:val="20"/>
                <w:szCs w:val="20"/>
              </w:rPr>
            </w:pPr>
            <w:r w:rsidRPr="00493FCD">
              <w:rPr>
                <w:sz w:val="20"/>
                <w:szCs w:val="20"/>
              </w:rPr>
              <w:t>6</w:t>
            </w:r>
          </w:p>
        </w:tc>
      </w:tr>
    </w:tbl>
    <w:p w14:paraId="06B6D72F" w14:textId="77777777" w:rsidR="000256EB" w:rsidRPr="00493FCD" w:rsidRDefault="000256EB" w:rsidP="00F574F8">
      <w:pPr>
        <w:pStyle w:val="naisf"/>
        <w:spacing w:before="0" w:after="0"/>
        <w:ind w:firstLine="0"/>
        <w:rPr>
          <w:b/>
        </w:rPr>
      </w:pPr>
    </w:p>
    <w:p w14:paraId="2F69E025" w14:textId="77777777" w:rsidR="000256EB" w:rsidRPr="00493FCD" w:rsidRDefault="000256EB" w:rsidP="00F574F8">
      <w:pPr>
        <w:pStyle w:val="naisf"/>
        <w:spacing w:before="0" w:after="0"/>
        <w:ind w:firstLine="0"/>
        <w:rPr>
          <w:b/>
        </w:rPr>
      </w:pPr>
    </w:p>
    <w:p w14:paraId="34548838" w14:textId="77777777" w:rsidR="00F574F8" w:rsidRPr="00493FCD" w:rsidRDefault="00F574F8" w:rsidP="00F574F8">
      <w:pPr>
        <w:pStyle w:val="naisf"/>
        <w:spacing w:before="0" w:after="0"/>
        <w:ind w:firstLine="0"/>
        <w:rPr>
          <w:b/>
        </w:rPr>
      </w:pPr>
      <w:r w:rsidRPr="00493FCD">
        <w:rPr>
          <w:b/>
        </w:rPr>
        <w:t>Informācija par starpministriju (starpinstitūciju) sanāksmi vai elektronisko saskaņošanu</w:t>
      </w:r>
    </w:p>
    <w:p w14:paraId="29FA9999" w14:textId="77777777" w:rsidR="00F574F8" w:rsidRPr="00493FCD" w:rsidRDefault="00F574F8" w:rsidP="00F574F8">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F574F8" w:rsidRPr="00493FCD" w14:paraId="7C8F9073" w14:textId="77777777" w:rsidTr="0084067E">
        <w:tc>
          <w:tcPr>
            <w:tcW w:w="6345" w:type="dxa"/>
          </w:tcPr>
          <w:p w14:paraId="0DE3407A" w14:textId="77777777" w:rsidR="00F574F8" w:rsidRPr="00493FCD" w:rsidRDefault="00F574F8" w:rsidP="0084067E">
            <w:pPr>
              <w:pStyle w:val="naisf"/>
              <w:spacing w:before="0" w:after="0"/>
              <w:ind w:firstLine="0"/>
            </w:pPr>
            <w:r w:rsidRPr="00493FCD">
              <w:t>Datums</w:t>
            </w:r>
          </w:p>
        </w:tc>
        <w:tc>
          <w:tcPr>
            <w:tcW w:w="6237" w:type="dxa"/>
            <w:gridSpan w:val="2"/>
            <w:tcBorders>
              <w:bottom w:val="single" w:sz="4" w:space="0" w:color="auto"/>
            </w:tcBorders>
          </w:tcPr>
          <w:p w14:paraId="3E14B654" w14:textId="77777777" w:rsidR="00F574F8" w:rsidRDefault="004B7E78" w:rsidP="004B7E78">
            <w:pPr>
              <w:pStyle w:val="NormalWeb"/>
              <w:spacing w:before="0" w:beforeAutospacing="0" w:after="0" w:afterAutospacing="0"/>
            </w:pPr>
            <w:r>
              <w:t>Starpministriju (starpinstitūciju) sanāksme 12.03.2021.</w:t>
            </w:r>
          </w:p>
          <w:p w14:paraId="1BCC3DDC" w14:textId="77777777" w:rsidR="004A14BA" w:rsidRDefault="004A14BA" w:rsidP="004B7E78">
            <w:pPr>
              <w:pStyle w:val="NormalWeb"/>
              <w:spacing w:before="0" w:beforeAutospacing="0" w:after="0" w:afterAutospacing="0"/>
            </w:pPr>
            <w:r>
              <w:t>5 darba dienu saskaņošana – 29.03.2021.</w:t>
            </w:r>
          </w:p>
          <w:p w14:paraId="784E5EF2" w14:textId="77777777" w:rsidR="004A14BA" w:rsidRDefault="004A14BA" w:rsidP="004B7E78">
            <w:pPr>
              <w:pStyle w:val="NormalWeb"/>
              <w:spacing w:before="0" w:beforeAutospacing="0" w:after="0" w:afterAutospacing="0"/>
            </w:pPr>
            <w:r>
              <w:t>5 darba dienu saskaņošana – 15.04.2021.</w:t>
            </w:r>
          </w:p>
          <w:p w14:paraId="622D3D25" w14:textId="158632A9" w:rsidR="004A14BA" w:rsidRPr="00493FCD" w:rsidRDefault="004A14BA" w:rsidP="004B7E78">
            <w:pPr>
              <w:pStyle w:val="NormalWeb"/>
              <w:spacing w:before="0" w:beforeAutospacing="0" w:after="0" w:afterAutospacing="0"/>
            </w:pPr>
            <w:r>
              <w:t>5 darba dienu saskaņošana – 06.05.2021.</w:t>
            </w:r>
            <w:bookmarkStart w:id="0" w:name="_GoBack"/>
            <w:bookmarkEnd w:id="0"/>
          </w:p>
        </w:tc>
      </w:tr>
      <w:tr w:rsidR="00F574F8" w:rsidRPr="00493FCD" w14:paraId="712338C1" w14:textId="77777777" w:rsidTr="0084067E">
        <w:tc>
          <w:tcPr>
            <w:tcW w:w="6345" w:type="dxa"/>
          </w:tcPr>
          <w:p w14:paraId="2AA58E14" w14:textId="719D5462" w:rsidR="00F574F8" w:rsidRPr="00493FCD" w:rsidRDefault="00F574F8" w:rsidP="0084067E">
            <w:pPr>
              <w:pStyle w:val="naisf"/>
              <w:spacing w:before="0" w:after="0"/>
              <w:ind w:firstLine="0"/>
            </w:pPr>
          </w:p>
        </w:tc>
        <w:tc>
          <w:tcPr>
            <w:tcW w:w="6237" w:type="dxa"/>
            <w:gridSpan w:val="2"/>
            <w:tcBorders>
              <w:top w:val="single" w:sz="4" w:space="0" w:color="auto"/>
            </w:tcBorders>
          </w:tcPr>
          <w:p w14:paraId="2C486A50" w14:textId="77777777" w:rsidR="00F574F8" w:rsidRPr="00493FCD" w:rsidRDefault="00F574F8" w:rsidP="0084067E">
            <w:pPr>
              <w:pStyle w:val="NormalWeb"/>
              <w:spacing w:before="0" w:beforeAutospacing="0" w:after="0" w:afterAutospacing="0"/>
              <w:ind w:firstLine="720"/>
            </w:pPr>
          </w:p>
        </w:tc>
      </w:tr>
      <w:tr w:rsidR="00F574F8" w:rsidRPr="00493FCD" w14:paraId="3CD7E912" w14:textId="77777777" w:rsidTr="0084067E">
        <w:tc>
          <w:tcPr>
            <w:tcW w:w="6345" w:type="dxa"/>
          </w:tcPr>
          <w:p w14:paraId="6F453F11" w14:textId="77777777" w:rsidR="00F574F8" w:rsidRPr="00493FCD" w:rsidRDefault="00F574F8" w:rsidP="0084067E">
            <w:pPr>
              <w:pStyle w:val="naiskr"/>
              <w:spacing w:before="0" w:after="0"/>
            </w:pPr>
            <w:r w:rsidRPr="00493FCD">
              <w:t>Saskaņošanas dalībnieki</w:t>
            </w:r>
          </w:p>
        </w:tc>
        <w:tc>
          <w:tcPr>
            <w:tcW w:w="6237" w:type="dxa"/>
            <w:gridSpan w:val="2"/>
          </w:tcPr>
          <w:p w14:paraId="4E91723A" w14:textId="73B1BECA" w:rsidR="00F574F8" w:rsidRPr="00493FCD" w:rsidRDefault="00EC411C" w:rsidP="00EC411C">
            <w:pPr>
              <w:pStyle w:val="NormalWeb"/>
              <w:spacing w:before="0" w:beforeAutospacing="0" w:after="0" w:afterAutospacing="0"/>
              <w:jc w:val="both"/>
            </w:pPr>
            <w:r w:rsidRPr="00493FCD">
              <w:rPr>
                <w:color w:val="2A2A2A"/>
              </w:rPr>
              <w:t>Tieslietu ministrija, Finanšu ministrija, Aizsardzības ministrija, Ārlietu ministrija, Vides aizsardzības un reģionālās attīstības ministrija, Ģenerālprokuratūra, Korupcijas novēršanas un apkarošanas birojs un Satversmes aizsardzības birojs.</w:t>
            </w:r>
          </w:p>
        </w:tc>
      </w:tr>
      <w:tr w:rsidR="00F574F8" w:rsidRPr="00493FCD" w14:paraId="5C54F290" w14:textId="77777777" w:rsidTr="0084067E">
        <w:trPr>
          <w:trHeight w:val="285"/>
        </w:trPr>
        <w:tc>
          <w:tcPr>
            <w:tcW w:w="6345" w:type="dxa"/>
          </w:tcPr>
          <w:p w14:paraId="028813A0" w14:textId="77777777" w:rsidR="00F574F8" w:rsidRPr="00493FCD" w:rsidRDefault="00F574F8" w:rsidP="0084067E">
            <w:pPr>
              <w:pStyle w:val="naiskr"/>
              <w:spacing w:before="0" w:after="0"/>
            </w:pPr>
          </w:p>
        </w:tc>
        <w:tc>
          <w:tcPr>
            <w:tcW w:w="1203" w:type="dxa"/>
          </w:tcPr>
          <w:p w14:paraId="39658192" w14:textId="77777777" w:rsidR="00F574F8" w:rsidRPr="00493FCD" w:rsidRDefault="00F574F8" w:rsidP="0084067E">
            <w:pPr>
              <w:pStyle w:val="naiskr"/>
              <w:spacing w:before="0" w:after="0"/>
              <w:ind w:firstLine="720"/>
            </w:pPr>
          </w:p>
        </w:tc>
        <w:tc>
          <w:tcPr>
            <w:tcW w:w="5034" w:type="dxa"/>
          </w:tcPr>
          <w:p w14:paraId="06288A79" w14:textId="77777777" w:rsidR="00F574F8" w:rsidRPr="00493FCD" w:rsidRDefault="00F574F8" w:rsidP="0084067E">
            <w:pPr>
              <w:pStyle w:val="naiskr"/>
              <w:spacing w:before="0" w:after="0"/>
              <w:ind w:firstLine="12"/>
            </w:pPr>
          </w:p>
        </w:tc>
      </w:tr>
    </w:tbl>
    <w:p w14:paraId="41EA5767" w14:textId="554354F3" w:rsidR="00F574F8" w:rsidRPr="00493FCD" w:rsidRDefault="00F574F8" w:rsidP="00F574F8"/>
    <w:tbl>
      <w:tblPr>
        <w:tblW w:w="17044" w:type="dxa"/>
        <w:tblLook w:val="00A0" w:firstRow="1" w:lastRow="0" w:firstColumn="1" w:lastColumn="0" w:noHBand="0" w:noVBand="0"/>
      </w:tblPr>
      <w:tblGrid>
        <w:gridCol w:w="6059"/>
        <w:gridCol w:w="7124"/>
        <w:gridCol w:w="3861"/>
      </w:tblGrid>
      <w:tr w:rsidR="00F574F8" w:rsidRPr="00493FCD" w14:paraId="38358DD9" w14:textId="77777777" w:rsidTr="00EC411C">
        <w:trPr>
          <w:trHeight w:val="285"/>
        </w:trPr>
        <w:tc>
          <w:tcPr>
            <w:tcW w:w="6059" w:type="dxa"/>
          </w:tcPr>
          <w:p w14:paraId="5627E322" w14:textId="77777777" w:rsidR="00F574F8" w:rsidRPr="00493FCD" w:rsidRDefault="00F574F8" w:rsidP="0084067E">
            <w:pPr>
              <w:pStyle w:val="naiskr"/>
              <w:spacing w:before="0" w:after="0"/>
            </w:pPr>
            <w:r w:rsidRPr="00493FCD">
              <w:t>Saskaņošanas dalībnieki izskatīja šādu ministriju (citu institūciju) iebildumus</w:t>
            </w:r>
          </w:p>
        </w:tc>
        <w:tc>
          <w:tcPr>
            <w:tcW w:w="7124" w:type="dxa"/>
          </w:tcPr>
          <w:p w14:paraId="6D2006B2" w14:textId="77777777" w:rsidR="00161324" w:rsidRPr="00493FCD" w:rsidRDefault="00EC411C" w:rsidP="00EC411C">
            <w:pPr>
              <w:pStyle w:val="naiskr"/>
              <w:spacing w:before="0" w:after="0"/>
              <w:ind w:right="-2586" w:firstLine="720"/>
              <w:jc w:val="both"/>
              <w:rPr>
                <w:color w:val="2A2A2A"/>
              </w:rPr>
            </w:pPr>
            <w:r w:rsidRPr="00493FCD">
              <w:rPr>
                <w:color w:val="2A2A2A"/>
              </w:rPr>
              <w:t>Tieslietu ministrijas, Finanšu ministrijas, Ģenerālprokuratūras</w:t>
            </w:r>
            <w:r w:rsidR="00161324" w:rsidRPr="00493FCD">
              <w:rPr>
                <w:color w:val="2A2A2A"/>
              </w:rPr>
              <w:t xml:space="preserve">, </w:t>
            </w:r>
          </w:p>
          <w:p w14:paraId="2449CA5A" w14:textId="77777777" w:rsidR="003E4AC1" w:rsidRPr="00493FCD" w:rsidRDefault="003E4AC1" w:rsidP="00EC411C">
            <w:pPr>
              <w:pStyle w:val="naiskr"/>
              <w:spacing w:before="0" w:after="0"/>
              <w:ind w:right="-2586" w:firstLine="720"/>
              <w:jc w:val="both"/>
              <w:rPr>
                <w:color w:val="2A2A2A"/>
              </w:rPr>
            </w:pPr>
            <w:r w:rsidRPr="00493FCD">
              <w:rPr>
                <w:color w:val="2A2A2A"/>
              </w:rPr>
              <w:t>Aizsardzības ministrijas, Vides aizsardzības un reģionālās</w:t>
            </w:r>
          </w:p>
          <w:p w14:paraId="53416B96" w14:textId="228C41BE" w:rsidR="00F574F8" w:rsidRPr="00493FCD" w:rsidRDefault="003E4AC1" w:rsidP="00EC411C">
            <w:pPr>
              <w:pStyle w:val="naiskr"/>
              <w:spacing w:before="0" w:after="0"/>
              <w:ind w:right="-2586" w:firstLine="720"/>
              <w:jc w:val="both"/>
            </w:pPr>
            <w:r w:rsidRPr="00493FCD">
              <w:rPr>
                <w:color w:val="2A2A2A"/>
              </w:rPr>
              <w:t>attīstības ministrijas</w:t>
            </w:r>
          </w:p>
        </w:tc>
        <w:tc>
          <w:tcPr>
            <w:tcW w:w="3861" w:type="dxa"/>
          </w:tcPr>
          <w:p w14:paraId="0FC94A56" w14:textId="3130BE7F" w:rsidR="00EC411C" w:rsidRPr="00493FCD" w:rsidRDefault="00EC411C" w:rsidP="00EC411C">
            <w:pPr>
              <w:pStyle w:val="naiskr"/>
              <w:spacing w:before="0" w:after="0"/>
              <w:ind w:left="3361" w:hanging="3349"/>
              <w:jc w:val="both"/>
            </w:pPr>
          </w:p>
          <w:p w14:paraId="3608DEB0" w14:textId="0D53C388" w:rsidR="00EC411C" w:rsidRPr="00493FCD" w:rsidRDefault="00EC411C" w:rsidP="00EC411C"/>
          <w:p w14:paraId="6180F7B8" w14:textId="77777777" w:rsidR="00F574F8" w:rsidRPr="00493FCD" w:rsidRDefault="00F574F8" w:rsidP="00EC411C"/>
        </w:tc>
      </w:tr>
      <w:tr w:rsidR="00F574F8" w:rsidRPr="00493FCD" w14:paraId="1F7FF502" w14:textId="77777777" w:rsidTr="00EC411C">
        <w:trPr>
          <w:gridAfter w:val="1"/>
          <w:wAfter w:w="3861" w:type="dxa"/>
          <w:trHeight w:val="465"/>
        </w:trPr>
        <w:tc>
          <w:tcPr>
            <w:tcW w:w="13183" w:type="dxa"/>
            <w:gridSpan w:val="2"/>
          </w:tcPr>
          <w:p w14:paraId="07BE02D9" w14:textId="77777777" w:rsidR="00F574F8" w:rsidRPr="00493FCD" w:rsidRDefault="00F574F8" w:rsidP="0084067E">
            <w:pPr>
              <w:pStyle w:val="naisc"/>
              <w:spacing w:before="0" w:after="0"/>
              <w:ind w:left="4820" w:firstLine="720"/>
            </w:pPr>
          </w:p>
        </w:tc>
      </w:tr>
      <w:tr w:rsidR="00F574F8" w:rsidRPr="00493FCD" w14:paraId="4AD2F671" w14:textId="77777777" w:rsidTr="00EC411C">
        <w:trPr>
          <w:gridAfter w:val="1"/>
          <w:wAfter w:w="3861" w:type="dxa"/>
        </w:trPr>
        <w:tc>
          <w:tcPr>
            <w:tcW w:w="6059" w:type="dxa"/>
          </w:tcPr>
          <w:p w14:paraId="0AE70DB8" w14:textId="77777777" w:rsidR="00F574F8" w:rsidRPr="00493FCD" w:rsidRDefault="00F574F8" w:rsidP="0084067E">
            <w:pPr>
              <w:pStyle w:val="naiskr"/>
              <w:spacing w:before="0" w:after="0"/>
            </w:pPr>
            <w:r w:rsidRPr="00493FCD">
              <w:t>Ministrijas (citas institūcijas), kuras nav ieradušās uz sanāksmi vai kuras nav atbildējušas uz uzaicinājumu piedalīties elektroniskajā saskaņošanā</w:t>
            </w:r>
          </w:p>
        </w:tc>
        <w:tc>
          <w:tcPr>
            <w:tcW w:w="7124" w:type="dxa"/>
          </w:tcPr>
          <w:p w14:paraId="5D0603F7" w14:textId="5DDD9E7A" w:rsidR="00F574F8" w:rsidRPr="00493FCD" w:rsidRDefault="000256EB" w:rsidP="0084067E">
            <w:pPr>
              <w:pStyle w:val="naiskr"/>
              <w:spacing w:before="0" w:after="0"/>
              <w:ind w:firstLine="720"/>
            </w:pPr>
            <w:r w:rsidRPr="00493FCD">
              <w:t>_______________________________________________</w:t>
            </w:r>
          </w:p>
        </w:tc>
      </w:tr>
    </w:tbl>
    <w:p w14:paraId="198B7EBE" w14:textId="77777777" w:rsidR="00F574F8" w:rsidRPr="00493FCD" w:rsidRDefault="00F574F8" w:rsidP="00F574F8">
      <w:pPr>
        <w:pStyle w:val="naisf"/>
        <w:spacing w:before="0" w:after="0"/>
        <w:ind w:firstLine="720"/>
      </w:pPr>
    </w:p>
    <w:p w14:paraId="1789EC6F" w14:textId="77777777" w:rsidR="00F574F8" w:rsidRPr="00493FCD" w:rsidRDefault="00F574F8" w:rsidP="00F574F8">
      <w:pPr>
        <w:pStyle w:val="naisf"/>
        <w:spacing w:before="0" w:after="0"/>
        <w:ind w:firstLine="0"/>
        <w:jc w:val="center"/>
        <w:rPr>
          <w:b/>
        </w:rPr>
      </w:pPr>
      <w:r w:rsidRPr="00493FCD">
        <w:rPr>
          <w:b/>
        </w:rPr>
        <w:t>II. Jautājumi, par kuriem saskaņošanā vienošanās ir panākta</w:t>
      </w:r>
    </w:p>
    <w:p w14:paraId="214014A6" w14:textId="77777777" w:rsidR="00F574F8" w:rsidRPr="00493FCD" w:rsidRDefault="00F574F8" w:rsidP="00F574F8">
      <w:pPr>
        <w:pStyle w:val="naisf"/>
        <w:spacing w:before="0" w:after="0"/>
        <w:ind w:firstLine="720"/>
      </w:pPr>
    </w:p>
    <w:tbl>
      <w:tblPr>
        <w:tblW w:w="1594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1478"/>
        <w:gridCol w:w="3261"/>
        <w:gridCol w:w="1920"/>
      </w:tblGrid>
      <w:tr w:rsidR="00F574F8" w:rsidRPr="00493FCD" w14:paraId="5A20DB22" w14:textId="77777777" w:rsidTr="00DE6583">
        <w:trPr>
          <w:gridAfter w:val="1"/>
          <w:wAfter w:w="1920" w:type="dxa"/>
        </w:trPr>
        <w:tc>
          <w:tcPr>
            <w:tcW w:w="708" w:type="dxa"/>
            <w:tcBorders>
              <w:top w:val="single" w:sz="6" w:space="0" w:color="000000"/>
              <w:left w:val="single" w:sz="6" w:space="0" w:color="000000"/>
              <w:bottom w:val="single" w:sz="6" w:space="0" w:color="000000"/>
              <w:right w:val="single" w:sz="6" w:space="0" w:color="000000"/>
            </w:tcBorders>
            <w:vAlign w:val="center"/>
          </w:tcPr>
          <w:p w14:paraId="3264F23B" w14:textId="77777777" w:rsidR="00F574F8" w:rsidRPr="00493FCD" w:rsidRDefault="00F574F8" w:rsidP="0084067E">
            <w:pPr>
              <w:pStyle w:val="naisc"/>
              <w:spacing w:before="0" w:after="0"/>
            </w:pPr>
            <w:r w:rsidRPr="00493FCD">
              <w:t>Nr. p.k.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65AD97AD" w14:textId="77777777" w:rsidR="00F574F8" w:rsidRPr="00493FCD" w:rsidRDefault="00F574F8" w:rsidP="0084067E">
            <w:pPr>
              <w:pStyle w:val="naisc"/>
              <w:spacing w:before="0" w:after="0"/>
              <w:ind w:firstLine="12"/>
            </w:pPr>
            <w:r w:rsidRPr="00493FCD">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4FA0A44F" w14:textId="77777777" w:rsidR="00F574F8" w:rsidRPr="00493FCD" w:rsidRDefault="00F574F8" w:rsidP="0084067E">
            <w:pPr>
              <w:pStyle w:val="naisc"/>
              <w:spacing w:before="0" w:after="0"/>
              <w:ind w:right="3"/>
            </w:pPr>
            <w:r w:rsidRPr="00493FCD">
              <w:t>Atzinumā norādītais ministrijas (citas institūcijas) iebildums, kā arī saskaņošanā papildus izteiktais iebildums par projekta konkrēto punktu (pantu)</w:t>
            </w:r>
          </w:p>
        </w:tc>
        <w:tc>
          <w:tcPr>
            <w:tcW w:w="2577" w:type="dxa"/>
            <w:gridSpan w:val="2"/>
            <w:tcBorders>
              <w:top w:val="single" w:sz="6" w:space="0" w:color="000000"/>
              <w:left w:val="single" w:sz="6" w:space="0" w:color="000000"/>
              <w:bottom w:val="single" w:sz="6" w:space="0" w:color="000000"/>
              <w:right w:val="single" w:sz="6" w:space="0" w:color="000000"/>
            </w:tcBorders>
            <w:vAlign w:val="center"/>
          </w:tcPr>
          <w:p w14:paraId="60CC4A15" w14:textId="77777777" w:rsidR="00F574F8" w:rsidRPr="00493FCD" w:rsidRDefault="00F574F8" w:rsidP="0084067E">
            <w:pPr>
              <w:pStyle w:val="naisc"/>
              <w:spacing w:before="0" w:after="0"/>
              <w:ind w:firstLine="21"/>
            </w:pPr>
            <w:r w:rsidRPr="00493FCD">
              <w:t>Atbildīgās ministrijas norāde par to, ka iebildums ir ņemts vērā, vai informācija par saskaņošanā panākto alternatīvo risinājumu</w:t>
            </w:r>
          </w:p>
        </w:tc>
        <w:tc>
          <w:tcPr>
            <w:tcW w:w="3261" w:type="dxa"/>
            <w:tcBorders>
              <w:top w:val="single" w:sz="4" w:space="0" w:color="auto"/>
              <w:left w:val="single" w:sz="4" w:space="0" w:color="auto"/>
              <w:bottom w:val="single" w:sz="4" w:space="0" w:color="auto"/>
            </w:tcBorders>
            <w:vAlign w:val="center"/>
          </w:tcPr>
          <w:p w14:paraId="1842EA3D" w14:textId="77777777" w:rsidR="00F574F8" w:rsidRPr="00493FCD" w:rsidRDefault="00F574F8" w:rsidP="0084067E">
            <w:pPr>
              <w:jc w:val="center"/>
            </w:pPr>
            <w:r w:rsidRPr="00493FCD">
              <w:t>Projekta attiecīgā punkta (panta) galīgā redakcija</w:t>
            </w:r>
          </w:p>
        </w:tc>
      </w:tr>
      <w:tr w:rsidR="00F574F8" w:rsidRPr="00493FCD" w14:paraId="3D2ABC41" w14:textId="77777777" w:rsidTr="00DE6583">
        <w:trPr>
          <w:gridAfter w:val="1"/>
          <w:wAfter w:w="1920" w:type="dxa"/>
        </w:trPr>
        <w:tc>
          <w:tcPr>
            <w:tcW w:w="708" w:type="dxa"/>
            <w:tcBorders>
              <w:top w:val="single" w:sz="6" w:space="0" w:color="000000"/>
              <w:left w:val="single" w:sz="6" w:space="0" w:color="000000"/>
              <w:bottom w:val="single" w:sz="6" w:space="0" w:color="000000"/>
              <w:right w:val="single" w:sz="6" w:space="0" w:color="000000"/>
            </w:tcBorders>
          </w:tcPr>
          <w:p w14:paraId="3983914D" w14:textId="77777777" w:rsidR="00F574F8" w:rsidRPr="00493FCD" w:rsidRDefault="00F574F8" w:rsidP="0084067E">
            <w:pPr>
              <w:pStyle w:val="naisc"/>
              <w:spacing w:before="0" w:after="0"/>
              <w:rPr>
                <w:sz w:val="20"/>
                <w:szCs w:val="20"/>
              </w:rPr>
            </w:pPr>
            <w:r w:rsidRPr="00493FCD">
              <w:rPr>
                <w:sz w:val="20"/>
                <w:szCs w:val="20"/>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076A0AAC" w14:textId="77777777" w:rsidR="00F574F8" w:rsidRPr="00493FCD" w:rsidRDefault="00F574F8" w:rsidP="0084067E">
            <w:pPr>
              <w:pStyle w:val="naisc"/>
              <w:spacing w:before="0" w:after="0"/>
              <w:ind w:firstLine="720"/>
              <w:rPr>
                <w:sz w:val="20"/>
                <w:szCs w:val="20"/>
              </w:rPr>
            </w:pPr>
            <w:r w:rsidRPr="00493FCD">
              <w:rPr>
                <w:sz w:val="20"/>
                <w:szCs w:val="20"/>
              </w:rPr>
              <w:t>2</w:t>
            </w:r>
          </w:p>
        </w:tc>
        <w:tc>
          <w:tcPr>
            <w:tcW w:w="4394" w:type="dxa"/>
            <w:tcBorders>
              <w:top w:val="single" w:sz="6" w:space="0" w:color="000000"/>
              <w:left w:val="single" w:sz="6" w:space="0" w:color="000000"/>
              <w:bottom w:val="single" w:sz="6" w:space="0" w:color="000000"/>
              <w:right w:val="single" w:sz="6" w:space="0" w:color="000000"/>
            </w:tcBorders>
          </w:tcPr>
          <w:p w14:paraId="0A2817D8" w14:textId="77777777" w:rsidR="00F574F8" w:rsidRPr="00493FCD" w:rsidRDefault="00F574F8" w:rsidP="0084067E">
            <w:pPr>
              <w:pStyle w:val="naisc"/>
              <w:spacing w:before="0" w:after="0"/>
              <w:ind w:firstLine="720"/>
              <w:rPr>
                <w:sz w:val="20"/>
                <w:szCs w:val="20"/>
              </w:rPr>
            </w:pPr>
            <w:r w:rsidRPr="00493FCD">
              <w:rPr>
                <w:sz w:val="20"/>
                <w:szCs w:val="20"/>
              </w:rPr>
              <w:t>3</w:t>
            </w:r>
          </w:p>
        </w:tc>
        <w:tc>
          <w:tcPr>
            <w:tcW w:w="2577" w:type="dxa"/>
            <w:gridSpan w:val="2"/>
            <w:tcBorders>
              <w:top w:val="single" w:sz="6" w:space="0" w:color="000000"/>
              <w:left w:val="single" w:sz="6" w:space="0" w:color="000000"/>
              <w:bottom w:val="single" w:sz="6" w:space="0" w:color="000000"/>
              <w:right w:val="single" w:sz="6" w:space="0" w:color="000000"/>
            </w:tcBorders>
          </w:tcPr>
          <w:p w14:paraId="3F276527" w14:textId="77777777" w:rsidR="00F574F8" w:rsidRPr="00493FCD" w:rsidRDefault="00F574F8" w:rsidP="0084067E">
            <w:pPr>
              <w:pStyle w:val="naisc"/>
              <w:spacing w:before="0" w:after="0"/>
              <w:ind w:firstLine="720"/>
              <w:rPr>
                <w:sz w:val="20"/>
                <w:szCs w:val="20"/>
              </w:rPr>
            </w:pPr>
            <w:r w:rsidRPr="00493FCD">
              <w:rPr>
                <w:sz w:val="20"/>
                <w:szCs w:val="20"/>
              </w:rPr>
              <w:t>4</w:t>
            </w:r>
          </w:p>
        </w:tc>
        <w:tc>
          <w:tcPr>
            <w:tcW w:w="3261" w:type="dxa"/>
            <w:tcBorders>
              <w:top w:val="single" w:sz="4" w:space="0" w:color="auto"/>
              <w:left w:val="single" w:sz="4" w:space="0" w:color="auto"/>
              <w:bottom w:val="single" w:sz="4" w:space="0" w:color="auto"/>
            </w:tcBorders>
          </w:tcPr>
          <w:p w14:paraId="65605F09" w14:textId="77777777" w:rsidR="00F574F8" w:rsidRPr="00493FCD" w:rsidRDefault="00F574F8" w:rsidP="0084067E">
            <w:pPr>
              <w:jc w:val="center"/>
              <w:rPr>
                <w:sz w:val="20"/>
                <w:szCs w:val="20"/>
              </w:rPr>
            </w:pPr>
            <w:r w:rsidRPr="00493FCD">
              <w:rPr>
                <w:sz w:val="20"/>
                <w:szCs w:val="20"/>
              </w:rPr>
              <w:t>5</w:t>
            </w:r>
          </w:p>
        </w:tc>
      </w:tr>
      <w:tr w:rsidR="00C83479" w:rsidRPr="00493FCD" w14:paraId="76FBC938" w14:textId="77777777" w:rsidTr="00DE6583">
        <w:trPr>
          <w:gridAfter w:val="1"/>
          <w:wAfter w:w="1920" w:type="dxa"/>
        </w:trPr>
        <w:tc>
          <w:tcPr>
            <w:tcW w:w="708" w:type="dxa"/>
            <w:tcBorders>
              <w:top w:val="single" w:sz="6" w:space="0" w:color="000000"/>
              <w:left w:val="single" w:sz="6" w:space="0" w:color="000000"/>
              <w:bottom w:val="single" w:sz="6" w:space="0" w:color="000000"/>
              <w:right w:val="single" w:sz="6" w:space="0" w:color="000000"/>
            </w:tcBorders>
          </w:tcPr>
          <w:p w14:paraId="2B84D73E" w14:textId="191F0B6D" w:rsidR="00C83479" w:rsidRPr="00493FCD" w:rsidRDefault="000256EB" w:rsidP="0084067E">
            <w:pPr>
              <w:pStyle w:val="naisc"/>
              <w:spacing w:before="0" w:after="0"/>
            </w:pPr>
            <w:r w:rsidRPr="00493FCD">
              <w:t>1.</w:t>
            </w:r>
          </w:p>
        </w:tc>
        <w:tc>
          <w:tcPr>
            <w:tcW w:w="3086" w:type="dxa"/>
            <w:gridSpan w:val="2"/>
            <w:tcBorders>
              <w:top w:val="single" w:sz="6" w:space="0" w:color="000000"/>
              <w:left w:val="single" w:sz="6" w:space="0" w:color="000000"/>
              <w:bottom w:val="single" w:sz="6" w:space="0" w:color="000000"/>
              <w:right w:val="single" w:sz="6" w:space="0" w:color="000000"/>
            </w:tcBorders>
          </w:tcPr>
          <w:p w14:paraId="22421FE5" w14:textId="77777777" w:rsidR="00C83479" w:rsidRPr="00493FCD" w:rsidRDefault="00C83479" w:rsidP="00C83479">
            <w:pPr>
              <w:pStyle w:val="naisc"/>
              <w:spacing w:before="0" w:after="0"/>
              <w:ind w:firstLine="720"/>
              <w:jc w:val="both"/>
              <w:rPr>
                <w:sz w:val="20"/>
                <w:szCs w:val="20"/>
              </w:rPr>
            </w:pPr>
            <w:r w:rsidRPr="00493FCD">
              <w:rPr>
                <w:iCs/>
              </w:rPr>
              <w:t xml:space="preserve">Projekta nosaukums: </w:t>
            </w:r>
            <w:r w:rsidRPr="00493FCD">
              <w:rPr>
                <w:b/>
                <w:iCs/>
              </w:rPr>
              <w:t>“Kārtība, kādā pieprasa un sniedz kredītiestādes rīcībā esošās neizpaužamās ziņas”</w:t>
            </w:r>
          </w:p>
        </w:tc>
        <w:tc>
          <w:tcPr>
            <w:tcW w:w="4394" w:type="dxa"/>
            <w:tcBorders>
              <w:top w:val="single" w:sz="6" w:space="0" w:color="000000"/>
              <w:left w:val="single" w:sz="6" w:space="0" w:color="000000"/>
              <w:bottom w:val="single" w:sz="6" w:space="0" w:color="000000"/>
              <w:right w:val="single" w:sz="6" w:space="0" w:color="000000"/>
            </w:tcBorders>
          </w:tcPr>
          <w:p w14:paraId="5DCE5AC6" w14:textId="77777777" w:rsidR="00C83479" w:rsidRPr="00493FCD" w:rsidRDefault="00C83479" w:rsidP="00C83479">
            <w:pPr>
              <w:jc w:val="center"/>
              <w:rPr>
                <w:b/>
              </w:rPr>
            </w:pPr>
            <w:r w:rsidRPr="00493FCD">
              <w:rPr>
                <w:b/>
              </w:rPr>
              <w:t>Ģenerālprokuratūra</w:t>
            </w:r>
          </w:p>
          <w:p w14:paraId="507D3BD0" w14:textId="77777777" w:rsidR="00C83479" w:rsidRPr="00493FCD" w:rsidRDefault="00C83479" w:rsidP="00C83479">
            <w:pPr>
              <w:ind w:firstLine="768"/>
              <w:jc w:val="both"/>
            </w:pPr>
            <w:r w:rsidRPr="00493FCD">
              <w:t>Būtu izvērtējama noteikumu projekta nosaukuma papildināšana ar ziņām, kad tiek veikta darījumu pārraudzība, proti, izsakot to šādā redakcijā - </w:t>
            </w:r>
            <w:r w:rsidRPr="00493FCD">
              <w:rPr>
                <w:i/>
                <w:iCs/>
              </w:rPr>
              <w:t xml:space="preserve">Kārtība, kādā pieprasa un sniedz kredītiestādes rīcībā esošās neizpaužamās ziņas </w:t>
            </w:r>
            <w:r w:rsidRPr="00493FCD">
              <w:rPr>
                <w:i/>
                <w:iCs/>
                <w:u w:val="single"/>
              </w:rPr>
              <w:t>un ziņas darījumu pārraudzības gadījumā</w:t>
            </w:r>
            <w:r w:rsidRPr="00493FCD">
              <w:t>. Šobrīd nosaukumā ir ietverta tikai viena daļa no to ziņu apjoma, kuru pieprasīšanas kārtību regulē noteikumu projekts. Turklāt šāds nosaukums atbilstu arī Kredītiestāžu likuma 63. panta 3.</w:t>
            </w:r>
            <w:r w:rsidRPr="00493FCD">
              <w:rPr>
                <w:vertAlign w:val="superscript"/>
              </w:rPr>
              <w:t>2 </w:t>
            </w:r>
            <w:r w:rsidRPr="00493FCD">
              <w:t>daļā ietvertajam deleģējumam.</w:t>
            </w:r>
          </w:p>
          <w:p w14:paraId="6F6C8B41" w14:textId="77777777" w:rsidR="00C83479" w:rsidRPr="00493FCD" w:rsidRDefault="00C83479" w:rsidP="0084067E">
            <w:pPr>
              <w:pStyle w:val="naisc"/>
              <w:spacing w:before="0" w:after="0"/>
              <w:ind w:firstLine="720"/>
            </w:pPr>
          </w:p>
        </w:tc>
        <w:tc>
          <w:tcPr>
            <w:tcW w:w="2577" w:type="dxa"/>
            <w:gridSpan w:val="2"/>
            <w:tcBorders>
              <w:top w:val="single" w:sz="6" w:space="0" w:color="000000"/>
              <w:left w:val="single" w:sz="6" w:space="0" w:color="000000"/>
              <w:bottom w:val="single" w:sz="6" w:space="0" w:color="000000"/>
              <w:right w:val="single" w:sz="6" w:space="0" w:color="000000"/>
            </w:tcBorders>
          </w:tcPr>
          <w:p w14:paraId="32271DA6" w14:textId="77777777" w:rsidR="00C83479" w:rsidRPr="00493FCD" w:rsidRDefault="000A2043" w:rsidP="0084067E">
            <w:pPr>
              <w:pStyle w:val="naisc"/>
              <w:spacing w:before="0" w:after="0"/>
              <w:ind w:firstLine="720"/>
              <w:rPr>
                <w:b/>
              </w:rPr>
            </w:pPr>
            <w:r w:rsidRPr="00493FCD">
              <w:rPr>
                <w:b/>
              </w:rPr>
              <w:lastRenderedPageBreak/>
              <w:t>Ņemts vērā</w:t>
            </w:r>
          </w:p>
          <w:p w14:paraId="21A92579" w14:textId="77777777" w:rsidR="000A2043" w:rsidRPr="00493FCD" w:rsidRDefault="000A2043" w:rsidP="000A2043">
            <w:pPr>
              <w:pStyle w:val="naisc"/>
              <w:spacing w:before="0" w:after="0"/>
              <w:ind w:firstLine="720"/>
              <w:jc w:val="both"/>
            </w:pPr>
            <w:r w:rsidRPr="00493FCD">
              <w:t xml:space="preserve">Norādām, ka saskaņā ar Kredītiestāžu likuma regulējumu, </w:t>
            </w:r>
            <w:r w:rsidRPr="00493FCD">
              <w:rPr>
                <w:iCs/>
              </w:rPr>
              <w:t>ziņas darījuma pārraudzības gadījumā ir kredītiestādes rīcībā esošās neizpaužamās ziņas.</w:t>
            </w:r>
          </w:p>
        </w:tc>
        <w:tc>
          <w:tcPr>
            <w:tcW w:w="3261" w:type="dxa"/>
            <w:tcBorders>
              <w:top w:val="single" w:sz="4" w:space="0" w:color="auto"/>
              <w:left w:val="single" w:sz="4" w:space="0" w:color="auto"/>
              <w:bottom w:val="single" w:sz="4" w:space="0" w:color="auto"/>
            </w:tcBorders>
          </w:tcPr>
          <w:p w14:paraId="710F6753" w14:textId="77777777" w:rsidR="00C83479" w:rsidRPr="00493FCD" w:rsidRDefault="000A2043" w:rsidP="000A2043">
            <w:pPr>
              <w:jc w:val="both"/>
              <w:rPr>
                <w:sz w:val="20"/>
                <w:szCs w:val="20"/>
              </w:rPr>
            </w:pPr>
            <w:r w:rsidRPr="00493FCD">
              <w:rPr>
                <w:iCs/>
              </w:rPr>
              <w:t xml:space="preserve">Precizēts Projekta nosaukums: </w:t>
            </w:r>
            <w:r w:rsidRPr="00493FCD">
              <w:rPr>
                <w:b/>
                <w:iCs/>
              </w:rPr>
              <w:t>“Kārtība, kādā pieprasa un sniedz kredītiestādes rīcībā esošās neizpaužamās ziņas, arī ziņas darījuma pārraudzības gadījumā”</w:t>
            </w:r>
          </w:p>
        </w:tc>
      </w:tr>
      <w:tr w:rsidR="00C83479" w:rsidRPr="00493FCD" w14:paraId="6473CC8A" w14:textId="77777777" w:rsidTr="00DE6583">
        <w:trPr>
          <w:gridAfter w:val="1"/>
          <w:wAfter w:w="1920" w:type="dxa"/>
        </w:trPr>
        <w:tc>
          <w:tcPr>
            <w:tcW w:w="708" w:type="dxa"/>
            <w:tcBorders>
              <w:top w:val="single" w:sz="6" w:space="0" w:color="000000"/>
              <w:left w:val="single" w:sz="6" w:space="0" w:color="000000"/>
              <w:bottom w:val="single" w:sz="6" w:space="0" w:color="000000"/>
              <w:right w:val="single" w:sz="6" w:space="0" w:color="000000"/>
            </w:tcBorders>
          </w:tcPr>
          <w:p w14:paraId="3463631A" w14:textId="2178607D" w:rsidR="00C83479" w:rsidRPr="00493FCD" w:rsidRDefault="000256EB" w:rsidP="0084067E">
            <w:pPr>
              <w:pStyle w:val="naisc"/>
              <w:spacing w:before="0" w:after="0"/>
            </w:pPr>
            <w:r w:rsidRPr="00493FCD">
              <w:t>2.</w:t>
            </w:r>
          </w:p>
        </w:tc>
        <w:tc>
          <w:tcPr>
            <w:tcW w:w="3086" w:type="dxa"/>
            <w:gridSpan w:val="2"/>
            <w:tcBorders>
              <w:top w:val="single" w:sz="6" w:space="0" w:color="000000"/>
              <w:left w:val="single" w:sz="6" w:space="0" w:color="000000"/>
              <w:bottom w:val="single" w:sz="6" w:space="0" w:color="000000"/>
              <w:right w:val="single" w:sz="6" w:space="0" w:color="000000"/>
            </w:tcBorders>
          </w:tcPr>
          <w:p w14:paraId="63DDBCBA" w14:textId="77777777" w:rsidR="00C83479" w:rsidRPr="00493FCD" w:rsidRDefault="00C83479" w:rsidP="00C83479">
            <w:pPr>
              <w:pStyle w:val="naisc"/>
              <w:spacing w:before="0" w:after="0"/>
              <w:ind w:firstLine="720"/>
              <w:jc w:val="both"/>
              <w:rPr>
                <w:iCs/>
              </w:rPr>
            </w:pPr>
            <w:r w:rsidRPr="00493FCD">
              <w:rPr>
                <w:iCs/>
              </w:rPr>
              <w:t>Projekts kopumā.</w:t>
            </w:r>
          </w:p>
        </w:tc>
        <w:tc>
          <w:tcPr>
            <w:tcW w:w="4394" w:type="dxa"/>
            <w:tcBorders>
              <w:top w:val="single" w:sz="6" w:space="0" w:color="000000"/>
              <w:left w:val="single" w:sz="6" w:space="0" w:color="000000"/>
              <w:bottom w:val="single" w:sz="6" w:space="0" w:color="000000"/>
              <w:right w:val="single" w:sz="6" w:space="0" w:color="000000"/>
            </w:tcBorders>
          </w:tcPr>
          <w:p w14:paraId="4C9E1512" w14:textId="77777777" w:rsidR="00C83479" w:rsidRPr="00493FCD" w:rsidRDefault="00C83479" w:rsidP="00C83479">
            <w:pPr>
              <w:jc w:val="center"/>
              <w:rPr>
                <w:b/>
              </w:rPr>
            </w:pPr>
            <w:r w:rsidRPr="00493FCD">
              <w:rPr>
                <w:b/>
              </w:rPr>
              <w:t>Ģenerālprokuratūra</w:t>
            </w:r>
          </w:p>
          <w:p w14:paraId="679B23C9" w14:textId="77777777" w:rsidR="00C83479" w:rsidRPr="00493FCD" w:rsidRDefault="00C83479" w:rsidP="00C83479">
            <w:pPr>
              <w:ind w:firstLine="768"/>
              <w:jc w:val="both"/>
              <w:rPr>
                <w:b/>
              </w:rPr>
            </w:pPr>
            <w:r w:rsidRPr="00493FCD">
              <w:t>No noteikumu projekta pielikumiem un anotācijas teksta nav skaidri saprotams, vai noteikumu projektā paredzētā ziņu iegūšanas kārtība varēs tikt piemērota arī starptautiskās sadarbības krimināltiesiskajā jomā gadījumos. Nav skaidrs, vai šādā gadījumā būs iespējams ievadīt visu nepieciešamo informāciju elektronisko datu apmaiņas pieprasījumā, piemēram, atšķirīgu lietas numuru. Ievērojot minēto, lūdzam atkārtoti izdiskutēt minēto jautājumu un nepieciešamības gadījumā lemt par noteikumu projekta, to pielikumu un anotācijas papildināšanu.</w:t>
            </w:r>
          </w:p>
        </w:tc>
        <w:tc>
          <w:tcPr>
            <w:tcW w:w="2577" w:type="dxa"/>
            <w:gridSpan w:val="2"/>
            <w:tcBorders>
              <w:top w:val="single" w:sz="6" w:space="0" w:color="000000"/>
              <w:left w:val="single" w:sz="6" w:space="0" w:color="000000"/>
              <w:bottom w:val="single" w:sz="6" w:space="0" w:color="000000"/>
              <w:right w:val="single" w:sz="6" w:space="0" w:color="000000"/>
            </w:tcBorders>
          </w:tcPr>
          <w:p w14:paraId="45B8C477" w14:textId="77777777" w:rsidR="00C83479" w:rsidRPr="00493FCD" w:rsidRDefault="00C83479" w:rsidP="0084067E">
            <w:pPr>
              <w:pStyle w:val="naisc"/>
              <w:spacing w:before="0" w:after="0"/>
              <w:ind w:firstLine="720"/>
              <w:rPr>
                <w:b/>
              </w:rPr>
            </w:pPr>
            <w:r w:rsidRPr="00493FCD">
              <w:rPr>
                <w:b/>
              </w:rPr>
              <w:t>Ņemts vērā</w:t>
            </w:r>
          </w:p>
        </w:tc>
        <w:tc>
          <w:tcPr>
            <w:tcW w:w="3261" w:type="dxa"/>
            <w:tcBorders>
              <w:top w:val="single" w:sz="4" w:space="0" w:color="auto"/>
              <w:left w:val="single" w:sz="4" w:space="0" w:color="auto"/>
              <w:bottom w:val="single" w:sz="4" w:space="0" w:color="auto"/>
            </w:tcBorders>
          </w:tcPr>
          <w:p w14:paraId="5C55D907" w14:textId="221A6FC8" w:rsidR="00C83479" w:rsidRPr="00493FCD" w:rsidRDefault="00C83479" w:rsidP="00C83479">
            <w:pPr>
              <w:jc w:val="both"/>
            </w:pPr>
            <w:r w:rsidRPr="00493FCD">
              <w:t xml:space="preserve">Precizēts projekta 1. </w:t>
            </w:r>
            <w:r w:rsidR="000256EB" w:rsidRPr="00493FCD">
              <w:t xml:space="preserve">un 2. </w:t>
            </w:r>
            <w:r w:rsidRPr="00493FCD">
              <w:t>pielikums un projekta sākotnējās ietekmes novērtējuma ziņojums (anotācija) (turpmāk – Anotācija)</w:t>
            </w:r>
          </w:p>
        </w:tc>
      </w:tr>
      <w:tr w:rsidR="00F574F8" w:rsidRPr="00493FCD" w14:paraId="2BFBB575" w14:textId="77777777" w:rsidTr="00DE6583">
        <w:trPr>
          <w:gridAfter w:val="1"/>
          <w:wAfter w:w="1920" w:type="dxa"/>
        </w:trPr>
        <w:tc>
          <w:tcPr>
            <w:tcW w:w="708" w:type="dxa"/>
            <w:tcBorders>
              <w:left w:val="single" w:sz="6" w:space="0" w:color="000000"/>
              <w:bottom w:val="single" w:sz="4" w:space="0" w:color="auto"/>
              <w:right w:val="single" w:sz="6" w:space="0" w:color="000000"/>
            </w:tcBorders>
          </w:tcPr>
          <w:p w14:paraId="497AB2A8" w14:textId="6B3F135C" w:rsidR="00F574F8" w:rsidRPr="00493FCD" w:rsidRDefault="000256EB" w:rsidP="0084067E">
            <w:pPr>
              <w:pStyle w:val="naisc"/>
              <w:spacing w:before="0" w:after="0"/>
              <w:ind w:firstLine="720"/>
            </w:pPr>
            <w:r w:rsidRPr="00493FCD">
              <w:t>33.</w:t>
            </w:r>
          </w:p>
        </w:tc>
        <w:tc>
          <w:tcPr>
            <w:tcW w:w="3086" w:type="dxa"/>
            <w:gridSpan w:val="2"/>
            <w:tcBorders>
              <w:left w:val="single" w:sz="6" w:space="0" w:color="000000"/>
              <w:bottom w:val="single" w:sz="4" w:space="0" w:color="auto"/>
              <w:right w:val="single" w:sz="6" w:space="0" w:color="000000"/>
            </w:tcBorders>
          </w:tcPr>
          <w:p w14:paraId="0324BFC9" w14:textId="77777777" w:rsidR="007718E8" w:rsidRPr="00493FCD" w:rsidRDefault="007718E8" w:rsidP="007718E8">
            <w:pPr>
              <w:shd w:val="clear" w:color="auto" w:fill="FFFFFF"/>
              <w:ind w:firstLine="660"/>
              <w:jc w:val="both"/>
              <w:rPr>
                <w:b/>
                <w:bCs/>
              </w:rPr>
            </w:pPr>
            <w:r w:rsidRPr="00493FCD">
              <w:t>2.</w:t>
            </w:r>
            <w:r w:rsidRPr="00493FCD">
              <w:rPr>
                <w:sz w:val="28"/>
                <w:szCs w:val="28"/>
              </w:rPr>
              <w:t xml:space="preserve"> </w:t>
            </w:r>
            <w:r w:rsidRPr="00493FCD">
              <w:t xml:space="preserve">Institūcija, pirms datu apmaiņas pieprasīšanas no kredītiestādes, saņem Kriminālprocesa likumā vai Operatīvās darbības likumā paredzēto tiesneša vai prokurora atļauju (akceptu) pieprasīt kredītiestādes rīcībā esošās neizpaužamās ziņas vai veikt darījuma pārraudzību, un informāciju par to norāda attiecīgajā datu apmaiņas pieprasījumā. Institūcija dokumentu, kas satur tiesneša vai prokurora </w:t>
            </w:r>
            <w:r w:rsidRPr="00493FCD">
              <w:lastRenderedPageBreak/>
              <w:t>atļauju (akceptu) kredītiestādei neuzrāda.</w:t>
            </w:r>
          </w:p>
          <w:p w14:paraId="33DE32F3" w14:textId="77777777" w:rsidR="00F574F8" w:rsidRPr="00493FCD" w:rsidRDefault="00F574F8" w:rsidP="0084067E">
            <w:pPr>
              <w:pStyle w:val="naisc"/>
              <w:spacing w:before="0" w:after="0"/>
              <w:ind w:firstLine="720"/>
            </w:pPr>
          </w:p>
        </w:tc>
        <w:tc>
          <w:tcPr>
            <w:tcW w:w="4394" w:type="dxa"/>
            <w:tcBorders>
              <w:left w:val="single" w:sz="6" w:space="0" w:color="000000"/>
              <w:bottom w:val="single" w:sz="4" w:space="0" w:color="auto"/>
              <w:right w:val="single" w:sz="6" w:space="0" w:color="000000"/>
            </w:tcBorders>
          </w:tcPr>
          <w:p w14:paraId="6E555F35" w14:textId="77777777" w:rsidR="00CD3DAA" w:rsidRPr="00493FCD" w:rsidRDefault="00320D99" w:rsidP="00CD3DAA">
            <w:pPr>
              <w:pStyle w:val="naisc"/>
              <w:spacing w:before="0" w:after="0"/>
              <w:ind w:firstLine="720"/>
              <w:rPr>
                <w:b/>
              </w:rPr>
            </w:pPr>
            <w:r w:rsidRPr="00493FCD">
              <w:rPr>
                <w:b/>
              </w:rPr>
              <w:lastRenderedPageBreak/>
              <w:t>Tieslietu ministrija</w:t>
            </w:r>
          </w:p>
          <w:p w14:paraId="5C32574F" w14:textId="77777777" w:rsidR="00CD3DAA" w:rsidRPr="00493FCD" w:rsidRDefault="00CD3DAA" w:rsidP="00CD3DAA">
            <w:pPr>
              <w:pStyle w:val="naisc"/>
              <w:spacing w:before="0" w:after="0"/>
              <w:ind w:firstLine="720"/>
              <w:jc w:val="both"/>
              <w:rPr>
                <w:b/>
              </w:rPr>
            </w:pPr>
            <w:r w:rsidRPr="00493FCD">
              <w:t>Vēršam uzmanību, ka projekta 2. punkts daļēji dublē Kriminālprocesa likumā un Operatīvās darbības likumā ietverto tiesisko regulējumu, tāpēc lūdzam to precizēt atbilstoši Ministru kabineta 2009. gada 3. februāra noteikumu Nr. 108 "Normatīvo aktu projektu sagatavošanas noteikumi" (turpmāk – noteikumi Nr. 108) 3.2. apakšpunktam, svītrojot dublējošo regulējumu.</w:t>
            </w:r>
          </w:p>
          <w:p w14:paraId="124C50A3" w14:textId="77777777" w:rsidR="00CD3DAA" w:rsidRPr="00493FCD" w:rsidRDefault="00CD3DAA" w:rsidP="0084067E">
            <w:pPr>
              <w:pStyle w:val="naisc"/>
              <w:spacing w:before="0" w:after="0"/>
              <w:ind w:firstLine="720"/>
            </w:pPr>
          </w:p>
          <w:p w14:paraId="14BE3603" w14:textId="77777777" w:rsidR="00320D99" w:rsidRPr="00493FCD" w:rsidRDefault="00320D99" w:rsidP="0084067E">
            <w:pPr>
              <w:pStyle w:val="naisc"/>
              <w:spacing w:before="0" w:after="0"/>
              <w:ind w:firstLine="720"/>
            </w:pPr>
          </w:p>
        </w:tc>
        <w:tc>
          <w:tcPr>
            <w:tcW w:w="2577" w:type="dxa"/>
            <w:gridSpan w:val="2"/>
            <w:tcBorders>
              <w:left w:val="single" w:sz="6" w:space="0" w:color="000000"/>
              <w:bottom w:val="single" w:sz="4" w:space="0" w:color="auto"/>
              <w:right w:val="single" w:sz="6" w:space="0" w:color="000000"/>
            </w:tcBorders>
          </w:tcPr>
          <w:p w14:paraId="602ADECA" w14:textId="77777777" w:rsidR="00F574F8" w:rsidRPr="00493FCD" w:rsidRDefault="00786F2D" w:rsidP="0084067E">
            <w:pPr>
              <w:pStyle w:val="naisc"/>
              <w:spacing w:before="0" w:after="0"/>
              <w:ind w:firstLine="720"/>
              <w:rPr>
                <w:b/>
              </w:rPr>
            </w:pPr>
            <w:r w:rsidRPr="00493FCD">
              <w:rPr>
                <w:b/>
              </w:rPr>
              <w:t>Ņemts vērā</w:t>
            </w:r>
          </w:p>
        </w:tc>
        <w:tc>
          <w:tcPr>
            <w:tcW w:w="3261" w:type="dxa"/>
            <w:tcBorders>
              <w:top w:val="single" w:sz="4" w:space="0" w:color="auto"/>
              <w:left w:val="single" w:sz="4" w:space="0" w:color="auto"/>
              <w:bottom w:val="single" w:sz="4" w:space="0" w:color="auto"/>
            </w:tcBorders>
          </w:tcPr>
          <w:p w14:paraId="67B1D315" w14:textId="77777777" w:rsidR="00F574F8" w:rsidRPr="00493FCD" w:rsidRDefault="00786F2D" w:rsidP="00786F2D">
            <w:pPr>
              <w:jc w:val="both"/>
            </w:pPr>
            <w:r w:rsidRPr="00493FCD">
              <w:t xml:space="preserve">2. Institūcija informāciju par Kriminālprocesa likumā </w:t>
            </w:r>
            <w:r w:rsidRPr="00493FCD">
              <w:rPr>
                <w:iCs/>
              </w:rPr>
              <w:t>paredzēto izmeklēšanas tiesneša apstiprinājumu, Operatīvās darbības likumā paredzēto tiesneša akceptu vai prokurora piekrišanu</w:t>
            </w:r>
            <w:r w:rsidRPr="00493FCD">
              <w:rPr>
                <w:b/>
                <w:i/>
                <w:iCs/>
              </w:rPr>
              <w:t xml:space="preserve"> </w:t>
            </w:r>
            <w:r w:rsidRPr="00493FCD">
              <w:t xml:space="preserve">pieprasīt kredītiestādes rīcībā esošās neizpaužamās ziņas vai veikt darījuma pārraudzību, norāda attiecīgajā datu apmaiņas pieprasījumā. Institūcija dokumentu, kas satur </w:t>
            </w:r>
            <w:r w:rsidRPr="00493FCD">
              <w:rPr>
                <w:iCs/>
              </w:rPr>
              <w:t xml:space="preserve">izmeklēšanas tiesneša apstiprinājumu, tiesneša akceptu vai prokurora </w:t>
            </w:r>
            <w:r w:rsidRPr="00493FCD">
              <w:rPr>
                <w:iCs/>
              </w:rPr>
              <w:lastRenderedPageBreak/>
              <w:t>piekrišanu</w:t>
            </w:r>
            <w:r w:rsidRPr="00493FCD" w:rsidDel="0096633D">
              <w:t xml:space="preserve"> </w:t>
            </w:r>
            <w:r w:rsidRPr="00493FCD">
              <w:t>kredītiestādei neuzrāda.</w:t>
            </w:r>
          </w:p>
        </w:tc>
      </w:tr>
      <w:tr w:rsidR="0093195B" w:rsidRPr="00493FCD" w14:paraId="0E1F8BF6" w14:textId="77777777" w:rsidTr="00DE6583">
        <w:trPr>
          <w:gridAfter w:val="1"/>
          <w:wAfter w:w="1920" w:type="dxa"/>
        </w:trPr>
        <w:tc>
          <w:tcPr>
            <w:tcW w:w="708" w:type="dxa"/>
            <w:tcBorders>
              <w:left w:val="single" w:sz="6" w:space="0" w:color="000000"/>
              <w:bottom w:val="single" w:sz="4" w:space="0" w:color="auto"/>
              <w:right w:val="single" w:sz="6" w:space="0" w:color="000000"/>
            </w:tcBorders>
          </w:tcPr>
          <w:p w14:paraId="64FC5A58" w14:textId="6DD6AA1A" w:rsidR="000256EB" w:rsidRPr="00493FCD" w:rsidRDefault="000256EB" w:rsidP="0084067E">
            <w:pPr>
              <w:pStyle w:val="naisc"/>
              <w:spacing w:before="0" w:after="0"/>
              <w:ind w:firstLine="720"/>
            </w:pPr>
          </w:p>
          <w:p w14:paraId="5F48A70C" w14:textId="013D5E17" w:rsidR="0093195B" w:rsidRPr="00493FCD" w:rsidRDefault="000256EB" w:rsidP="000256EB">
            <w:pPr>
              <w:jc w:val="center"/>
            </w:pPr>
            <w:r w:rsidRPr="00493FCD">
              <w:t>4.</w:t>
            </w:r>
          </w:p>
        </w:tc>
        <w:tc>
          <w:tcPr>
            <w:tcW w:w="3086" w:type="dxa"/>
            <w:gridSpan w:val="2"/>
            <w:tcBorders>
              <w:left w:val="single" w:sz="6" w:space="0" w:color="000000"/>
              <w:bottom w:val="single" w:sz="4" w:space="0" w:color="auto"/>
              <w:right w:val="single" w:sz="6" w:space="0" w:color="000000"/>
            </w:tcBorders>
          </w:tcPr>
          <w:p w14:paraId="5F1A32F3" w14:textId="5DF05DAD" w:rsidR="0093195B" w:rsidRPr="00493FCD" w:rsidRDefault="0093195B" w:rsidP="0093195B">
            <w:pPr>
              <w:pStyle w:val="tv213"/>
              <w:spacing w:before="0" w:beforeAutospacing="0" w:after="0" w:afterAutospacing="0" w:line="20" w:lineRule="atLeast"/>
              <w:ind w:firstLine="27"/>
              <w:jc w:val="both"/>
            </w:pPr>
            <w:r w:rsidRPr="00493FCD">
              <w:t xml:space="preserve">3. Lai uzsāktu datu apmaiņu ar </w:t>
            </w:r>
            <w:r w:rsidRPr="00493FCD">
              <w:rPr>
                <w:bCs/>
              </w:rPr>
              <w:t xml:space="preserve">Valsts reģionālās attīstības aģentūras (turpmāk – Aģentūra) pārziņā esošā Valsts informācijas sistēmu savietotāja datu izplatīšanas tīkla (turpmāk – Datu izplatīšanas tīkls) </w:t>
            </w:r>
            <w:r w:rsidRPr="00493FCD">
              <w:t xml:space="preserve">starpniecību, Iekšlietu ministrijas Informācijas centrs (turpmāk – Centrs) un kredītiestāde pieprasa </w:t>
            </w:r>
            <w:r w:rsidRPr="00493FCD">
              <w:rPr>
                <w:bCs/>
              </w:rPr>
              <w:t>Aģentūrai</w:t>
            </w:r>
            <w:r w:rsidRPr="00493FCD">
              <w:t xml:space="preserve"> Datu izplatīšanas tīkla vides lietotāja tiesības. Pieprasījumu nosūta uz Aģentūras oficiālo elektroniskā pasta adresi, izmantojot vietnē https://viss.gov.lv/ ievietotās veidlapas. Aģentūra piecu darbdienu laikā no pieprasījuma saņemšanas paziņo par piešķirtajām tiesībām uz pieprasījumā norādīto elektroniskā pasta adresi. Aģentūra nodrošina Datu izplatīšanas tīkla testa vidi.</w:t>
            </w:r>
          </w:p>
          <w:p w14:paraId="4022DDFA" w14:textId="77777777" w:rsidR="0093195B" w:rsidRPr="00493FCD" w:rsidRDefault="0093195B" w:rsidP="007718E8">
            <w:pPr>
              <w:shd w:val="clear" w:color="auto" w:fill="FFFFFF"/>
              <w:ind w:firstLine="660"/>
              <w:jc w:val="both"/>
            </w:pPr>
          </w:p>
        </w:tc>
        <w:tc>
          <w:tcPr>
            <w:tcW w:w="4394" w:type="dxa"/>
            <w:tcBorders>
              <w:left w:val="single" w:sz="6" w:space="0" w:color="000000"/>
              <w:bottom w:val="single" w:sz="4" w:space="0" w:color="auto"/>
              <w:right w:val="single" w:sz="6" w:space="0" w:color="000000"/>
            </w:tcBorders>
          </w:tcPr>
          <w:p w14:paraId="53CCBD5D" w14:textId="641914A2" w:rsidR="0093195B" w:rsidRPr="00493FCD" w:rsidRDefault="0093195B" w:rsidP="0093195B">
            <w:pPr>
              <w:pStyle w:val="CommentText"/>
              <w:spacing w:after="0"/>
              <w:jc w:val="center"/>
              <w:rPr>
                <w:rFonts w:ascii="Times New Roman" w:eastAsia="Times New Roman" w:hAnsi="Times New Roman" w:cs="Times New Roman"/>
                <w:b/>
                <w:sz w:val="24"/>
                <w:szCs w:val="24"/>
                <w:lang w:eastAsia="zh-CN"/>
              </w:rPr>
            </w:pPr>
            <w:r w:rsidRPr="00493FCD">
              <w:rPr>
                <w:rFonts w:ascii="Times New Roman" w:hAnsi="Times New Roman"/>
                <w:b/>
                <w:sz w:val="24"/>
                <w:szCs w:val="24"/>
              </w:rPr>
              <w:t>Vides aizsardzības un reģionālās attīstības ministrija</w:t>
            </w:r>
          </w:p>
          <w:p w14:paraId="6B4904FA" w14:textId="77777777" w:rsidR="0093195B" w:rsidRPr="00493FCD" w:rsidRDefault="0093195B" w:rsidP="0093195B">
            <w:pPr>
              <w:pStyle w:val="CommentText"/>
              <w:spacing w:after="0"/>
              <w:jc w:val="both"/>
              <w:rPr>
                <w:rFonts w:ascii="Times New Roman" w:eastAsia="Times New Roman" w:hAnsi="Times New Roman" w:cs="Times New Roman"/>
                <w:sz w:val="24"/>
                <w:szCs w:val="24"/>
                <w:lang w:eastAsia="zh-CN"/>
              </w:rPr>
            </w:pPr>
            <w:r w:rsidRPr="00493FCD">
              <w:rPr>
                <w:rFonts w:ascii="Times New Roman" w:eastAsia="Times New Roman" w:hAnsi="Times New Roman" w:cs="Times New Roman"/>
                <w:sz w:val="24"/>
                <w:szCs w:val="24"/>
                <w:lang w:eastAsia="zh-CN"/>
              </w:rPr>
              <w:t xml:space="preserve">Ievērojot oficiālās elektroniskās adreses prioritātes principu, kas izriet no Oficiālās elektroniskās adreses likuma (turpmāk – OEAL) 12.panta pirmās daļas, un ņemot vērā, ka saskaņā ar OEAL pārejas noteikumu 3.punktu kredītiestādēm OEAL 5.pantā nostiprinātais e-adreses obligātas izmantošanas termiņš iestāsies 2023.gada 1.janvārī, lūdzam izteikt Noteikumu .projekta 3.punkta 2.teikumu šādā redakcijā: “3.[…] Pieprasījumu nosūta uz Aģentūras </w:t>
            </w:r>
            <w:r w:rsidRPr="00493FCD">
              <w:rPr>
                <w:rFonts w:ascii="Times New Roman" w:eastAsia="Times New Roman" w:hAnsi="Times New Roman" w:cs="Times New Roman"/>
                <w:b/>
                <w:sz w:val="24"/>
                <w:szCs w:val="24"/>
                <w:lang w:eastAsia="zh-CN"/>
              </w:rPr>
              <w:t xml:space="preserve">oficiālo elektronisko adresi vai elektroniskā pasta adresi, </w:t>
            </w:r>
            <w:r w:rsidRPr="00493FCD">
              <w:rPr>
                <w:rFonts w:ascii="Times New Roman" w:eastAsia="Times New Roman" w:hAnsi="Times New Roman" w:cs="Times New Roman"/>
                <w:sz w:val="24"/>
                <w:szCs w:val="24"/>
                <w:lang w:eastAsia="zh-CN"/>
              </w:rPr>
              <w:t xml:space="preserve">izmantojot vietnē </w:t>
            </w:r>
            <w:hyperlink r:id="rId7" w:history="1">
              <w:r w:rsidRPr="00493FCD">
                <w:rPr>
                  <w:rStyle w:val="Hyperlink"/>
                  <w:rFonts w:ascii="Times New Roman" w:eastAsia="Times New Roman" w:hAnsi="Times New Roman" w:cs="Times New Roman"/>
                  <w:sz w:val="24"/>
                  <w:szCs w:val="24"/>
                  <w:lang w:eastAsia="zh-CN"/>
                </w:rPr>
                <w:t>https://viss.gov.lv/</w:t>
              </w:r>
            </w:hyperlink>
            <w:r w:rsidRPr="00493FCD">
              <w:rPr>
                <w:rFonts w:ascii="Times New Roman" w:eastAsia="Times New Roman" w:hAnsi="Times New Roman" w:cs="Times New Roman"/>
                <w:sz w:val="24"/>
                <w:szCs w:val="24"/>
                <w:lang w:eastAsia="zh-CN"/>
              </w:rPr>
              <w:t xml:space="preserve"> ievietotās veidlapas.[…].”  </w:t>
            </w:r>
          </w:p>
          <w:p w14:paraId="6B50D5E4" w14:textId="77777777" w:rsidR="0093195B" w:rsidRPr="00493FCD" w:rsidRDefault="0093195B" w:rsidP="0093195B">
            <w:pPr>
              <w:pStyle w:val="CommentText"/>
              <w:spacing w:after="0"/>
              <w:ind w:firstLine="720"/>
              <w:jc w:val="both"/>
              <w:rPr>
                <w:rFonts w:ascii="Times New Roman" w:eastAsia="Times New Roman" w:hAnsi="Times New Roman" w:cs="Times New Roman"/>
                <w:sz w:val="24"/>
                <w:szCs w:val="24"/>
                <w:lang w:eastAsia="zh-CN"/>
              </w:rPr>
            </w:pPr>
            <w:r w:rsidRPr="00493FCD">
              <w:rPr>
                <w:rFonts w:ascii="Times New Roman" w:eastAsia="Times New Roman" w:hAnsi="Times New Roman" w:cs="Times New Roman"/>
                <w:sz w:val="24"/>
                <w:szCs w:val="24"/>
                <w:lang w:eastAsia="zh-CN"/>
              </w:rPr>
              <w:t xml:space="preserve">Vienlaikus lūdzam papildināt Noteikumu projekta anotāciju ar informāciju, ka elektroniskā saziņa starp kredītiestādēm un Aģentūru notiek ievērojot OEAL 12.panta pirmajā daļā nostiprināto e-adreses prioritātes principu, un elektroniskais pasts kā saziņas kanāls var tikt izmantots tikai tādā gadījumā, ja kredītiestādei nav aktivizēts oficiālās elektroniskās adreses konts. Savukārt no 2023.gada 1.janvāra pieprasījumi un paziņojumi starp kredītiestādēm un Aģentūru tiks nosūtīti, izmantojot oficiālo </w:t>
            </w:r>
            <w:r w:rsidRPr="00493FCD">
              <w:rPr>
                <w:rFonts w:ascii="Times New Roman" w:eastAsia="Times New Roman" w:hAnsi="Times New Roman" w:cs="Times New Roman"/>
                <w:sz w:val="24"/>
                <w:szCs w:val="24"/>
                <w:lang w:eastAsia="zh-CN"/>
              </w:rPr>
              <w:lastRenderedPageBreak/>
              <w:t xml:space="preserve">elektronisko adresi, kā to paredz OEAL pārejas noteikumu 3.punkts. </w:t>
            </w:r>
          </w:p>
          <w:p w14:paraId="172A7B66" w14:textId="77777777" w:rsidR="0093195B" w:rsidRPr="00493FCD" w:rsidRDefault="0093195B" w:rsidP="0093195B">
            <w:pPr>
              <w:pStyle w:val="CommentText"/>
              <w:spacing w:after="0"/>
              <w:ind w:firstLine="720"/>
              <w:jc w:val="both"/>
              <w:rPr>
                <w:rFonts w:ascii="Times New Roman" w:eastAsia="Times New Roman" w:hAnsi="Times New Roman" w:cs="Times New Roman"/>
                <w:sz w:val="24"/>
                <w:szCs w:val="24"/>
                <w:lang w:eastAsia="zh-CN"/>
              </w:rPr>
            </w:pPr>
            <w:r w:rsidRPr="00493FCD">
              <w:rPr>
                <w:rFonts w:ascii="Times New Roman" w:eastAsia="Times New Roman" w:hAnsi="Times New Roman" w:cs="Times New Roman"/>
                <w:sz w:val="24"/>
                <w:szCs w:val="24"/>
                <w:lang w:eastAsia="zh-CN"/>
              </w:rPr>
              <w:t xml:space="preserve">Ņemot vērā iepriekšminēto, lūdzam precizēt atbilstošos Noteikumu projekta punktus, iekļaujot oficiālas elektroniskās adreses izmantošanu. </w:t>
            </w:r>
          </w:p>
          <w:p w14:paraId="14AA8AE7" w14:textId="77777777" w:rsidR="0093195B" w:rsidRPr="00493FCD" w:rsidRDefault="0093195B" w:rsidP="00CD3DAA">
            <w:pPr>
              <w:pStyle w:val="naisc"/>
              <w:spacing w:before="0" w:after="0"/>
              <w:ind w:firstLine="720"/>
              <w:rPr>
                <w:b/>
              </w:rPr>
            </w:pPr>
          </w:p>
        </w:tc>
        <w:tc>
          <w:tcPr>
            <w:tcW w:w="2577" w:type="dxa"/>
            <w:gridSpan w:val="2"/>
            <w:tcBorders>
              <w:left w:val="single" w:sz="6" w:space="0" w:color="000000"/>
              <w:bottom w:val="single" w:sz="4" w:space="0" w:color="auto"/>
              <w:right w:val="single" w:sz="6" w:space="0" w:color="000000"/>
            </w:tcBorders>
          </w:tcPr>
          <w:p w14:paraId="6D9F738B" w14:textId="5BBBE363" w:rsidR="0093195B" w:rsidRPr="00493FCD" w:rsidRDefault="00554C30" w:rsidP="0084067E">
            <w:pPr>
              <w:pStyle w:val="naisc"/>
              <w:spacing w:before="0" w:after="0"/>
              <w:ind w:firstLine="720"/>
              <w:rPr>
                <w:b/>
              </w:rPr>
            </w:pPr>
            <w:r w:rsidRPr="00493FCD">
              <w:rPr>
                <w:b/>
              </w:rPr>
              <w:lastRenderedPageBreak/>
              <w:t>Ņemts vērā</w:t>
            </w:r>
          </w:p>
        </w:tc>
        <w:tc>
          <w:tcPr>
            <w:tcW w:w="3261" w:type="dxa"/>
            <w:tcBorders>
              <w:top w:val="single" w:sz="4" w:space="0" w:color="auto"/>
              <w:left w:val="single" w:sz="4" w:space="0" w:color="auto"/>
              <w:bottom w:val="single" w:sz="4" w:space="0" w:color="auto"/>
            </w:tcBorders>
          </w:tcPr>
          <w:p w14:paraId="12515E6B" w14:textId="4FB276E2" w:rsidR="00122596" w:rsidRPr="00493FCD" w:rsidRDefault="00122596" w:rsidP="00122596">
            <w:pPr>
              <w:pStyle w:val="tv213"/>
              <w:spacing w:before="0" w:beforeAutospacing="0" w:after="0" w:afterAutospacing="0" w:line="20" w:lineRule="atLeast"/>
              <w:ind w:firstLine="27"/>
              <w:jc w:val="both"/>
            </w:pPr>
            <w:r w:rsidRPr="00493FCD">
              <w:t xml:space="preserve">3. Lai uzsāktu datu apmaiņu ar </w:t>
            </w:r>
            <w:r w:rsidRPr="00493FCD">
              <w:rPr>
                <w:bCs/>
              </w:rPr>
              <w:t xml:space="preserve">Valsts reģionālās attīstības aģentūras (turpmāk – Aģentūra) pārziņā esošā Valsts informācijas sistēmu savietotāja datu izplatīšanas tīkla (turpmāk – Datu izplatīšanas tīkls) </w:t>
            </w:r>
            <w:r w:rsidRPr="00493FCD">
              <w:t xml:space="preserve">starpniecību, Iekšlietu ministrijas Informācijas centrs (turpmāk – Centrs) un kredītiestāde pieprasa </w:t>
            </w:r>
            <w:r w:rsidRPr="00493FCD">
              <w:rPr>
                <w:bCs/>
              </w:rPr>
              <w:t>Aģentūrai</w:t>
            </w:r>
            <w:r w:rsidRPr="00493FCD">
              <w:t xml:space="preserve"> Datu izplatīšanas tīkla vides lietotāja tiesības. Pieprasījumu nosūta uz Aģentūras oficiālo elektronisko adresi vai elektroniskā pasta adresi, izmantojot vietnē https://viss.gov.lv/ ievietotās veidlapas. Aģentūra piecu darbdienu laikā no pieprasījuma saņemšanas paziņo par piešķirtajām tiesībām uz pieprasījumā norādīto elektroniskā pasta adresi. Aģentūra nodrošina Datu izplatīšanas tīkla testa vidi.</w:t>
            </w:r>
          </w:p>
          <w:p w14:paraId="0599A381" w14:textId="77777777" w:rsidR="00953D71" w:rsidRPr="00493FCD" w:rsidRDefault="00953D71" w:rsidP="00122596">
            <w:pPr>
              <w:pStyle w:val="tv213"/>
              <w:spacing w:before="0" w:beforeAutospacing="0" w:after="0" w:afterAutospacing="0" w:line="20" w:lineRule="atLeast"/>
              <w:ind w:firstLine="27"/>
              <w:jc w:val="both"/>
            </w:pPr>
          </w:p>
          <w:p w14:paraId="7222354C" w14:textId="700C1448" w:rsidR="00953D71" w:rsidRPr="00493FCD" w:rsidRDefault="00953D71" w:rsidP="00122596">
            <w:pPr>
              <w:pStyle w:val="tv213"/>
              <w:spacing w:before="0" w:beforeAutospacing="0" w:after="0" w:afterAutospacing="0" w:line="20" w:lineRule="atLeast"/>
              <w:ind w:firstLine="27"/>
              <w:jc w:val="both"/>
            </w:pPr>
            <w:r w:rsidRPr="00493FCD">
              <w:t>Precizēts Anotācijas I sadaļas 2. punkts.</w:t>
            </w:r>
          </w:p>
          <w:p w14:paraId="19207B1B" w14:textId="77777777" w:rsidR="0093195B" w:rsidRPr="00493FCD" w:rsidRDefault="0093195B" w:rsidP="00786F2D">
            <w:pPr>
              <w:jc w:val="both"/>
            </w:pPr>
          </w:p>
        </w:tc>
      </w:tr>
      <w:tr w:rsidR="00F574F8" w:rsidRPr="00493FCD" w14:paraId="2757304A" w14:textId="77777777" w:rsidTr="00DE6583">
        <w:trPr>
          <w:gridAfter w:val="1"/>
          <w:wAfter w:w="1920" w:type="dxa"/>
        </w:trPr>
        <w:tc>
          <w:tcPr>
            <w:tcW w:w="708" w:type="dxa"/>
            <w:tcBorders>
              <w:left w:val="single" w:sz="6" w:space="0" w:color="000000"/>
              <w:bottom w:val="single" w:sz="4" w:space="0" w:color="auto"/>
              <w:right w:val="single" w:sz="6" w:space="0" w:color="000000"/>
            </w:tcBorders>
          </w:tcPr>
          <w:p w14:paraId="726D0166" w14:textId="22D094D3" w:rsidR="00F574F8" w:rsidRPr="00493FCD" w:rsidRDefault="000256EB" w:rsidP="0084067E">
            <w:pPr>
              <w:pStyle w:val="naisc"/>
              <w:spacing w:before="0" w:after="0"/>
              <w:ind w:firstLine="720"/>
            </w:pPr>
            <w:r w:rsidRPr="00493FCD">
              <w:lastRenderedPageBreak/>
              <w:t>55.</w:t>
            </w:r>
          </w:p>
        </w:tc>
        <w:tc>
          <w:tcPr>
            <w:tcW w:w="3086" w:type="dxa"/>
            <w:gridSpan w:val="2"/>
            <w:tcBorders>
              <w:left w:val="single" w:sz="6" w:space="0" w:color="000000"/>
              <w:bottom w:val="single" w:sz="4" w:space="0" w:color="auto"/>
              <w:right w:val="single" w:sz="6" w:space="0" w:color="000000"/>
            </w:tcBorders>
          </w:tcPr>
          <w:p w14:paraId="5ADB9339" w14:textId="77777777" w:rsidR="00F574F8" w:rsidRPr="00493FCD" w:rsidRDefault="00800408" w:rsidP="00800408">
            <w:pPr>
              <w:pStyle w:val="naisc"/>
              <w:spacing w:before="0" w:after="0"/>
              <w:ind w:firstLine="720"/>
              <w:jc w:val="both"/>
            </w:pPr>
            <w:r w:rsidRPr="00493FCD">
              <w:t>10. Datu izplatīšanas tīkla kanālus izmanto datu apmaiņai, ievērojot Valsts informācijas sistēmu savietotāja lietošanas kārtību.</w:t>
            </w:r>
          </w:p>
          <w:p w14:paraId="34ABE493" w14:textId="77777777" w:rsidR="00F9507A" w:rsidRPr="00493FCD" w:rsidRDefault="00F9507A" w:rsidP="00800408">
            <w:pPr>
              <w:pStyle w:val="naisc"/>
              <w:spacing w:before="0" w:after="0"/>
              <w:ind w:firstLine="720"/>
              <w:jc w:val="both"/>
            </w:pPr>
          </w:p>
          <w:p w14:paraId="416CA056" w14:textId="77777777" w:rsidR="00F9507A" w:rsidRPr="00493FCD" w:rsidRDefault="00F9507A" w:rsidP="00800408">
            <w:pPr>
              <w:pStyle w:val="naisc"/>
              <w:spacing w:before="0" w:after="0"/>
              <w:ind w:firstLine="720"/>
              <w:jc w:val="both"/>
            </w:pPr>
            <w:r w:rsidRPr="00493FCD">
              <w:t xml:space="preserve"> </w:t>
            </w:r>
            <w:r w:rsidR="00C83479" w:rsidRPr="00493FCD">
              <w:t>Anotācija.</w:t>
            </w:r>
          </w:p>
        </w:tc>
        <w:tc>
          <w:tcPr>
            <w:tcW w:w="4394" w:type="dxa"/>
            <w:tcBorders>
              <w:left w:val="single" w:sz="6" w:space="0" w:color="000000"/>
              <w:bottom w:val="single" w:sz="4" w:space="0" w:color="auto"/>
              <w:right w:val="single" w:sz="6" w:space="0" w:color="000000"/>
            </w:tcBorders>
          </w:tcPr>
          <w:p w14:paraId="7F4FE146" w14:textId="77777777" w:rsidR="005A5E8C" w:rsidRPr="00493FCD" w:rsidRDefault="005A5E8C" w:rsidP="00800408">
            <w:pPr>
              <w:pStyle w:val="NormalWeb"/>
              <w:spacing w:before="0" w:beforeAutospacing="0" w:after="0" w:afterAutospacing="0"/>
              <w:ind w:right="11" w:firstLine="720"/>
              <w:jc w:val="both"/>
              <w:rPr>
                <w:b/>
              </w:rPr>
            </w:pPr>
            <w:r w:rsidRPr="00493FCD">
              <w:rPr>
                <w:b/>
              </w:rPr>
              <w:t>Tieslietu ministrija</w:t>
            </w:r>
          </w:p>
          <w:p w14:paraId="3682390F" w14:textId="77777777" w:rsidR="00F574F8" w:rsidRPr="00493FCD" w:rsidRDefault="005A5E8C" w:rsidP="00800408">
            <w:pPr>
              <w:pStyle w:val="NormalWeb"/>
              <w:spacing w:before="0" w:beforeAutospacing="0" w:after="0" w:afterAutospacing="0"/>
              <w:ind w:right="11" w:firstLine="720"/>
              <w:jc w:val="both"/>
              <w:rPr>
                <w:b/>
              </w:rPr>
            </w:pPr>
            <w:r w:rsidRPr="00493FCD">
              <w:t xml:space="preserve">Projekta 10. punkts noteic, ka Datu izplatīšanas tīkla kanālus izmanto datu apmaiņai, ievērojot Valsts informācijas sistēmu savietotāja lietošanas kārtību. Nedz no projekta, nedz tā sākotnējās </w:t>
            </w:r>
            <w:r w:rsidRPr="00493FCD">
              <w:rPr>
                <w:i/>
                <w:iCs/>
              </w:rPr>
              <w:t>(ex – ante)</w:t>
            </w:r>
            <w:r w:rsidRPr="00493FCD">
              <w:t xml:space="preserve"> ietekmes novērtējuma ziņojuma (turpmāk – anotācija) nav skaidrs, kas ir projekta 10. punktā noteiktā Valsts informācijas sistēmu savietotāja lietošanas kārtība. Nav skaidrs, vai tas ir ārējais vai iekšējais normatīvais akts. Vienlaikus jānorāda, ja tas ir ārējais normatīvais akts, tad šāda norma ir deklaratīva un no projekta svītrojama. Savukārt, ja tas ir iekšējais normatīvais akts, tad projekta 10. punkts ir pretrunā Valsts pārvaldes iekārtas likuma 72. panta ceturtajai daļai, kas noteic, ka iekšējais normatīvais akts ir saistošs tikai iestādei vai amatpersonām, attiecībā uz kurām tas izdots. Ievērojot minēto, lūdzam atbilstoši precizēt projekta 10. punktu un papildināt anotāciju.</w:t>
            </w:r>
          </w:p>
        </w:tc>
        <w:tc>
          <w:tcPr>
            <w:tcW w:w="2577" w:type="dxa"/>
            <w:gridSpan w:val="2"/>
            <w:tcBorders>
              <w:left w:val="single" w:sz="6" w:space="0" w:color="000000"/>
              <w:bottom w:val="single" w:sz="4" w:space="0" w:color="auto"/>
              <w:right w:val="single" w:sz="6" w:space="0" w:color="000000"/>
            </w:tcBorders>
          </w:tcPr>
          <w:p w14:paraId="3CD3CD64" w14:textId="77777777" w:rsidR="00F574F8" w:rsidRPr="00493FCD" w:rsidRDefault="00B6098F" w:rsidP="0084067E">
            <w:pPr>
              <w:pStyle w:val="naisc"/>
              <w:spacing w:before="0" w:after="0"/>
              <w:ind w:firstLine="720"/>
              <w:rPr>
                <w:b/>
              </w:rPr>
            </w:pPr>
            <w:r w:rsidRPr="00493FCD">
              <w:rPr>
                <w:b/>
              </w:rPr>
              <w:t>Ņemts vērā</w:t>
            </w:r>
          </w:p>
        </w:tc>
        <w:tc>
          <w:tcPr>
            <w:tcW w:w="3261" w:type="dxa"/>
            <w:tcBorders>
              <w:top w:val="single" w:sz="4" w:space="0" w:color="auto"/>
              <w:left w:val="single" w:sz="4" w:space="0" w:color="auto"/>
              <w:bottom w:val="single" w:sz="4" w:space="0" w:color="auto"/>
            </w:tcBorders>
          </w:tcPr>
          <w:p w14:paraId="247B401C" w14:textId="77777777" w:rsidR="00F574F8" w:rsidRPr="00493FCD" w:rsidRDefault="00B6098F" w:rsidP="0084067E">
            <w:r w:rsidRPr="00493FCD">
              <w:t>Projekta 10. punkts svītrots.</w:t>
            </w:r>
          </w:p>
        </w:tc>
      </w:tr>
      <w:tr w:rsidR="00953D71" w:rsidRPr="00493FCD" w14:paraId="2AB1C963" w14:textId="77777777" w:rsidTr="00DE6583">
        <w:trPr>
          <w:gridAfter w:val="1"/>
          <w:wAfter w:w="1920" w:type="dxa"/>
        </w:trPr>
        <w:tc>
          <w:tcPr>
            <w:tcW w:w="708" w:type="dxa"/>
            <w:tcBorders>
              <w:left w:val="single" w:sz="6" w:space="0" w:color="000000"/>
              <w:bottom w:val="single" w:sz="4" w:space="0" w:color="auto"/>
              <w:right w:val="single" w:sz="6" w:space="0" w:color="000000"/>
            </w:tcBorders>
          </w:tcPr>
          <w:p w14:paraId="324F2539" w14:textId="36EA14A1" w:rsidR="00953D71" w:rsidRPr="00493FCD" w:rsidRDefault="000256EB" w:rsidP="0084067E">
            <w:pPr>
              <w:pStyle w:val="naisc"/>
              <w:spacing w:before="0" w:after="0"/>
              <w:ind w:firstLine="720"/>
            </w:pPr>
            <w:r w:rsidRPr="00493FCD">
              <w:t>66.</w:t>
            </w:r>
          </w:p>
        </w:tc>
        <w:tc>
          <w:tcPr>
            <w:tcW w:w="3086" w:type="dxa"/>
            <w:gridSpan w:val="2"/>
            <w:tcBorders>
              <w:left w:val="single" w:sz="6" w:space="0" w:color="000000"/>
              <w:bottom w:val="single" w:sz="4" w:space="0" w:color="auto"/>
              <w:right w:val="single" w:sz="6" w:space="0" w:color="000000"/>
            </w:tcBorders>
          </w:tcPr>
          <w:p w14:paraId="14E967AC" w14:textId="0292064E" w:rsidR="00953D71" w:rsidRPr="00493FCD" w:rsidRDefault="00953D71" w:rsidP="00953D71">
            <w:pPr>
              <w:pStyle w:val="tv213"/>
              <w:spacing w:before="0" w:beforeAutospacing="0" w:after="0" w:afterAutospacing="0" w:line="20" w:lineRule="atLeast"/>
              <w:ind w:left="27" w:firstLine="333"/>
              <w:jc w:val="both"/>
            </w:pPr>
            <w:r w:rsidRPr="00493FCD">
              <w:t xml:space="preserve">13. Aģentūra nodrošina Datu izplatīšanas tīkla darbību nepārtrauktā režīmā, </w:t>
            </w:r>
            <w:r w:rsidRPr="00493FCD">
              <w:lastRenderedPageBreak/>
              <w:t>izņemot plānotos un neplānotos pārtraukumus. Par plānotiem pārtraukumiem Aģentūra ne vēlāk kā piecas darbdienas iepriekš paziņo Centram un kredītiestādei uz Datu izplatīšanas tīkla lietotāja tiesību pieprasījumā norādīto elektroniskā pasta adresi. Centrs šo informāciju nodod Institūcijai. Datu izplatīšanas tīkla darbība nepārtrauktā režīmā nozīmē tā pieejamību:</w:t>
            </w:r>
          </w:p>
          <w:p w14:paraId="593AE5EF" w14:textId="13333844" w:rsidR="00953D71" w:rsidRPr="00493FCD" w:rsidRDefault="00953D71" w:rsidP="00953D71">
            <w:pPr>
              <w:pStyle w:val="tv213"/>
              <w:spacing w:before="0" w:beforeAutospacing="0" w:after="0" w:afterAutospacing="0" w:line="20" w:lineRule="atLeast"/>
              <w:jc w:val="both"/>
            </w:pPr>
            <w:r w:rsidRPr="00493FCD">
              <w:t>13.1.darbdienās no 8.30 līdz 17.00 – 99 % mēnesī;</w:t>
            </w:r>
          </w:p>
          <w:p w14:paraId="4393E15C" w14:textId="2F023822" w:rsidR="00953D71" w:rsidRPr="00493FCD" w:rsidRDefault="00953D71" w:rsidP="00953D71">
            <w:pPr>
              <w:pStyle w:val="tv213"/>
              <w:spacing w:before="0" w:beforeAutospacing="0" w:after="0" w:afterAutospacing="0" w:line="20" w:lineRule="atLeast"/>
              <w:jc w:val="both"/>
            </w:pPr>
            <w:r w:rsidRPr="00493FCD">
              <w:t>13.2.pārējā laikā – 97 % mēnesī.</w:t>
            </w:r>
          </w:p>
          <w:p w14:paraId="2153D878" w14:textId="77777777" w:rsidR="00953D71" w:rsidRPr="00493FCD" w:rsidRDefault="00953D71" w:rsidP="00800408">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07C53F0E" w14:textId="2DCE66FC" w:rsidR="00953D71" w:rsidRPr="00493FCD" w:rsidRDefault="00953D71" w:rsidP="00953D71">
            <w:pPr>
              <w:pStyle w:val="CommentText"/>
              <w:spacing w:after="0"/>
              <w:jc w:val="center"/>
              <w:rPr>
                <w:rFonts w:ascii="Times New Roman" w:eastAsia="Times New Roman" w:hAnsi="Times New Roman" w:cs="Times New Roman"/>
                <w:b/>
                <w:sz w:val="24"/>
                <w:szCs w:val="24"/>
                <w:lang w:eastAsia="zh-CN"/>
              </w:rPr>
            </w:pPr>
            <w:r w:rsidRPr="00493FCD">
              <w:rPr>
                <w:rFonts w:ascii="Times New Roman" w:hAnsi="Times New Roman"/>
                <w:b/>
                <w:sz w:val="24"/>
                <w:szCs w:val="24"/>
              </w:rPr>
              <w:lastRenderedPageBreak/>
              <w:t>Vides aizsardzības un reģionālās attīstības ministrija</w:t>
            </w:r>
          </w:p>
          <w:p w14:paraId="161A3DE5" w14:textId="77777777" w:rsidR="00953D71" w:rsidRPr="00493FCD" w:rsidRDefault="00953D71" w:rsidP="00953D71">
            <w:pPr>
              <w:ind w:firstLine="720"/>
              <w:jc w:val="both"/>
            </w:pPr>
            <w:r w:rsidRPr="00493FCD">
              <w:lastRenderedPageBreak/>
              <w:t xml:space="preserve">Tā kā Valsts reģionālās attīstības aģentūras (turpmāk – VRAA) kā Valsts informācijas sistēmas savietotāja pārziņa pienākumi ir noteikti Ministru kabineta 2016.gada 14.jūnija noteikumos Nr. 374 “Valsts informācijas sistēmu savietotāja noteikumi” (turpmāk tekstā – VISS noteikumi), aicinām nedublēt spēkā esošo normatīvo regulējumu, bet Noteikumu projektā ietvert atsauci uz VISS noteikumiem un saskaņā ar VISS noteikumiem izstrādātajiem VRAA Infrastruktūras lietošanas nosacījumiem, atbilstoši precizējot Noteikumu projekta 13.punktu. </w:t>
            </w:r>
          </w:p>
          <w:p w14:paraId="28A4487D" w14:textId="77777777" w:rsidR="00953D71" w:rsidRPr="00493FCD" w:rsidRDefault="00953D71" w:rsidP="00800408">
            <w:pPr>
              <w:pStyle w:val="NormalWeb"/>
              <w:spacing w:before="0" w:beforeAutospacing="0" w:after="0" w:afterAutospacing="0"/>
              <w:ind w:right="11" w:firstLine="720"/>
              <w:jc w:val="both"/>
              <w:rPr>
                <w:b/>
              </w:rPr>
            </w:pPr>
          </w:p>
        </w:tc>
        <w:tc>
          <w:tcPr>
            <w:tcW w:w="2577" w:type="dxa"/>
            <w:gridSpan w:val="2"/>
            <w:tcBorders>
              <w:left w:val="single" w:sz="6" w:space="0" w:color="000000"/>
              <w:bottom w:val="single" w:sz="4" w:space="0" w:color="auto"/>
              <w:right w:val="single" w:sz="6" w:space="0" w:color="000000"/>
            </w:tcBorders>
          </w:tcPr>
          <w:p w14:paraId="05A62A8D" w14:textId="77777777" w:rsidR="00953D71" w:rsidRDefault="00953D71" w:rsidP="0084067E">
            <w:pPr>
              <w:pStyle w:val="naisc"/>
              <w:spacing w:before="0" w:after="0"/>
              <w:ind w:firstLine="720"/>
              <w:rPr>
                <w:b/>
              </w:rPr>
            </w:pPr>
            <w:r w:rsidRPr="00493FCD">
              <w:rPr>
                <w:b/>
              </w:rPr>
              <w:lastRenderedPageBreak/>
              <w:t>Ņemts vērā</w:t>
            </w:r>
          </w:p>
          <w:p w14:paraId="417DB588" w14:textId="4CE32AAD" w:rsidR="00C051A1" w:rsidRPr="00C051A1" w:rsidRDefault="00C051A1" w:rsidP="00C051A1">
            <w:pPr>
              <w:pStyle w:val="naisc"/>
              <w:spacing w:before="0" w:after="0"/>
              <w:ind w:firstLine="720"/>
              <w:jc w:val="both"/>
            </w:pPr>
            <w:r>
              <w:t xml:space="preserve">Norādām, ka Finanšu nozares </w:t>
            </w:r>
            <w:r>
              <w:lastRenderedPageBreak/>
              <w:t xml:space="preserve">asociācija uzstāj uz regulējuma, kas precīzi nosaka, ko saprot ar Datu izplatīšanas tīkla darbību nepārtrauktā režīmā, saglabāšanu. Vēršam uzmanību, ka </w:t>
            </w:r>
            <w:r w:rsidRPr="00493FCD">
              <w:t>Ministru kabineta 2</w:t>
            </w:r>
            <w:r>
              <w:t>016. gada 14. jūnija noteikumu</w:t>
            </w:r>
            <w:r w:rsidRPr="00493FCD">
              <w:t xml:space="preserve"> Nr. 374 “Valsts informācijas sistēmu savietotāja noteikumi”</w:t>
            </w:r>
            <w:r>
              <w:t xml:space="preserve"> 41. punkts paredz, ka Aģentūra nodrošina un uztur savietotāja darbību nepārtrauktā režīmā, izņemot plānotos un neplānotos pārtraukumus savietotāja darbībā. Šī norma ir vispārīga un projektā ietvertais </w:t>
            </w:r>
            <w:r w:rsidR="001229FF">
              <w:t>regulējums to ko</w:t>
            </w:r>
            <w:r>
              <w:t>nkretizē.</w:t>
            </w:r>
          </w:p>
        </w:tc>
        <w:tc>
          <w:tcPr>
            <w:tcW w:w="3261" w:type="dxa"/>
            <w:tcBorders>
              <w:top w:val="single" w:sz="4" w:space="0" w:color="auto"/>
              <w:left w:val="single" w:sz="4" w:space="0" w:color="auto"/>
              <w:bottom w:val="single" w:sz="4" w:space="0" w:color="auto"/>
            </w:tcBorders>
          </w:tcPr>
          <w:p w14:paraId="420A54DA" w14:textId="19BAF9AB" w:rsidR="00C051A1" w:rsidRPr="00493FCD" w:rsidRDefault="000256EB" w:rsidP="00C051A1">
            <w:pPr>
              <w:pStyle w:val="tv213"/>
              <w:spacing w:before="0" w:beforeAutospacing="0" w:after="0" w:afterAutospacing="0" w:line="20" w:lineRule="atLeast"/>
              <w:ind w:left="27" w:firstLine="333"/>
              <w:jc w:val="both"/>
            </w:pPr>
            <w:r w:rsidRPr="00493FCD">
              <w:lastRenderedPageBreak/>
              <w:t xml:space="preserve">12. Aģentūra nodrošina Datu izplatīšanas tīkla darbību atbilstoši Ministru kabineta </w:t>
            </w:r>
            <w:r w:rsidRPr="00493FCD">
              <w:lastRenderedPageBreak/>
              <w:t>2016. gada 14. jūnija noteikumiem Nr. 374 “Valsts informācijas sistēmu savietotāja noteikumi”. No Aģentūras saņemto informāciju par pārtraukumiem Datu izplatīšanas tīkla darbībā Centrs nodod Institūcijai</w:t>
            </w:r>
            <w:r w:rsidR="00BA7AEA" w:rsidRPr="00493FCD">
              <w:t>.</w:t>
            </w:r>
            <w:r w:rsidR="00C051A1">
              <w:t xml:space="preserve"> </w:t>
            </w:r>
            <w:r w:rsidR="00C051A1" w:rsidRPr="00493FCD">
              <w:t>Datu izplatīšanas tīkla darbība nepārtrauktā režīmā nozīmē tā pieejamību</w:t>
            </w:r>
            <w:r w:rsidR="00641261">
              <w:t xml:space="preserve"> ne mazāk kā</w:t>
            </w:r>
            <w:r w:rsidR="00C051A1" w:rsidRPr="00493FCD">
              <w:t>:</w:t>
            </w:r>
          </w:p>
          <w:p w14:paraId="216601C5" w14:textId="22C3A9FD" w:rsidR="00C051A1" w:rsidRPr="00493FCD" w:rsidRDefault="00C12E12" w:rsidP="00C051A1">
            <w:pPr>
              <w:pStyle w:val="tv213"/>
              <w:spacing w:before="0" w:beforeAutospacing="0" w:after="0" w:afterAutospacing="0" w:line="20" w:lineRule="atLeast"/>
              <w:jc w:val="both"/>
            </w:pPr>
            <w:r>
              <w:t>12</w:t>
            </w:r>
            <w:r w:rsidR="00C051A1" w:rsidRPr="00493FCD">
              <w:t>.1.darbdienās no 8.30 līdz 17.00 – 99 % mēnesī;</w:t>
            </w:r>
          </w:p>
          <w:p w14:paraId="615E9C7C" w14:textId="571D1708" w:rsidR="00C051A1" w:rsidRPr="00493FCD" w:rsidRDefault="00C12E12" w:rsidP="00C051A1">
            <w:pPr>
              <w:pStyle w:val="tv213"/>
              <w:spacing w:before="0" w:beforeAutospacing="0" w:after="0" w:afterAutospacing="0" w:line="20" w:lineRule="atLeast"/>
              <w:jc w:val="both"/>
            </w:pPr>
            <w:r>
              <w:t>12</w:t>
            </w:r>
            <w:r w:rsidR="00C051A1" w:rsidRPr="00493FCD">
              <w:t>.2.pārējā laikā – 97 % mēnesī.</w:t>
            </w:r>
          </w:p>
          <w:p w14:paraId="0EA9FF3F" w14:textId="60629C12" w:rsidR="00953D71" w:rsidRPr="00493FCD" w:rsidRDefault="00953D71" w:rsidP="000256EB">
            <w:pPr>
              <w:jc w:val="both"/>
            </w:pPr>
          </w:p>
        </w:tc>
      </w:tr>
      <w:tr w:rsidR="005A5E8C" w:rsidRPr="00493FCD" w14:paraId="0F6F71CE" w14:textId="77777777" w:rsidTr="00DE6583">
        <w:trPr>
          <w:gridAfter w:val="1"/>
          <w:wAfter w:w="1920" w:type="dxa"/>
        </w:trPr>
        <w:tc>
          <w:tcPr>
            <w:tcW w:w="708" w:type="dxa"/>
            <w:tcBorders>
              <w:left w:val="single" w:sz="6" w:space="0" w:color="000000"/>
              <w:bottom w:val="single" w:sz="4" w:space="0" w:color="auto"/>
              <w:right w:val="single" w:sz="6" w:space="0" w:color="000000"/>
            </w:tcBorders>
          </w:tcPr>
          <w:p w14:paraId="56E4509C" w14:textId="4EABABA8" w:rsidR="00BA7AEA" w:rsidRPr="00493FCD" w:rsidRDefault="00BA7AEA" w:rsidP="0084067E">
            <w:pPr>
              <w:pStyle w:val="naisc"/>
              <w:spacing w:before="0" w:after="0"/>
              <w:ind w:firstLine="720"/>
            </w:pPr>
          </w:p>
          <w:p w14:paraId="2AE5214D" w14:textId="333B5593" w:rsidR="005A5E8C" w:rsidRPr="00493FCD" w:rsidRDefault="00BA7AEA" w:rsidP="00BA7AEA">
            <w:pPr>
              <w:jc w:val="center"/>
            </w:pPr>
            <w:r w:rsidRPr="00493FCD">
              <w:t>7.</w:t>
            </w:r>
          </w:p>
        </w:tc>
        <w:tc>
          <w:tcPr>
            <w:tcW w:w="3086" w:type="dxa"/>
            <w:gridSpan w:val="2"/>
            <w:tcBorders>
              <w:left w:val="single" w:sz="6" w:space="0" w:color="000000"/>
              <w:bottom w:val="single" w:sz="4" w:space="0" w:color="auto"/>
              <w:right w:val="single" w:sz="6" w:space="0" w:color="000000"/>
            </w:tcBorders>
          </w:tcPr>
          <w:p w14:paraId="0FF566B0" w14:textId="77777777" w:rsidR="005A5E8C" w:rsidRPr="00493FCD" w:rsidRDefault="00371F28" w:rsidP="00371F28">
            <w:pPr>
              <w:pStyle w:val="naisc"/>
              <w:spacing w:before="0" w:after="0"/>
              <w:ind w:firstLine="720"/>
              <w:jc w:val="both"/>
            </w:pPr>
            <w:r w:rsidRPr="00493FCD">
              <w:t>17.</w:t>
            </w:r>
            <w:r w:rsidRPr="00493FCD">
              <w:rPr>
                <w:sz w:val="28"/>
                <w:szCs w:val="28"/>
              </w:rPr>
              <w:t xml:space="preserve"> </w:t>
            </w:r>
            <w:r w:rsidRPr="00493FCD">
              <w:t xml:space="preserve">Aģentūra, Centrs un kredītiestāde nodrošina, lai auditācijas pieraksti par Institūciju pieprasījumu un atbilžu uz pieprasījumiem ievietošanu Datu izplatīšanas tīklā un izgūšanu no tā tiktu </w:t>
            </w:r>
            <w:r w:rsidRPr="00493FCD">
              <w:lastRenderedPageBreak/>
              <w:t>saglabāti ne mazāk kā divus gadus.</w:t>
            </w:r>
          </w:p>
        </w:tc>
        <w:tc>
          <w:tcPr>
            <w:tcW w:w="4394" w:type="dxa"/>
            <w:tcBorders>
              <w:left w:val="single" w:sz="6" w:space="0" w:color="000000"/>
              <w:bottom w:val="single" w:sz="4" w:space="0" w:color="auto"/>
              <w:right w:val="single" w:sz="6" w:space="0" w:color="000000"/>
            </w:tcBorders>
          </w:tcPr>
          <w:p w14:paraId="547124A2" w14:textId="77777777" w:rsidR="005A5E8C" w:rsidRPr="00493FCD" w:rsidRDefault="00800408" w:rsidP="00800408">
            <w:pPr>
              <w:pStyle w:val="naisc"/>
              <w:spacing w:before="0" w:after="0"/>
              <w:ind w:firstLine="720"/>
              <w:rPr>
                <w:b/>
              </w:rPr>
            </w:pPr>
            <w:r w:rsidRPr="00493FCD">
              <w:rPr>
                <w:b/>
              </w:rPr>
              <w:lastRenderedPageBreak/>
              <w:t>Tieslietu ministrija</w:t>
            </w:r>
          </w:p>
          <w:p w14:paraId="13974B9F" w14:textId="77777777" w:rsidR="00800408" w:rsidRPr="00493FCD" w:rsidRDefault="00800408" w:rsidP="00800408">
            <w:pPr>
              <w:pStyle w:val="NormalWeb"/>
              <w:spacing w:before="0" w:beforeAutospacing="0" w:after="0" w:afterAutospacing="0"/>
              <w:ind w:right="13" w:firstLine="720"/>
              <w:jc w:val="both"/>
            </w:pPr>
            <w:r w:rsidRPr="00493FCD">
              <w:t xml:space="preserve">Projekta 17. punkts paredz, ka Valsts reģionālās attīstības aģentūra, Iekšlietu ministrijas Informācijas centrs un kredītiestāde nodrošina, lai auditācijas pieraksti par procesa virzītāju un operatīvās darbības subjektu (turpmāk – institūcija) pieprasījumu un atbilžu uz pieprasījumiem </w:t>
            </w:r>
            <w:r w:rsidRPr="00493FCD">
              <w:lastRenderedPageBreak/>
              <w:t xml:space="preserve">ievietošanu Datu izplatīšanas tīklā un izgūšanu no tā tiktu saglabāti ne mazāk kā divus gadus. Arī anotācijas I sadaļas 2. punktā skaidrots, ka projekta 17. punkts paredz, ka Valsts reģionālās attīstības aģentūra, Iekšlietu ministrijas Informācijas centrs un kredītiestāde nodrošina, lai auditācijas pieraksti par institūciju pieprasījumu un atbilžu uz pieprasījumiem ievietošanu Datu izplatīšanas tīklā un izgūšanu no tā tiktu saglabāti ne mazāk kā divus gadus. Paredzēts, ka tiks saglabāti, piemēram, šādi auditācijas pieraksti: institūcijas, kredītiestādes nosaukums, pieprasījuma datums, pieprasījuma saturs un atbildes uz pieprasījumu saturs. Proti, minētais regulējums paredz uzglabāt auditācijas pierakstus, kas, citastarp, saturēs fizisko personu datus ne mazāk kā divus gadus, skaidri nenosakot auditācijas pierakstu uzglabāšanas termiņu. </w:t>
            </w:r>
          </w:p>
          <w:p w14:paraId="2E3CD466" w14:textId="77777777" w:rsidR="00800408" w:rsidRPr="00493FCD" w:rsidRDefault="00800408" w:rsidP="00800408">
            <w:pPr>
              <w:pStyle w:val="NormalWeb"/>
              <w:spacing w:before="0" w:beforeAutospacing="0" w:after="0" w:afterAutospacing="0"/>
              <w:ind w:right="13" w:firstLine="720"/>
              <w:jc w:val="both"/>
            </w:pPr>
            <w:r w:rsidRPr="00493FCD">
              <w:t xml:space="preserve">Ņemot vērā minēto, lūdzam izvērtēt šīs normas atbilstību likuma "Par fizisko personu datu apstrādi kriminālprocesā un administratīvā pārkāpuma procesā" 4. pantā ietvertajiem personas datu apstrādes principiem, jo īpaši 4. panta pirmās daļas 5. punktā ietvertajam personas datu glabāšanas ierobežojumu principam, un 19. panta prasībām par auditācijas pierakstu vākšanu, kā arī  atbilstoši izvērtējumam precizēt projekta 17. punktu, kā arī anotācijas I sadaļas 2. punktā sniegt </w:t>
            </w:r>
            <w:r w:rsidRPr="00493FCD">
              <w:lastRenderedPageBreak/>
              <w:t>skaidrojumu par to, kāpēc auditācijas pierakstu uzglabāšanai ir noteikts šāds termiņš, kā arī noteikt auditācijas pierakstu glabāšanas maksimālo termiņu.</w:t>
            </w:r>
          </w:p>
          <w:p w14:paraId="6EAD2B63" w14:textId="77777777" w:rsidR="00800408" w:rsidRPr="00493FCD" w:rsidRDefault="00800408" w:rsidP="0084067E">
            <w:pPr>
              <w:pStyle w:val="naisc"/>
              <w:spacing w:before="0" w:after="0"/>
              <w:ind w:firstLine="720"/>
              <w:rPr>
                <w:b/>
              </w:rPr>
            </w:pPr>
          </w:p>
        </w:tc>
        <w:tc>
          <w:tcPr>
            <w:tcW w:w="2577" w:type="dxa"/>
            <w:gridSpan w:val="2"/>
            <w:tcBorders>
              <w:left w:val="single" w:sz="6" w:space="0" w:color="000000"/>
              <w:bottom w:val="single" w:sz="4" w:space="0" w:color="auto"/>
              <w:right w:val="single" w:sz="6" w:space="0" w:color="000000"/>
            </w:tcBorders>
          </w:tcPr>
          <w:p w14:paraId="0466691C" w14:textId="77777777" w:rsidR="005A5E8C" w:rsidRPr="00493FCD" w:rsidRDefault="00E9365B" w:rsidP="0084067E">
            <w:pPr>
              <w:pStyle w:val="naisc"/>
              <w:spacing w:before="0" w:after="0"/>
              <w:ind w:firstLine="720"/>
              <w:rPr>
                <w:b/>
              </w:rPr>
            </w:pPr>
            <w:r w:rsidRPr="00493FCD">
              <w:rPr>
                <w:b/>
              </w:rPr>
              <w:lastRenderedPageBreak/>
              <w:t>Ņemts vērā</w:t>
            </w:r>
          </w:p>
        </w:tc>
        <w:tc>
          <w:tcPr>
            <w:tcW w:w="3261" w:type="dxa"/>
            <w:tcBorders>
              <w:top w:val="single" w:sz="4" w:space="0" w:color="auto"/>
              <w:left w:val="single" w:sz="4" w:space="0" w:color="auto"/>
              <w:bottom w:val="single" w:sz="4" w:space="0" w:color="auto"/>
            </w:tcBorders>
          </w:tcPr>
          <w:p w14:paraId="67DAF943" w14:textId="13DB1497" w:rsidR="005A5E8C" w:rsidRPr="00493FCD" w:rsidRDefault="00BA7AEA" w:rsidP="00E9365B">
            <w:pPr>
              <w:jc w:val="both"/>
            </w:pPr>
            <w:r w:rsidRPr="00493FCD">
              <w:t>16</w:t>
            </w:r>
            <w:r w:rsidR="00E9365B" w:rsidRPr="00493FCD">
              <w:t>.</w:t>
            </w:r>
            <w:r w:rsidR="00E9365B" w:rsidRPr="00493FCD">
              <w:rPr>
                <w:sz w:val="28"/>
                <w:szCs w:val="28"/>
              </w:rPr>
              <w:t xml:space="preserve"> </w:t>
            </w:r>
            <w:r w:rsidR="00E9365B" w:rsidRPr="00493FCD">
              <w:t>Aģentūra, Centrs un kredītiestāde nodrošina, lai auditācijas pieraksti par Institūciju pieprasījumu un atbilžu uz pieprasījumiem ievietošanu Datu izplatīšanas tīklā un izgūšanu no tā tiktu saglabāti divus gadus.</w:t>
            </w:r>
          </w:p>
          <w:p w14:paraId="569971FB" w14:textId="77777777" w:rsidR="00E9365B" w:rsidRPr="00493FCD" w:rsidRDefault="00E9365B" w:rsidP="00E9365B">
            <w:pPr>
              <w:jc w:val="both"/>
            </w:pPr>
          </w:p>
          <w:p w14:paraId="57B68093" w14:textId="77777777" w:rsidR="00E9365B" w:rsidRPr="00493FCD" w:rsidRDefault="00E9365B" w:rsidP="00E9365B">
            <w:pPr>
              <w:jc w:val="both"/>
            </w:pPr>
            <w:r w:rsidRPr="00493FCD">
              <w:t>Precizēts Anotācijas I sadaļas 2. punkts.</w:t>
            </w:r>
          </w:p>
        </w:tc>
      </w:tr>
      <w:tr w:rsidR="007D4787" w:rsidRPr="00493FCD" w14:paraId="41EEC462" w14:textId="77777777" w:rsidTr="00DE6583">
        <w:trPr>
          <w:gridAfter w:val="1"/>
          <w:wAfter w:w="1920" w:type="dxa"/>
        </w:trPr>
        <w:tc>
          <w:tcPr>
            <w:tcW w:w="708" w:type="dxa"/>
            <w:tcBorders>
              <w:left w:val="single" w:sz="6" w:space="0" w:color="000000"/>
              <w:bottom w:val="single" w:sz="4" w:space="0" w:color="auto"/>
              <w:right w:val="single" w:sz="6" w:space="0" w:color="000000"/>
            </w:tcBorders>
          </w:tcPr>
          <w:p w14:paraId="416D9C9D" w14:textId="17E2219B" w:rsidR="00BA7AEA" w:rsidRPr="00493FCD" w:rsidRDefault="00BA7AEA" w:rsidP="0084067E">
            <w:pPr>
              <w:pStyle w:val="naisc"/>
              <w:spacing w:before="0" w:after="0"/>
              <w:ind w:firstLine="720"/>
            </w:pPr>
          </w:p>
          <w:p w14:paraId="51F38190" w14:textId="77777777" w:rsidR="00BA7AEA" w:rsidRPr="00493FCD" w:rsidRDefault="00BA7AEA" w:rsidP="00BA7AEA"/>
          <w:p w14:paraId="592FE563" w14:textId="05BE4AEE" w:rsidR="00BA7AEA" w:rsidRPr="00493FCD" w:rsidRDefault="00BA7AEA" w:rsidP="00BA7AEA"/>
          <w:p w14:paraId="704D493A" w14:textId="5FFF1BD2" w:rsidR="007D4787" w:rsidRPr="00493FCD" w:rsidRDefault="00BA7AEA" w:rsidP="00BA7AEA">
            <w:pPr>
              <w:jc w:val="center"/>
            </w:pPr>
            <w:r w:rsidRPr="00493FCD">
              <w:t>8.</w:t>
            </w:r>
          </w:p>
        </w:tc>
        <w:tc>
          <w:tcPr>
            <w:tcW w:w="3086" w:type="dxa"/>
            <w:gridSpan w:val="2"/>
            <w:tcBorders>
              <w:left w:val="single" w:sz="6" w:space="0" w:color="000000"/>
              <w:bottom w:val="single" w:sz="4" w:space="0" w:color="auto"/>
              <w:right w:val="single" w:sz="6" w:space="0" w:color="000000"/>
            </w:tcBorders>
          </w:tcPr>
          <w:p w14:paraId="251E1664" w14:textId="77777777" w:rsidR="007D4787" w:rsidRPr="00493FCD" w:rsidRDefault="007D4787" w:rsidP="007D4787">
            <w:pPr>
              <w:pStyle w:val="tv213"/>
              <w:spacing w:before="0" w:beforeAutospacing="0" w:after="0" w:afterAutospacing="0" w:line="20" w:lineRule="atLeast"/>
              <w:jc w:val="both"/>
            </w:pPr>
            <w:r w:rsidRPr="00493FCD">
              <w:t>22. Kredītiestāde pēc Pieprasījuma izgūšanas no Datu izplatīšanas tīkla:</w:t>
            </w:r>
          </w:p>
          <w:p w14:paraId="0E4DCEA0" w14:textId="77777777" w:rsidR="007D4787" w:rsidRPr="00493FCD" w:rsidRDefault="007D4787" w:rsidP="007D4787">
            <w:pPr>
              <w:pStyle w:val="tv213"/>
              <w:spacing w:before="0" w:beforeAutospacing="0" w:after="0" w:afterAutospacing="0" w:line="20" w:lineRule="atLeast"/>
              <w:jc w:val="both"/>
            </w:pPr>
            <w:r w:rsidRPr="00493FCD">
              <w:t>22.1. ja pieprasīts veikt datu apmaiņu apjomā, kas noteikts standarta ISO 20022 aktuālajā versijā (turpmāk - konta pārskats) un tas nepārsniedz piecu gadu periodu līdz pieprasījuma sagatavošanas brīdim, nekavējoties, bet ne vēlāk kā trīs darbdienu laikā ievieto atbildi uz Pieprasījumu Datu izplatīšanas tīklā;</w:t>
            </w:r>
          </w:p>
          <w:p w14:paraId="59FC90DD" w14:textId="77777777" w:rsidR="007D4787" w:rsidRPr="00493FCD" w:rsidRDefault="007D4787" w:rsidP="00371F28">
            <w:pPr>
              <w:pStyle w:val="naisc"/>
              <w:spacing w:before="0" w:after="0"/>
              <w:ind w:firstLine="720"/>
              <w:jc w:val="both"/>
            </w:pPr>
          </w:p>
        </w:tc>
        <w:tc>
          <w:tcPr>
            <w:tcW w:w="4394" w:type="dxa"/>
            <w:tcBorders>
              <w:left w:val="single" w:sz="6" w:space="0" w:color="000000"/>
              <w:bottom w:val="single" w:sz="4" w:space="0" w:color="auto"/>
              <w:right w:val="single" w:sz="6" w:space="0" w:color="000000"/>
            </w:tcBorders>
          </w:tcPr>
          <w:p w14:paraId="494E45BA" w14:textId="77777777" w:rsidR="007D4787" w:rsidRPr="00493FCD" w:rsidRDefault="007D4787" w:rsidP="007D4787">
            <w:pPr>
              <w:pStyle w:val="naisc"/>
              <w:spacing w:before="0" w:after="0"/>
              <w:ind w:firstLine="720"/>
              <w:rPr>
                <w:b/>
              </w:rPr>
            </w:pPr>
            <w:r w:rsidRPr="00493FCD">
              <w:rPr>
                <w:b/>
              </w:rPr>
              <w:t>Tieslietu ministrija</w:t>
            </w:r>
          </w:p>
          <w:p w14:paraId="5AD5C96F" w14:textId="77777777" w:rsidR="007D4787" w:rsidRPr="00493FCD" w:rsidRDefault="007D4787" w:rsidP="007D4787">
            <w:pPr>
              <w:pStyle w:val="NormalWeb"/>
              <w:spacing w:before="0" w:beforeAutospacing="0" w:after="0" w:afterAutospacing="0"/>
              <w:ind w:right="13" w:firstLine="720"/>
              <w:jc w:val="both"/>
            </w:pPr>
            <w:r w:rsidRPr="00493FCD">
              <w:t>Lūdzam precizēt projekta 22.1. apakšpunktā ietverto atsauci uz Latvijas nacionālā standarta statusā adaptētu starptautisko standartu atbilstoši noteikumu Nr. 108 5. nodaļā noteiktajām prasībām.</w:t>
            </w:r>
          </w:p>
          <w:p w14:paraId="569D917F" w14:textId="77777777" w:rsidR="007D4787" w:rsidRPr="00493FCD" w:rsidRDefault="007D4787" w:rsidP="00800408">
            <w:pPr>
              <w:pStyle w:val="naisc"/>
              <w:spacing w:before="0" w:after="0"/>
              <w:ind w:firstLine="720"/>
              <w:rPr>
                <w:b/>
              </w:rPr>
            </w:pPr>
          </w:p>
        </w:tc>
        <w:tc>
          <w:tcPr>
            <w:tcW w:w="2577" w:type="dxa"/>
            <w:gridSpan w:val="2"/>
            <w:tcBorders>
              <w:left w:val="single" w:sz="6" w:space="0" w:color="000000"/>
              <w:bottom w:val="single" w:sz="4" w:space="0" w:color="auto"/>
              <w:right w:val="single" w:sz="6" w:space="0" w:color="000000"/>
            </w:tcBorders>
          </w:tcPr>
          <w:p w14:paraId="58DB3AE7" w14:textId="77777777" w:rsidR="007D4787" w:rsidRPr="00493FCD" w:rsidRDefault="00D976DC" w:rsidP="0084067E">
            <w:pPr>
              <w:pStyle w:val="naisc"/>
              <w:spacing w:before="0" w:after="0"/>
              <w:ind w:firstLine="720"/>
              <w:rPr>
                <w:b/>
              </w:rPr>
            </w:pPr>
            <w:r w:rsidRPr="00493FCD">
              <w:rPr>
                <w:b/>
              </w:rPr>
              <w:t>Ņemts vērā</w:t>
            </w:r>
          </w:p>
          <w:p w14:paraId="75E39DBC" w14:textId="294AA0D1" w:rsidR="00BA7AEA" w:rsidRPr="00493FCD" w:rsidRDefault="00C12E12" w:rsidP="00BA7AEA">
            <w:pPr>
              <w:pStyle w:val="naisc"/>
              <w:spacing w:before="0" w:after="0"/>
              <w:ind w:firstLine="720"/>
              <w:jc w:val="both"/>
            </w:pPr>
            <w:r>
              <w:t xml:space="preserve">Atsauce uz attiecīgo standartu svītrota, jo tas nav adaptēts </w:t>
            </w:r>
            <w:r w:rsidRPr="00493FCD">
              <w:t>Latvijas nacionālā standarta statusā</w:t>
            </w:r>
            <w:r>
              <w:t>.</w:t>
            </w:r>
          </w:p>
        </w:tc>
        <w:tc>
          <w:tcPr>
            <w:tcW w:w="3261" w:type="dxa"/>
            <w:tcBorders>
              <w:top w:val="single" w:sz="4" w:space="0" w:color="auto"/>
              <w:left w:val="single" w:sz="4" w:space="0" w:color="auto"/>
              <w:bottom w:val="single" w:sz="4" w:space="0" w:color="auto"/>
            </w:tcBorders>
          </w:tcPr>
          <w:p w14:paraId="38272504" w14:textId="77777777" w:rsidR="00D976DC" w:rsidRPr="00493FCD" w:rsidRDefault="00DA2F26" w:rsidP="00D976DC">
            <w:pPr>
              <w:pStyle w:val="tv213"/>
              <w:spacing w:before="0" w:beforeAutospacing="0" w:after="0" w:afterAutospacing="0" w:line="20" w:lineRule="atLeast"/>
              <w:jc w:val="both"/>
            </w:pPr>
            <w:r w:rsidRPr="00493FCD">
              <w:t>21</w:t>
            </w:r>
            <w:r w:rsidR="00D976DC" w:rsidRPr="00493FCD">
              <w:t>. Kredītiestāde pēc Pieprasījuma izgūšanas no Datu izplatīšanas tīkla:</w:t>
            </w:r>
          </w:p>
          <w:p w14:paraId="50C3DDB3" w14:textId="77777777" w:rsidR="00DA2F26" w:rsidRDefault="00DA2F26" w:rsidP="00DA2F26">
            <w:pPr>
              <w:pStyle w:val="tv213"/>
              <w:spacing w:before="0" w:beforeAutospacing="0" w:after="0" w:afterAutospacing="0" w:line="20" w:lineRule="atLeast"/>
              <w:jc w:val="both"/>
            </w:pPr>
            <w:r w:rsidRPr="00493FCD">
              <w:t>21</w:t>
            </w:r>
            <w:r w:rsidR="00D976DC" w:rsidRPr="00493FCD">
              <w:t xml:space="preserve">.1. </w:t>
            </w:r>
            <w:r w:rsidRPr="00493FCD">
              <w:t>ja pieprasīts veikt datu apmaiņu pēc objekta, kas ir persona vai konts, un konta pārskata apjomā un tas nepārsniedz piecu gadu periodu līdz pieprasījuma sagatavošanas brīdim, nekavējoties, bet ne vēlāk kā trīs darbdienu laikā ievieto atbildi uz Pieprasījumu Datu izplatīšanas tīklā;</w:t>
            </w:r>
          </w:p>
          <w:p w14:paraId="2F084A91" w14:textId="77777777" w:rsidR="00C12E12" w:rsidRDefault="00C12E12" w:rsidP="00DA2F26">
            <w:pPr>
              <w:pStyle w:val="tv213"/>
              <w:spacing w:before="0" w:beforeAutospacing="0" w:after="0" w:afterAutospacing="0" w:line="20" w:lineRule="atLeast"/>
              <w:jc w:val="both"/>
            </w:pPr>
          </w:p>
          <w:p w14:paraId="6C2171F1" w14:textId="2D0B6FAF" w:rsidR="00C12E12" w:rsidRPr="00493FCD" w:rsidRDefault="00C12E12" w:rsidP="00DA2F26">
            <w:pPr>
              <w:pStyle w:val="tv213"/>
              <w:spacing w:before="0" w:beforeAutospacing="0" w:after="0" w:afterAutospacing="0" w:line="20" w:lineRule="atLeast"/>
              <w:jc w:val="both"/>
            </w:pPr>
            <w:r w:rsidRPr="00493FCD">
              <w:t>Precizēts Anotācijas I sadaļas 2. punkts.</w:t>
            </w:r>
          </w:p>
          <w:p w14:paraId="051CEE4D" w14:textId="77777777" w:rsidR="007D4787" w:rsidRPr="00493FCD" w:rsidRDefault="007D4787" w:rsidP="00D976DC">
            <w:pPr>
              <w:pStyle w:val="tv213"/>
              <w:spacing w:before="0" w:beforeAutospacing="0" w:after="0" w:afterAutospacing="0" w:line="20" w:lineRule="atLeast"/>
              <w:jc w:val="both"/>
            </w:pPr>
          </w:p>
        </w:tc>
      </w:tr>
      <w:tr w:rsidR="00AD7380" w:rsidRPr="00493FCD" w14:paraId="365F5F57" w14:textId="77777777" w:rsidTr="00DE6583">
        <w:trPr>
          <w:gridAfter w:val="1"/>
          <w:wAfter w:w="1920" w:type="dxa"/>
        </w:trPr>
        <w:tc>
          <w:tcPr>
            <w:tcW w:w="708" w:type="dxa"/>
            <w:tcBorders>
              <w:left w:val="single" w:sz="6" w:space="0" w:color="000000"/>
              <w:bottom w:val="single" w:sz="4" w:space="0" w:color="auto"/>
              <w:right w:val="single" w:sz="6" w:space="0" w:color="000000"/>
            </w:tcBorders>
          </w:tcPr>
          <w:p w14:paraId="104C22B7" w14:textId="4723DDA5" w:rsidR="00BA7AEA" w:rsidRPr="00493FCD" w:rsidRDefault="00BA7AEA" w:rsidP="0084067E">
            <w:pPr>
              <w:pStyle w:val="naisc"/>
              <w:spacing w:before="0" w:after="0"/>
              <w:ind w:firstLine="720"/>
            </w:pPr>
          </w:p>
          <w:p w14:paraId="45FAECF7" w14:textId="46619A65" w:rsidR="00AD7380" w:rsidRPr="00493FCD" w:rsidRDefault="00BA7AEA" w:rsidP="00BA7AEA">
            <w:pPr>
              <w:jc w:val="center"/>
            </w:pPr>
            <w:r w:rsidRPr="00493FCD">
              <w:t>9.</w:t>
            </w:r>
          </w:p>
        </w:tc>
        <w:tc>
          <w:tcPr>
            <w:tcW w:w="3086" w:type="dxa"/>
            <w:gridSpan w:val="2"/>
            <w:tcBorders>
              <w:left w:val="single" w:sz="6" w:space="0" w:color="000000"/>
              <w:bottom w:val="single" w:sz="4" w:space="0" w:color="auto"/>
              <w:right w:val="single" w:sz="6" w:space="0" w:color="000000"/>
            </w:tcBorders>
          </w:tcPr>
          <w:p w14:paraId="155B7375" w14:textId="77777777" w:rsidR="00AD7380" w:rsidRPr="00493FCD" w:rsidRDefault="00AD7380" w:rsidP="00AD7380">
            <w:pPr>
              <w:pStyle w:val="tv213"/>
              <w:spacing w:before="0" w:beforeAutospacing="0" w:after="0" w:afterAutospacing="0" w:line="20" w:lineRule="atLeast"/>
              <w:jc w:val="both"/>
            </w:pPr>
            <w:r w:rsidRPr="00493FCD">
              <w:t xml:space="preserve">23. Ja kredītiestādes atbildē uz Pieprasījumu konstatētas neatbilstības, kuru dēļ nav iespējams apstrādāt atbildi uz Pieprasījumu, Institūcija par to Datu izplatīšanas tīklā paziņo kredītiestādei vienas darbdienas laikā no atbildes uz Pieprasījumu saņemšanas, norādot konstatētās </w:t>
            </w:r>
            <w:r w:rsidRPr="00493FCD">
              <w:lastRenderedPageBreak/>
              <w:t>neatbilstības būtību. Kredītiestāde nekavējoties, bet ne vēlāk kā trīs darbdienu laikā novērš konstatētās neatbilstības, un ievieto Datu izplatīšanas tīklā jaunu atbildi uz Pieprasījumu, vai nosūta Institūcijai uz Pieprasījumā norādīto elektroniskā pasta adresi informāciju, ka atbildes saturs ir korekts.</w:t>
            </w:r>
          </w:p>
          <w:p w14:paraId="53DC8A84" w14:textId="03D96B05" w:rsidR="00AD7380" w:rsidRPr="00493FCD" w:rsidRDefault="00AD7380" w:rsidP="007D4787">
            <w:pPr>
              <w:pStyle w:val="tv213"/>
              <w:spacing w:before="0" w:beforeAutospacing="0" w:after="0" w:afterAutospacing="0" w:line="20" w:lineRule="atLeast"/>
              <w:jc w:val="both"/>
            </w:pPr>
          </w:p>
        </w:tc>
        <w:tc>
          <w:tcPr>
            <w:tcW w:w="4394" w:type="dxa"/>
            <w:tcBorders>
              <w:left w:val="single" w:sz="6" w:space="0" w:color="000000"/>
              <w:bottom w:val="single" w:sz="4" w:space="0" w:color="auto"/>
              <w:right w:val="single" w:sz="6" w:space="0" w:color="000000"/>
            </w:tcBorders>
          </w:tcPr>
          <w:p w14:paraId="78DE6E61" w14:textId="77777777" w:rsidR="00AD7380" w:rsidRPr="00493FCD" w:rsidRDefault="00AD7380" w:rsidP="007D4787">
            <w:pPr>
              <w:pStyle w:val="naisc"/>
              <w:spacing w:before="0" w:after="0"/>
              <w:ind w:firstLine="720"/>
              <w:rPr>
                <w:b/>
              </w:rPr>
            </w:pPr>
            <w:r w:rsidRPr="00493FCD">
              <w:rPr>
                <w:b/>
              </w:rPr>
              <w:lastRenderedPageBreak/>
              <w:t>Finanšu ministrija</w:t>
            </w:r>
          </w:p>
          <w:p w14:paraId="083D7A46" w14:textId="77777777" w:rsidR="001D71A1" w:rsidRPr="00493FCD" w:rsidRDefault="001D71A1" w:rsidP="001D71A1">
            <w:pPr>
              <w:ind w:firstLine="567"/>
              <w:jc w:val="both"/>
            </w:pPr>
            <w:r w:rsidRPr="00493FCD">
              <w:t xml:space="preserve">Noteikumu projekta 23.punktā paredzēts noteikt, ja kredītiestādes atbildē uz Pieprasījumu konstatētas neatbilstības, kuru dēļ nav iespējams apstrādāt atbildi uz Pieprasījumu, Institūcija par to Datu izplatīšanas tīklā paziņo kredītiestādei vienas darbdienas laikā no atbildes uz Pieprasījumu saņemšanas, norādot konstatētās neatbilstības būtību. </w:t>
            </w:r>
            <w:r w:rsidRPr="00493FCD">
              <w:lastRenderedPageBreak/>
              <w:t>Kredītiestāde nekavējoties, bet ne vēlāk kā trīs darbdienu laikā novērš konstatētās neatbilstības, un ievieto Datu izplatīšanas tīklā jaunu atbildi uz Pieprasījumu, vai nosūta Institūcijai uz Pieprasījumā norādīto elektroniskā pasta adresi informāciju, ka atbildes saturs ir korekts.</w:t>
            </w:r>
          </w:p>
          <w:p w14:paraId="39888CCC" w14:textId="77777777" w:rsidR="001D71A1" w:rsidRPr="00493FCD" w:rsidRDefault="001D71A1" w:rsidP="001D71A1">
            <w:pPr>
              <w:ind w:firstLine="567"/>
              <w:jc w:val="both"/>
            </w:pPr>
            <w:r w:rsidRPr="00493FCD">
              <w:t xml:space="preserve">Noteikumu projekta anotācijas I sadaļas “Tiesību akta projekta izstrādes nepieciešamība” 2.punkta “Pašreizējā situācija un problēmas, kuru risināšanai tiesību akta projekts izstrādāts tiesiskā regulējuma mērķis un būtība” 34.rindkopā (10.lpp. 4.rindkopa) norādīts, ka datu apmaiņas procesā var rasties arī kļūdas un tehniskas dabas traucējumi, tāpēc projektā jāparedz rīcība arī šādās situācijās. Ņemot vērā minēto, projekts paredz, ka, ja kredītiestādes atbildē uz Pieprasījumu konstatētas neatbilstības, kuru dēļ nav iespējams apstrādāt atbildi (t.i., jebkura rakstura tehniskas vai saturiskas neatbilstības, kas liedz Institūcijai apstrādāt attiecīgo atbildi) uz Pieprasījumu, Institūcija par to Datu izplatīšanas tīklā paziņo kredītiestādei vienas darbdienas laikā no atbildes uz Pieprasījumu saņemšanas, norādot konstatētās neatbilstības būtību. Kredītiestāde nekavējoties, bet ne vēlāk kā trīs darbdienu laikā novērš konstatētās neatbilstības, un ievieto Datu izplatīšanas tīklā jaunu atbildi uz Pieprasījumu, vai nosūta Institūcijai uz </w:t>
            </w:r>
            <w:r w:rsidRPr="00493FCD">
              <w:lastRenderedPageBreak/>
              <w:t>Pieprasījumā norādīto elektroniskā pasta adresi informāciju, ka atbildes saturs ir korekts.</w:t>
            </w:r>
          </w:p>
          <w:p w14:paraId="468E3EE2" w14:textId="77777777" w:rsidR="001D71A1" w:rsidRPr="00493FCD" w:rsidRDefault="001D71A1" w:rsidP="001D71A1">
            <w:pPr>
              <w:ind w:firstLine="567"/>
              <w:jc w:val="both"/>
            </w:pPr>
            <w:r w:rsidRPr="00493FCD">
              <w:t>Ņemot vērā ka, noteikumu projektā nav norādīts, par kādam tieši neatbilstībām vienas darbdienas laikā ir jāziņo kredītiestādei (vai tikai par to, ka nav iespējams atvērt attiecīgo atbildes dokumentu vai, atverot dokumentu, nav iespējams iepazīties ar tā saturu, vai arī par informācijas neatbilstību satura ziņā), lūdzam papildināt noteikumu projektu un tā anotāciju, norādot, par kādām tieši neatbilstībām ir jāinformē kredītiestāde.</w:t>
            </w:r>
          </w:p>
          <w:p w14:paraId="4EBAC118" w14:textId="5A0F3699" w:rsidR="001D71A1" w:rsidRPr="00493FCD" w:rsidRDefault="001D71A1" w:rsidP="001D71A1">
            <w:pPr>
              <w:pStyle w:val="naisc"/>
              <w:spacing w:before="0" w:after="0"/>
              <w:ind w:firstLine="720"/>
              <w:jc w:val="both"/>
              <w:rPr>
                <w:b/>
              </w:rPr>
            </w:pPr>
            <w:r w:rsidRPr="00493FCD">
              <w:t>Gadījumā, ja vienas darbdienas laikā ir jāveic kredītiestādes atbildes pārbaude ne tikai tehniski, bet arī satura ziņā ar mērķi konstatēt, vai atbildes saturs atbilst pieprasītajam, norādām, ka apjomīgas atbildes saņemšanas gadījumā nav iespējams to izskatīt un satura ziņā novērtēt vienas darbdienas laikā. Šajā gadījumā lūdzam pagarināt noteikumu projekta 23.punktā minēto atbildes izskatīšanas termiņu no vienas darbdienas uz trim darbdienām, attiecīgi papildinot arī anotāciju.</w:t>
            </w:r>
          </w:p>
        </w:tc>
        <w:tc>
          <w:tcPr>
            <w:tcW w:w="2577" w:type="dxa"/>
            <w:gridSpan w:val="2"/>
            <w:tcBorders>
              <w:left w:val="single" w:sz="6" w:space="0" w:color="000000"/>
              <w:bottom w:val="single" w:sz="4" w:space="0" w:color="auto"/>
              <w:right w:val="single" w:sz="6" w:space="0" w:color="000000"/>
            </w:tcBorders>
          </w:tcPr>
          <w:p w14:paraId="6D8E9912" w14:textId="463C4C18" w:rsidR="00AD7380" w:rsidRPr="00493FCD" w:rsidRDefault="00AD7380" w:rsidP="0084067E">
            <w:pPr>
              <w:pStyle w:val="naisc"/>
              <w:spacing w:before="0" w:after="0"/>
              <w:ind w:firstLine="720"/>
              <w:rPr>
                <w:b/>
              </w:rPr>
            </w:pPr>
            <w:r w:rsidRPr="00493FCD">
              <w:rPr>
                <w:b/>
              </w:rPr>
              <w:lastRenderedPageBreak/>
              <w:t>Ņemts vērā</w:t>
            </w:r>
          </w:p>
        </w:tc>
        <w:tc>
          <w:tcPr>
            <w:tcW w:w="3261" w:type="dxa"/>
            <w:tcBorders>
              <w:top w:val="single" w:sz="4" w:space="0" w:color="auto"/>
              <w:left w:val="single" w:sz="4" w:space="0" w:color="auto"/>
              <w:bottom w:val="single" w:sz="4" w:space="0" w:color="auto"/>
            </w:tcBorders>
          </w:tcPr>
          <w:p w14:paraId="12934233" w14:textId="267059CB" w:rsidR="00AD7380" w:rsidRPr="00493FCD" w:rsidRDefault="00AD7380" w:rsidP="00D976DC">
            <w:pPr>
              <w:pStyle w:val="tv213"/>
              <w:spacing w:before="0" w:beforeAutospacing="0" w:after="0" w:afterAutospacing="0" w:line="20" w:lineRule="atLeast"/>
              <w:jc w:val="both"/>
            </w:pPr>
            <w:r w:rsidRPr="00493FCD">
              <w:t>Projekta 23. punkts svītrots.</w:t>
            </w:r>
          </w:p>
        </w:tc>
      </w:tr>
      <w:tr w:rsidR="007D4787" w:rsidRPr="00493FCD" w14:paraId="161636D4" w14:textId="77777777" w:rsidTr="00DE6583">
        <w:trPr>
          <w:gridAfter w:val="1"/>
          <w:wAfter w:w="1920" w:type="dxa"/>
        </w:trPr>
        <w:tc>
          <w:tcPr>
            <w:tcW w:w="708" w:type="dxa"/>
            <w:tcBorders>
              <w:left w:val="single" w:sz="6" w:space="0" w:color="000000"/>
              <w:bottom w:val="single" w:sz="4" w:space="0" w:color="auto"/>
              <w:right w:val="single" w:sz="6" w:space="0" w:color="000000"/>
            </w:tcBorders>
          </w:tcPr>
          <w:p w14:paraId="7FF0B738" w14:textId="296CE64A" w:rsidR="00BA7AEA" w:rsidRPr="00493FCD" w:rsidRDefault="00BA7AEA" w:rsidP="0084067E">
            <w:pPr>
              <w:pStyle w:val="naisc"/>
              <w:spacing w:before="0" w:after="0"/>
              <w:ind w:firstLine="720"/>
            </w:pPr>
          </w:p>
          <w:p w14:paraId="4EF5ADF4" w14:textId="77777777" w:rsidR="00BA7AEA" w:rsidRPr="00493FCD" w:rsidRDefault="00BA7AEA" w:rsidP="00BA7AEA"/>
          <w:p w14:paraId="51CB774E" w14:textId="421F3924" w:rsidR="00BA7AEA" w:rsidRPr="00493FCD" w:rsidRDefault="00BA7AEA" w:rsidP="00BA7AEA"/>
          <w:p w14:paraId="42DFE934" w14:textId="2302428A" w:rsidR="007D4787" w:rsidRPr="00493FCD" w:rsidRDefault="00BA7AEA" w:rsidP="00BA7AEA">
            <w:r w:rsidRPr="00493FCD">
              <w:t>10.</w:t>
            </w:r>
          </w:p>
        </w:tc>
        <w:tc>
          <w:tcPr>
            <w:tcW w:w="3086" w:type="dxa"/>
            <w:gridSpan w:val="2"/>
            <w:tcBorders>
              <w:left w:val="single" w:sz="6" w:space="0" w:color="000000"/>
              <w:bottom w:val="single" w:sz="4" w:space="0" w:color="auto"/>
              <w:right w:val="single" w:sz="6" w:space="0" w:color="000000"/>
            </w:tcBorders>
          </w:tcPr>
          <w:p w14:paraId="50B1D475" w14:textId="77777777" w:rsidR="007D4787" w:rsidRPr="004B2D1D" w:rsidRDefault="007D4787" w:rsidP="007D4787">
            <w:pPr>
              <w:pStyle w:val="tv213"/>
              <w:spacing w:before="0" w:beforeAutospacing="0" w:after="0" w:afterAutospacing="0" w:line="20" w:lineRule="atLeast"/>
              <w:ind w:left="27" w:firstLine="333"/>
              <w:jc w:val="both"/>
            </w:pPr>
            <w:r w:rsidRPr="004B2D1D">
              <w:t>25.</w:t>
            </w:r>
            <w:r w:rsidRPr="004B2D1D">
              <w:rPr>
                <w:sz w:val="28"/>
                <w:szCs w:val="28"/>
              </w:rPr>
              <w:t xml:space="preserve"> </w:t>
            </w:r>
            <w:r w:rsidRPr="004B2D1D">
              <w:t xml:space="preserve">Institūcijas Pieprasījums un kredītiestādes sniegtā atbilde uz to, izmantojot Datu izplatīšanas tīklu, ir derīga bez paraksta. </w:t>
            </w:r>
          </w:p>
          <w:p w14:paraId="513062BF" w14:textId="77777777" w:rsidR="007D4787" w:rsidRPr="004B2D1D" w:rsidRDefault="007D4787" w:rsidP="007D4787">
            <w:pPr>
              <w:pStyle w:val="tv213"/>
              <w:spacing w:before="0" w:beforeAutospacing="0" w:after="0" w:afterAutospacing="0" w:line="20" w:lineRule="atLeast"/>
              <w:jc w:val="both"/>
            </w:pPr>
          </w:p>
          <w:p w14:paraId="484915D9" w14:textId="77777777" w:rsidR="007D4787" w:rsidRPr="004B2D1D" w:rsidRDefault="007D4787" w:rsidP="007D4787">
            <w:pPr>
              <w:pStyle w:val="tv213"/>
              <w:spacing w:before="0" w:beforeAutospacing="0" w:after="0" w:afterAutospacing="0" w:line="20" w:lineRule="atLeast"/>
              <w:jc w:val="both"/>
            </w:pPr>
            <w:r w:rsidRPr="004B2D1D">
              <w:t>32. Institūcijas Pieprasījums un kredītiestādes sniegtā atbilde uz to, izmantojot šifrētu datu apmaiņu, ir derīga bez paraksta.</w:t>
            </w:r>
          </w:p>
          <w:p w14:paraId="36D80537" w14:textId="77777777" w:rsidR="007D4787" w:rsidRPr="004B2D1D" w:rsidRDefault="007D4787" w:rsidP="007D4787">
            <w:pPr>
              <w:pStyle w:val="tv213"/>
              <w:spacing w:before="0" w:beforeAutospacing="0" w:after="0" w:afterAutospacing="0" w:line="20" w:lineRule="atLeast"/>
              <w:jc w:val="both"/>
            </w:pPr>
          </w:p>
          <w:p w14:paraId="184CF197" w14:textId="77777777" w:rsidR="007D4787" w:rsidRPr="004B2D1D" w:rsidRDefault="007D4787" w:rsidP="007D4787">
            <w:pPr>
              <w:pStyle w:val="tv213"/>
              <w:spacing w:before="0" w:beforeAutospacing="0" w:after="0" w:afterAutospacing="0" w:line="20" w:lineRule="atLeast"/>
              <w:jc w:val="both"/>
            </w:pPr>
            <w:r w:rsidRPr="004B2D1D">
              <w:t>Anotācija</w:t>
            </w:r>
            <w:r w:rsidR="00F9507A" w:rsidRPr="004B2D1D">
              <w:t>.</w:t>
            </w:r>
          </w:p>
        </w:tc>
        <w:tc>
          <w:tcPr>
            <w:tcW w:w="4394" w:type="dxa"/>
            <w:tcBorders>
              <w:left w:val="single" w:sz="6" w:space="0" w:color="000000"/>
              <w:bottom w:val="single" w:sz="4" w:space="0" w:color="auto"/>
              <w:right w:val="single" w:sz="6" w:space="0" w:color="000000"/>
            </w:tcBorders>
          </w:tcPr>
          <w:p w14:paraId="5ADCE2D4" w14:textId="77777777" w:rsidR="007D4787" w:rsidRPr="004B2D1D" w:rsidRDefault="007D4787" w:rsidP="007D4787">
            <w:pPr>
              <w:pStyle w:val="tv213"/>
              <w:spacing w:before="0" w:beforeAutospacing="0" w:after="0" w:afterAutospacing="0" w:line="20" w:lineRule="atLeast"/>
              <w:ind w:firstLine="720"/>
              <w:jc w:val="both"/>
              <w:rPr>
                <w:b/>
              </w:rPr>
            </w:pPr>
            <w:r w:rsidRPr="004B2D1D">
              <w:rPr>
                <w:b/>
              </w:rPr>
              <w:lastRenderedPageBreak/>
              <w:t>Tieslietu ministrija</w:t>
            </w:r>
          </w:p>
          <w:p w14:paraId="66F6C8F6" w14:textId="77777777" w:rsidR="007D4787" w:rsidRPr="004B2D1D" w:rsidRDefault="007D4787" w:rsidP="007D4787">
            <w:pPr>
              <w:pStyle w:val="tv213"/>
              <w:spacing w:before="0" w:beforeAutospacing="0" w:after="0" w:afterAutospacing="0" w:line="20" w:lineRule="atLeast"/>
              <w:ind w:firstLine="720"/>
              <w:jc w:val="both"/>
            </w:pPr>
            <w:r w:rsidRPr="004B2D1D">
              <w:t xml:space="preserve">Projekta 25. un 32. punkts noteic, ka institūcijas pieprasījums un kredītiestādes sniegtā atbilde ir derīga bez paraksta. Vēršam uzmanību, ka Dokumentu juridiskā spēka likuma 4. panta pirmās daļas </w:t>
            </w:r>
            <w:r w:rsidRPr="004B2D1D">
              <w:lastRenderedPageBreak/>
              <w:t>3. punkts noteic, ka, lai dokumentam būtu juridisks spēks, tajā iekļauj rekvizītu – paraksts, izņemot likumā paredzētus gadījumus. Lūdzam papildināt anotāciju ar norādi uz konkrētu likuma normu, kurā būtu paredzēts izņēmums attiecībā uz projekta 25. un 32. punktā ietvertajiem dokumentiem, vai precizēt projektu.</w:t>
            </w:r>
          </w:p>
          <w:p w14:paraId="24887F6D" w14:textId="77777777" w:rsidR="007D4787" w:rsidRPr="004B2D1D" w:rsidRDefault="007D4787" w:rsidP="007D4787">
            <w:pPr>
              <w:pStyle w:val="naisc"/>
              <w:spacing w:before="0" w:after="0"/>
              <w:ind w:firstLine="720"/>
              <w:rPr>
                <w:b/>
              </w:rPr>
            </w:pPr>
          </w:p>
        </w:tc>
        <w:tc>
          <w:tcPr>
            <w:tcW w:w="2577" w:type="dxa"/>
            <w:gridSpan w:val="2"/>
            <w:tcBorders>
              <w:left w:val="single" w:sz="6" w:space="0" w:color="000000"/>
              <w:bottom w:val="single" w:sz="4" w:space="0" w:color="auto"/>
              <w:right w:val="single" w:sz="6" w:space="0" w:color="000000"/>
            </w:tcBorders>
          </w:tcPr>
          <w:p w14:paraId="238D4E51" w14:textId="27345B56" w:rsidR="007D4787" w:rsidRPr="004B2D1D" w:rsidRDefault="00BC2754" w:rsidP="0084067E">
            <w:pPr>
              <w:pStyle w:val="naisc"/>
              <w:spacing w:before="0" w:after="0"/>
              <w:ind w:firstLine="720"/>
              <w:rPr>
                <w:b/>
              </w:rPr>
            </w:pPr>
            <w:r w:rsidRPr="004B2D1D">
              <w:rPr>
                <w:b/>
              </w:rPr>
              <w:lastRenderedPageBreak/>
              <w:t>Ņemts vērā</w:t>
            </w:r>
          </w:p>
        </w:tc>
        <w:tc>
          <w:tcPr>
            <w:tcW w:w="3261" w:type="dxa"/>
            <w:tcBorders>
              <w:top w:val="single" w:sz="4" w:space="0" w:color="auto"/>
              <w:left w:val="single" w:sz="4" w:space="0" w:color="auto"/>
              <w:bottom w:val="single" w:sz="4" w:space="0" w:color="auto"/>
            </w:tcBorders>
          </w:tcPr>
          <w:p w14:paraId="67753585" w14:textId="77777777" w:rsidR="007D4787" w:rsidRPr="004B2D1D" w:rsidRDefault="00324F0A" w:rsidP="00493FCD">
            <w:pPr>
              <w:jc w:val="both"/>
            </w:pPr>
            <w:r w:rsidRPr="004B2D1D">
              <w:t>Projekta 25. punkts svītrots.</w:t>
            </w:r>
          </w:p>
          <w:p w14:paraId="24C43352" w14:textId="77777777" w:rsidR="00324F0A" w:rsidRPr="004B2D1D" w:rsidRDefault="00324F0A" w:rsidP="00493FCD">
            <w:pPr>
              <w:jc w:val="both"/>
            </w:pPr>
          </w:p>
          <w:p w14:paraId="7F024B78" w14:textId="47CCEC6D" w:rsidR="00324F0A" w:rsidRPr="004B2D1D" w:rsidRDefault="00324F0A" w:rsidP="00493FCD">
            <w:pPr>
              <w:jc w:val="both"/>
            </w:pPr>
            <w:r w:rsidRPr="004B2D1D">
              <w:rPr>
                <w:iCs/>
              </w:rPr>
              <w:t xml:space="preserve">29. Veicot šifrētu datu apmaiņu, </w:t>
            </w:r>
            <w:r w:rsidRPr="004B2D1D">
              <w:t xml:space="preserve">Institūcijas Pieprasījumu un kredītiestādes sniegto atbildi uz </w:t>
            </w:r>
            <w:r w:rsidRPr="004B2D1D">
              <w:lastRenderedPageBreak/>
              <w:t>to, paraksta ar drošu elektronisko parakstu.</w:t>
            </w:r>
          </w:p>
        </w:tc>
      </w:tr>
      <w:tr w:rsidR="007D4787" w:rsidRPr="00493FCD" w14:paraId="02E691FC" w14:textId="77777777" w:rsidTr="00DE6583">
        <w:trPr>
          <w:gridAfter w:val="1"/>
          <w:wAfter w:w="1920" w:type="dxa"/>
        </w:trPr>
        <w:tc>
          <w:tcPr>
            <w:tcW w:w="708" w:type="dxa"/>
            <w:tcBorders>
              <w:left w:val="single" w:sz="6" w:space="0" w:color="000000"/>
              <w:bottom w:val="single" w:sz="4" w:space="0" w:color="auto"/>
              <w:right w:val="single" w:sz="6" w:space="0" w:color="000000"/>
            </w:tcBorders>
          </w:tcPr>
          <w:p w14:paraId="6D421CC8" w14:textId="16931CCA" w:rsidR="00143C4C" w:rsidRPr="00493FCD" w:rsidRDefault="00143C4C" w:rsidP="0084067E">
            <w:pPr>
              <w:pStyle w:val="naisc"/>
              <w:spacing w:before="0" w:after="0"/>
              <w:ind w:firstLine="720"/>
            </w:pPr>
          </w:p>
          <w:p w14:paraId="515C665B" w14:textId="60CF8D72" w:rsidR="00143C4C" w:rsidRPr="00493FCD" w:rsidRDefault="00143C4C" w:rsidP="00143C4C"/>
          <w:p w14:paraId="157226D5" w14:textId="574879BE" w:rsidR="007D4787" w:rsidRPr="00493FCD" w:rsidRDefault="00143C4C" w:rsidP="00143C4C">
            <w:pPr>
              <w:jc w:val="center"/>
            </w:pPr>
            <w:r w:rsidRPr="00493FCD">
              <w:t>11.</w:t>
            </w:r>
          </w:p>
        </w:tc>
        <w:tc>
          <w:tcPr>
            <w:tcW w:w="3086" w:type="dxa"/>
            <w:gridSpan w:val="2"/>
            <w:tcBorders>
              <w:left w:val="single" w:sz="6" w:space="0" w:color="000000"/>
              <w:bottom w:val="single" w:sz="4" w:space="0" w:color="auto"/>
              <w:right w:val="single" w:sz="6" w:space="0" w:color="000000"/>
            </w:tcBorders>
          </w:tcPr>
          <w:p w14:paraId="1C572696" w14:textId="77777777" w:rsidR="00863A14" w:rsidRPr="00493FCD" w:rsidRDefault="00863A14" w:rsidP="00863A14">
            <w:pPr>
              <w:pStyle w:val="tv213"/>
              <w:spacing w:before="0" w:beforeAutospacing="0" w:after="0" w:afterAutospacing="0" w:line="20" w:lineRule="atLeast"/>
              <w:ind w:left="27" w:firstLine="371"/>
              <w:jc w:val="both"/>
            </w:pPr>
            <w:r w:rsidRPr="00493FCD">
              <w:t>26. Kredītiestāde un Centrs nodrošina savu Datu izplatīšanas tīklā ievietoto un saņemto datu dzēšanu tā, lai nepieļautu Datu izplatīšanas tīkla kanālu pārpildīšanu.</w:t>
            </w:r>
          </w:p>
          <w:p w14:paraId="566FFAC5" w14:textId="77777777" w:rsidR="007D4787" w:rsidRPr="00493FCD" w:rsidRDefault="007D4787" w:rsidP="007D4787">
            <w:pPr>
              <w:pStyle w:val="tv213"/>
              <w:spacing w:before="0" w:beforeAutospacing="0" w:after="0" w:afterAutospacing="0" w:line="20" w:lineRule="atLeast"/>
              <w:ind w:left="27" w:firstLine="333"/>
              <w:jc w:val="both"/>
            </w:pPr>
          </w:p>
        </w:tc>
        <w:tc>
          <w:tcPr>
            <w:tcW w:w="4394" w:type="dxa"/>
            <w:tcBorders>
              <w:left w:val="single" w:sz="6" w:space="0" w:color="000000"/>
              <w:bottom w:val="single" w:sz="4" w:space="0" w:color="auto"/>
              <w:right w:val="single" w:sz="6" w:space="0" w:color="000000"/>
            </w:tcBorders>
          </w:tcPr>
          <w:p w14:paraId="20F42CD6" w14:textId="77777777" w:rsidR="00863A14" w:rsidRPr="00493FCD" w:rsidRDefault="00863A14" w:rsidP="00863A14">
            <w:pPr>
              <w:pStyle w:val="NormalWeb"/>
              <w:spacing w:before="0" w:beforeAutospacing="0" w:after="0" w:afterAutospacing="0"/>
              <w:ind w:right="11" w:firstLine="720"/>
              <w:jc w:val="both"/>
              <w:rPr>
                <w:b/>
              </w:rPr>
            </w:pPr>
            <w:r w:rsidRPr="00493FCD">
              <w:rPr>
                <w:b/>
              </w:rPr>
              <w:t>Tieslietu ministrija</w:t>
            </w:r>
          </w:p>
          <w:p w14:paraId="5268DC57" w14:textId="77777777" w:rsidR="007D4787" w:rsidRPr="00493FCD" w:rsidRDefault="007D4787" w:rsidP="00863A14">
            <w:pPr>
              <w:pStyle w:val="NormalWeb"/>
              <w:spacing w:before="0" w:beforeAutospacing="0" w:after="0" w:afterAutospacing="0"/>
              <w:ind w:right="11" w:firstLine="720"/>
              <w:jc w:val="both"/>
              <w:rPr>
                <w:b/>
              </w:rPr>
            </w:pPr>
            <w:r w:rsidRPr="00493FCD">
              <w:t>Projekta 26. punkts nosaka, ka kredītiestāde un Iekšlietu ministrijas Informācijas centrs nodrošina savu Datu izplatīšanas tīklā ievietoto un saņemto datu dzēšanu tā, lai nepieļautu Datu izplatīšanas tīkla kanālu pārpildīšanu. Savukārt anotācijā skaidrojums par minēto normu nav ietverts. Saskaņā ar likuma "Par fizisko personu datu apstrādi kriminālprocesā un administratīvā pārkāpuma procesā" 4. panta pirmās daļas 5. punktu personas datus glabā veidā, kas pieļauj datu subjektu identifikāciju, ne ilgāk, kā tas nepieciešams personas datu apstrādes nolūkos.</w:t>
            </w:r>
          </w:p>
          <w:p w14:paraId="1BD9E434" w14:textId="77777777" w:rsidR="007D4787" w:rsidRPr="00493FCD" w:rsidRDefault="007D4787" w:rsidP="00863A14">
            <w:pPr>
              <w:pStyle w:val="NormalWeb"/>
              <w:spacing w:before="0" w:beforeAutospacing="0" w:after="0" w:afterAutospacing="0"/>
              <w:ind w:right="11" w:firstLine="720"/>
              <w:jc w:val="both"/>
            </w:pPr>
            <w:r w:rsidRPr="00493FCD">
              <w:t xml:space="preserve">Ņemot vērā minēto, lūdzam izvērtēt projekta 26. punktā ietvertās tiesību normas atbilstību personas datu glabāšanas ierobežojuma principam un projekta 26. punktā noteikt skaidru termiņu vai nosacījumus, kuriem iestājoties Datu izplatīšanas tīklā ievietotie dati tiktu dzēsti. Papildus vēršam uzmanību, ka fiziska Datu izplatīšanas tīkla kanālu pārpildīšana nav </w:t>
            </w:r>
            <w:r w:rsidRPr="00493FCD">
              <w:lastRenderedPageBreak/>
              <w:t>uzskatāma par tādu nosacījumu, kas būtu atbilstošs likuma "Par fizisko personu datu apstrādi kriminālprocesā un administratīvā pārkāpuma procesā" 4. panta prasībām. Vienlaikus lūdzam anotācijas I sadaļas 2. punktā skaidrot projekta 26. punkta būtību.</w:t>
            </w:r>
          </w:p>
          <w:p w14:paraId="11145644" w14:textId="77777777" w:rsidR="007D4787" w:rsidRPr="00493FCD" w:rsidRDefault="007D4787" w:rsidP="007D4787">
            <w:pPr>
              <w:pStyle w:val="tv213"/>
              <w:spacing w:before="0" w:beforeAutospacing="0" w:after="0" w:afterAutospacing="0" w:line="20" w:lineRule="atLeast"/>
              <w:ind w:firstLine="720"/>
              <w:jc w:val="both"/>
              <w:rPr>
                <w:b/>
              </w:rPr>
            </w:pPr>
          </w:p>
        </w:tc>
        <w:tc>
          <w:tcPr>
            <w:tcW w:w="2577" w:type="dxa"/>
            <w:gridSpan w:val="2"/>
            <w:tcBorders>
              <w:left w:val="single" w:sz="6" w:space="0" w:color="000000"/>
              <w:bottom w:val="single" w:sz="4" w:space="0" w:color="auto"/>
              <w:right w:val="single" w:sz="6" w:space="0" w:color="000000"/>
            </w:tcBorders>
          </w:tcPr>
          <w:p w14:paraId="543E2B18" w14:textId="39844599" w:rsidR="007D4787" w:rsidRPr="00493FCD" w:rsidRDefault="00F94719" w:rsidP="0084067E">
            <w:pPr>
              <w:pStyle w:val="naisc"/>
              <w:spacing w:before="0" w:after="0"/>
              <w:ind w:firstLine="720"/>
              <w:rPr>
                <w:b/>
              </w:rPr>
            </w:pPr>
            <w:r w:rsidRPr="00493FCD">
              <w:rPr>
                <w:b/>
              </w:rPr>
              <w:lastRenderedPageBreak/>
              <w:t>Ņemts vērā</w:t>
            </w:r>
          </w:p>
        </w:tc>
        <w:tc>
          <w:tcPr>
            <w:tcW w:w="3261" w:type="dxa"/>
            <w:tcBorders>
              <w:top w:val="single" w:sz="4" w:space="0" w:color="auto"/>
              <w:left w:val="single" w:sz="4" w:space="0" w:color="auto"/>
              <w:bottom w:val="single" w:sz="4" w:space="0" w:color="auto"/>
            </w:tcBorders>
          </w:tcPr>
          <w:p w14:paraId="112C7C03" w14:textId="52D91428" w:rsidR="00F94719" w:rsidRPr="00493FCD" w:rsidRDefault="00F94719" w:rsidP="00F94719">
            <w:pPr>
              <w:pStyle w:val="tv213"/>
              <w:spacing w:before="0" w:beforeAutospacing="0" w:after="0" w:afterAutospacing="0" w:line="20" w:lineRule="atLeast"/>
              <w:ind w:left="27" w:firstLine="371"/>
              <w:jc w:val="both"/>
            </w:pPr>
            <w:r w:rsidRPr="00493FCD">
              <w:t>24. Kredītiestāde un Centrs nodrošina, lai Datu izplatīšanas tīkla kanāls netiktu pārpildīts.</w:t>
            </w:r>
          </w:p>
          <w:p w14:paraId="03FCC725" w14:textId="77777777" w:rsidR="007D4787" w:rsidRPr="00493FCD" w:rsidRDefault="007D4787" w:rsidP="0084067E"/>
          <w:p w14:paraId="700820FE" w14:textId="67621EDE" w:rsidR="003E4AC1" w:rsidRPr="00493FCD" w:rsidRDefault="003E4AC1" w:rsidP="00493FCD">
            <w:pPr>
              <w:jc w:val="both"/>
            </w:pPr>
            <w:r w:rsidRPr="00493FCD">
              <w:t>Precizēts Anotācijas I sadaļas 2. punkts.</w:t>
            </w:r>
          </w:p>
        </w:tc>
      </w:tr>
      <w:tr w:rsidR="006E3CAC" w:rsidRPr="00493FCD" w14:paraId="69D67542" w14:textId="77777777" w:rsidTr="00DE6583">
        <w:trPr>
          <w:gridAfter w:val="1"/>
          <w:wAfter w:w="1920" w:type="dxa"/>
        </w:trPr>
        <w:tc>
          <w:tcPr>
            <w:tcW w:w="708" w:type="dxa"/>
            <w:tcBorders>
              <w:left w:val="single" w:sz="6" w:space="0" w:color="000000"/>
              <w:bottom w:val="single" w:sz="4" w:space="0" w:color="auto"/>
              <w:right w:val="single" w:sz="6" w:space="0" w:color="000000"/>
            </w:tcBorders>
          </w:tcPr>
          <w:p w14:paraId="08E8ECFA" w14:textId="78D886F5" w:rsidR="006E3CAC" w:rsidRPr="00493FCD" w:rsidRDefault="00232005" w:rsidP="006E3CAC">
            <w:pPr>
              <w:pStyle w:val="naisc"/>
              <w:spacing w:before="0" w:after="0"/>
              <w:ind w:firstLine="720"/>
            </w:pPr>
            <w:r>
              <w:t>112.</w:t>
            </w:r>
          </w:p>
        </w:tc>
        <w:tc>
          <w:tcPr>
            <w:tcW w:w="3086" w:type="dxa"/>
            <w:gridSpan w:val="2"/>
            <w:tcBorders>
              <w:left w:val="single" w:sz="6" w:space="0" w:color="000000"/>
              <w:bottom w:val="single" w:sz="4" w:space="0" w:color="auto"/>
              <w:right w:val="single" w:sz="6" w:space="0" w:color="000000"/>
            </w:tcBorders>
          </w:tcPr>
          <w:p w14:paraId="6AD7DB81" w14:textId="7A1BFD79" w:rsidR="006E3CAC" w:rsidRPr="00493FCD" w:rsidRDefault="006E3CAC" w:rsidP="006E3CAC">
            <w:pPr>
              <w:pStyle w:val="tv213"/>
              <w:spacing w:before="0" w:beforeAutospacing="0" w:after="0" w:afterAutospacing="0" w:line="20" w:lineRule="atLeast"/>
              <w:ind w:left="27" w:firstLine="371"/>
              <w:jc w:val="both"/>
            </w:pPr>
            <w:r w:rsidRPr="00493FCD">
              <w:t>Projekta 4. nodaļa, Anotācija.</w:t>
            </w:r>
          </w:p>
        </w:tc>
        <w:tc>
          <w:tcPr>
            <w:tcW w:w="4394" w:type="dxa"/>
            <w:tcBorders>
              <w:left w:val="single" w:sz="6" w:space="0" w:color="000000"/>
              <w:bottom w:val="single" w:sz="4" w:space="0" w:color="auto"/>
              <w:right w:val="single" w:sz="6" w:space="0" w:color="000000"/>
            </w:tcBorders>
          </w:tcPr>
          <w:p w14:paraId="1ED80B63" w14:textId="77777777" w:rsidR="006E3CAC" w:rsidRPr="00493FCD" w:rsidRDefault="006E3CAC" w:rsidP="006E3CAC">
            <w:pPr>
              <w:pStyle w:val="NormalWeb"/>
              <w:spacing w:before="0" w:beforeAutospacing="0" w:after="0" w:afterAutospacing="0"/>
              <w:ind w:right="11" w:firstLine="720"/>
              <w:jc w:val="both"/>
              <w:rPr>
                <w:b/>
              </w:rPr>
            </w:pPr>
            <w:r w:rsidRPr="00493FCD">
              <w:rPr>
                <w:b/>
              </w:rPr>
              <w:t>Tieslietu ministrija</w:t>
            </w:r>
          </w:p>
          <w:p w14:paraId="760CD5E7" w14:textId="61399554" w:rsidR="006E3CAC" w:rsidRPr="00493FCD" w:rsidRDefault="006E3CAC" w:rsidP="006E3CAC">
            <w:pPr>
              <w:pStyle w:val="NormalWeb"/>
              <w:spacing w:before="0" w:beforeAutospacing="0" w:after="0" w:afterAutospacing="0"/>
              <w:ind w:right="11" w:firstLine="720"/>
              <w:jc w:val="both"/>
              <w:rPr>
                <w:b/>
              </w:rPr>
            </w:pPr>
            <w:r w:rsidRPr="00493FCD">
              <w:t>Projekta 4. nodaļā regulēta datu apmaiņa ar Finanšu izlūkošanas dienesta starpniecību. Lūdzam papildināt anotāciju ar projekta 4. nodaļā ietvertā regulējuma tiesisko pamatu, ņemot vērā, ka no Kredītiestāžu likuma 63. panta 3.</w:t>
            </w:r>
            <w:r w:rsidRPr="00493FCD">
              <w:rPr>
                <w:vertAlign w:val="superscript"/>
              </w:rPr>
              <w:t>1</w:t>
            </w:r>
            <w:r w:rsidRPr="00493FCD">
              <w:t xml:space="preserve"> un 3.</w:t>
            </w:r>
            <w:r w:rsidRPr="00493FCD">
              <w:rPr>
                <w:vertAlign w:val="superscript"/>
              </w:rPr>
              <w:t>2</w:t>
            </w:r>
            <w:r w:rsidRPr="00493FCD">
              <w:t xml:space="preserve"> daļas šāds pilnvarojums neizriet.</w:t>
            </w:r>
          </w:p>
        </w:tc>
        <w:tc>
          <w:tcPr>
            <w:tcW w:w="2577" w:type="dxa"/>
            <w:gridSpan w:val="2"/>
            <w:tcBorders>
              <w:left w:val="single" w:sz="6" w:space="0" w:color="000000"/>
              <w:bottom w:val="single" w:sz="4" w:space="0" w:color="auto"/>
              <w:right w:val="single" w:sz="6" w:space="0" w:color="000000"/>
            </w:tcBorders>
          </w:tcPr>
          <w:p w14:paraId="7922927A" w14:textId="6397A9F5" w:rsidR="006E3CAC" w:rsidRPr="00493FCD" w:rsidRDefault="006E3CAC" w:rsidP="006E3CAC">
            <w:pPr>
              <w:pStyle w:val="naisc"/>
              <w:spacing w:before="0" w:after="0"/>
              <w:ind w:firstLine="720"/>
              <w:jc w:val="both"/>
              <w:rPr>
                <w:b/>
              </w:rPr>
            </w:pPr>
            <w:r>
              <w:rPr>
                <w:b/>
              </w:rPr>
              <w:t>Panākta vienošanās (starpministriju) starpinstitūciju sanāksmē</w:t>
            </w:r>
          </w:p>
          <w:p w14:paraId="3E5A3FCA" w14:textId="77777777" w:rsidR="006E3CAC" w:rsidRPr="00493FCD" w:rsidRDefault="006E3CAC" w:rsidP="006E3CAC">
            <w:pPr>
              <w:pStyle w:val="naisc"/>
              <w:spacing w:before="0" w:after="0"/>
              <w:ind w:firstLine="459"/>
              <w:jc w:val="both"/>
            </w:pPr>
            <w:r w:rsidRPr="00493FCD">
              <w:t>Atbilstoši Kredītiestāžu likuma 63. panta 3.</w:t>
            </w:r>
            <w:r w:rsidRPr="00493FCD">
              <w:rPr>
                <w:vertAlign w:val="superscript"/>
              </w:rPr>
              <w:t xml:space="preserve">1 </w:t>
            </w:r>
            <w:r w:rsidRPr="00493FCD">
              <w:t>un 3.</w:t>
            </w:r>
            <w:r w:rsidRPr="00493FCD">
              <w:rPr>
                <w:vertAlign w:val="superscript"/>
              </w:rPr>
              <w:t>2</w:t>
            </w:r>
            <w:r w:rsidRPr="00493FCD">
              <w:t xml:space="preserve"> daļā </w:t>
            </w:r>
            <w:r>
              <w:t>(</w:t>
            </w:r>
            <w:r w:rsidRPr="00493FCD">
              <w:t>likuma redakcijā, kas stāsies spēkā 2021. gada 1. jūlijā</w:t>
            </w:r>
            <w:r>
              <w:t>)</w:t>
            </w:r>
            <w:r w:rsidRPr="00493FCD">
              <w:t xml:space="preserve">, ietvertajam deleģējumam, projekts nosaka kārtību, kādā procesa virzītājs vai operatīvās darbības subjekts pieprasa un kredītiestāde sniedz tās rīcībā esošās neizpaužamās ziņas, arī ziņas darījuma pārraudzības gadījumā, šo ziņu sniegšanas termiņu, pieprasījuma veidlapas paraugu un mašīnlasāmo datu </w:t>
            </w:r>
            <w:r w:rsidRPr="00493FCD">
              <w:lastRenderedPageBreak/>
              <w:t xml:space="preserve">struktūru un kārtību, kādā </w:t>
            </w:r>
            <w:r w:rsidRPr="00493FCD">
              <w:rPr>
                <w:shd w:val="clear" w:color="auto" w:fill="FFFFFF"/>
              </w:rPr>
              <w:t xml:space="preserve">kredītiestāde sniedz ziņas </w:t>
            </w:r>
            <w:r w:rsidRPr="00493FCD">
              <w:t>Finanšu izlūkošanas dienestam un tiesai</w:t>
            </w:r>
            <w:r w:rsidRPr="00493FCD">
              <w:rPr>
                <w:shd w:val="clear" w:color="auto" w:fill="FFFFFF"/>
              </w:rPr>
              <w:t xml:space="preserve"> darījuma pārraudzības gadījumā, kā arī šo ziņu sniegšanas termiņu</w:t>
            </w:r>
            <w:r w:rsidRPr="00493FCD">
              <w:t>.</w:t>
            </w:r>
          </w:p>
          <w:p w14:paraId="274E10C2" w14:textId="77777777" w:rsidR="006E3CAC" w:rsidRPr="00493FCD" w:rsidRDefault="006E3CAC" w:rsidP="006E3CAC">
            <w:pPr>
              <w:pStyle w:val="ListParagraph"/>
              <w:spacing w:line="240" w:lineRule="auto"/>
              <w:ind w:left="30" w:firstLine="567"/>
              <w:jc w:val="both"/>
              <w:rPr>
                <w:rFonts w:ascii="Times New Roman" w:hAnsi="Times New Roman" w:cs="Times New Roman"/>
                <w:sz w:val="24"/>
                <w:szCs w:val="24"/>
              </w:rPr>
            </w:pPr>
            <w:r w:rsidRPr="00493FCD">
              <w:rPr>
                <w:rFonts w:ascii="Times New Roman" w:hAnsi="Times New Roman" w:cs="Times New Roman"/>
                <w:sz w:val="24"/>
                <w:szCs w:val="24"/>
              </w:rPr>
              <w:t xml:space="preserve">Izpildot minētos deleģējumus un nosakot kārtību, kādā procesa virzītājs vai operatīvās darbības subjekts pieprasa un kredītiestāde sniedz tās rīcībā esošās neizpaužamās ziņas, arī ziņas darījuma pārraudzības gadījumā projektā paredzēti vairāki </w:t>
            </w:r>
            <w:r w:rsidRPr="00493FCD">
              <w:rPr>
                <w:rFonts w:ascii="Times New Roman" w:hAnsi="Times New Roman" w:cs="Times New Roman"/>
                <w:bCs/>
                <w:sz w:val="24"/>
                <w:szCs w:val="24"/>
              </w:rPr>
              <w:t xml:space="preserve">datu apmaiņas kanāli, </w:t>
            </w:r>
            <w:r w:rsidRPr="00493FCD">
              <w:rPr>
                <w:rFonts w:ascii="Times New Roman" w:hAnsi="Times New Roman" w:cs="Times New Roman"/>
                <w:b/>
                <w:bCs/>
                <w:sz w:val="24"/>
                <w:szCs w:val="24"/>
              </w:rPr>
              <w:t xml:space="preserve">tostarp </w:t>
            </w:r>
            <w:r w:rsidRPr="00493FCD">
              <w:rPr>
                <w:rFonts w:ascii="Times New Roman" w:hAnsi="Times New Roman" w:cs="Times New Roman"/>
                <w:b/>
                <w:sz w:val="24"/>
                <w:szCs w:val="24"/>
              </w:rPr>
              <w:t>datu apmaiņa ar Finanšu izlūkošanas dienesta starpniecību, kas atbilst Kredītiestāžu likumā ietvertajam deleģējumam.</w:t>
            </w:r>
            <w:r w:rsidRPr="00493FCD">
              <w:rPr>
                <w:rFonts w:ascii="Times New Roman" w:hAnsi="Times New Roman" w:cs="Times New Roman"/>
                <w:sz w:val="24"/>
                <w:szCs w:val="24"/>
              </w:rPr>
              <w:t xml:space="preserve"> Šo kanālu varēs izmantot procesa virzītāji </w:t>
            </w:r>
            <w:r>
              <w:rPr>
                <w:rFonts w:ascii="Times New Roman" w:hAnsi="Times New Roman" w:cs="Times New Roman"/>
                <w:sz w:val="24"/>
                <w:szCs w:val="24"/>
              </w:rPr>
              <w:t>un operatīvās darbības subjekti</w:t>
            </w:r>
            <w:r w:rsidRPr="00493FCD">
              <w:rPr>
                <w:rFonts w:ascii="Times New Roman" w:hAnsi="Times New Roman" w:cs="Times New Roman"/>
                <w:sz w:val="24"/>
                <w:szCs w:val="24"/>
              </w:rPr>
              <w:t xml:space="preserve"> īpašos gadījumos, kad </w:t>
            </w:r>
            <w:r w:rsidRPr="00493FCD">
              <w:rPr>
                <w:rFonts w:ascii="Times New Roman" w:hAnsi="Times New Roman" w:cs="Times New Roman"/>
                <w:bCs/>
                <w:sz w:val="24"/>
                <w:szCs w:val="24"/>
              </w:rPr>
              <w:lastRenderedPageBreak/>
              <w:t>informācijas atklāšana par kriminālprocesa vai operatīvās darbības faktu var apdraudēt attiecīgi kriminālprocesa vai operatīvās darbības intereses</w:t>
            </w:r>
            <w:r w:rsidRPr="00493FCD">
              <w:rPr>
                <w:rFonts w:ascii="Times New Roman" w:hAnsi="Times New Roman" w:cs="Times New Roman"/>
                <w:sz w:val="24"/>
                <w:szCs w:val="24"/>
              </w:rPr>
              <w:t>.</w:t>
            </w:r>
          </w:p>
          <w:p w14:paraId="6576EA70" w14:textId="78E5BD49" w:rsidR="006E3CAC" w:rsidRPr="00493FCD" w:rsidRDefault="006E3CAC" w:rsidP="006E3CAC">
            <w:pPr>
              <w:pStyle w:val="naisc"/>
              <w:spacing w:before="0" w:after="0"/>
              <w:ind w:firstLine="720"/>
              <w:jc w:val="both"/>
              <w:rPr>
                <w:b/>
              </w:rPr>
            </w:pPr>
            <w:r w:rsidRPr="00493FCD">
              <w:t>Jāņem vērā, ka Finanšu izlūkošanas dienests saskaņā ar Noziedzīgi iegūtu līdzekļu legalizācijas un terorisma un proliferācijas finansēšanas novēršanas likumā noteikto jau šobrīd sadarbojas ar procesa virzītājiem un operatīvās darbības subjektiem un projektā ietvertais regulējums nepaplašina vai nesašaurina Noziedzīgi iegūtu līdzekļu legalizācijas un terorisma un proliferācijas finansēšanas novēršanas likuma regulējumu.</w:t>
            </w:r>
          </w:p>
        </w:tc>
        <w:tc>
          <w:tcPr>
            <w:tcW w:w="3261" w:type="dxa"/>
            <w:tcBorders>
              <w:top w:val="single" w:sz="4" w:space="0" w:color="auto"/>
              <w:left w:val="single" w:sz="4" w:space="0" w:color="auto"/>
              <w:bottom w:val="single" w:sz="4" w:space="0" w:color="auto"/>
            </w:tcBorders>
          </w:tcPr>
          <w:p w14:paraId="1E0CBDB4" w14:textId="188F6F55" w:rsidR="006E3CAC" w:rsidRPr="00493FCD" w:rsidRDefault="006E3CAC" w:rsidP="006E3CAC">
            <w:pPr>
              <w:pStyle w:val="tv213"/>
              <w:spacing w:before="0" w:beforeAutospacing="0" w:after="0" w:afterAutospacing="0" w:line="20" w:lineRule="atLeast"/>
              <w:ind w:left="27" w:firstLine="371"/>
              <w:jc w:val="both"/>
            </w:pPr>
            <w:r w:rsidRPr="00493FCD">
              <w:lastRenderedPageBreak/>
              <w:t>Projekta 4. nodaļa, Anotācija.</w:t>
            </w:r>
          </w:p>
        </w:tc>
      </w:tr>
      <w:tr w:rsidR="006E3CAC" w:rsidRPr="00493FCD" w14:paraId="659A7D7C" w14:textId="1152DCF1" w:rsidTr="00DE6583">
        <w:tc>
          <w:tcPr>
            <w:tcW w:w="708" w:type="dxa"/>
            <w:tcBorders>
              <w:left w:val="single" w:sz="6" w:space="0" w:color="000000"/>
              <w:bottom w:val="single" w:sz="4" w:space="0" w:color="auto"/>
              <w:right w:val="single" w:sz="6" w:space="0" w:color="000000"/>
            </w:tcBorders>
          </w:tcPr>
          <w:p w14:paraId="7499722D" w14:textId="25BE4DAE" w:rsidR="00232005" w:rsidRDefault="00232005" w:rsidP="006E3CAC">
            <w:pPr>
              <w:pStyle w:val="naisc"/>
              <w:spacing w:before="0" w:after="0"/>
              <w:ind w:firstLine="720"/>
            </w:pPr>
          </w:p>
          <w:p w14:paraId="10B6DC9D" w14:textId="523A22B0" w:rsidR="00232005" w:rsidRDefault="00232005" w:rsidP="00232005"/>
          <w:p w14:paraId="1B51A7DC" w14:textId="26A1684F" w:rsidR="006E3CAC" w:rsidRPr="00232005" w:rsidRDefault="00232005" w:rsidP="00232005">
            <w:r>
              <w:t>13.</w:t>
            </w:r>
          </w:p>
        </w:tc>
        <w:tc>
          <w:tcPr>
            <w:tcW w:w="3086" w:type="dxa"/>
            <w:gridSpan w:val="2"/>
            <w:tcBorders>
              <w:left w:val="single" w:sz="6" w:space="0" w:color="000000"/>
              <w:bottom w:val="single" w:sz="4" w:space="0" w:color="auto"/>
              <w:right w:val="single" w:sz="6" w:space="0" w:color="000000"/>
            </w:tcBorders>
          </w:tcPr>
          <w:p w14:paraId="27195265" w14:textId="77777777" w:rsidR="006E3CAC" w:rsidRPr="00493FCD" w:rsidRDefault="006E3CAC" w:rsidP="006E3CAC">
            <w:pPr>
              <w:spacing w:before="100" w:beforeAutospacing="1" w:after="100" w:afterAutospacing="1"/>
              <w:ind w:firstLine="720"/>
              <w:jc w:val="both"/>
            </w:pPr>
            <w:r w:rsidRPr="00493FCD">
              <w:t xml:space="preserve">37. Kredītiestāde atbildi uz Dienesta pieprasījumu sniedz </w:t>
            </w:r>
            <w:r w:rsidRPr="00493FCD">
              <w:lastRenderedPageBreak/>
              <w:t>Noziedzīgi iegūtu līdzekļu legalizācijas un terorisma un proliferācijas finansēšanas novēršanas likuma 31.</w:t>
            </w:r>
            <w:r w:rsidRPr="00493FCD">
              <w:rPr>
                <w:vertAlign w:val="superscript"/>
              </w:rPr>
              <w:t>4</w:t>
            </w:r>
            <w:r w:rsidRPr="00493FCD">
              <w:t xml:space="preserve"> panta otrajā un trešajā daļā noteiktajā kārtībā un termiņā.</w:t>
            </w:r>
          </w:p>
          <w:p w14:paraId="3DBE2F25" w14:textId="117ABAC5" w:rsidR="006E3CAC" w:rsidRPr="00493FCD" w:rsidRDefault="006E3CAC" w:rsidP="006E3CAC">
            <w:pPr>
              <w:pStyle w:val="tv213"/>
              <w:spacing w:before="0" w:beforeAutospacing="0" w:after="0" w:afterAutospacing="0" w:line="20" w:lineRule="atLeast"/>
              <w:ind w:left="27" w:firstLine="371"/>
              <w:jc w:val="both"/>
            </w:pPr>
            <w:r w:rsidRPr="00493FCD">
              <w:t>Anotācija.</w:t>
            </w:r>
          </w:p>
        </w:tc>
        <w:tc>
          <w:tcPr>
            <w:tcW w:w="4394" w:type="dxa"/>
            <w:tcBorders>
              <w:left w:val="single" w:sz="6" w:space="0" w:color="000000"/>
              <w:bottom w:val="single" w:sz="4" w:space="0" w:color="auto"/>
              <w:right w:val="single" w:sz="6" w:space="0" w:color="000000"/>
            </w:tcBorders>
          </w:tcPr>
          <w:p w14:paraId="2C5BD562" w14:textId="77777777" w:rsidR="006E3CAC" w:rsidRPr="00493FCD" w:rsidRDefault="006E3CAC" w:rsidP="006E3CAC">
            <w:pPr>
              <w:pStyle w:val="NormalWeb"/>
              <w:spacing w:before="0" w:beforeAutospacing="0" w:after="0" w:afterAutospacing="0"/>
              <w:ind w:right="11" w:firstLine="720"/>
              <w:jc w:val="both"/>
              <w:rPr>
                <w:b/>
              </w:rPr>
            </w:pPr>
            <w:r w:rsidRPr="00493FCD">
              <w:rPr>
                <w:b/>
              </w:rPr>
              <w:lastRenderedPageBreak/>
              <w:t>Tieslietu ministrija</w:t>
            </w:r>
          </w:p>
          <w:p w14:paraId="5A15E4D2" w14:textId="77777777" w:rsidR="006E3CAC" w:rsidRPr="00493FCD" w:rsidRDefault="006E3CAC" w:rsidP="006E3CAC">
            <w:pPr>
              <w:pStyle w:val="NormalWeb"/>
              <w:spacing w:before="0" w:beforeAutospacing="0" w:after="0" w:afterAutospacing="0"/>
              <w:ind w:right="11" w:firstLine="720"/>
              <w:jc w:val="both"/>
            </w:pPr>
            <w:r w:rsidRPr="00493FCD">
              <w:t xml:space="preserve">Projekta 37. punktā ietverta atsauce uz Noziedzīgi iegūtu līdzekļu legalizācijas </w:t>
            </w:r>
            <w:r w:rsidRPr="00493FCD">
              <w:lastRenderedPageBreak/>
              <w:t>un terorisma un proliferācijas finansēšanas novēršanas likuma 31.</w:t>
            </w:r>
            <w:r w:rsidRPr="00493FCD">
              <w:rPr>
                <w:vertAlign w:val="superscript"/>
              </w:rPr>
              <w:t>4</w:t>
            </w:r>
            <w:r w:rsidRPr="00493FCD">
              <w:t xml:space="preserve"> panta otro un trešo daļu. No anotācijā ietvertās informācijas secināms, ka Noziedzīgi iegūtu līdzekļu legalizācijas un terorisma un proliferācijas finansēšanas novēršanas likums ar šādu pantu varētu tikt papildināts, pamatojoties uz likumprojektu "Grozījumi Noziedzīgi iegūtu līdzekļu legalizācijas un terorisma un proliferācijas finansēšanas novēršanas likumā" (Saeimas reģ. Nr. 872/Lp13) (turpmāk – likumprojekts). Vēršam uzmanību, ka likumprojekts Saeimā ir pieņemts tikai pirmajā lasījumā. Ņemot vērā minēto, kā arī to, ka nav zināms, kad un kādā redakcijā tas tiks pieņemts, lūdzam projektā neietvert atsauces uz konkrētu likuma normu, kamēr tā nav stājusies likumīgā spēkā. </w:t>
            </w:r>
          </w:p>
          <w:p w14:paraId="14F82C6D" w14:textId="77777777" w:rsidR="006E3CAC" w:rsidRPr="00493FCD" w:rsidRDefault="006E3CAC" w:rsidP="006E3CAC">
            <w:pPr>
              <w:pStyle w:val="NormalWeb"/>
              <w:spacing w:before="0" w:beforeAutospacing="0" w:after="0" w:afterAutospacing="0"/>
              <w:ind w:right="11" w:firstLine="720"/>
              <w:jc w:val="both"/>
            </w:pPr>
            <w:r w:rsidRPr="00493FCD">
              <w:t>Vienlaikus vēršam uzmanību, ka no likumprojektā ietvertās Noziedzīgi iegūtu līdzekļu legalizācijas un terorisma un proliferācijas finansēšanas novēršanas likuma 31.</w:t>
            </w:r>
            <w:r w:rsidRPr="00493FCD">
              <w:rPr>
                <w:vertAlign w:val="superscript"/>
              </w:rPr>
              <w:t>4</w:t>
            </w:r>
            <w:r w:rsidRPr="00493FCD">
              <w:t xml:space="preserve"> panta otrās daļas izriet, ka kredītiestāde sniedz informāciju, lai Finanšu izlūkošanas dienests varētu veikt savus pienākumus atbilstoši Noziedzīgi iegūtu līdzekļu legalizācijas un terorisma un proliferācijas finansēšanas novēršanas likuma prasībām, nevis projektā paredzētajos gadījumos. Ievērojot minēto, lūdzam anotācijā skaidrot projekta 37. punktā ietverto regulējumu un tā </w:t>
            </w:r>
            <w:r w:rsidRPr="00493FCD">
              <w:lastRenderedPageBreak/>
              <w:t>atbilstību likumprojektā ietvertajām tiesību normām.</w:t>
            </w:r>
          </w:p>
          <w:p w14:paraId="44236F97" w14:textId="77777777" w:rsidR="006E3CAC" w:rsidRPr="00493FCD" w:rsidRDefault="006E3CAC" w:rsidP="006E3CAC">
            <w:pPr>
              <w:pStyle w:val="NormalWeb"/>
              <w:spacing w:before="0" w:beforeAutospacing="0" w:after="0" w:afterAutospacing="0"/>
              <w:ind w:right="11" w:firstLine="720"/>
              <w:jc w:val="both"/>
              <w:rPr>
                <w:b/>
              </w:rPr>
            </w:pPr>
          </w:p>
        </w:tc>
        <w:tc>
          <w:tcPr>
            <w:tcW w:w="2577" w:type="dxa"/>
            <w:gridSpan w:val="2"/>
            <w:tcBorders>
              <w:left w:val="single" w:sz="6" w:space="0" w:color="000000"/>
              <w:bottom w:val="single" w:sz="4" w:space="0" w:color="auto"/>
              <w:right w:val="single" w:sz="6" w:space="0" w:color="000000"/>
            </w:tcBorders>
          </w:tcPr>
          <w:p w14:paraId="0FCD06CD" w14:textId="00CABFF4" w:rsidR="006E3CAC" w:rsidRPr="00493FCD" w:rsidRDefault="006E3CAC" w:rsidP="006E3CAC">
            <w:pPr>
              <w:pStyle w:val="naisc"/>
              <w:spacing w:before="0" w:after="0"/>
              <w:ind w:firstLine="720"/>
              <w:jc w:val="left"/>
              <w:rPr>
                <w:b/>
              </w:rPr>
            </w:pPr>
            <w:r>
              <w:rPr>
                <w:b/>
              </w:rPr>
              <w:lastRenderedPageBreak/>
              <w:t xml:space="preserve">Panākta vienošanās (starpministriju) </w:t>
            </w:r>
            <w:r>
              <w:rPr>
                <w:b/>
              </w:rPr>
              <w:lastRenderedPageBreak/>
              <w:t>starpinstitūciju sanāksmē</w:t>
            </w:r>
          </w:p>
          <w:p w14:paraId="478A9899" w14:textId="77777777" w:rsidR="006E3CAC" w:rsidRPr="00493FCD" w:rsidRDefault="006E3CAC" w:rsidP="006E3CAC">
            <w:pPr>
              <w:pStyle w:val="naisc"/>
              <w:spacing w:before="0" w:after="0"/>
              <w:ind w:firstLine="720"/>
              <w:jc w:val="both"/>
            </w:pPr>
            <w:r w:rsidRPr="00493FCD">
              <w:t>Norādām, ka Iekšlietu ministrija seko līdzi likumprojekta "Grozījumi Noziedzīgi iegūtu līdzekļu legalizācijas un terorisma un proliferācijas finansēšanas novēršanas likumā" (Saeimas reģ. Nr. 872/Lp13) (turpmāk – likumprojekts) virzībai Saeimā un nepieciešamības gadījumā ir gatava attiecīgi precizēt projektu, ja līdz projekta iesniegšanai Ministru kabinetā likumprojekts vēl nebūs Saeimā pieņemts vismaz otrajā lasījumā.</w:t>
            </w:r>
          </w:p>
          <w:p w14:paraId="2B0D1347" w14:textId="77777777" w:rsidR="006E3CAC" w:rsidRPr="00493FCD" w:rsidRDefault="006E3CAC" w:rsidP="006E3CAC">
            <w:pPr>
              <w:pStyle w:val="naisc"/>
              <w:spacing w:before="0" w:after="0"/>
              <w:ind w:firstLine="720"/>
              <w:jc w:val="both"/>
            </w:pPr>
            <w:r w:rsidRPr="00493FCD">
              <w:t xml:space="preserve">Vēršam uzmanību, ka projekta 37. punkts veidots ar atsauci uz Noziedzīgi iegūtu līdzekļu legalizācijas un terorisma un proliferācijas </w:t>
            </w:r>
            <w:r w:rsidRPr="00493FCD">
              <w:lastRenderedPageBreak/>
              <w:t>finansēšanas novēršanas likuma 31.</w:t>
            </w:r>
            <w:r w:rsidRPr="00493FCD">
              <w:rPr>
                <w:vertAlign w:val="superscript"/>
              </w:rPr>
              <w:t>4</w:t>
            </w:r>
            <w:r w:rsidRPr="00493FCD">
              <w:t xml:space="preserve"> panta otrajā un trešajā daļā noteikto kārtību un termiņu, lai kredītiestādēm un Finanšu izlūkošanas dienestam viennozīmīgi būtu skaidrs, ka praksē jau šobrīd izmantotais datu apmaiņas process starp šiem subjektiem nemainīsies un projektā nav paredzēts to mainīt.</w:t>
            </w:r>
          </w:p>
          <w:p w14:paraId="1E7CC2D5" w14:textId="2FA961A3" w:rsidR="006E3CAC" w:rsidRPr="00493FCD" w:rsidRDefault="006E3CAC" w:rsidP="006E3CAC">
            <w:pPr>
              <w:pStyle w:val="naisc"/>
              <w:spacing w:before="0" w:after="0"/>
              <w:ind w:firstLine="720"/>
              <w:jc w:val="both"/>
              <w:rPr>
                <w:b/>
              </w:rPr>
            </w:pPr>
            <w:r w:rsidRPr="00493FCD">
              <w:t>Projekts nepaplašina vai nesašaurina likumprojektā ietverto regulējumu. Projekta 37. punkts nosaka kārtību un termiņu, kādā kredītiestādei jāsniedz atbilde uz Finanšu izlūkošanas dienesta pieprasījumu.</w:t>
            </w:r>
          </w:p>
        </w:tc>
        <w:tc>
          <w:tcPr>
            <w:tcW w:w="3261" w:type="dxa"/>
            <w:tcBorders>
              <w:top w:val="single" w:sz="4" w:space="0" w:color="auto"/>
              <w:left w:val="single" w:sz="4" w:space="0" w:color="auto"/>
              <w:bottom w:val="single" w:sz="4" w:space="0" w:color="auto"/>
              <w:right w:val="single" w:sz="4" w:space="0" w:color="auto"/>
            </w:tcBorders>
          </w:tcPr>
          <w:p w14:paraId="20B43AA8" w14:textId="6BE21CCC" w:rsidR="006E3CAC" w:rsidRPr="00493FCD" w:rsidRDefault="00324F0A" w:rsidP="006E3CAC">
            <w:pPr>
              <w:spacing w:before="100" w:beforeAutospacing="1" w:after="100" w:afterAutospacing="1"/>
              <w:ind w:firstLine="720"/>
              <w:jc w:val="both"/>
            </w:pPr>
            <w:r>
              <w:lastRenderedPageBreak/>
              <w:t>34</w:t>
            </w:r>
            <w:r w:rsidR="006E3CAC" w:rsidRPr="00493FCD">
              <w:t xml:space="preserve">. Kredītiestāde atbildi uz Dienesta pieprasījumu sniedz Noziedzīgi iegūtu </w:t>
            </w:r>
            <w:r w:rsidR="006E3CAC" w:rsidRPr="00493FCD">
              <w:lastRenderedPageBreak/>
              <w:t>līdzekļu legalizācijas un terorisma un proliferācija</w:t>
            </w:r>
            <w:r w:rsidR="006E3CAC">
              <w:t>s finansēšanas novēršanas likumā</w:t>
            </w:r>
            <w:r w:rsidR="006E3CAC" w:rsidRPr="00493FCD">
              <w:t xml:space="preserve"> noteiktajā kārtībā un termiņā.</w:t>
            </w:r>
          </w:p>
          <w:p w14:paraId="334B2A17" w14:textId="77777777" w:rsidR="006E3CAC" w:rsidRPr="00493FCD" w:rsidRDefault="006E3CAC" w:rsidP="006E3CAC">
            <w:pPr>
              <w:pStyle w:val="tv213"/>
              <w:spacing w:before="0" w:beforeAutospacing="0" w:after="0" w:afterAutospacing="0" w:line="20" w:lineRule="atLeast"/>
              <w:ind w:left="27" w:firstLine="371"/>
              <w:jc w:val="both"/>
            </w:pPr>
          </w:p>
        </w:tc>
        <w:tc>
          <w:tcPr>
            <w:tcW w:w="1920" w:type="dxa"/>
            <w:tcBorders>
              <w:left w:val="single" w:sz="4" w:space="0" w:color="auto"/>
            </w:tcBorders>
          </w:tcPr>
          <w:p w14:paraId="32F2C917" w14:textId="77777777" w:rsidR="006E3CAC" w:rsidRPr="00493FCD" w:rsidRDefault="006E3CAC" w:rsidP="006E3CAC">
            <w:pPr>
              <w:spacing w:before="100" w:beforeAutospacing="1" w:after="100" w:afterAutospacing="1"/>
              <w:jc w:val="both"/>
            </w:pPr>
          </w:p>
        </w:tc>
      </w:tr>
      <w:tr w:rsidR="006E3CAC" w:rsidRPr="00493FCD" w14:paraId="4BDEE7E8" w14:textId="77777777" w:rsidTr="00DE6583">
        <w:trPr>
          <w:gridAfter w:val="1"/>
          <w:wAfter w:w="1920" w:type="dxa"/>
        </w:trPr>
        <w:tc>
          <w:tcPr>
            <w:tcW w:w="708" w:type="dxa"/>
            <w:tcBorders>
              <w:left w:val="single" w:sz="6" w:space="0" w:color="000000"/>
              <w:bottom w:val="single" w:sz="4" w:space="0" w:color="auto"/>
              <w:right w:val="single" w:sz="6" w:space="0" w:color="000000"/>
            </w:tcBorders>
          </w:tcPr>
          <w:p w14:paraId="018CC04E" w14:textId="22013A54" w:rsidR="006E3CAC" w:rsidRPr="00493FCD" w:rsidRDefault="006E3CAC" w:rsidP="006E3CAC">
            <w:pPr>
              <w:pStyle w:val="naisc"/>
              <w:spacing w:before="0" w:after="0"/>
              <w:ind w:firstLine="720"/>
            </w:pPr>
          </w:p>
          <w:p w14:paraId="24277BB0" w14:textId="2F218CD4" w:rsidR="006E3CAC" w:rsidRPr="00493FCD" w:rsidRDefault="00232005" w:rsidP="006E3CAC">
            <w:pPr>
              <w:jc w:val="center"/>
            </w:pPr>
            <w:r>
              <w:t>14</w:t>
            </w:r>
            <w:r w:rsidR="006E3CAC" w:rsidRPr="00493FCD">
              <w:t>.</w:t>
            </w:r>
          </w:p>
        </w:tc>
        <w:tc>
          <w:tcPr>
            <w:tcW w:w="3086" w:type="dxa"/>
            <w:gridSpan w:val="2"/>
            <w:tcBorders>
              <w:left w:val="single" w:sz="6" w:space="0" w:color="000000"/>
              <w:bottom w:val="single" w:sz="4" w:space="0" w:color="auto"/>
              <w:right w:val="single" w:sz="6" w:space="0" w:color="000000"/>
            </w:tcBorders>
          </w:tcPr>
          <w:p w14:paraId="0FBA2B28" w14:textId="77777777" w:rsidR="006E3CAC" w:rsidRPr="00493FCD" w:rsidRDefault="006E3CAC" w:rsidP="006E3CAC">
            <w:pPr>
              <w:shd w:val="clear" w:color="auto" w:fill="FFFFFF"/>
              <w:ind w:firstLine="851"/>
              <w:jc w:val="both"/>
              <w:rPr>
                <w:bCs/>
              </w:rPr>
            </w:pPr>
            <w:r w:rsidRPr="00493FCD">
              <w:rPr>
                <w:bCs/>
              </w:rPr>
              <w:t xml:space="preserve">40. Institūcija un kredītiestāde datu apmaiņu kriminālprocesa ietvaros saskaņā ar šo noteikumu 2. nodaļu uzsāk ne vēlāk kā līdz 2022. gada 1. jūlijam. No 2022. gada 1. jūlija datu apmaiņai kriminālprocesa ietvaros šo noteikumu 3. </w:t>
            </w:r>
            <w:r w:rsidRPr="00493FCD">
              <w:rPr>
                <w:bCs/>
              </w:rPr>
              <w:lastRenderedPageBreak/>
              <w:t xml:space="preserve">nodaļa piemērojama tikai, ja </w:t>
            </w:r>
            <w:r w:rsidRPr="00493FCD">
              <w:t>konstatēts neplānots Datu izplatīšanas tīkla darbības pārtraukums, ko nav iespējams novērst vienas darbdienas laikā</w:t>
            </w:r>
            <w:r w:rsidRPr="00493FCD">
              <w:rPr>
                <w:bCs/>
              </w:rPr>
              <w:t>.</w:t>
            </w:r>
          </w:p>
          <w:p w14:paraId="7416678F" w14:textId="77777777" w:rsidR="006E3CAC" w:rsidRPr="00493FCD" w:rsidRDefault="006E3CAC" w:rsidP="006E3CAC">
            <w:pPr>
              <w:shd w:val="clear" w:color="auto" w:fill="FFFFFF"/>
              <w:ind w:firstLine="851"/>
              <w:jc w:val="both"/>
              <w:rPr>
                <w:bCs/>
              </w:rPr>
            </w:pPr>
          </w:p>
          <w:p w14:paraId="1A8FCFFA" w14:textId="77777777" w:rsidR="006E3CAC" w:rsidRPr="00493FCD" w:rsidRDefault="006E3CAC" w:rsidP="006E3CAC">
            <w:pPr>
              <w:shd w:val="clear" w:color="auto" w:fill="FFFFFF"/>
              <w:ind w:firstLine="851"/>
              <w:jc w:val="both"/>
              <w:rPr>
                <w:bCs/>
              </w:rPr>
            </w:pPr>
            <w:r w:rsidRPr="00493FCD">
              <w:rPr>
                <w:bCs/>
              </w:rPr>
              <w:t>Anotācija.</w:t>
            </w:r>
          </w:p>
          <w:p w14:paraId="1A2A5ECC" w14:textId="77777777" w:rsidR="006E3CAC" w:rsidRPr="00493FCD" w:rsidRDefault="006E3CAC" w:rsidP="006E3CAC">
            <w:pPr>
              <w:pStyle w:val="tv213"/>
              <w:spacing w:before="0" w:beforeAutospacing="0" w:after="0" w:afterAutospacing="0" w:line="20" w:lineRule="atLeast"/>
              <w:ind w:left="27" w:firstLine="371"/>
              <w:jc w:val="both"/>
            </w:pPr>
          </w:p>
        </w:tc>
        <w:tc>
          <w:tcPr>
            <w:tcW w:w="4394" w:type="dxa"/>
            <w:tcBorders>
              <w:left w:val="single" w:sz="6" w:space="0" w:color="000000"/>
              <w:bottom w:val="single" w:sz="4" w:space="0" w:color="auto"/>
              <w:right w:val="single" w:sz="6" w:space="0" w:color="000000"/>
            </w:tcBorders>
          </w:tcPr>
          <w:p w14:paraId="66837BB1" w14:textId="77777777" w:rsidR="006E3CAC" w:rsidRPr="00493FCD" w:rsidRDefault="006E3CAC" w:rsidP="006E3CAC">
            <w:pPr>
              <w:pStyle w:val="NormalWeb"/>
              <w:spacing w:before="0" w:beforeAutospacing="0" w:after="0" w:afterAutospacing="0"/>
              <w:ind w:right="11" w:firstLine="720"/>
              <w:jc w:val="both"/>
              <w:rPr>
                <w:b/>
              </w:rPr>
            </w:pPr>
            <w:r w:rsidRPr="00493FCD">
              <w:rPr>
                <w:b/>
              </w:rPr>
              <w:lastRenderedPageBreak/>
              <w:t>Tieslietu ministrija</w:t>
            </w:r>
          </w:p>
          <w:p w14:paraId="5D2D2F5C" w14:textId="77777777" w:rsidR="006E3CAC" w:rsidRPr="00493FCD" w:rsidRDefault="006E3CAC" w:rsidP="006E3CAC">
            <w:pPr>
              <w:pStyle w:val="NormalWeb"/>
              <w:spacing w:before="0" w:beforeAutospacing="0" w:after="0" w:afterAutospacing="0"/>
              <w:ind w:right="11" w:firstLine="720"/>
              <w:jc w:val="both"/>
            </w:pPr>
            <w:r w:rsidRPr="00493FCD">
              <w:t>Projekta 40. punkts noteic termiņu, līdz kuram institūcijai un kredītiestādei jāuzsāk datu apmaiņa kriminālprocesa ietvaros saskaņā ar projekta 2. nodaļu, proti, līdz 2022. gada 1. jūlijam. Lūdzam papildināt anotāciju ar pamatojumu noteiktajam termiņam.</w:t>
            </w:r>
          </w:p>
          <w:p w14:paraId="297EB224" w14:textId="77777777" w:rsidR="006E3CAC" w:rsidRPr="00493FCD" w:rsidRDefault="006E3CAC" w:rsidP="006E3CAC">
            <w:pPr>
              <w:pStyle w:val="NormalWeb"/>
              <w:spacing w:before="0" w:beforeAutospacing="0" w:after="0" w:afterAutospacing="0"/>
              <w:ind w:right="11" w:firstLine="720"/>
              <w:jc w:val="both"/>
              <w:rPr>
                <w:b/>
              </w:rPr>
            </w:pPr>
          </w:p>
        </w:tc>
        <w:tc>
          <w:tcPr>
            <w:tcW w:w="2577" w:type="dxa"/>
            <w:gridSpan w:val="2"/>
            <w:tcBorders>
              <w:left w:val="single" w:sz="6" w:space="0" w:color="000000"/>
              <w:bottom w:val="single" w:sz="4" w:space="0" w:color="auto"/>
              <w:right w:val="single" w:sz="6" w:space="0" w:color="000000"/>
            </w:tcBorders>
          </w:tcPr>
          <w:p w14:paraId="7C84E11F" w14:textId="5C24F650" w:rsidR="006E3CAC" w:rsidRPr="00493FCD" w:rsidRDefault="006E3CAC" w:rsidP="006E3CAC">
            <w:pPr>
              <w:pStyle w:val="naisc"/>
              <w:spacing w:before="0" w:after="0"/>
              <w:ind w:firstLine="720"/>
              <w:rPr>
                <w:b/>
              </w:rPr>
            </w:pPr>
            <w:r w:rsidRPr="00493FCD">
              <w:rPr>
                <w:b/>
              </w:rPr>
              <w:t>Ņemts vērā</w:t>
            </w:r>
          </w:p>
        </w:tc>
        <w:tc>
          <w:tcPr>
            <w:tcW w:w="3261" w:type="dxa"/>
            <w:tcBorders>
              <w:top w:val="single" w:sz="4" w:space="0" w:color="auto"/>
              <w:left w:val="single" w:sz="4" w:space="0" w:color="auto"/>
              <w:bottom w:val="single" w:sz="4" w:space="0" w:color="auto"/>
            </w:tcBorders>
          </w:tcPr>
          <w:p w14:paraId="10BD5E7F" w14:textId="6207E50A" w:rsidR="006E3CAC" w:rsidRPr="00493FCD" w:rsidRDefault="006E3CAC" w:rsidP="006E3CAC">
            <w:pPr>
              <w:jc w:val="both"/>
            </w:pPr>
            <w:r w:rsidRPr="00493FCD">
              <w:t>Precizēts Anotācijas I sadaļas 2. punkts.</w:t>
            </w:r>
          </w:p>
        </w:tc>
      </w:tr>
      <w:tr w:rsidR="006E3CAC" w:rsidRPr="00493FCD" w14:paraId="24A3872F" w14:textId="77777777" w:rsidTr="00DE6583">
        <w:trPr>
          <w:gridAfter w:val="1"/>
          <w:wAfter w:w="1920" w:type="dxa"/>
        </w:trPr>
        <w:tc>
          <w:tcPr>
            <w:tcW w:w="708" w:type="dxa"/>
            <w:tcBorders>
              <w:left w:val="single" w:sz="6" w:space="0" w:color="000000"/>
              <w:bottom w:val="single" w:sz="4" w:space="0" w:color="auto"/>
              <w:right w:val="single" w:sz="6" w:space="0" w:color="000000"/>
            </w:tcBorders>
          </w:tcPr>
          <w:p w14:paraId="41738AD8" w14:textId="53B7F329" w:rsidR="006E3CAC" w:rsidRPr="00493FCD" w:rsidRDefault="00232005" w:rsidP="006E3CAC">
            <w:pPr>
              <w:pStyle w:val="naisc"/>
              <w:spacing w:before="0" w:after="0"/>
              <w:ind w:firstLine="720"/>
            </w:pPr>
            <w:r>
              <w:t>115</w:t>
            </w:r>
            <w:r w:rsidR="006E3CAC" w:rsidRPr="00493FCD">
              <w:t>.</w:t>
            </w:r>
          </w:p>
        </w:tc>
        <w:tc>
          <w:tcPr>
            <w:tcW w:w="3086" w:type="dxa"/>
            <w:gridSpan w:val="2"/>
            <w:tcBorders>
              <w:left w:val="single" w:sz="6" w:space="0" w:color="000000"/>
              <w:bottom w:val="single" w:sz="4" w:space="0" w:color="auto"/>
              <w:right w:val="single" w:sz="6" w:space="0" w:color="000000"/>
            </w:tcBorders>
          </w:tcPr>
          <w:p w14:paraId="08A258F6" w14:textId="77777777" w:rsidR="006E3CAC" w:rsidRPr="00493FCD" w:rsidRDefault="006E3CAC" w:rsidP="006E3CAC">
            <w:pPr>
              <w:shd w:val="clear" w:color="auto" w:fill="FFFFFF"/>
              <w:ind w:firstLine="851"/>
              <w:jc w:val="both"/>
              <w:rPr>
                <w:bCs/>
              </w:rPr>
            </w:pPr>
            <w:r w:rsidRPr="00493FCD">
              <w:rPr>
                <w:bCs/>
              </w:rPr>
              <w:t>Anotācijas I sadaļas 2. punkts.</w:t>
            </w:r>
          </w:p>
        </w:tc>
        <w:tc>
          <w:tcPr>
            <w:tcW w:w="4394" w:type="dxa"/>
            <w:tcBorders>
              <w:left w:val="single" w:sz="6" w:space="0" w:color="000000"/>
              <w:bottom w:val="single" w:sz="4" w:space="0" w:color="auto"/>
              <w:right w:val="single" w:sz="6" w:space="0" w:color="000000"/>
            </w:tcBorders>
          </w:tcPr>
          <w:p w14:paraId="573B9CB3" w14:textId="77777777" w:rsidR="006E3CAC" w:rsidRPr="00493FCD" w:rsidRDefault="006E3CAC" w:rsidP="006E3CAC">
            <w:pPr>
              <w:jc w:val="center"/>
              <w:rPr>
                <w:b/>
              </w:rPr>
            </w:pPr>
            <w:r w:rsidRPr="00493FCD">
              <w:rPr>
                <w:b/>
              </w:rPr>
              <w:t>Ģenerālprokuratūra</w:t>
            </w:r>
          </w:p>
          <w:p w14:paraId="24F755DF" w14:textId="77777777" w:rsidR="006E3CAC" w:rsidRPr="00493FCD" w:rsidRDefault="006E3CAC" w:rsidP="006E3CAC">
            <w:pPr>
              <w:jc w:val="both"/>
            </w:pPr>
            <w:r w:rsidRPr="00493FCD">
              <w:t>Anotācijas 2., 3. lapā ir izdarīta atsauce uz KPL 27. pantu, kur tiek noteikts, kas ir procesa virzītājs, bet tālāk tiek uzskaitītas izmeklēšanas iestādes. Mūsuprāt, minētais teksts ir grūti uztverams un nav saprotams, kādēļ šāds iestāžu uzskaitījums ir iekļaujams anotācijā. Vēršam uzmanību, ka izmeklēšanā arī prokurors var būt procesa virzītājs, bet par procesa virzītāju kriminālvajāšanā anotācijā vispār nekas netiek norādīts. Turklāt atbilstoši Kredītiestāžu likumam (spēkā esošajai un nākotnes redakcijai) kredītiestādes rīcībā esošās neizpaužamās ziņas izsniedz procesa virzītājam KPL noteiktajā kārtībā. Ievērojot minēto, mūsuprāt, anotācija šajā daļā būtu precizējama.</w:t>
            </w:r>
          </w:p>
          <w:p w14:paraId="3FA6137E" w14:textId="77777777" w:rsidR="006E3CAC" w:rsidRPr="00493FCD" w:rsidRDefault="006E3CAC" w:rsidP="006E3CAC">
            <w:pPr>
              <w:pStyle w:val="NormalWeb"/>
              <w:spacing w:before="0" w:beforeAutospacing="0" w:after="0" w:afterAutospacing="0"/>
              <w:ind w:right="11" w:firstLine="720"/>
              <w:jc w:val="both"/>
              <w:rPr>
                <w:b/>
              </w:rPr>
            </w:pPr>
          </w:p>
        </w:tc>
        <w:tc>
          <w:tcPr>
            <w:tcW w:w="2577" w:type="dxa"/>
            <w:gridSpan w:val="2"/>
            <w:tcBorders>
              <w:left w:val="single" w:sz="6" w:space="0" w:color="000000"/>
              <w:bottom w:val="single" w:sz="4" w:space="0" w:color="auto"/>
              <w:right w:val="single" w:sz="6" w:space="0" w:color="000000"/>
            </w:tcBorders>
          </w:tcPr>
          <w:p w14:paraId="06F31321" w14:textId="77777777" w:rsidR="006E3CAC" w:rsidRDefault="006E3CAC" w:rsidP="006E3CAC">
            <w:pPr>
              <w:pStyle w:val="naisc"/>
              <w:spacing w:before="0" w:after="0"/>
              <w:ind w:firstLine="720"/>
              <w:rPr>
                <w:b/>
              </w:rPr>
            </w:pPr>
            <w:r w:rsidRPr="00493FCD">
              <w:rPr>
                <w:b/>
              </w:rPr>
              <w:t>Ņemts vērā</w:t>
            </w:r>
          </w:p>
          <w:p w14:paraId="6146AD8D" w14:textId="67C13424" w:rsidR="006E3CAC" w:rsidRPr="00B64DE1" w:rsidRDefault="006E3CAC" w:rsidP="006E3CAC">
            <w:pPr>
              <w:pStyle w:val="naisc"/>
              <w:spacing w:before="0" w:after="0"/>
              <w:jc w:val="both"/>
            </w:pPr>
            <w:r>
              <w:t>Izmeklēšanas iestāžu uzskaitījums Anotācijā saglabāts, lai kredītiestādēm būtu informācija, kādas institūcijas uz projekta spēkā stāšanās brīdi veiks datu apmaiņu projektā noteiktajā kārtībā. Finanšu nozares asociācija uzstāj uz šī iestāžu uzskaitījuma saglabāšanu.</w:t>
            </w:r>
          </w:p>
        </w:tc>
        <w:tc>
          <w:tcPr>
            <w:tcW w:w="3261" w:type="dxa"/>
            <w:tcBorders>
              <w:top w:val="single" w:sz="4" w:space="0" w:color="auto"/>
              <w:left w:val="single" w:sz="4" w:space="0" w:color="auto"/>
              <w:bottom w:val="single" w:sz="4" w:space="0" w:color="auto"/>
            </w:tcBorders>
          </w:tcPr>
          <w:p w14:paraId="6F7CDFD3" w14:textId="476B8BEE" w:rsidR="006E3CAC" w:rsidRPr="00493FCD" w:rsidRDefault="006E3CAC" w:rsidP="006E3CAC">
            <w:pPr>
              <w:jc w:val="both"/>
            </w:pPr>
            <w:r w:rsidRPr="00493FCD">
              <w:t xml:space="preserve">Precizēts </w:t>
            </w:r>
            <w:r w:rsidRPr="00493FCD">
              <w:rPr>
                <w:bCs/>
              </w:rPr>
              <w:t>Anotācijas I sadaļas 2. punkts</w:t>
            </w:r>
            <w:r>
              <w:rPr>
                <w:bCs/>
              </w:rPr>
              <w:t>.</w:t>
            </w:r>
          </w:p>
        </w:tc>
      </w:tr>
      <w:tr w:rsidR="006E3CAC" w:rsidRPr="00493FCD" w14:paraId="3D877420" w14:textId="77777777" w:rsidTr="00DE6583">
        <w:trPr>
          <w:gridAfter w:val="1"/>
          <w:wAfter w:w="1920" w:type="dxa"/>
        </w:trPr>
        <w:tc>
          <w:tcPr>
            <w:tcW w:w="708" w:type="dxa"/>
            <w:tcBorders>
              <w:left w:val="single" w:sz="6" w:space="0" w:color="000000"/>
              <w:bottom w:val="single" w:sz="4" w:space="0" w:color="auto"/>
              <w:right w:val="single" w:sz="6" w:space="0" w:color="000000"/>
            </w:tcBorders>
          </w:tcPr>
          <w:p w14:paraId="3085CE59" w14:textId="1B24BD20" w:rsidR="006E3CAC" w:rsidRPr="00493FCD" w:rsidRDefault="00232005" w:rsidP="006E3CAC">
            <w:pPr>
              <w:pStyle w:val="naisc"/>
              <w:spacing w:before="0" w:after="0"/>
              <w:ind w:firstLine="720"/>
            </w:pPr>
            <w:r>
              <w:t>116</w:t>
            </w:r>
            <w:r w:rsidR="006E3CAC" w:rsidRPr="00493FCD">
              <w:t>.</w:t>
            </w:r>
          </w:p>
        </w:tc>
        <w:tc>
          <w:tcPr>
            <w:tcW w:w="3086" w:type="dxa"/>
            <w:gridSpan w:val="2"/>
            <w:tcBorders>
              <w:left w:val="single" w:sz="6" w:space="0" w:color="000000"/>
              <w:bottom w:val="single" w:sz="4" w:space="0" w:color="auto"/>
              <w:right w:val="single" w:sz="6" w:space="0" w:color="000000"/>
            </w:tcBorders>
          </w:tcPr>
          <w:p w14:paraId="1849EF9F" w14:textId="77777777" w:rsidR="006E3CAC" w:rsidRPr="00493FCD" w:rsidRDefault="006E3CAC" w:rsidP="006E3CAC">
            <w:pPr>
              <w:shd w:val="clear" w:color="auto" w:fill="FFFFFF"/>
              <w:ind w:firstLine="851"/>
              <w:jc w:val="both"/>
              <w:rPr>
                <w:bCs/>
              </w:rPr>
            </w:pPr>
            <w:r w:rsidRPr="00493FCD">
              <w:rPr>
                <w:bCs/>
              </w:rPr>
              <w:t>Anotācijas I sadaļas 2. punkts.</w:t>
            </w:r>
          </w:p>
        </w:tc>
        <w:tc>
          <w:tcPr>
            <w:tcW w:w="4394" w:type="dxa"/>
            <w:tcBorders>
              <w:left w:val="single" w:sz="6" w:space="0" w:color="000000"/>
              <w:bottom w:val="single" w:sz="4" w:space="0" w:color="auto"/>
              <w:right w:val="single" w:sz="6" w:space="0" w:color="000000"/>
            </w:tcBorders>
          </w:tcPr>
          <w:p w14:paraId="677A5E95" w14:textId="77777777" w:rsidR="006E3CAC" w:rsidRPr="00493FCD" w:rsidRDefault="006E3CAC" w:rsidP="006E3CAC">
            <w:pPr>
              <w:jc w:val="center"/>
              <w:rPr>
                <w:b/>
              </w:rPr>
            </w:pPr>
            <w:r w:rsidRPr="00493FCD">
              <w:rPr>
                <w:b/>
              </w:rPr>
              <w:t>Ģenerālprokuratūra</w:t>
            </w:r>
          </w:p>
          <w:p w14:paraId="5C8B6054" w14:textId="77777777" w:rsidR="006E3CAC" w:rsidRPr="00493FCD" w:rsidRDefault="006E3CAC" w:rsidP="006E3CAC">
            <w:pPr>
              <w:jc w:val="both"/>
            </w:pPr>
            <w:r w:rsidRPr="00493FCD">
              <w:t xml:space="preserve">Noteikumu projekta anotācijas 4. lapā ir neprecīzi norādīts, ka operatīvās darbības subjekts ir Ieslodzījumu vietas. Saskaņā ar Ieslodzījuma vietu pārvaldes likuma </w:t>
            </w:r>
            <w:r w:rsidRPr="00493FCD">
              <w:lastRenderedPageBreak/>
              <w:t xml:space="preserve">2. panta ceturto daļu, </w:t>
            </w:r>
            <w:r w:rsidRPr="00493FCD">
              <w:rPr>
                <w:u w:val="single"/>
              </w:rPr>
              <w:t>Ieslodzījuma vietu pārvaldei</w:t>
            </w:r>
            <w:r w:rsidRPr="00493FCD">
              <w:t xml:space="preserve"> ir operatīvās darbības subjekta tiesības.</w:t>
            </w:r>
          </w:p>
          <w:p w14:paraId="69FB6D6D" w14:textId="77777777" w:rsidR="006E3CAC" w:rsidRPr="00493FCD" w:rsidRDefault="006E3CAC" w:rsidP="006E3CAC">
            <w:pPr>
              <w:jc w:val="center"/>
              <w:rPr>
                <w:b/>
              </w:rPr>
            </w:pPr>
          </w:p>
        </w:tc>
        <w:tc>
          <w:tcPr>
            <w:tcW w:w="2577" w:type="dxa"/>
            <w:gridSpan w:val="2"/>
            <w:tcBorders>
              <w:left w:val="single" w:sz="6" w:space="0" w:color="000000"/>
              <w:bottom w:val="single" w:sz="4" w:space="0" w:color="auto"/>
              <w:right w:val="single" w:sz="6" w:space="0" w:color="000000"/>
            </w:tcBorders>
          </w:tcPr>
          <w:p w14:paraId="6DA1D28D" w14:textId="77777777" w:rsidR="006E3CAC" w:rsidRPr="00493FCD" w:rsidRDefault="006E3CAC" w:rsidP="006E3CAC">
            <w:pPr>
              <w:pStyle w:val="naisc"/>
              <w:spacing w:before="0" w:after="0"/>
              <w:ind w:firstLine="720"/>
              <w:rPr>
                <w:b/>
              </w:rPr>
            </w:pPr>
            <w:r w:rsidRPr="00493FCD">
              <w:rPr>
                <w:b/>
              </w:rPr>
              <w:lastRenderedPageBreak/>
              <w:t>Ņemts vērā</w:t>
            </w:r>
          </w:p>
        </w:tc>
        <w:tc>
          <w:tcPr>
            <w:tcW w:w="3261" w:type="dxa"/>
            <w:tcBorders>
              <w:top w:val="single" w:sz="4" w:space="0" w:color="auto"/>
              <w:left w:val="single" w:sz="4" w:space="0" w:color="auto"/>
              <w:bottom w:val="single" w:sz="4" w:space="0" w:color="auto"/>
            </w:tcBorders>
          </w:tcPr>
          <w:p w14:paraId="741750E6" w14:textId="143DB785" w:rsidR="006E3CAC" w:rsidRPr="00493FCD" w:rsidRDefault="006E3CAC" w:rsidP="006E3CAC">
            <w:pPr>
              <w:jc w:val="both"/>
            </w:pPr>
            <w:r w:rsidRPr="00493FCD">
              <w:t xml:space="preserve">Precizēts </w:t>
            </w:r>
            <w:r>
              <w:rPr>
                <w:bCs/>
              </w:rPr>
              <w:t>Anotācijas I sadaļas 2. punkts.</w:t>
            </w:r>
          </w:p>
        </w:tc>
      </w:tr>
      <w:tr w:rsidR="006E3CAC" w:rsidRPr="00493FCD" w14:paraId="112E7AE6" w14:textId="77777777" w:rsidTr="00DE6583">
        <w:trPr>
          <w:gridAfter w:val="1"/>
          <w:wAfter w:w="1920" w:type="dxa"/>
        </w:trPr>
        <w:tc>
          <w:tcPr>
            <w:tcW w:w="708" w:type="dxa"/>
            <w:tcBorders>
              <w:left w:val="single" w:sz="6" w:space="0" w:color="000000"/>
              <w:bottom w:val="single" w:sz="4" w:space="0" w:color="auto"/>
              <w:right w:val="single" w:sz="6" w:space="0" w:color="000000"/>
            </w:tcBorders>
          </w:tcPr>
          <w:p w14:paraId="107ED11C" w14:textId="7C98B440" w:rsidR="006E3CAC" w:rsidRPr="00493FCD" w:rsidRDefault="00232005" w:rsidP="006E3CAC">
            <w:pPr>
              <w:pStyle w:val="naisc"/>
              <w:spacing w:before="0" w:after="0"/>
              <w:ind w:firstLine="720"/>
            </w:pPr>
            <w:r>
              <w:t>117</w:t>
            </w:r>
            <w:r w:rsidR="006E3CAC" w:rsidRPr="00493FCD">
              <w:t>.</w:t>
            </w:r>
          </w:p>
        </w:tc>
        <w:tc>
          <w:tcPr>
            <w:tcW w:w="3086" w:type="dxa"/>
            <w:gridSpan w:val="2"/>
            <w:tcBorders>
              <w:left w:val="single" w:sz="6" w:space="0" w:color="000000"/>
              <w:bottom w:val="single" w:sz="4" w:space="0" w:color="auto"/>
              <w:right w:val="single" w:sz="6" w:space="0" w:color="000000"/>
            </w:tcBorders>
          </w:tcPr>
          <w:p w14:paraId="6C28DEB5" w14:textId="77777777" w:rsidR="006E3CAC" w:rsidRPr="00493FCD" w:rsidRDefault="006E3CAC" w:rsidP="006E3CAC">
            <w:pPr>
              <w:shd w:val="clear" w:color="auto" w:fill="FFFFFF"/>
              <w:ind w:firstLine="851"/>
              <w:jc w:val="both"/>
              <w:rPr>
                <w:bCs/>
              </w:rPr>
            </w:pPr>
            <w:r w:rsidRPr="00493FCD">
              <w:rPr>
                <w:bCs/>
              </w:rPr>
              <w:t>Anotācijas I sadaļas 2. punkts.</w:t>
            </w:r>
          </w:p>
        </w:tc>
        <w:tc>
          <w:tcPr>
            <w:tcW w:w="4394" w:type="dxa"/>
            <w:tcBorders>
              <w:left w:val="single" w:sz="6" w:space="0" w:color="000000"/>
              <w:bottom w:val="single" w:sz="4" w:space="0" w:color="auto"/>
              <w:right w:val="single" w:sz="6" w:space="0" w:color="000000"/>
            </w:tcBorders>
          </w:tcPr>
          <w:p w14:paraId="76F4C727" w14:textId="77777777" w:rsidR="006E3CAC" w:rsidRPr="00493FCD" w:rsidRDefault="006E3CAC" w:rsidP="006E3CAC">
            <w:pPr>
              <w:jc w:val="center"/>
              <w:rPr>
                <w:b/>
              </w:rPr>
            </w:pPr>
            <w:r w:rsidRPr="00493FCD">
              <w:rPr>
                <w:b/>
              </w:rPr>
              <w:t>Ģenerālprokuratūra</w:t>
            </w:r>
          </w:p>
          <w:p w14:paraId="278917AF" w14:textId="77777777" w:rsidR="006E3CAC" w:rsidRPr="00493FCD" w:rsidRDefault="006E3CAC" w:rsidP="006E3CAC">
            <w:pPr>
              <w:ind w:firstLine="768"/>
              <w:jc w:val="both"/>
              <w:rPr>
                <w:b/>
              </w:rPr>
            </w:pPr>
            <w:r w:rsidRPr="00493FCD">
              <w:t xml:space="preserve">Anotācijas 7. lapā norādīts, ka </w:t>
            </w:r>
            <w:r w:rsidRPr="00493FCD">
              <w:rPr>
                <w:i/>
                <w:iCs/>
              </w:rPr>
              <w:t xml:space="preserve">ārējo kontroli veic izmeklēšanas tiesnesis, kas pilnvarots kontrolēt cilvēktiesību ierobežojumus, </w:t>
            </w:r>
            <w:r w:rsidRPr="00493FCD">
              <w:rPr>
                <w:i/>
                <w:iCs/>
                <w:u w:val="single"/>
              </w:rPr>
              <w:t>attiecīgas rajona tiesas priekšsēdētājs, kas piedalās izmeklēšanas kontroles realizācijā izmeklēšanas tiesneša lēmumu pārsūdzības gadījumos</w:t>
            </w:r>
            <w:r w:rsidRPr="00493FCD">
              <w:rPr>
                <w:i/>
                <w:iCs/>
              </w:rPr>
              <w:t xml:space="preserve"> [..]</w:t>
            </w:r>
            <w:r w:rsidRPr="00493FCD">
              <w:t xml:space="preserve">. Vēršam uzmanību, ka minētais skaidrojums neatbilst aktuālajai KPL redakcijai, tādēļ ir precizējams. Atbilstoši KPL 121. panta piektajai daļai minētajā daļā paredzētie lēmumi nav pārsūdzami. Turklāt atbilstoši KPL 377. panta otrās daļas ceturtajā punktā paredzētajam </w:t>
            </w:r>
            <w:r w:rsidRPr="00493FCD">
              <w:rPr>
                <w:u w:val="single"/>
              </w:rPr>
              <w:t>sūdzību par izmeklēšanas tiesneša lēmumu izskata augstāka līmeņa tiesa</w:t>
            </w:r>
            <w:r w:rsidRPr="00493FCD">
              <w:t>, bet atbilstoši KPL 377. panta otrās daļas 5. punktam tikai sūdzību par tiesneša rīcību izskata tiesas priekšsēdētājs.</w:t>
            </w:r>
          </w:p>
          <w:p w14:paraId="515E596F" w14:textId="77777777" w:rsidR="006E3CAC" w:rsidRPr="00493FCD" w:rsidRDefault="006E3CAC" w:rsidP="006E3CAC">
            <w:pPr>
              <w:jc w:val="center"/>
              <w:rPr>
                <w:b/>
              </w:rPr>
            </w:pPr>
          </w:p>
        </w:tc>
        <w:tc>
          <w:tcPr>
            <w:tcW w:w="2577" w:type="dxa"/>
            <w:gridSpan w:val="2"/>
            <w:tcBorders>
              <w:left w:val="single" w:sz="6" w:space="0" w:color="000000"/>
              <w:bottom w:val="single" w:sz="4" w:space="0" w:color="auto"/>
              <w:right w:val="single" w:sz="6" w:space="0" w:color="000000"/>
            </w:tcBorders>
          </w:tcPr>
          <w:p w14:paraId="2B99CE64" w14:textId="77777777" w:rsidR="006E3CAC" w:rsidRPr="00493FCD" w:rsidRDefault="006E3CAC" w:rsidP="006E3CAC">
            <w:pPr>
              <w:pStyle w:val="naisc"/>
              <w:spacing w:before="0" w:after="0"/>
              <w:ind w:firstLine="720"/>
              <w:rPr>
                <w:b/>
              </w:rPr>
            </w:pPr>
            <w:r w:rsidRPr="00493FCD">
              <w:rPr>
                <w:b/>
              </w:rPr>
              <w:t>Ņemts vērā</w:t>
            </w:r>
          </w:p>
        </w:tc>
        <w:tc>
          <w:tcPr>
            <w:tcW w:w="3261" w:type="dxa"/>
            <w:tcBorders>
              <w:top w:val="single" w:sz="4" w:space="0" w:color="auto"/>
              <w:left w:val="single" w:sz="4" w:space="0" w:color="auto"/>
              <w:bottom w:val="single" w:sz="4" w:space="0" w:color="auto"/>
            </w:tcBorders>
          </w:tcPr>
          <w:p w14:paraId="468FAEB7" w14:textId="77777777" w:rsidR="006E3CAC" w:rsidRPr="00493FCD" w:rsidRDefault="006E3CAC" w:rsidP="006E3CAC">
            <w:pPr>
              <w:jc w:val="both"/>
            </w:pPr>
            <w:r w:rsidRPr="00493FCD">
              <w:t xml:space="preserve">Precizēts </w:t>
            </w:r>
            <w:r w:rsidRPr="00493FCD">
              <w:rPr>
                <w:bCs/>
              </w:rPr>
              <w:t>Anotācijas I sadaļas 2. punkts</w:t>
            </w:r>
          </w:p>
        </w:tc>
      </w:tr>
      <w:tr w:rsidR="006E3CAC" w:rsidRPr="00493FCD" w14:paraId="72048ECF" w14:textId="77777777" w:rsidTr="00DE6583">
        <w:trPr>
          <w:gridAfter w:val="1"/>
          <w:wAfter w:w="1920" w:type="dxa"/>
        </w:trPr>
        <w:tc>
          <w:tcPr>
            <w:tcW w:w="708" w:type="dxa"/>
            <w:tcBorders>
              <w:left w:val="single" w:sz="6" w:space="0" w:color="000000"/>
              <w:bottom w:val="single" w:sz="4" w:space="0" w:color="auto"/>
              <w:right w:val="single" w:sz="6" w:space="0" w:color="000000"/>
            </w:tcBorders>
          </w:tcPr>
          <w:p w14:paraId="2BCD1799" w14:textId="295864F5" w:rsidR="006E3CAC" w:rsidRPr="00493FCD" w:rsidRDefault="00232005" w:rsidP="006E3CAC">
            <w:pPr>
              <w:pStyle w:val="naisc"/>
              <w:spacing w:before="0" w:after="0"/>
              <w:ind w:firstLine="720"/>
            </w:pPr>
            <w:r>
              <w:t>118</w:t>
            </w:r>
            <w:r w:rsidR="006E3CAC" w:rsidRPr="00493FCD">
              <w:t>.</w:t>
            </w:r>
          </w:p>
        </w:tc>
        <w:tc>
          <w:tcPr>
            <w:tcW w:w="3086" w:type="dxa"/>
            <w:gridSpan w:val="2"/>
            <w:tcBorders>
              <w:left w:val="single" w:sz="6" w:space="0" w:color="000000"/>
              <w:bottom w:val="single" w:sz="4" w:space="0" w:color="auto"/>
              <w:right w:val="single" w:sz="6" w:space="0" w:color="000000"/>
            </w:tcBorders>
          </w:tcPr>
          <w:p w14:paraId="760F0D83" w14:textId="24A059A8" w:rsidR="006E3CAC" w:rsidRPr="00493FCD" w:rsidRDefault="006E3CAC" w:rsidP="006E3CAC">
            <w:pPr>
              <w:pStyle w:val="naisc"/>
              <w:spacing w:before="0" w:after="0"/>
              <w:jc w:val="both"/>
            </w:pPr>
            <w:r w:rsidRPr="00493FCD">
              <w:t>Projekta 1. un 2. pielikums.</w:t>
            </w:r>
          </w:p>
        </w:tc>
        <w:tc>
          <w:tcPr>
            <w:tcW w:w="4394" w:type="dxa"/>
            <w:tcBorders>
              <w:left w:val="single" w:sz="6" w:space="0" w:color="000000"/>
              <w:bottom w:val="single" w:sz="4" w:space="0" w:color="auto"/>
              <w:right w:val="single" w:sz="6" w:space="0" w:color="000000"/>
            </w:tcBorders>
          </w:tcPr>
          <w:p w14:paraId="2A0BD238" w14:textId="59273B85" w:rsidR="006E3CAC" w:rsidRPr="00493FCD" w:rsidRDefault="006E3CAC" w:rsidP="006E3CAC">
            <w:pPr>
              <w:tabs>
                <w:tab w:val="left" w:pos="709"/>
              </w:tabs>
              <w:jc w:val="center"/>
              <w:rPr>
                <w:b/>
                <w:lang w:eastAsia="en-US"/>
              </w:rPr>
            </w:pPr>
            <w:r w:rsidRPr="00493FCD">
              <w:rPr>
                <w:b/>
                <w:lang w:eastAsia="en-US"/>
              </w:rPr>
              <w:t>Aizsardzības ministrija</w:t>
            </w:r>
          </w:p>
          <w:p w14:paraId="33E7884C" w14:textId="228C7DEB" w:rsidR="006E3CAC" w:rsidRPr="00493FCD" w:rsidRDefault="006E3CAC" w:rsidP="006E3CAC">
            <w:pPr>
              <w:tabs>
                <w:tab w:val="left" w:pos="709"/>
              </w:tabs>
              <w:ind w:firstLine="485"/>
              <w:jc w:val="both"/>
              <w:rPr>
                <w:lang w:eastAsia="en-US"/>
              </w:rPr>
            </w:pPr>
            <w:r w:rsidRPr="00493FCD">
              <w:rPr>
                <w:lang w:eastAsia="en-US"/>
              </w:rPr>
              <w:t xml:space="preserve"> Ministru kabineta noteikumu projekta pielikumos ietvertas kredītiestādēm iesniedzamo datu apmaiņas pieprasījuma veidlapas. Cita starpā tajās ir paredzēts norādīt institūcijas kontaktpersonu vārdu, uzvārdu un amatu. Saskaņā ar valsts noslēpuma aizsardzību reglamentējošiem normatīvajiem aktiem informācija par </w:t>
            </w:r>
            <w:r w:rsidRPr="00493FCD">
              <w:rPr>
                <w:lang w:eastAsia="en-US"/>
              </w:rPr>
              <w:lastRenderedPageBreak/>
              <w:t>valsts drošības iestāžu struktūru un amatiem ir valsts noslēpums. Tāpat par valsts noslēpuma objektu atzīstama arī informācija par valsts drošības iestāžu  īpaši pilnvaroto struktūrvienību, kas veic operatīvās darbības pasākumus, personālsastāvu.</w:t>
            </w:r>
          </w:p>
          <w:p w14:paraId="54649111" w14:textId="77777777" w:rsidR="006E3CAC" w:rsidRPr="00493FCD" w:rsidRDefault="006E3CAC" w:rsidP="006E3CAC">
            <w:pPr>
              <w:tabs>
                <w:tab w:val="left" w:pos="709"/>
              </w:tabs>
              <w:jc w:val="both"/>
              <w:rPr>
                <w:lang w:eastAsia="en-US"/>
              </w:rPr>
            </w:pPr>
            <w:r w:rsidRPr="00493FCD">
              <w:rPr>
                <w:lang w:eastAsia="en-US"/>
              </w:rPr>
              <w:t xml:space="preserve">        2019.gada 1.janvārī spēkā stājušies Ministru kabineta 2018.gada 18.decembra noteikumi Nr.824 “Noteikumi par valsts drošības iestāžu amatpersonu dienesta apliecības paraugu”, ieviešot jauna parauga dienesta apliecības, ar kurām tiek aizsargāta valsts drošības iestāžu personāla identitāte un informācija par amatiem. Proti, katrai amatpersonai vienlaikus ar tai izsniegto dienesta apliecību tiek piešķirts unikāls identifikācijas numurs, tādējādi novēršot nepieciešamību norādīt amatpersonas vārdu, uzvārdu un amatu.</w:t>
            </w:r>
          </w:p>
          <w:p w14:paraId="311E21A1" w14:textId="77777777" w:rsidR="006E3CAC" w:rsidRPr="00493FCD" w:rsidRDefault="006E3CAC" w:rsidP="006E3CAC">
            <w:pPr>
              <w:tabs>
                <w:tab w:val="left" w:pos="709"/>
              </w:tabs>
              <w:jc w:val="both"/>
              <w:rPr>
                <w:lang w:eastAsia="en-US"/>
              </w:rPr>
            </w:pPr>
            <w:r w:rsidRPr="00493FCD">
              <w:rPr>
                <w:lang w:eastAsia="en-US"/>
              </w:rPr>
              <w:t xml:space="preserve">       Lai formālu iemeslu dēļ (t.i. nepieciešamības pieprasījuma veidlapā atklāt personas datus) dēļ Militārās izlūkošanas un drošības dienesta operatīvās darbības ietvaros nepieciešamo datu apmaiņas procesos kā kontaktpersonas nenāktos iesaistīt citas ar to patiesībā nesaistītas amatpersonas, lūdzam precizēt Projekta pielikumus vai iekļaut attiecīgu skaidrojumu anotācijā, norādot, ka:</w:t>
            </w:r>
          </w:p>
          <w:p w14:paraId="6BFCD8E7" w14:textId="77777777" w:rsidR="006E3CAC" w:rsidRPr="00493FCD" w:rsidRDefault="006E3CAC" w:rsidP="006E3CAC">
            <w:pPr>
              <w:pStyle w:val="ListParagraph"/>
              <w:numPr>
                <w:ilvl w:val="0"/>
                <w:numId w:val="13"/>
              </w:numPr>
              <w:tabs>
                <w:tab w:val="left" w:pos="709"/>
              </w:tabs>
              <w:spacing w:after="0" w:line="240" w:lineRule="auto"/>
              <w:jc w:val="both"/>
              <w:rPr>
                <w:rFonts w:ascii="Times New Roman" w:hAnsi="Times New Roman" w:cs="Times New Roman"/>
                <w:sz w:val="24"/>
                <w:szCs w:val="24"/>
              </w:rPr>
            </w:pPr>
            <w:r w:rsidRPr="00493FCD">
              <w:rPr>
                <w:rFonts w:ascii="Times New Roman" w:hAnsi="Times New Roman" w:cs="Times New Roman"/>
                <w:sz w:val="24"/>
                <w:szCs w:val="24"/>
              </w:rPr>
              <w:t xml:space="preserve">valsts drošības iestādes kontaktpersonas vārda un uzvārda vietā ir tiesīgas norādīt attiecīgās </w:t>
            </w:r>
            <w:r w:rsidRPr="00493FCD">
              <w:rPr>
                <w:rFonts w:ascii="Times New Roman" w:hAnsi="Times New Roman" w:cs="Times New Roman"/>
                <w:sz w:val="24"/>
                <w:szCs w:val="24"/>
              </w:rPr>
              <w:lastRenderedPageBreak/>
              <w:t>amatpersonas identifikācijas numuru;</w:t>
            </w:r>
          </w:p>
          <w:p w14:paraId="5E1A17B1" w14:textId="77777777" w:rsidR="006E3CAC" w:rsidRPr="00493FCD" w:rsidRDefault="006E3CAC" w:rsidP="006E3CAC">
            <w:pPr>
              <w:pStyle w:val="ListParagraph"/>
              <w:numPr>
                <w:ilvl w:val="0"/>
                <w:numId w:val="13"/>
              </w:numPr>
              <w:tabs>
                <w:tab w:val="left" w:pos="709"/>
              </w:tabs>
              <w:spacing w:after="0" w:line="240" w:lineRule="auto"/>
              <w:jc w:val="both"/>
              <w:rPr>
                <w:rFonts w:ascii="Times New Roman" w:hAnsi="Times New Roman" w:cs="Times New Roman"/>
                <w:sz w:val="24"/>
                <w:szCs w:val="24"/>
              </w:rPr>
            </w:pPr>
            <w:r w:rsidRPr="00493FCD">
              <w:rPr>
                <w:rFonts w:ascii="Times New Roman" w:hAnsi="Times New Roman" w:cs="Times New Roman"/>
                <w:sz w:val="24"/>
                <w:szCs w:val="24"/>
              </w:rPr>
              <w:t>valsts drošības iestādes nesniedz informāciju par kontaktpersonas amatu.</w:t>
            </w:r>
          </w:p>
          <w:p w14:paraId="3A865EFD" w14:textId="77777777" w:rsidR="006E3CAC" w:rsidRPr="00493FCD" w:rsidRDefault="006E3CAC" w:rsidP="006E3CAC">
            <w:pPr>
              <w:pStyle w:val="naisc"/>
              <w:spacing w:before="0" w:after="0"/>
              <w:ind w:firstLine="720"/>
              <w:rPr>
                <w:b/>
              </w:rPr>
            </w:pPr>
          </w:p>
        </w:tc>
        <w:tc>
          <w:tcPr>
            <w:tcW w:w="2577" w:type="dxa"/>
            <w:gridSpan w:val="2"/>
            <w:tcBorders>
              <w:left w:val="single" w:sz="6" w:space="0" w:color="000000"/>
              <w:bottom w:val="single" w:sz="4" w:space="0" w:color="auto"/>
              <w:right w:val="single" w:sz="6" w:space="0" w:color="000000"/>
            </w:tcBorders>
          </w:tcPr>
          <w:p w14:paraId="4FF6E840" w14:textId="30D25C24" w:rsidR="006E3CAC" w:rsidRPr="00493FCD" w:rsidRDefault="006E3CAC" w:rsidP="006E3CAC">
            <w:pPr>
              <w:pStyle w:val="naisc"/>
              <w:spacing w:before="0" w:after="0"/>
              <w:ind w:firstLine="720"/>
              <w:rPr>
                <w:b/>
              </w:rPr>
            </w:pPr>
            <w:r w:rsidRPr="00493FCD">
              <w:rPr>
                <w:b/>
              </w:rPr>
              <w:lastRenderedPageBreak/>
              <w:t>Ņemts vērā</w:t>
            </w:r>
          </w:p>
        </w:tc>
        <w:tc>
          <w:tcPr>
            <w:tcW w:w="3261" w:type="dxa"/>
            <w:tcBorders>
              <w:top w:val="single" w:sz="4" w:space="0" w:color="auto"/>
              <w:left w:val="single" w:sz="4" w:space="0" w:color="auto"/>
              <w:bottom w:val="single" w:sz="4" w:space="0" w:color="auto"/>
            </w:tcBorders>
          </w:tcPr>
          <w:p w14:paraId="4E38BF02" w14:textId="3E176E42" w:rsidR="006E3CAC" w:rsidRPr="00493FCD" w:rsidRDefault="006E3CAC" w:rsidP="006E3CAC">
            <w:pPr>
              <w:jc w:val="both"/>
            </w:pPr>
            <w:r w:rsidRPr="00493FCD">
              <w:t>Precizēts projekta 1. un 2. pielikums.</w:t>
            </w:r>
          </w:p>
        </w:tc>
      </w:tr>
      <w:tr w:rsidR="006E3CAC" w:rsidRPr="00493FCD" w14:paraId="4B43C2EA" w14:textId="77777777" w:rsidTr="00DE6583">
        <w:trPr>
          <w:gridAfter w:val="1"/>
          <w:wAfter w:w="1920" w:type="dxa"/>
        </w:trPr>
        <w:tc>
          <w:tcPr>
            <w:tcW w:w="708" w:type="dxa"/>
            <w:tcBorders>
              <w:left w:val="single" w:sz="6" w:space="0" w:color="000000"/>
              <w:bottom w:val="single" w:sz="4" w:space="0" w:color="auto"/>
              <w:right w:val="single" w:sz="6" w:space="0" w:color="000000"/>
            </w:tcBorders>
          </w:tcPr>
          <w:p w14:paraId="75F5306F" w14:textId="3F25E093" w:rsidR="00232005" w:rsidRDefault="00232005" w:rsidP="006E3CAC">
            <w:pPr>
              <w:pStyle w:val="naisc"/>
              <w:spacing w:before="0" w:after="0"/>
              <w:ind w:firstLine="720"/>
            </w:pPr>
          </w:p>
          <w:p w14:paraId="2B252B84" w14:textId="4C031EB3" w:rsidR="00232005" w:rsidRDefault="00232005" w:rsidP="00232005"/>
          <w:p w14:paraId="2EBD9843" w14:textId="3A871702" w:rsidR="006E3CAC" w:rsidRPr="00232005" w:rsidRDefault="00232005" w:rsidP="00232005">
            <w:r>
              <w:t>19.</w:t>
            </w:r>
          </w:p>
        </w:tc>
        <w:tc>
          <w:tcPr>
            <w:tcW w:w="3086" w:type="dxa"/>
            <w:gridSpan w:val="2"/>
            <w:tcBorders>
              <w:left w:val="single" w:sz="6" w:space="0" w:color="000000"/>
              <w:bottom w:val="single" w:sz="4" w:space="0" w:color="auto"/>
              <w:right w:val="single" w:sz="6" w:space="0" w:color="000000"/>
            </w:tcBorders>
          </w:tcPr>
          <w:p w14:paraId="5A4FFE38" w14:textId="1E549FB7" w:rsidR="006E3CAC" w:rsidRPr="00493FCD" w:rsidRDefault="006E3CAC" w:rsidP="006E3CAC">
            <w:pPr>
              <w:pStyle w:val="naisc"/>
              <w:spacing w:before="0" w:after="0"/>
              <w:jc w:val="both"/>
            </w:pPr>
            <w:r w:rsidRPr="00493FCD">
              <w:t>Projekta 1. pielikums, Anotācija.</w:t>
            </w:r>
          </w:p>
        </w:tc>
        <w:tc>
          <w:tcPr>
            <w:tcW w:w="4394" w:type="dxa"/>
            <w:tcBorders>
              <w:left w:val="single" w:sz="6" w:space="0" w:color="000000"/>
              <w:bottom w:val="single" w:sz="4" w:space="0" w:color="auto"/>
              <w:right w:val="single" w:sz="6" w:space="0" w:color="000000"/>
            </w:tcBorders>
          </w:tcPr>
          <w:p w14:paraId="2F7FED99" w14:textId="77777777" w:rsidR="006E3CAC" w:rsidRPr="00493FCD" w:rsidRDefault="006E3CAC" w:rsidP="006E3CAC">
            <w:pPr>
              <w:pStyle w:val="naisc"/>
              <w:spacing w:before="0" w:after="0"/>
              <w:ind w:firstLine="720"/>
              <w:rPr>
                <w:b/>
              </w:rPr>
            </w:pPr>
            <w:r w:rsidRPr="00493FCD">
              <w:rPr>
                <w:b/>
              </w:rPr>
              <w:t>Tieslietu ministrija</w:t>
            </w:r>
          </w:p>
          <w:p w14:paraId="59CAD04F" w14:textId="77777777" w:rsidR="006E3CAC" w:rsidRPr="00493FCD" w:rsidRDefault="006E3CAC" w:rsidP="006E3CAC">
            <w:pPr>
              <w:pStyle w:val="NormalWeb"/>
              <w:spacing w:before="0" w:beforeAutospacing="0" w:after="0" w:afterAutospacing="0"/>
              <w:ind w:right="13" w:firstLine="720"/>
              <w:jc w:val="both"/>
            </w:pPr>
            <w:r w:rsidRPr="00493FCD">
              <w:t>Projekta 19. punkts noteic, ka, lai veiktu datu apmaiņu, institūcija Kriminālprocesa informācijas sistēmā vai citā atbilstošā informācijas sistēmā sagatavo elektronisku datu apmaiņas pieprasījumu (turpmāk – pieprasījums) (1.pielikums), ko, izmantojot Datu izplatīšanas tīklu, nosūta kredītiestādei, savukārt projekta 22. punkts pēc būtības paredz pienākumu kredītiestādei sniegt atbildi uz pieprasījumu. Izvērtējot projekta 1. pielikuma saturu, secināms, ka pieprasījumā norādītā informācija saturēs personas datus (par rezidentu: vārds, uzvārds, personas kods; par nerezidentu: vārds, uzvārds, personas kods (iepriekšējie personas kodi, ja ir) vai dzimšanas datums, personu apliecinoša dokumenta numurs un iesniedzējas valsts nosaukums (ja ir)), citu informāciju, kas var palīdzēt identificēt personu, ka arī citu informāciju, kas satur personas datus.</w:t>
            </w:r>
          </w:p>
          <w:p w14:paraId="54A65CB6" w14:textId="77777777" w:rsidR="006E3CAC" w:rsidRPr="00493FCD" w:rsidRDefault="006E3CAC" w:rsidP="006E3CAC">
            <w:pPr>
              <w:pStyle w:val="NormalWeb"/>
              <w:spacing w:before="0" w:beforeAutospacing="0" w:after="0" w:afterAutospacing="0"/>
              <w:ind w:right="13" w:firstLine="720"/>
              <w:jc w:val="both"/>
            </w:pPr>
            <w:r w:rsidRPr="00493FCD">
              <w:t xml:space="preserve">Likuma "Par fizisko personu datu apstrādi kriminālprocesā un administratīvā pārkāpuma procesā" 4. pants noteic personas datu apstrādes principus. </w:t>
            </w:r>
            <w:r w:rsidRPr="00493FCD">
              <w:lastRenderedPageBreak/>
              <w:t xml:space="preserve">Piemēram, personas datus: apstrādā, lai tie būtu atbilstoši šā likuma 2. pantā noteiktajam personas datu apstrādes mērķim un nebūtu pārmērīgi, ņemot vērā to apstrādes nolūku; apstrādā tā, lai tie būtu precīzi un aktuāli. Pārzinis nodrošina, ka neprecīzi personas dati, ņemot vērā to apstrādes nolūku, tiek laikus laboti vai dzēsti; glabā veidā, kas pieļauj datu subjektu identifikāciju, ne ilgāk, kā tas nepieciešams personas datu apstrādes nolūkos. </w:t>
            </w:r>
          </w:p>
          <w:p w14:paraId="49D899C3" w14:textId="0D3F8F2E" w:rsidR="006E3CAC" w:rsidRPr="00493FCD" w:rsidRDefault="006E3CAC" w:rsidP="006E3CAC">
            <w:pPr>
              <w:tabs>
                <w:tab w:val="left" w:pos="709"/>
              </w:tabs>
              <w:jc w:val="both"/>
              <w:rPr>
                <w:b/>
                <w:lang w:eastAsia="en-US"/>
              </w:rPr>
            </w:pPr>
            <w:r w:rsidRPr="00493FCD">
              <w:t>Vēršam uzmanību, ka pieprasījumā norādītās atsevišķās personu datu kategorijas ir pārāk vispārīgi formulētas, kā rezultātā institūcija var veikt pārmērīgu personas datu apstrādi. Ņemot vērā minēto, lūdzam projekta 1. pielikumā norādīt konkrētas personas datu kategorijas, kā arī pamatot to nepieciešamību, jo šobrīd šāds skaidrojums anotācijā nav pieejams. Turklāt, ievērojot to, ka projektā un anotācijā nav atrunāti nosacījumi pieprasījumā ietverto personas datu glabāšanas ilgumam, kā arī glabāšanas ilguma noteikšanas kritēriji, secināms, ka minētos dokumentus nepieciešams precizēt.</w:t>
            </w:r>
          </w:p>
        </w:tc>
        <w:tc>
          <w:tcPr>
            <w:tcW w:w="2577" w:type="dxa"/>
            <w:gridSpan w:val="2"/>
            <w:tcBorders>
              <w:left w:val="single" w:sz="6" w:space="0" w:color="000000"/>
              <w:bottom w:val="single" w:sz="4" w:space="0" w:color="auto"/>
              <w:right w:val="single" w:sz="6" w:space="0" w:color="000000"/>
            </w:tcBorders>
          </w:tcPr>
          <w:p w14:paraId="5A64A21D" w14:textId="6684F29D" w:rsidR="006E3CAC" w:rsidRPr="00493FCD" w:rsidRDefault="006E3CAC" w:rsidP="006E3CAC">
            <w:pPr>
              <w:pStyle w:val="naisc"/>
              <w:spacing w:before="0" w:after="0"/>
              <w:ind w:firstLine="720"/>
              <w:jc w:val="left"/>
              <w:rPr>
                <w:b/>
              </w:rPr>
            </w:pPr>
            <w:r>
              <w:rPr>
                <w:b/>
              </w:rPr>
              <w:lastRenderedPageBreak/>
              <w:t>Panākta vienošanās (starpministriju) starpinstitūciju sanāksmē</w:t>
            </w:r>
          </w:p>
          <w:p w14:paraId="61AC1A89" w14:textId="77777777" w:rsidR="006E3CAC" w:rsidRPr="00493FCD" w:rsidRDefault="006E3CAC" w:rsidP="006E3CAC">
            <w:pPr>
              <w:pStyle w:val="naisc"/>
              <w:spacing w:before="0" w:after="0"/>
              <w:ind w:firstLine="459"/>
              <w:jc w:val="both"/>
            </w:pPr>
            <w:r w:rsidRPr="00493FCD">
              <w:t>Atbilstoši Kredītiestāžu likuma 63. panta 3.</w:t>
            </w:r>
            <w:r w:rsidRPr="00493FCD">
              <w:rPr>
                <w:vertAlign w:val="superscript"/>
              </w:rPr>
              <w:t xml:space="preserve">1 </w:t>
            </w:r>
            <w:r w:rsidRPr="00493FCD">
              <w:t>un 3.</w:t>
            </w:r>
            <w:r w:rsidRPr="00493FCD">
              <w:rPr>
                <w:vertAlign w:val="superscript"/>
              </w:rPr>
              <w:t>2</w:t>
            </w:r>
            <w:r w:rsidRPr="00493FCD">
              <w:t xml:space="preserve"> daļā </w:t>
            </w:r>
            <w:r>
              <w:t>(</w:t>
            </w:r>
            <w:r w:rsidRPr="00493FCD">
              <w:t>likuma redakcijā, kas stāsies spēkā 2021. gada 1. jūlijā</w:t>
            </w:r>
            <w:r>
              <w:t>)</w:t>
            </w:r>
            <w:r w:rsidRPr="00493FCD">
              <w:t xml:space="preserve">, ietvertajam deleģējumam, projekts nosaka kārtību, kādā procesa virzītājs vai operatīvās darbības subjekts pieprasa un kredītiestāde sniedz tās rīcībā esošās neizpaužamās ziņas, arī ziņas darījuma pārraudzības gadījumā, šo ziņu sniegšanas termiņu, </w:t>
            </w:r>
            <w:r w:rsidRPr="00493FCD">
              <w:rPr>
                <w:b/>
              </w:rPr>
              <w:t>pieprasījuma veidlapas paraugu</w:t>
            </w:r>
            <w:r w:rsidRPr="00493FCD">
              <w:t xml:space="preserve"> un mašīnlasāmo datu struktūru un kārtību, kādā </w:t>
            </w:r>
            <w:r w:rsidRPr="00493FCD">
              <w:rPr>
                <w:shd w:val="clear" w:color="auto" w:fill="FFFFFF"/>
              </w:rPr>
              <w:t xml:space="preserve">kredītiestāde </w:t>
            </w:r>
            <w:r w:rsidRPr="00493FCD">
              <w:rPr>
                <w:shd w:val="clear" w:color="auto" w:fill="FFFFFF"/>
              </w:rPr>
              <w:lastRenderedPageBreak/>
              <w:t xml:space="preserve">sniedz ziņas </w:t>
            </w:r>
            <w:r w:rsidRPr="00493FCD">
              <w:t>Finanšu izlūkošanas dienestam un tiesai</w:t>
            </w:r>
            <w:r w:rsidRPr="00493FCD">
              <w:rPr>
                <w:shd w:val="clear" w:color="auto" w:fill="FFFFFF"/>
              </w:rPr>
              <w:t xml:space="preserve"> darījuma pārraudzības gadījumā, kā arī šo ziņu sniegšanas termiņu</w:t>
            </w:r>
            <w:r w:rsidRPr="00493FCD">
              <w:t>.</w:t>
            </w:r>
          </w:p>
          <w:p w14:paraId="2282D81B" w14:textId="77777777" w:rsidR="006E3CAC" w:rsidRPr="00493FCD" w:rsidRDefault="006E3CAC" w:rsidP="006E3CAC">
            <w:pPr>
              <w:pStyle w:val="naisc"/>
              <w:spacing w:before="0" w:after="0"/>
              <w:ind w:firstLine="459"/>
              <w:jc w:val="both"/>
            </w:pPr>
            <w:r w:rsidRPr="00493FCD">
              <w:t xml:space="preserve">Vēršam uzmanību, ka </w:t>
            </w:r>
            <w:r>
              <w:t>tiesības pieprasīt pieprasījuma veidlapā norādīto informāciju un tās</w:t>
            </w:r>
            <w:r w:rsidRPr="00493FCD">
              <w:t xml:space="preserve"> saturs izriet no Kriminālprocesa likumā un Operatīvās darbības likumā ietvertā regulējuma.</w:t>
            </w:r>
          </w:p>
          <w:p w14:paraId="10A95196" w14:textId="77777777" w:rsidR="006E3CAC" w:rsidRPr="00493FCD" w:rsidRDefault="006E3CAC" w:rsidP="006E3CAC">
            <w:pPr>
              <w:pStyle w:val="naisc"/>
              <w:spacing w:before="0" w:after="0"/>
              <w:ind w:firstLine="459"/>
              <w:jc w:val="both"/>
            </w:pPr>
            <w:r w:rsidRPr="00493FCD">
              <w:t xml:space="preserve">Piemēram, Kriminālprocesa likuma 121. panta piektā daļa paredz, ka pirmstiesas procesā pieprasīt no kredītiestādēm vai finanšu iestādēm to rīcībā esošās neizpaužamās ziņas vai dokumentus, kuri satur šādas ziņas, vai pārraudzīt darījumus kredītiestāžu vai finanšu iestāžu klientu kontos uz noteiktu laiku </w:t>
            </w:r>
            <w:r w:rsidRPr="00493FCD">
              <w:rPr>
                <w:b/>
              </w:rPr>
              <w:t xml:space="preserve">drīkst tikai ar procesa virzītāja lēmumu, kuru apstiprinājis </w:t>
            </w:r>
            <w:r w:rsidRPr="00493FCD">
              <w:rPr>
                <w:b/>
              </w:rPr>
              <w:lastRenderedPageBreak/>
              <w:t>izmeklēšanas tiesnesis</w:t>
            </w:r>
            <w:r w:rsidRPr="00493FCD">
              <w:t>. Pārraudzīt darījumu kredītiestādes vai finanšu iestādes klienta kontā var uz laiku līdz trim mēnešiem, bet, ja nepieciešams, šo termiņu uz laiku līdz trim mēnešiem var pagarināt izmeklēšanas tiesnesis.</w:t>
            </w:r>
          </w:p>
          <w:p w14:paraId="4AABAFCC" w14:textId="77777777" w:rsidR="006E3CAC" w:rsidRDefault="006E3CAC" w:rsidP="006E3CAC">
            <w:pPr>
              <w:pStyle w:val="naisc"/>
              <w:spacing w:before="0" w:after="0"/>
              <w:ind w:firstLine="459"/>
              <w:jc w:val="both"/>
            </w:pPr>
            <w:r w:rsidRPr="00493FCD">
              <w:t>Attiecīgi procesa virzītājs pieņem lēmumu, kādas neizpaužamās ziņas kredītiestādei tiks pieprasītas un kādā apjomā, savukārt projekts nosaka vienīgi veidlapas paraugu</w:t>
            </w:r>
            <w:r>
              <w:t>.</w:t>
            </w:r>
          </w:p>
          <w:p w14:paraId="378409D0" w14:textId="77777777" w:rsidR="006E3CAC" w:rsidRPr="00493FCD" w:rsidRDefault="006E3CAC" w:rsidP="006E3CAC">
            <w:pPr>
              <w:pStyle w:val="naisc"/>
              <w:spacing w:before="0" w:after="0"/>
              <w:ind w:firstLine="459"/>
              <w:jc w:val="both"/>
            </w:pPr>
            <w:r w:rsidRPr="00493FCD">
              <w:t>Pieprasījuma veidlapas paraugs izstrādāts sadarbībā ar procesa virzītājiem un operatīvās darbības subjektiem, pamatojoties uz šī brīža praksi un normatīvo regulējumu.</w:t>
            </w:r>
          </w:p>
          <w:p w14:paraId="158FAB81" w14:textId="77777777" w:rsidR="006E3CAC" w:rsidRPr="00493FCD" w:rsidRDefault="006E3CAC" w:rsidP="006E3CAC">
            <w:pPr>
              <w:pStyle w:val="naisc"/>
              <w:spacing w:before="0" w:after="0"/>
              <w:ind w:firstLine="720"/>
              <w:rPr>
                <w:b/>
              </w:rPr>
            </w:pPr>
          </w:p>
        </w:tc>
        <w:tc>
          <w:tcPr>
            <w:tcW w:w="3261" w:type="dxa"/>
            <w:tcBorders>
              <w:top w:val="single" w:sz="4" w:space="0" w:color="auto"/>
              <w:left w:val="single" w:sz="4" w:space="0" w:color="auto"/>
              <w:bottom w:val="single" w:sz="4" w:space="0" w:color="auto"/>
            </w:tcBorders>
          </w:tcPr>
          <w:p w14:paraId="43B3294A" w14:textId="124F326D" w:rsidR="006E3CAC" w:rsidRPr="00493FCD" w:rsidRDefault="006E3CAC" w:rsidP="006E3CAC">
            <w:pPr>
              <w:jc w:val="both"/>
            </w:pPr>
            <w:r w:rsidRPr="00493FCD">
              <w:lastRenderedPageBreak/>
              <w:t xml:space="preserve">Precizēts </w:t>
            </w:r>
            <w:r w:rsidRPr="00493FCD">
              <w:rPr>
                <w:bCs/>
              </w:rPr>
              <w:t>Anotācijas I sadaļas 2. punkts</w:t>
            </w:r>
          </w:p>
        </w:tc>
      </w:tr>
      <w:tr w:rsidR="006E3CAC" w:rsidRPr="00493FCD" w14:paraId="38568882" w14:textId="77777777" w:rsidTr="00DE6583">
        <w:trPr>
          <w:gridAfter w:val="1"/>
          <w:wAfter w:w="1920" w:type="dxa"/>
        </w:trPr>
        <w:tc>
          <w:tcPr>
            <w:tcW w:w="708" w:type="dxa"/>
            <w:tcBorders>
              <w:left w:val="single" w:sz="6" w:space="0" w:color="000000"/>
              <w:bottom w:val="single" w:sz="4" w:space="0" w:color="auto"/>
              <w:right w:val="single" w:sz="6" w:space="0" w:color="000000"/>
            </w:tcBorders>
          </w:tcPr>
          <w:p w14:paraId="32FF1414" w14:textId="3D0F1889" w:rsidR="006E3CAC" w:rsidRPr="00493FCD" w:rsidRDefault="00232005" w:rsidP="006E3CAC">
            <w:pPr>
              <w:pStyle w:val="naisc"/>
              <w:spacing w:before="0" w:after="0"/>
              <w:ind w:firstLine="720"/>
            </w:pPr>
            <w:r>
              <w:lastRenderedPageBreak/>
              <w:t>120</w:t>
            </w:r>
            <w:r w:rsidR="006E3CAC" w:rsidRPr="00493FCD">
              <w:t>.</w:t>
            </w:r>
          </w:p>
        </w:tc>
        <w:tc>
          <w:tcPr>
            <w:tcW w:w="3086" w:type="dxa"/>
            <w:gridSpan w:val="2"/>
            <w:tcBorders>
              <w:left w:val="single" w:sz="6" w:space="0" w:color="000000"/>
              <w:bottom w:val="single" w:sz="4" w:space="0" w:color="auto"/>
              <w:right w:val="single" w:sz="6" w:space="0" w:color="000000"/>
            </w:tcBorders>
          </w:tcPr>
          <w:p w14:paraId="7EB221E6" w14:textId="4BE01AD0" w:rsidR="006E3CAC" w:rsidRPr="00493FCD" w:rsidRDefault="006E3CAC" w:rsidP="006E3CAC">
            <w:pPr>
              <w:pStyle w:val="naisc"/>
              <w:spacing w:before="0" w:after="0"/>
              <w:jc w:val="left"/>
            </w:pPr>
            <w:r w:rsidRPr="00493FCD">
              <w:t>Projekta 2. pielikums, Anotācija.</w:t>
            </w:r>
          </w:p>
        </w:tc>
        <w:tc>
          <w:tcPr>
            <w:tcW w:w="4394" w:type="dxa"/>
            <w:tcBorders>
              <w:left w:val="single" w:sz="6" w:space="0" w:color="000000"/>
              <w:bottom w:val="single" w:sz="4" w:space="0" w:color="auto"/>
              <w:right w:val="single" w:sz="6" w:space="0" w:color="000000"/>
            </w:tcBorders>
          </w:tcPr>
          <w:p w14:paraId="6F717BBF" w14:textId="77777777" w:rsidR="006E3CAC" w:rsidRPr="00493FCD" w:rsidRDefault="006E3CAC" w:rsidP="006E3CAC">
            <w:pPr>
              <w:pStyle w:val="NormalWeb"/>
              <w:spacing w:before="0" w:beforeAutospacing="0" w:after="0" w:afterAutospacing="0"/>
              <w:ind w:right="13" w:firstLine="720"/>
              <w:jc w:val="both"/>
              <w:rPr>
                <w:b/>
              </w:rPr>
            </w:pPr>
            <w:r w:rsidRPr="00493FCD">
              <w:rPr>
                <w:b/>
              </w:rPr>
              <w:t>Tieslietu ministrija</w:t>
            </w:r>
          </w:p>
          <w:p w14:paraId="6FA53496" w14:textId="77777777" w:rsidR="006E3CAC" w:rsidRPr="00493FCD" w:rsidRDefault="006E3CAC" w:rsidP="006E3CAC">
            <w:pPr>
              <w:pStyle w:val="NormalWeb"/>
              <w:spacing w:before="0" w:beforeAutospacing="0" w:after="0" w:afterAutospacing="0"/>
              <w:ind w:right="13" w:firstLine="720"/>
              <w:jc w:val="both"/>
            </w:pPr>
            <w:r w:rsidRPr="00493FCD">
              <w:t xml:space="preserve">Projekta 33. punkts noteic, ka gadījumos, kad informācijas atklāšana par </w:t>
            </w:r>
            <w:r w:rsidRPr="00493FCD">
              <w:lastRenderedPageBreak/>
              <w:t>kriminālprocesa vai operatīvās darbības faktu var apdraudēt attiecīgi kriminālprocesa vai operatīvās darbības intereses, institūcija vēršas Finanšu izlūkošanas dienestā (turpmāk – dienests), kas nodrošina kredītiestādes rīcībā esošo neizpaužamo ziņu (turpmāk – ziņas), izņemot ziņu darījuma pārraudzības ietvaros, pieprasīšanu no kredītiestādes un nodošanu institūcijai. Ziņu pieprasīšana un nodošana notiek ar Finanšu izlūkošanas datu saņemšanas un analīzes sistēmas starpniecību (turpmāk – sistēma). Savukārt projekta 34. punkts noteic, ka, lai pieprasītu ziņas šo noteikumu 33. punktā noteiktajā gadījumā, institūcija sagatavo ziņu pieprasījumu (2. pielikums) un sistēmā nosūta dienestam.</w:t>
            </w:r>
          </w:p>
          <w:p w14:paraId="2FDF5568" w14:textId="77777777" w:rsidR="006E3CAC" w:rsidRPr="00493FCD" w:rsidRDefault="006E3CAC" w:rsidP="006E3CAC">
            <w:pPr>
              <w:pStyle w:val="NormalWeb"/>
              <w:spacing w:before="0" w:beforeAutospacing="0" w:after="0" w:afterAutospacing="0"/>
              <w:ind w:right="13" w:firstLine="720"/>
              <w:jc w:val="both"/>
            </w:pPr>
            <w:r w:rsidRPr="00493FCD">
              <w:t xml:space="preserve">Izvērtējot projekta 2. pielikuma saturu, secināms, ka ziņu pieprasījumā norādītā informācija saturēs personas datus (par rezidentu: vārds, uzvārds, personas kods; par nerezidentu: vārds, uzvārds, personas kods (iepriekšējie personas kodi, ja ir) vai dzimšanas datums, personu apliecinoša dokumenta numurs un iesniedzējas valsts nosaukums (ja ir)), citu informāciju, kas var palīdzēt identificēt personu, ka arī citu informāciju, kas satur personas datus. </w:t>
            </w:r>
          </w:p>
          <w:p w14:paraId="25DC3473" w14:textId="77777777" w:rsidR="006E3CAC" w:rsidRPr="00493FCD" w:rsidRDefault="006E3CAC" w:rsidP="006E3CAC">
            <w:pPr>
              <w:pStyle w:val="NormalWeb"/>
              <w:spacing w:before="0" w:beforeAutospacing="0" w:after="0" w:afterAutospacing="0"/>
              <w:ind w:right="13" w:firstLine="720"/>
              <w:jc w:val="both"/>
            </w:pPr>
            <w:r w:rsidRPr="00493FCD">
              <w:t xml:space="preserve">Likuma "Par fizisko personu datu apstrādi kriminālprocesā un administratīvā pārkāpuma procesā" 4. pants noteic </w:t>
            </w:r>
            <w:r w:rsidRPr="00493FCD">
              <w:lastRenderedPageBreak/>
              <w:t xml:space="preserve">personas datu apstrādes principus. Piemēram, personas datus: apstrādā, lai tie būtu atbilstoši šā likuma 2. pantā noteiktajam personas datu apstrādes mērķim un nebūtu pārmērīgi, ņemot vērā to apstrādes nolūku; apstrādā tā, lai tie būtu precīzi un aktuāli. Pārzinis nodrošina, ka neprecīzi personas dati, ņemot vērā to apstrādes nolūku, tiek laikus laboti vai dzēsti; glabā veidā, kas pieļauj datu subjektu identifikāciju, ne ilgāk, kā tas nepieciešams personas datu apstrādes nolūkos. </w:t>
            </w:r>
          </w:p>
          <w:p w14:paraId="0ABFB1D9" w14:textId="0BD4E610" w:rsidR="006E3CAC" w:rsidRPr="00493FCD" w:rsidRDefault="006E3CAC" w:rsidP="00641261">
            <w:pPr>
              <w:pStyle w:val="naisc"/>
              <w:spacing w:before="0" w:after="0"/>
              <w:ind w:firstLine="720"/>
              <w:jc w:val="both"/>
            </w:pPr>
            <w:r w:rsidRPr="00493FCD">
              <w:t>Vēršam uzmanību, ka ziņu pieprasījumā norādītās atsevišķās personu datu kategorijas ir pārāk vispārīgi formulētas, kā rezultātā institūcija var veikt pārmērīgu personas datu apstrādi. Ņemot vērā minēto, lūdzam projekta 2. pielikumā norādīt konkrētas personas datu kategorijas, kā arī pamatot to nepieciešamību, jo šobrīd šāds skaidrojums anotācijā nav pieejams. Turklāt, ievērojot to, ka projektā un anotācijā nav atrunāti glabāšanas nosacījumi personas datiem, kas izriet no ziņu pieprasījuma, kā arī kritēriji minēto personas datu glabāšanai, secināms, ka minētos dokumentus nepieciešams precizēt.</w:t>
            </w:r>
          </w:p>
        </w:tc>
        <w:tc>
          <w:tcPr>
            <w:tcW w:w="2577" w:type="dxa"/>
            <w:gridSpan w:val="2"/>
            <w:tcBorders>
              <w:left w:val="single" w:sz="6" w:space="0" w:color="000000"/>
              <w:bottom w:val="single" w:sz="4" w:space="0" w:color="auto"/>
              <w:right w:val="single" w:sz="6" w:space="0" w:color="000000"/>
            </w:tcBorders>
          </w:tcPr>
          <w:p w14:paraId="416E3A77" w14:textId="13C3E03A" w:rsidR="006E3CAC" w:rsidRPr="00493FCD" w:rsidRDefault="00641261" w:rsidP="00641261">
            <w:pPr>
              <w:pStyle w:val="naisc"/>
              <w:spacing w:before="0" w:after="0"/>
              <w:ind w:firstLine="720"/>
              <w:jc w:val="left"/>
              <w:rPr>
                <w:b/>
              </w:rPr>
            </w:pPr>
            <w:r>
              <w:rPr>
                <w:b/>
              </w:rPr>
              <w:lastRenderedPageBreak/>
              <w:t xml:space="preserve">Panākta vienošanās (starpministriju) </w:t>
            </w:r>
            <w:r>
              <w:rPr>
                <w:b/>
              </w:rPr>
              <w:lastRenderedPageBreak/>
              <w:t>starpinstitūciju sanāksmē</w:t>
            </w:r>
          </w:p>
          <w:p w14:paraId="3CC5C6C4" w14:textId="77777777" w:rsidR="006E3CAC" w:rsidRPr="00493FCD" w:rsidRDefault="006E3CAC" w:rsidP="006E3CAC">
            <w:pPr>
              <w:pStyle w:val="naisc"/>
              <w:spacing w:before="0" w:after="0"/>
              <w:ind w:firstLine="459"/>
              <w:jc w:val="both"/>
            </w:pPr>
            <w:r w:rsidRPr="00493FCD">
              <w:t>Atbilstoši Kredītiestāžu likuma 63. panta 3.</w:t>
            </w:r>
            <w:r w:rsidRPr="00493FCD">
              <w:rPr>
                <w:vertAlign w:val="superscript"/>
              </w:rPr>
              <w:t xml:space="preserve">1 </w:t>
            </w:r>
            <w:r w:rsidRPr="00493FCD">
              <w:t>un 3.</w:t>
            </w:r>
            <w:r w:rsidRPr="00493FCD">
              <w:rPr>
                <w:vertAlign w:val="superscript"/>
              </w:rPr>
              <w:t>2</w:t>
            </w:r>
            <w:r w:rsidRPr="00493FCD">
              <w:t xml:space="preserve"> daļā </w:t>
            </w:r>
            <w:r>
              <w:t>(</w:t>
            </w:r>
            <w:r w:rsidRPr="00493FCD">
              <w:t>likuma redakcijā, kas stāsies spēkā 2021. gada 1. jūlijā</w:t>
            </w:r>
            <w:r>
              <w:t>)</w:t>
            </w:r>
            <w:r w:rsidRPr="00493FCD">
              <w:t xml:space="preserve">, ietvertajam deleģējumam, projekts nosaka kārtību, kādā procesa virzītājs vai operatīvās darbības subjekts pieprasa un kredītiestāde sniedz tās rīcībā esošās neizpaužamās ziņas, arī ziņas darījuma pārraudzības gadījumā, šo ziņu sniegšanas termiņu, </w:t>
            </w:r>
            <w:r w:rsidRPr="00493FCD">
              <w:rPr>
                <w:b/>
              </w:rPr>
              <w:t>pieprasījuma veidlapas paraugu</w:t>
            </w:r>
            <w:r w:rsidRPr="00493FCD">
              <w:t xml:space="preserve"> un mašīnlasāmo datu struktūru un kārtību, kādā </w:t>
            </w:r>
            <w:r w:rsidRPr="00493FCD">
              <w:rPr>
                <w:shd w:val="clear" w:color="auto" w:fill="FFFFFF"/>
              </w:rPr>
              <w:t xml:space="preserve">kredītiestāde sniedz ziņas </w:t>
            </w:r>
            <w:r w:rsidRPr="00493FCD">
              <w:t>Finanšu izlūkošanas dienestam un tiesai</w:t>
            </w:r>
            <w:r w:rsidRPr="00493FCD">
              <w:rPr>
                <w:shd w:val="clear" w:color="auto" w:fill="FFFFFF"/>
              </w:rPr>
              <w:t xml:space="preserve"> darījuma pārraudzības gadījumā, kā arī šo ziņu sniegšanas termiņu</w:t>
            </w:r>
            <w:r w:rsidRPr="00493FCD">
              <w:t>.</w:t>
            </w:r>
          </w:p>
          <w:p w14:paraId="0A6722DA" w14:textId="77777777" w:rsidR="006E3CAC" w:rsidRDefault="006E3CAC" w:rsidP="006E3CAC">
            <w:pPr>
              <w:pStyle w:val="naisc"/>
              <w:spacing w:before="0" w:after="0"/>
              <w:ind w:firstLine="459"/>
              <w:jc w:val="both"/>
            </w:pPr>
            <w:r w:rsidRPr="00493FCD">
              <w:t xml:space="preserve">Vēršam uzmanību, ka </w:t>
            </w:r>
            <w:r>
              <w:t xml:space="preserve">tiesības pieprasīt pieprasījuma veidlapā </w:t>
            </w:r>
            <w:r>
              <w:lastRenderedPageBreak/>
              <w:t>norādīto informāciju un tās</w:t>
            </w:r>
            <w:r w:rsidRPr="00493FCD">
              <w:t xml:space="preserve"> saturs izriet no Kriminālprocesa likumā un Operatīvās darbības likumā ietvertā regulējuma.</w:t>
            </w:r>
          </w:p>
          <w:p w14:paraId="31B0A9E9" w14:textId="77777777" w:rsidR="006E3CAC" w:rsidRPr="00493FCD" w:rsidRDefault="006E3CAC" w:rsidP="006E3CAC">
            <w:pPr>
              <w:pStyle w:val="naisc"/>
              <w:spacing w:before="0" w:after="0"/>
              <w:ind w:firstLine="459"/>
              <w:jc w:val="both"/>
            </w:pPr>
            <w:r w:rsidRPr="00493FCD">
              <w:t xml:space="preserve">Piemēram, Kriminālprocesa likuma 121. panta piektā daļa paredz, ka pirmstiesas procesā pieprasīt no kredītiestādēm vai finanšu iestādēm to rīcībā esošās neizpaužamās ziņas vai dokumentus, kuri satur šādas ziņas, vai pārraudzīt darījumus kredītiestāžu vai finanšu iestāžu klientu kontos uz noteiktu laiku </w:t>
            </w:r>
            <w:r w:rsidRPr="00493FCD">
              <w:rPr>
                <w:b/>
              </w:rPr>
              <w:t>drīkst tikai ar procesa virzītāja lēmumu, kuru apstiprinājis izmeklēšanas tiesnesis</w:t>
            </w:r>
            <w:r w:rsidRPr="00493FCD">
              <w:t xml:space="preserve">. Pārraudzīt darījumu kredītiestādes vai finanšu iestādes klienta kontā var uz laiku līdz trim mēnešiem, bet, ja nepieciešams, šo termiņu uz laiku līdz trim mēnešiem var </w:t>
            </w:r>
            <w:r w:rsidRPr="00493FCD">
              <w:lastRenderedPageBreak/>
              <w:t>pagarināt izmeklēšanas tiesnesis.</w:t>
            </w:r>
          </w:p>
          <w:p w14:paraId="617329A2" w14:textId="77777777" w:rsidR="006E3CAC" w:rsidRDefault="006E3CAC" w:rsidP="006E3CAC">
            <w:pPr>
              <w:pStyle w:val="naisc"/>
              <w:spacing w:before="0" w:after="0"/>
              <w:ind w:firstLine="459"/>
              <w:jc w:val="both"/>
            </w:pPr>
            <w:r w:rsidRPr="00493FCD">
              <w:t>Attiecīgi procesa virzītājs pieņem lēmumu, kādas neizpaužamās ziņas kredītiestādei tiks pieprasītas un kādā apjomā, savukārt projekts no</w:t>
            </w:r>
            <w:r>
              <w:t>saka vienīgi veidlapas paraugu.</w:t>
            </w:r>
          </w:p>
          <w:p w14:paraId="1A110B76" w14:textId="77777777" w:rsidR="006E3CAC" w:rsidRPr="00493FCD" w:rsidRDefault="006E3CAC" w:rsidP="006E3CAC">
            <w:pPr>
              <w:pStyle w:val="naisc"/>
              <w:spacing w:before="0" w:after="0"/>
              <w:ind w:firstLine="459"/>
              <w:jc w:val="both"/>
            </w:pPr>
            <w:r w:rsidRPr="00493FCD">
              <w:t>Pieprasījuma veidlapas paraugs izstrādāts sadarbībā ar procesa virzītājiem un operatīvās darbības subjektiem, pamatojoties uz šī brīža praksi un normatīvo regulējumu.</w:t>
            </w:r>
          </w:p>
          <w:p w14:paraId="77169A23" w14:textId="018AB5D4" w:rsidR="006E3CAC" w:rsidRPr="00493FCD" w:rsidRDefault="006E3CAC" w:rsidP="006E3CAC">
            <w:pPr>
              <w:pStyle w:val="naisc"/>
              <w:spacing w:before="0" w:after="0"/>
              <w:ind w:firstLine="720"/>
              <w:rPr>
                <w:b/>
              </w:rPr>
            </w:pPr>
          </w:p>
        </w:tc>
        <w:tc>
          <w:tcPr>
            <w:tcW w:w="3261" w:type="dxa"/>
            <w:tcBorders>
              <w:top w:val="single" w:sz="4" w:space="0" w:color="auto"/>
              <w:left w:val="single" w:sz="4" w:space="0" w:color="auto"/>
              <w:bottom w:val="single" w:sz="4" w:space="0" w:color="auto"/>
            </w:tcBorders>
          </w:tcPr>
          <w:p w14:paraId="3924156B" w14:textId="754148C1" w:rsidR="006E3CAC" w:rsidRPr="00493FCD" w:rsidRDefault="00641261" w:rsidP="006E3CAC">
            <w:r w:rsidRPr="00493FCD">
              <w:lastRenderedPageBreak/>
              <w:t xml:space="preserve">Precizēts </w:t>
            </w:r>
            <w:r w:rsidRPr="00493FCD">
              <w:rPr>
                <w:bCs/>
              </w:rPr>
              <w:t>Anotācijas I sadaļas 2. punkts</w:t>
            </w:r>
          </w:p>
        </w:tc>
      </w:tr>
      <w:tr w:rsidR="006E3CAC" w:rsidRPr="00493FCD" w14:paraId="5C7C6B60" w14:textId="77777777" w:rsidTr="00DE6583">
        <w:tblPrEx>
          <w:tblBorders>
            <w:top w:val="none" w:sz="0" w:space="0" w:color="auto"/>
            <w:left w:val="none" w:sz="0" w:space="0" w:color="auto"/>
            <w:bottom w:val="none" w:sz="0" w:space="0" w:color="auto"/>
            <w:right w:val="none" w:sz="0" w:space="0" w:color="auto"/>
          </w:tblBorders>
        </w:tblPrEx>
        <w:trPr>
          <w:gridAfter w:val="3"/>
          <w:wAfter w:w="6659" w:type="dxa"/>
        </w:trPr>
        <w:tc>
          <w:tcPr>
            <w:tcW w:w="3108" w:type="dxa"/>
            <w:gridSpan w:val="2"/>
          </w:tcPr>
          <w:p w14:paraId="52C2E3EA" w14:textId="77777777" w:rsidR="006E3CAC" w:rsidRPr="00493FCD" w:rsidRDefault="006E3CAC" w:rsidP="006E3CAC">
            <w:pPr>
              <w:pStyle w:val="naiskr"/>
              <w:spacing w:before="0" w:after="0"/>
            </w:pPr>
          </w:p>
          <w:p w14:paraId="19AE5DA7" w14:textId="77777777" w:rsidR="006E3CAC" w:rsidRPr="00493FCD" w:rsidRDefault="006E3CAC" w:rsidP="006E3CAC">
            <w:pPr>
              <w:pStyle w:val="naiskr"/>
              <w:spacing w:before="0" w:after="0"/>
            </w:pPr>
            <w:r w:rsidRPr="00493FCD">
              <w:t>Atbildīgā amatpersona</w:t>
            </w:r>
          </w:p>
        </w:tc>
        <w:tc>
          <w:tcPr>
            <w:tcW w:w="6179" w:type="dxa"/>
            <w:gridSpan w:val="3"/>
          </w:tcPr>
          <w:p w14:paraId="514B9ABF" w14:textId="77777777" w:rsidR="006E3CAC" w:rsidRPr="00493FCD" w:rsidRDefault="006E3CAC" w:rsidP="006E3CAC">
            <w:pPr>
              <w:pStyle w:val="naiskr"/>
              <w:spacing w:before="0" w:after="0"/>
              <w:ind w:firstLine="720"/>
            </w:pPr>
            <w:r w:rsidRPr="00493FCD">
              <w:t>  </w:t>
            </w:r>
          </w:p>
        </w:tc>
      </w:tr>
      <w:tr w:rsidR="006E3CAC" w:rsidRPr="00493FCD" w14:paraId="77C74423" w14:textId="77777777" w:rsidTr="00DE6583">
        <w:tblPrEx>
          <w:tblBorders>
            <w:top w:val="none" w:sz="0" w:space="0" w:color="auto"/>
            <w:left w:val="none" w:sz="0" w:space="0" w:color="auto"/>
            <w:bottom w:val="none" w:sz="0" w:space="0" w:color="auto"/>
            <w:right w:val="none" w:sz="0" w:space="0" w:color="auto"/>
          </w:tblBorders>
        </w:tblPrEx>
        <w:trPr>
          <w:gridAfter w:val="3"/>
          <w:wAfter w:w="6659" w:type="dxa"/>
        </w:trPr>
        <w:tc>
          <w:tcPr>
            <w:tcW w:w="3108" w:type="dxa"/>
            <w:gridSpan w:val="2"/>
          </w:tcPr>
          <w:p w14:paraId="2C30217C" w14:textId="77777777" w:rsidR="006E3CAC" w:rsidRPr="00493FCD" w:rsidRDefault="006E3CAC" w:rsidP="006E3CAC">
            <w:pPr>
              <w:pStyle w:val="naiskr"/>
              <w:spacing w:before="0" w:after="0"/>
              <w:ind w:firstLine="720"/>
            </w:pPr>
          </w:p>
        </w:tc>
        <w:tc>
          <w:tcPr>
            <w:tcW w:w="6179" w:type="dxa"/>
            <w:gridSpan w:val="3"/>
            <w:tcBorders>
              <w:top w:val="single" w:sz="6" w:space="0" w:color="000000"/>
            </w:tcBorders>
          </w:tcPr>
          <w:p w14:paraId="4D816332" w14:textId="77777777" w:rsidR="006E3CAC" w:rsidRPr="00493FCD" w:rsidRDefault="006E3CAC" w:rsidP="006E3CAC">
            <w:pPr>
              <w:pStyle w:val="naisc"/>
              <w:spacing w:before="0" w:after="0"/>
              <w:ind w:firstLine="720"/>
            </w:pPr>
            <w:r w:rsidRPr="00493FCD">
              <w:t>(paraksts)*</w:t>
            </w:r>
          </w:p>
        </w:tc>
      </w:tr>
    </w:tbl>
    <w:p w14:paraId="328DDDCA" w14:textId="77777777" w:rsidR="00F574F8" w:rsidRPr="00493FCD" w:rsidRDefault="00F574F8" w:rsidP="00F574F8">
      <w:pPr>
        <w:pStyle w:val="naisf"/>
        <w:spacing w:before="0" w:after="0"/>
        <w:ind w:firstLine="720"/>
      </w:pPr>
    </w:p>
    <w:p w14:paraId="07825797" w14:textId="77777777" w:rsidR="00F574F8" w:rsidRPr="00493FCD" w:rsidRDefault="00F574F8" w:rsidP="00F574F8">
      <w:pPr>
        <w:pStyle w:val="naisf"/>
        <w:spacing w:before="0" w:after="0"/>
        <w:ind w:firstLine="720"/>
      </w:pPr>
    </w:p>
    <w:p w14:paraId="71DFF028" w14:textId="370D1A6E" w:rsidR="003745D0" w:rsidRPr="00493FCD" w:rsidRDefault="00F574F8" w:rsidP="003745D0">
      <w:pPr>
        <w:pStyle w:val="naisf"/>
        <w:spacing w:before="0" w:after="0"/>
        <w:ind w:firstLine="720"/>
      </w:pPr>
      <w:r w:rsidRPr="00493FCD">
        <w:t>Piezīme. * Dokumenta rekvizītu "paraksts" neaizpilda, ja elektroniskais dokuments ir sagatavots atbilstoši normatīvajiem aktiem par elektronisko dokumentu noformēšanu.</w:t>
      </w:r>
    </w:p>
    <w:p w14:paraId="40A1A2E7" w14:textId="3D334ED5" w:rsidR="00F574F8" w:rsidRPr="00493FCD" w:rsidRDefault="001C4160" w:rsidP="00227A0B">
      <w:pPr>
        <w:pStyle w:val="naisf"/>
        <w:spacing w:before="0" w:after="0"/>
        <w:ind w:firstLine="0"/>
      </w:pPr>
      <w:r>
        <w:t>Inese Sproģe</w:t>
      </w:r>
    </w:p>
    <w:tbl>
      <w:tblPr>
        <w:tblW w:w="0" w:type="auto"/>
        <w:tblLook w:val="00A0" w:firstRow="1" w:lastRow="0" w:firstColumn="1" w:lastColumn="0" w:noHBand="0" w:noVBand="0"/>
      </w:tblPr>
      <w:tblGrid>
        <w:gridCol w:w="8268"/>
      </w:tblGrid>
      <w:tr w:rsidR="00F574F8" w:rsidRPr="00493FCD" w14:paraId="75DF9050" w14:textId="77777777" w:rsidTr="0084067E">
        <w:tc>
          <w:tcPr>
            <w:tcW w:w="8268" w:type="dxa"/>
            <w:tcBorders>
              <w:top w:val="single" w:sz="4" w:space="0" w:color="000000"/>
            </w:tcBorders>
          </w:tcPr>
          <w:p w14:paraId="37871A75" w14:textId="77777777" w:rsidR="00F574F8" w:rsidRDefault="00F574F8" w:rsidP="0084067E">
            <w:pPr>
              <w:jc w:val="center"/>
            </w:pPr>
            <w:r w:rsidRPr="00493FCD">
              <w:t>(par projektu atbildīgās amatpersonas vārds un uzvārds)</w:t>
            </w:r>
          </w:p>
          <w:p w14:paraId="13F33FB4" w14:textId="77777777" w:rsidR="001C4160" w:rsidRPr="00493FCD" w:rsidRDefault="001C4160" w:rsidP="0084067E">
            <w:pPr>
              <w:jc w:val="center"/>
            </w:pPr>
          </w:p>
        </w:tc>
      </w:tr>
      <w:tr w:rsidR="00F574F8" w:rsidRPr="00493FCD" w14:paraId="31DBE386" w14:textId="77777777" w:rsidTr="0084067E">
        <w:tc>
          <w:tcPr>
            <w:tcW w:w="8268" w:type="dxa"/>
            <w:tcBorders>
              <w:bottom w:val="single" w:sz="4" w:space="0" w:color="000000"/>
            </w:tcBorders>
          </w:tcPr>
          <w:p w14:paraId="1CB0488C" w14:textId="176C79BE" w:rsidR="00F574F8" w:rsidRPr="001C4160" w:rsidRDefault="001C4160" w:rsidP="001C4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C4160">
              <w:t>Iekšlietu ministrijas Juridiskā departamenta Normatīvo aktu nodaļas juriste</w:t>
            </w:r>
          </w:p>
        </w:tc>
      </w:tr>
      <w:tr w:rsidR="00F574F8" w:rsidRPr="00493FCD" w14:paraId="31402128" w14:textId="77777777" w:rsidTr="0084067E">
        <w:tc>
          <w:tcPr>
            <w:tcW w:w="8268" w:type="dxa"/>
            <w:tcBorders>
              <w:top w:val="single" w:sz="4" w:space="0" w:color="000000"/>
            </w:tcBorders>
          </w:tcPr>
          <w:p w14:paraId="5BB45C27" w14:textId="77777777" w:rsidR="00F574F8" w:rsidRPr="00493FCD" w:rsidRDefault="00F574F8" w:rsidP="0084067E">
            <w:pPr>
              <w:jc w:val="center"/>
            </w:pPr>
            <w:r w:rsidRPr="00493FCD">
              <w:t>(amats)</w:t>
            </w:r>
          </w:p>
        </w:tc>
      </w:tr>
      <w:tr w:rsidR="00F574F8" w:rsidRPr="00493FCD" w14:paraId="5C5EF5DA" w14:textId="77777777" w:rsidTr="0084067E">
        <w:tc>
          <w:tcPr>
            <w:tcW w:w="8268" w:type="dxa"/>
            <w:tcBorders>
              <w:bottom w:val="single" w:sz="4" w:space="0" w:color="000000"/>
            </w:tcBorders>
          </w:tcPr>
          <w:p w14:paraId="0444BEF8" w14:textId="070BEF7F" w:rsidR="00F574F8" w:rsidRPr="001C4160" w:rsidRDefault="001C4160" w:rsidP="001C4160">
            <w:pPr>
              <w:pStyle w:val="HTMLPreformatted"/>
              <w:rPr>
                <w:rFonts w:ascii="Times New Roman" w:hAnsi="Times New Roman" w:cs="Times New Roman"/>
                <w:sz w:val="24"/>
                <w:szCs w:val="24"/>
              </w:rPr>
            </w:pPr>
            <w:r w:rsidRPr="001C4160">
              <w:rPr>
                <w:rFonts w:ascii="Times New Roman" w:hAnsi="Times New Roman" w:cs="Times New Roman"/>
                <w:sz w:val="24"/>
                <w:szCs w:val="24"/>
              </w:rPr>
              <w:lastRenderedPageBreak/>
              <w:t>tālr.67219534</w:t>
            </w:r>
          </w:p>
        </w:tc>
      </w:tr>
      <w:tr w:rsidR="00F574F8" w:rsidRPr="00493FCD" w14:paraId="2962F1D5" w14:textId="77777777" w:rsidTr="0084067E">
        <w:tc>
          <w:tcPr>
            <w:tcW w:w="8268" w:type="dxa"/>
            <w:tcBorders>
              <w:top w:val="single" w:sz="4" w:space="0" w:color="000000"/>
            </w:tcBorders>
          </w:tcPr>
          <w:p w14:paraId="420A8A28" w14:textId="77777777" w:rsidR="00F574F8" w:rsidRPr="001C4160" w:rsidRDefault="00F574F8" w:rsidP="0084067E">
            <w:pPr>
              <w:jc w:val="center"/>
            </w:pPr>
            <w:r w:rsidRPr="001C4160">
              <w:t>(tālruņa un faksa numurs)</w:t>
            </w:r>
          </w:p>
        </w:tc>
      </w:tr>
      <w:tr w:rsidR="00F574F8" w:rsidRPr="00493FCD" w14:paraId="73E91CED" w14:textId="77777777" w:rsidTr="0084067E">
        <w:tc>
          <w:tcPr>
            <w:tcW w:w="8268" w:type="dxa"/>
            <w:tcBorders>
              <w:bottom w:val="single" w:sz="4" w:space="0" w:color="000000"/>
            </w:tcBorders>
          </w:tcPr>
          <w:p w14:paraId="53E42EED" w14:textId="14D33E5B" w:rsidR="00F574F8" w:rsidRPr="001C4160" w:rsidRDefault="004A14BA" w:rsidP="001C4160">
            <w:pPr>
              <w:pStyle w:val="HTMLPreformatted"/>
              <w:rPr>
                <w:rFonts w:ascii="Times New Roman" w:hAnsi="Times New Roman" w:cs="Times New Roman"/>
                <w:sz w:val="24"/>
                <w:szCs w:val="24"/>
              </w:rPr>
            </w:pPr>
            <w:hyperlink r:id="rId8" w:history="1">
              <w:r w:rsidR="001C4160" w:rsidRPr="001C4160">
                <w:rPr>
                  <w:rStyle w:val="Hyperlink"/>
                  <w:rFonts w:ascii="Times New Roman" w:hAnsi="Times New Roman" w:cs="Times New Roman"/>
                  <w:sz w:val="24"/>
                  <w:szCs w:val="24"/>
                </w:rPr>
                <w:t>Inese.Sproge@iem.gov.lv</w:t>
              </w:r>
            </w:hyperlink>
          </w:p>
        </w:tc>
      </w:tr>
      <w:tr w:rsidR="00F574F8" w:rsidRPr="00712B66" w14:paraId="2C9F0758" w14:textId="77777777" w:rsidTr="0084067E">
        <w:tc>
          <w:tcPr>
            <w:tcW w:w="8268" w:type="dxa"/>
            <w:tcBorders>
              <w:top w:val="single" w:sz="4" w:space="0" w:color="000000"/>
            </w:tcBorders>
          </w:tcPr>
          <w:p w14:paraId="5107A057" w14:textId="77777777" w:rsidR="00F574F8" w:rsidRPr="00712B66" w:rsidRDefault="00F574F8" w:rsidP="0084067E">
            <w:pPr>
              <w:jc w:val="center"/>
            </w:pPr>
            <w:r w:rsidRPr="00493FCD">
              <w:t>(e-pasta adrese)</w:t>
            </w:r>
          </w:p>
        </w:tc>
      </w:tr>
    </w:tbl>
    <w:p w14:paraId="6BE9775C" w14:textId="77777777" w:rsidR="00F574F8" w:rsidRPr="003B71E0" w:rsidRDefault="00F574F8" w:rsidP="00F574F8">
      <w:pPr>
        <w:pStyle w:val="naisf"/>
        <w:spacing w:before="0" w:after="0"/>
        <w:ind w:firstLine="0"/>
        <w:jc w:val="left"/>
        <w:rPr>
          <w:sz w:val="28"/>
          <w:szCs w:val="28"/>
        </w:rPr>
      </w:pPr>
    </w:p>
    <w:p w14:paraId="38779BE7" w14:textId="77777777" w:rsidR="006607AD" w:rsidRDefault="006607AD"/>
    <w:sectPr w:rsidR="006607AD" w:rsidSect="00364BB6">
      <w:headerReference w:type="even" r:id="rId9"/>
      <w:headerReference w:type="default" r:id="rId10"/>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6B2C1" w14:textId="77777777" w:rsidR="000835F8" w:rsidRDefault="001D71A1">
      <w:r>
        <w:separator/>
      </w:r>
    </w:p>
  </w:endnote>
  <w:endnote w:type="continuationSeparator" w:id="0">
    <w:p w14:paraId="6B5D093A" w14:textId="77777777" w:rsidR="000835F8" w:rsidRDefault="001D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43E95" w14:textId="77777777" w:rsidR="000835F8" w:rsidRDefault="001D71A1">
      <w:r>
        <w:separator/>
      </w:r>
    </w:p>
  </w:footnote>
  <w:footnote w:type="continuationSeparator" w:id="0">
    <w:p w14:paraId="07ACE0D0" w14:textId="77777777" w:rsidR="000835F8" w:rsidRDefault="001D7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CC37" w14:textId="77777777" w:rsidR="006455E7" w:rsidRDefault="00860B9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D03206" w14:textId="77777777" w:rsidR="006455E7" w:rsidRDefault="004A1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35961" w14:textId="77777777" w:rsidR="006455E7" w:rsidRDefault="00860B9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14BA">
      <w:rPr>
        <w:rStyle w:val="PageNumber"/>
        <w:noProof/>
      </w:rPr>
      <w:t>21</w:t>
    </w:r>
    <w:r>
      <w:rPr>
        <w:rStyle w:val="PageNumber"/>
      </w:rPr>
      <w:fldChar w:fldCharType="end"/>
    </w:r>
  </w:p>
  <w:p w14:paraId="0CA8C9D7" w14:textId="77777777" w:rsidR="006455E7" w:rsidRDefault="004A1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F97"/>
    <w:multiLevelType w:val="hybridMultilevel"/>
    <w:tmpl w:val="123830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A144E4"/>
    <w:multiLevelType w:val="hybridMultilevel"/>
    <w:tmpl w:val="9A9E1876"/>
    <w:lvl w:ilvl="0" w:tplc="3146C6D0">
      <w:start w:val="26"/>
      <w:numFmt w:val="decimal"/>
      <w:lvlText w:val="%1."/>
      <w:lvlJc w:val="left"/>
      <w:pPr>
        <w:ind w:left="773" w:hanging="375"/>
      </w:pPr>
      <w:rPr>
        <w:rFonts w:hint="default"/>
      </w:rPr>
    </w:lvl>
    <w:lvl w:ilvl="1" w:tplc="04260019" w:tentative="1">
      <w:start w:val="1"/>
      <w:numFmt w:val="lowerLetter"/>
      <w:lvlText w:val="%2."/>
      <w:lvlJc w:val="left"/>
      <w:pPr>
        <w:ind w:left="1478" w:hanging="360"/>
      </w:pPr>
    </w:lvl>
    <w:lvl w:ilvl="2" w:tplc="0426001B" w:tentative="1">
      <w:start w:val="1"/>
      <w:numFmt w:val="lowerRoman"/>
      <w:lvlText w:val="%3."/>
      <w:lvlJc w:val="right"/>
      <w:pPr>
        <w:ind w:left="2198" w:hanging="180"/>
      </w:pPr>
    </w:lvl>
    <w:lvl w:ilvl="3" w:tplc="0426000F" w:tentative="1">
      <w:start w:val="1"/>
      <w:numFmt w:val="decimal"/>
      <w:lvlText w:val="%4."/>
      <w:lvlJc w:val="left"/>
      <w:pPr>
        <w:ind w:left="2918" w:hanging="360"/>
      </w:pPr>
    </w:lvl>
    <w:lvl w:ilvl="4" w:tplc="04260019" w:tentative="1">
      <w:start w:val="1"/>
      <w:numFmt w:val="lowerLetter"/>
      <w:lvlText w:val="%5."/>
      <w:lvlJc w:val="left"/>
      <w:pPr>
        <w:ind w:left="3638" w:hanging="360"/>
      </w:pPr>
    </w:lvl>
    <w:lvl w:ilvl="5" w:tplc="0426001B" w:tentative="1">
      <w:start w:val="1"/>
      <w:numFmt w:val="lowerRoman"/>
      <w:lvlText w:val="%6."/>
      <w:lvlJc w:val="right"/>
      <w:pPr>
        <w:ind w:left="4358" w:hanging="180"/>
      </w:pPr>
    </w:lvl>
    <w:lvl w:ilvl="6" w:tplc="0426000F" w:tentative="1">
      <w:start w:val="1"/>
      <w:numFmt w:val="decimal"/>
      <w:lvlText w:val="%7."/>
      <w:lvlJc w:val="left"/>
      <w:pPr>
        <w:ind w:left="5078" w:hanging="360"/>
      </w:pPr>
    </w:lvl>
    <w:lvl w:ilvl="7" w:tplc="04260019" w:tentative="1">
      <w:start w:val="1"/>
      <w:numFmt w:val="lowerLetter"/>
      <w:lvlText w:val="%8."/>
      <w:lvlJc w:val="left"/>
      <w:pPr>
        <w:ind w:left="5798" w:hanging="360"/>
      </w:pPr>
    </w:lvl>
    <w:lvl w:ilvl="8" w:tplc="0426001B" w:tentative="1">
      <w:start w:val="1"/>
      <w:numFmt w:val="lowerRoman"/>
      <w:lvlText w:val="%9."/>
      <w:lvlJc w:val="right"/>
      <w:pPr>
        <w:ind w:left="6518" w:hanging="180"/>
      </w:pPr>
    </w:lvl>
  </w:abstractNum>
  <w:abstractNum w:abstractNumId="2" w15:restartNumberingAfterBreak="0">
    <w:nsid w:val="215156F0"/>
    <w:multiLevelType w:val="hybridMultilevel"/>
    <w:tmpl w:val="13DE6DAE"/>
    <w:lvl w:ilvl="0" w:tplc="69E03C60">
      <w:start w:val="1"/>
      <w:numFmt w:val="decimal"/>
      <w:lvlText w:val="%1."/>
      <w:lvlJc w:val="left"/>
      <w:pPr>
        <w:ind w:left="720" w:hanging="360"/>
      </w:pPr>
    </w:lvl>
    <w:lvl w:ilvl="1" w:tplc="811A69C6" w:tentative="1">
      <w:start w:val="1"/>
      <w:numFmt w:val="lowerLetter"/>
      <w:lvlText w:val="%2."/>
      <w:lvlJc w:val="left"/>
      <w:pPr>
        <w:ind w:left="1440" w:hanging="360"/>
      </w:pPr>
    </w:lvl>
    <w:lvl w:ilvl="2" w:tplc="6F2C8E04" w:tentative="1">
      <w:start w:val="1"/>
      <w:numFmt w:val="lowerRoman"/>
      <w:lvlText w:val="%3."/>
      <w:lvlJc w:val="right"/>
      <w:pPr>
        <w:ind w:left="2160" w:hanging="180"/>
      </w:pPr>
    </w:lvl>
    <w:lvl w:ilvl="3" w:tplc="C6F67DA8" w:tentative="1">
      <w:start w:val="1"/>
      <w:numFmt w:val="decimal"/>
      <w:lvlText w:val="%4."/>
      <w:lvlJc w:val="left"/>
      <w:pPr>
        <w:ind w:left="2880" w:hanging="360"/>
      </w:pPr>
    </w:lvl>
    <w:lvl w:ilvl="4" w:tplc="3E04AC32" w:tentative="1">
      <w:start w:val="1"/>
      <w:numFmt w:val="lowerLetter"/>
      <w:lvlText w:val="%5."/>
      <w:lvlJc w:val="left"/>
      <w:pPr>
        <w:ind w:left="3600" w:hanging="360"/>
      </w:pPr>
    </w:lvl>
    <w:lvl w:ilvl="5" w:tplc="7988D396" w:tentative="1">
      <w:start w:val="1"/>
      <w:numFmt w:val="lowerRoman"/>
      <w:lvlText w:val="%6."/>
      <w:lvlJc w:val="right"/>
      <w:pPr>
        <w:ind w:left="4320" w:hanging="180"/>
      </w:pPr>
    </w:lvl>
    <w:lvl w:ilvl="6" w:tplc="CB086DDC" w:tentative="1">
      <w:start w:val="1"/>
      <w:numFmt w:val="decimal"/>
      <w:lvlText w:val="%7."/>
      <w:lvlJc w:val="left"/>
      <w:pPr>
        <w:ind w:left="5040" w:hanging="360"/>
      </w:pPr>
    </w:lvl>
    <w:lvl w:ilvl="7" w:tplc="2F542412" w:tentative="1">
      <w:start w:val="1"/>
      <w:numFmt w:val="lowerLetter"/>
      <w:lvlText w:val="%8."/>
      <w:lvlJc w:val="left"/>
      <w:pPr>
        <w:ind w:left="5760" w:hanging="360"/>
      </w:pPr>
    </w:lvl>
    <w:lvl w:ilvl="8" w:tplc="3126EF42" w:tentative="1">
      <w:start w:val="1"/>
      <w:numFmt w:val="lowerRoman"/>
      <w:lvlText w:val="%9."/>
      <w:lvlJc w:val="right"/>
      <w:pPr>
        <w:ind w:left="6480" w:hanging="180"/>
      </w:pPr>
    </w:lvl>
  </w:abstractNum>
  <w:abstractNum w:abstractNumId="3" w15:restartNumberingAfterBreak="0">
    <w:nsid w:val="22EB55DD"/>
    <w:multiLevelType w:val="hybridMultilevel"/>
    <w:tmpl w:val="0818E75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727B6B"/>
    <w:multiLevelType w:val="hybridMultilevel"/>
    <w:tmpl w:val="A052E7CC"/>
    <w:lvl w:ilvl="0" w:tplc="F974A0EA">
      <w:start w:val="1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EE7AFE"/>
    <w:multiLevelType w:val="hybridMultilevel"/>
    <w:tmpl w:val="03401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D84B08"/>
    <w:multiLevelType w:val="hybridMultilevel"/>
    <w:tmpl w:val="3F68CE70"/>
    <w:lvl w:ilvl="0" w:tplc="643CD3BA">
      <w:start w:val="1"/>
      <w:numFmt w:val="decimal"/>
      <w:lvlText w:val="%1."/>
      <w:lvlJc w:val="left"/>
      <w:pPr>
        <w:ind w:left="957" w:hanging="360"/>
      </w:pPr>
      <w:rPr>
        <w:rFonts w:hint="default"/>
      </w:rPr>
    </w:lvl>
    <w:lvl w:ilvl="1" w:tplc="04260019" w:tentative="1">
      <w:start w:val="1"/>
      <w:numFmt w:val="lowerLetter"/>
      <w:lvlText w:val="%2."/>
      <w:lvlJc w:val="left"/>
      <w:pPr>
        <w:ind w:left="1677" w:hanging="360"/>
      </w:pPr>
    </w:lvl>
    <w:lvl w:ilvl="2" w:tplc="0426001B" w:tentative="1">
      <w:start w:val="1"/>
      <w:numFmt w:val="lowerRoman"/>
      <w:lvlText w:val="%3."/>
      <w:lvlJc w:val="right"/>
      <w:pPr>
        <w:ind w:left="2397" w:hanging="180"/>
      </w:pPr>
    </w:lvl>
    <w:lvl w:ilvl="3" w:tplc="0426000F" w:tentative="1">
      <w:start w:val="1"/>
      <w:numFmt w:val="decimal"/>
      <w:lvlText w:val="%4."/>
      <w:lvlJc w:val="left"/>
      <w:pPr>
        <w:ind w:left="3117" w:hanging="360"/>
      </w:pPr>
    </w:lvl>
    <w:lvl w:ilvl="4" w:tplc="04260019" w:tentative="1">
      <w:start w:val="1"/>
      <w:numFmt w:val="lowerLetter"/>
      <w:lvlText w:val="%5."/>
      <w:lvlJc w:val="left"/>
      <w:pPr>
        <w:ind w:left="3837" w:hanging="360"/>
      </w:pPr>
    </w:lvl>
    <w:lvl w:ilvl="5" w:tplc="0426001B" w:tentative="1">
      <w:start w:val="1"/>
      <w:numFmt w:val="lowerRoman"/>
      <w:lvlText w:val="%6."/>
      <w:lvlJc w:val="right"/>
      <w:pPr>
        <w:ind w:left="4557" w:hanging="180"/>
      </w:pPr>
    </w:lvl>
    <w:lvl w:ilvl="6" w:tplc="0426000F" w:tentative="1">
      <w:start w:val="1"/>
      <w:numFmt w:val="decimal"/>
      <w:lvlText w:val="%7."/>
      <w:lvlJc w:val="left"/>
      <w:pPr>
        <w:ind w:left="5277" w:hanging="360"/>
      </w:pPr>
    </w:lvl>
    <w:lvl w:ilvl="7" w:tplc="04260019" w:tentative="1">
      <w:start w:val="1"/>
      <w:numFmt w:val="lowerLetter"/>
      <w:lvlText w:val="%8."/>
      <w:lvlJc w:val="left"/>
      <w:pPr>
        <w:ind w:left="5997" w:hanging="360"/>
      </w:pPr>
    </w:lvl>
    <w:lvl w:ilvl="8" w:tplc="0426001B" w:tentative="1">
      <w:start w:val="1"/>
      <w:numFmt w:val="lowerRoman"/>
      <w:lvlText w:val="%9."/>
      <w:lvlJc w:val="right"/>
      <w:pPr>
        <w:ind w:left="6717" w:hanging="180"/>
      </w:pPr>
    </w:lvl>
  </w:abstractNum>
  <w:abstractNum w:abstractNumId="7" w15:restartNumberingAfterBreak="0">
    <w:nsid w:val="3882035E"/>
    <w:multiLevelType w:val="multilevel"/>
    <w:tmpl w:val="608690B2"/>
    <w:lvl w:ilvl="0">
      <w:start w:val="1"/>
      <w:numFmt w:val="decimal"/>
      <w:lvlText w:val="%1."/>
      <w:lvlJc w:val="left"/>
      <w:pPr>
        <w:ind w:left="1211" w:hanging="360"/>
      </w:pPr>
      <w:rPr>
        <w:rFonts w:ascii="Times New Roman" w:hAnsi="Times New Roman" w:cs="Times New Roman" w:hint="default"/>
        <w:b w:val="0"/>
      </w:rPr>
    </w:lvl>
    <w:lvl w:ilvl="1">
      <w:start w:val="1"/>
      <w:numFmt w:val="decimal"/>
      <w:isLgl/>
      <w:lvlText w:val="%1.%2."/>
      <w:lvlJc w:val="left"/>
      <w:pPr>
        <w:ind w:left="1020" w:hanging="720"/>
      </w:pPr>
      <w:rPr>
        <w:b w:val="0"/>
      </w:r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abstractNum w:abstractNumId="8" w15:restartNumberingAfterBreak="0">
    <w:nsid w:val="3DDF42BC"/>
    <w:multiLevelType w:val="hybridMultilevel"/>
    <w:tmpl w:val="621063B4"/>
    <w:lvl w:ilvl="0" w:tplc="A5FA1B58">
      <w:start w:val="2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3F3752D3"/>
    <w:multiLevelType w:val="hybridMultilevel"/>
    <w:tmpl w:val="F62A5896"/>
    <w:lvl w:ilvl="0" w:tplc="73F62394">
      <w:start w:val="1"/>
      <w:numFmt w:val="decimal"/>
      <w:lvlText w:val="%1)"/>
      <w:lvlJc w:val="left"/>
      <w:pPr>
        <w:ind w:left="720" w:hanging="360"/>
      </w:pPr>
      <w:rPr>
        <w:rFonts w:hint="default"/>
      </w:rPr>
    </w:lvl>
    <w:lvl w:ilvl="1" w:tplc="715A2D5A" w:tentative="1">
      <w:start w:val="1"/>
      <w:numFmt w:val="lowerLetter"/>
      <w:lvlText w:val="%2."/>
      <w:lvlJc w:val="left"/>
      <w:pPr>
        <w:ind w:left="1440" w:hanging="360"/>
      </w:pPr>
    </w:lvl>
    <w:lvl w:ilvl="2" w:tplc="62801DAE" w:tentative="1">
      <w:start w:val="1"/>
      <w:numFmt w:val="lowerRoman"/>
      <w:lvlText w:val="%3."/>
      <w:lvlJc w:val="right"/>
      <w:pPr>
        <w:ind w:left="2160" w:hanging="180"/>
      </w:pPr>
    </w:lvl>
    <w:lvl w:ilvl="3" w:tplc="EAAEA5DA" w:tentative="1">
      <w:start w:val="1"/>
      <w:numFmt w:val="decimal"/>
      <w:lvlText w:val="%4."/>
      <w:lvlJc w:val="left"/>
      <w:pPr>
        <w:ind w:left="2880" w:hanging="360"/>
      </w:pPr>
    </w:lvl>
    <w:lvl w:ilvl="4" w:tplc="4148BE5A" w:tentative="1">
      <w:start w:val="1"/>
      <w:numFmt w:val="lowerLetter"/>
      <w:lvlText w:val="%5."/>
      <w:lvlJc w:val="left"/>
      <w:pPr>
        <w:ind w:left="3600" w:hanging="360"/>
      </w:pPr>
    </w:lvl>
    <w:lvl w:ilvl="5" w:tplc="2294E772" w:tentative="1">
      <w:start w:val="1"/>
      <w:numFmt w:val="lowerRoman"/>
      <w:lvlText w:val="%6."/>
      <w:lvlJc w:val="right"/>
      <w:pPr>
        <w:ind w:left="4320" w:hanging="180"/>
      </w:pPr>
    </w:lvl>
    <w:lvl w:ilvl="6" w:tplc="A5D2D7EA" w:tentative="1">
      <w:start w:val="1"/>
      <w:numFmt w:val="decimal"/>
      <w:lvlText w:val="%7."/>
      <w:lvlJc w:val="left"/>
      <w:pPr>
        <w:ind w:left="5040" w:hanging="360"/>
      </w:pPr>
    </w:lvl>
    <w:lvl w:ilvl="7" w:tplc="DBCCBAE2" w:tentative="1">
      <w:start w:val="1"/>
      <w:numFmt w:val="lowerLetter"/>
      <w:lvlText w:val="%8."/>
      <w:lvlJc w:val="left"/>
      <w:pPr>
        <w:ind w:left="5760" w:hanging="360"/>
      </w:pPr>
    </w:lvl>
    <w:lvl w:ilvl="8" w:tplc="EAB8307C" w:tentative="1">
      <w:start w:val="1"/>
      <w:numFmt w:val="lowerRoman"/>
      <w:lvlText w:val="%9."/>
      <w:lvlJc w:val="right"/>
      <w:pPr>
        <w:ind w:left="6480" w:hanging="180"/>
      </w:pPr>
    </w:lvl>
  </w:abstractNum>
  <w:abstractNum w:abstractNumId="10" w15:restartNumberingAfterBreak="0">
    <w:nsid w:val="54BD0FB3"/>
    <w:multiLevelType w:val="hybridMultilevel"/>
    <w:tmpl w:val="96FA94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247C3E"/>
    <w:multiLevelType w:val="hybridMultilevel"/>
    <w:tmpl w:val="F22AC2AC"/>
    <w:lvl w:ilvl="0" w:tplc="93DA8B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85743FE"/>
    <w:multiLevelType w:val="hybridMultilevel"/>
    <w:tmpl w:val="57DAAD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70778A"/>
    <w:multiLevelType w:val="hybridMultilevel"/>
    <w:tmpl w:val="612AEC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782A0D"/>
    <w:multiLevelType w:val="hybridMultilevel"/>
    <w:tmpl w:val="2BB04A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D370CD7"/>
    <w:multiLevelType w:val="hybridMultilevel"/>
    <w:tmpl w:val="F11C711C"/>
    <w:lvl w:ilvl="0" w:tplc="1E1C6840">
      <w:start w:val="25"/>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5"/>
  </w:num>
  <w:num w:numId="5">
    <w:abstractNumId w:val="13"/>
  </w:num>
  <w:num w:numId="6">
    <w:abstractNumId w:val="14"/>
  </w:num>
  <w:num w:numId="7">
    <w:abstractNumId w:val="0"/>
  </w:num>
  <w:num w:numId="8">
    <w:abstractNumId w:val="10"/>
  </w:num>
  <w:num w:numId="9">
    <w:abstractNumId w:val="8"/>
  </w:num>
  <w:num w:numId="10">
    <w:abstractNumId w:val="15"/>
  </w:num>
  <w:num w:numId="11">
    <w:abstractNumId w:val="1"/>
  </w:num>
  <w:num w:numId="12">
    <w:abstractNumId w:val="2"/>
  </w:num>
  <w:num w:numId="13">
    <w:abstractNumId w:val="9"/>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F8"/>
    <w:rsid w:val="000256EB"/>
    <w:rsid w:val="000835F8"/>
    <w:rsid w:val="000A2043"/>
    <w:rsid w:val="00110AC9"/>
    <w:rsid w:val="00122596"/>
    <w:rsid w:val="001229FF"/>
    <w:rsid w:val="00123892"/>
    <w:rsid w:val="00143C4C"/>
    <w:rsid w:val="00144701"/>
    <w:rsid w:val="00161324"/>
    <w:rsid w:val="001C4160"/>
    <w:rsid w:val="001C7210"/>
    <w:rsid w:val="001D71A1"/>
    <w:rsid w:val="00227A0B"/>
    <w:rsid w:val="00232005"/>
    <w:rsid w:val="0027246A"/>
    <w:rsid w:val="00281EF7"/>
    <w:rsid w:val="002F5CB5"/>
    <w:rsid w:val="00320D99"/>
    <w:rsid w:val="00324F0A"/>
    <w:rsid w:val="00371F28"/>
    <w:rsid w:val="003745D0"/>
    <w:rsid w:val="003E4AC1"/>
    <w:rsid w:val="00426247"/>
    <w:rsid w:val="004758FE"/>
    <w:rsid w:val="00493FCD"/>
    <w:rsid w:val="004A14BA"/>
    <w:rsid w:val="004B2D1D"/>
    <w:rsid w:val="004B7E78"/>
    <w:rsid w:val="00542229"/>
    <w:rsid w:val="00554C30"/>
    <w:rsid w:val="005A5E8C"/>
    <w:rsid w:val="005F34D9"/>
    <w:rsid w:val="00641261"/>
    <w:rsid w:val="00642FB5"/>
    <w:rsid w:val="006607AD"/>
    <w:rsid w:val="00693233"/>
    <w:rsid w:val="006E3CAC"/>
    <w:rsid w:val="007718E8"/>
    <w:rsid w:val="00786F2D"/>
    <w:rsid w:val="007D4787"/>
    <w:rsid w:val="00800408"/>
    <w:rsid w:val="00860B92"/>
    <w:rsid w:val="00863A14"/>
    <w:rsid w:val="008D09BC"/>
    <w:rsid w:val="008F34C0"/>
    <w:rsid w:val="0093195B"/>
    <w:rsid w:val="00953D71"/>
    <w:rsid w:val="009B045F"/>
    <w:rsid w:val="00AB2D99"/>
    <w:rsid w:val="00AC624F"/>
    <w:rsid w:val="00AD7380"/>
    <w:rsid w:val="00B6098F"/>
    <w:rsid w:val="00B64DE1"/>
    <w:rsid w:val="00BA7AEA"/>
    <w:rsid w:val="00BC2754"/>
    <w:rsid w:val="00C000F7"/>
    <w:rsid w:val="00C051A1"/>
    <w:rsid w:val="00C12E12"/>
    <w:rsid w:val="00C4471A"/>
    <w:rsid w:val="00C52CF7"/>
    <w:rsid w:val="00C83479"/>
    <w:rsid w:val="00C9302D"/>
    <w:rsid w:val="00CD3DAA"/>
    <w:rsid w:val="00CE3E6F"/>
    <w:rsid w:val="00D64937"/>
    <w:rsid w:val="00D976DC"/>
    <w:rsid w:val="00DA2DBC"/>
    <w:rsid w:val="00DA2F26"/>
    <w:rsid w:val="00DD2446"/>
    <w:rsid w:val="00DE6583"/>
    <w:rsid w:val="00E11578"/>
    <w:rsid w:val="00E6315A"/>
    <w:rsid w:val="00E9365B"/>
    <w:rsid w:val="00EC411C"/>
    <w:rsid w:val="00EC6F29"/>
    <w:rsid w:val="00EF251F"/>
    <w:rsid w:val="00F35AAC"/>
    <w:rsid w:val="00F569AB"/>
    <w:rsid w:val="00F574F8"/>
    <w:rsid w:val="00F7513E"/>
    <w:rsid w:val="00F94719"/>
    <w:rsid w:val="00F9507A"/>
    <w:rsid w:val="00FE04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A19D"/>
  <w15:chartTrackingRefBased/>
  <w15:docId w15:val="{63E7D132-ECC7-4752-B83B-D1B3E995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F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74F8"/>
    <w:pPr>
      <w:spacing w:before="100" w:beforeAutospacing="1" w:after="100" w:afterAutospacing="1"/>
    </w:pPr>
  </w:style>
  <w:style w:type="paragraph" w:customStyle="1" w:styleId="naisf">
    <w:name w:val="naisf"/>
    <w:basedOn w:val="Normal"/>
    <w:rsid w:val="00F574F8"/>
    <w:pPr>
      <w:spacing w:before="75" w:after="75"/>
      <w:ind w:firstLine="375"/>
      <w:jc w:val="both"/>
    </w:pPr>
  </w:style>
  <w:style w:type="paragraph" w:customStyle="1" w:styleId="naisnod">
    <w:name w:val="naisnod"/>
    <w:basedOn w:val="Normal"/>
    <w:uiPriority w:val="99"/>
    <w:rsid w:val="00F574F8"/>
    <w:pPr>
      <w:spacing w:before="150" w:after="150"/>
      <w:jc w:val="center"/>
    </w:pPr>
    <w:rPr>
      <w:b/>
      <w:bCs/>
    </w:rPr>
  </w:style>
  <w:style w:type="paragraph" w:customStyle="1" w:styleId="naislab">
    <w:name w:val="naislab"/>
    <w:basedOn w:val="Normal"/>
    <w:uiPriority w:val="99"/>
    <w:rsid w:val="00F574F8"/>
    <w:pPr>
      <w:spacing w:before="75" w:after="75"/>
      <w:jc w:val="right"/>
    </w:pPr>
  </w:style>
  <w:style w:type="paragraph" w:customStyle="1" w:styleId="naiskr">
    <w:name w:val="naiskr"/>
    <w:basedOn w:val="Normal"/>
    <w:rsid w:val="00F574F8"/>
    <w:pPr>
      <w:spacing w:before="75" w:after="75"/>
    </w:pPr>
  </w:style>
  <w:style w:type="paragraph" w:customStyle="1" w:styleId="naisc">
    <w:name w:val="naisc"/>
    <w:basedOn w:val="Normal"/>
    <w:rsid w:val="00F574F8"/>
    <w:pPr>
      <w:spacing w:before="75" w:after="75"/>
      <w:jc w:val="center"/>
    </w:pPr>
  </w:style>
  <w:style w:type="paragraph" w:styleId="Header">
    <w:name w:val="header"/>
    <w:basedOn w:val="Normal"/>
    <w:link w:val="HeaderChar"/>
    <w:uiPriority w:val="99"/>
    <w:rsid w:val="00F574F8"/>
    <w:pPr>
      <w:tabs>
        <w:tab w:val="center" w:pos="4153"/>
        <w:tab w:val="right" w:pos="8306"/>
      </w:tabs>
    </w:pPr>
  </w:style>
  <w:style w:type="character" w:customStyle="1" w:styleId="HeaderChar">
    <w:name w:val="Header Char"/>
    <w:basedOn w:val="DefaultParagraphFont"/>
    <w:link w:val="Header"/>
    <w:uiPriority w:val="99"/>
    <w:rsid w:val="00F574F8"/>
    <w:rPr>
      <w:rFonts w:ascii="Times New Roman" w:eastAsia="Times New Roman" w:hAnsi="Times New Roman" w:cs="Times New Roman"/>
      <w:sz w:val="24"/>
      <w:szCs w:val="24"/>
      <w:lang w:eastAsia="lv-LV"/>
    </w:rPr>
  </w:style>
  <w:style w:type="character" w:styleId="PageNumber">
    <w:name w:val="page number"/>
    <w:uiPriority w:val="99"/>
    <w:rsid w:val="00F574F8"/>
    <w:rPr>
      <w:rFonts w:cs="Times New Roman"/>
    </w:rPr>
  </w:style>
  <w:style w:type="paragraph" w:styleId="Footer">
    <w:name w:val="footer"/>
    <w:basedOn w:val="Normal"/>
    <w:link w:val="FooterChar"/>
    <w:uiPriority w:val="99"/>
    <w:rsid w:val="00F574F8"/>
    <w:pPr>
      <w:tabs>
        <w:tab w:val="center" w:pos="4153"/>
        <w:tab w:val="right" w:pos="8306"/>
      </w:tabs>
    </w:pPr>
  </w:style>
  <w:style w:type="character" w:customStyle="1" w:styleId="FooterChar">
    <w:name w:val="Footer Char"/>
    <w:basedOn w:val="DefaultParagraphFont"/>
    <w:link w:val="Footer"/>
    <w:uiPriority w:val="99"/>
    <w:rsid w:val="00F574F8"/>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7718E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v213">
    <w:name w:val="tv213"/>
    <w:basedOn w:val="Normal"/>
    <w:rsid w:val="007D4787"/>
    <w:pPr>
      <w:spacing w:before="100" w:beforeAutospacing="1" w:after="100" w:afterAutospacing="1"/>
    </w:pPr>
  </w:style>
  <w:style w:type="character" w:styleId="Hyperlink">
    <w:name w:val="Hyperlink"/>
    <w:uiPriority w:val="99"/>
    <w:unhideWhenUsed/>
    <w:rsid w:val="00F7513E"/>
    <w:rPr>
      <w:color w:val="0000FF"/>
      <w:u w:val="single"/>
    </w:rPr>
  </w:style>
  <w:style w:type="paragraph" w:styleId="CommentText">
    <w:name w:val="annotation text"/>
    <w:basedOn w:val="Normal"/>
    <w:link w:val="CommentTextChar"/>
    <w:uiPriority w:val="99"/>
    <w:unhideWhenUsed/>
    <w:rsid w:val="00786F2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86F2D"/>
    <w:rPr>
      <w:sz w:val="20"/>
      <w:szCs w:val="20"/>
    </w:rPr>
  </w:style>
  <w:style w:type="character" w:styleId="CommentReference">
    <w:name w:val="annotation reference"/>
    <w:basedOn w:val="DefaultParagraphFont"/>
    <w:uiPriority w:val="99"/>
    <w:semiHidden/>
    <w:unhideWhenUsed/>
    <w:rsid w:val="00786F2D"/>
    <w:rPr>
      <w:sz w:val="16"/>
      <w:szCs w:val="16"/>
    </w:rPr>
  </w:style>
  <w:style w:type="paragraph" w:styleId="BalloonText">
    <w:name w:val="Balloon Text"/>
    <w:basedOn w:val="Normal"/>
    <w:link w:val="BalloonTextChar"/>
    <w:uiPriority w:val="99"/>
    <w:semiHidden/>
    <w:unhideWhenUsed/>
    <w:rsid w:val="00786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F2D"/>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E9365B"/>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E9365B"/>
    <w:rPr>
      <w:rFonts w:ascii="Times New Roman" w:eastAsia="Times New Roman" w:hAnsi="Times New Roman" w:cs="Times New Roman"/>
      <w:b/>
      <w:bCs/>
      <w:sz w:val="20"/>
      <w:szCs w:val="20"/>
      <w:lang w:eastAsia="lv-LV"/>
    </w:rPr>
  </w:style>
  <w:style w:type="character" w:styleId="FootnoteReference">
    <w:name w:val="footnote reference"/>
    <w:semiHidden/>
    <w:rsid w:val="001D71A1"/>
    <w:rPr>
      <w:rFonts w:ascii="Times New Roman" w:hAnsi="Times New Roman"/>
      <w:vertAlign w:val="superscript"/>
    </w:rPr>
  </w:style>
  <w:style w:type="character" w:customStyle="1" w:styleId="ListParagraphChar">
    <w:name w:val="List Paragraph Char"/>
    <w:link w:val="ListParagraph"/>
    <w:uiPriority w:val="34"/>
    <w:rsid w:val="00542229"/>
  </w:style>
  <w:style w:type="paragraph" w:styleId="HTMLPreformatted">
    <w:name w:val="HTML Preformatted"/>
    <w:basedOn w:val="Normal"/>
    <w:link w:val="HTMLPreformattedChar"/>
    <w:uiPriority w:val="99"/>
    <w:unhideWhenUsed/>
    <w:rsid w:val="001C41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C4160"/>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647797">
      <w:bodyDiv w:val="1"/>
      <w:marLeft w:val="0"/>
      <w:marRight w:val="0"/>
      <w:marTop w:val="0"/>
      <w:marBottom w:val="0"/>
      <w:divBdr>
        <w:top w:val="none" w:sz="0" w:space="0" w:color="auto"/>
        <w:left w:val="none" w:sz="0" w:space="0" w:color="auto"/>
        <w:bottom w:val="none" w:sz="0" w:space="0" w:color="auto"/>
        <w:right w:val="none" w:sz="0" w:space="0" w:color="auto"/>
      </w:divBdr>
    </w:div>
    <w:div w:id="1685476626">
      <w:bodyDiv w:val="1"/>
      <w:marLeft w:val="0"/>
      <w:marRight w:val="0"/>
      <w:marTop w:val="0"/>
      <w:marBottom w:val="0"/>
      <w:divBdr>
        <w:top w:val="none" w:sz="0" w:space="0" w:color="auto"/>
        <w:left w:val="none" w:sz="0" w:space="0" w:color="auto"/>
        <w:bottom w:val="none" w:sz="0" w:space="0" w:color="auto"/>
        <w:right w:val="none" w:sz="0" w:space="0" w:color="auto"/>
      </w:divBdr>
    </w:div>
    <w:div w:id="1781295354">
      <w:bodyDiv w:val="1"/>
      <w:marLeft w:val="0"/>
      <w:marRight w:val="0"/>
      <w:marTop w:val="0"/>
      <w:marBottom w:val="0"/>
      <w:divBdr>
        <w:top w:val="none" w:sz="0" w:space="0" w:color="auto"/>
        <w:left w:val="none" w:sz="0" w:space="0" w:color="auto"/>
        <w:bottom w:val="none" w:sz="0" w:space="0" w:color="auto"/>
        <w:right w:val="none" w:sz="0" w:space="0" w:color="auto"/>
      </w:divBdr>
    </w:div>
    <w:div w:id="18250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Sproge@iem.gov.lv" TargetMode="External"/><Relationship Id="rId3" Type="http://schemas.openxmlformats.org/officeDocument/2006/relationships/settings" Target="settings.xml"/><Relationship Id="rId7" Type="http://schemas.openxmlformats.org/officeDocument/2006/relationships/hyperlink" Target="https://viss.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26</Pages>
  <Words>24850</Words>
  <Characters>14165</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Sproģe</dc:creator>
  <cp:keywords/>
  <dc:description/>
  <cp:lastModifiedBy>Inese Sproģe</cp:lastModifiedBy>
  <cp:revision>35</cp:revision>
  <dcterms:created xsi:type="dcterms:W3CDTF">2021-02-12T07:10:00Z</dcterms:created>
  <dcterms:modified xsi:type="dcterms:W3CDTF">2021-05-14T11:22:00Z</dcterms:modified>
</cp:coreProperties>
</file>