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0" w:rsidRPr="00540C99" w:rsidRDefault="00BA0BA3">
      <w:pPr>
        <w:pBdr>
          <w:top w:val="nil"/>
          <w:left w:val="nil"/>
          <w:bottom w:val="nil"/>
          <w:right w:val="nil"/>
          <w:between w:val="nil"/>
        </w:pBdr>
        <w:ind w:firstLine="720"/>
        <w:jc w:val="center"/>
        <w:rPr>
          <w:b/>
          <w:sz w:val="28"/>
          <w:szCs w:val="28"/>
        </w:rPr>
      </w:pPr>
      <w:bookmarkStart w:id="0" w:name="_GoBack"/>
      <w:bookmarkEnd w:id="0"/>
      <w:r w:rsidRPr="00540C99">
        <w:rPr>
          <w:b/>
          <w:sz w:val="28"/>
          <w:szCs w:val="28"/>
        </w:rPr>
        <w:t>Izziņa par atzinumos sniegtajiem iebildumiem</w:t>
      </w:r>
    </w:p>
    <w:p w:rsidR="00C132BF" w:rsidRPr="00C132BF" w:rsidRDefault="00C132BF" w:rsidP="00C132BF">
      <w:pPr>
        <w:pBdr>
          <w:top w:val="nil"/>
          <w:left w:val="nil"/>
          <w:bottom w:val="nil"/>
          <w:right w:val="nil"/>
          <w:between w:val="nil"/>
        </w:pBdr>
        <w:ind w:firstLine="720"/>
        <w:jc w:val="center"/>
        <w:rPr>
          <w:b/>
          <w:bCs/>
          <w:color w:val="000000"/>
          <w:sz w:val="28"/>
          <w:szCs w:val="28"/>
        </w:rPr>
      </w:pPr>
      <w:r>
        <w:rPr>
          <w:b/>
          <w:color w:val="000000"/>
          <w:sz w:val="28"/>
          <w:szCs w:val="28"/>
        </w:rPr>
        <w:t>par</w:t>
      </w:r>
      <w:r w:rsidRPr="00C132BF">
        <w:rPr>
          <w:b/>
          <w:bCs/>
          <w:color w:val="000000"/>
          <w:sz w:val="28"/>
          <w:szCs w:val="28"/>
        </w:rPr>
        <w:t xml:space="preserve"> </w:t>
      </w:r>
      <w:r w:rsidR="00700E03">
        <w:rPr>
          <w:b/>
          <w:bCs/>
          <w:color w:val="000000"/>
          <w:sz w:val="28"/>
          <w:szCs w:val="28"/>
        </w:rPr>
        <w:t>likum</w:t>
      </w:r>
      <w:r w:rsidRPr="00C132BF">
        <w:rPr>
          <w:b/>
          <w:bCs/>
          <w:color w:val="000000"/>
          <w:sz w:val="28"/>
          <w:szCs w:val="28"/>
        </w:rPr>
        <w:t>projektu</w:t>
      </w:r>
    </w:p>
    <w:p w:rsidR="00C132BF" w:rsidRPr="00C132BF" w:rsidRDefault="007F09D9" w:rsidP="00700E03">
      <w:pPr>
        <w:pBdr>
          <w:top w:val="nil"/>
          <w:left w:val="nil"/>
          <w:bottom w:val="nil"/>
          <w:right w:val="nil"/>
          <w:between w:val="nil"/>
        </w:pBdr>
        <w:ind w:firstLine="720"/>
        <w:jc w:val="center"/>
        <w:rPr>
          <w:b/>
          <w:color w:val="000000"/>
          <w:sz w:val="28"/>
          <w:szCs w:val="28"/>
        </w:rPr>
      </w:pPr>
      <w:r>
        <w:rPr>
          <w:b/>
          <w:color w:val="000000"/>
          <w:sz w:val="28"/>
          <w:szCs w:val="28"/>
        </w:rPr>
        <w:t>“</w:t>
      </w:r>
      <w:r w:rsidR="00700E03">
        <w:rPr>
          <w:b/>
          <w:color w:val="000000"/>
          <w:sz w:val="28"/>
          <w:szCs w:val="28"/>
        </w:rPr>
        <w:t>Grozījumi Ieroču aprites likumā</w:t>
      </w:r>
      <w:r>
        <w:rPr>
          <w:b/>
          <w:color w:val="000000"/>
          <w:sz w:val="28"/>
          <w:szCs w:val="28"/>
        </w:rPr>
        <w:t xml:space="preserve">” </w:t>
      </w:r>
      <w:r w:rsidR="00700E03">
        <w:rPr>
          <w:b/>
          <w:color w:val="000000"/>
          <w:sz w:val="28"/>
          <w:szCs w:val="28"/>
        </w:rPr>
        <w:t>(VSS-16</w:t>
      </w:r>
      <w:r w:rsidR="00C132BF" w:rsidRPr="00C132BF">
        <w:rPr>
          <w:b/>
          <w:color w:val="000000"/>
          <w:sz w:val="28"/>
          <w:szCs w:val="28"/>
        </w:rPr>
        <w:t>)</w:t>
      </w:r>
    </w:p>
    <w:p w:rsidR="000635C0" w:rsidRDefault="000635C0">
      <w:pPr>
        <w:pBdr>
          <w:top w:val="nil"/>
          <w:left w:val="nil"/>
          <w:bottom w:val="nil"/>
          <w:right w:val="nil"/>
          <w:between w:val="nil"/>
        </w:pBdr>
        <w:ind w:firstLine="720"/>
        <w:jc w:val="center"/>
        <w:rPr>
          <w:b/>
          <w:color w:val="000000"/>
          <w:sz w:val="28"/>
          <w:szCs w:val="28"/>
        </w:rPr>
      </w:pPr>
    </w:p>
    <w:p w:rsidR="000635C0" w:rsidRDefault="000635C0">
      <w:pPr>
        <w:pBdr>
          <w:top w:val="nil"/>
          <w:left w:val="nil"/>
          <w:bottom w:val="nil"/>
          <w:right w:val="nil"/>
          <w:between w:val="nil"/>
        </w:pBdr>
        <w:ind w:firstLine="720"/>
        <w:jc w:val="both"/>
        <w:rPr>
          <w:color w:val="000000"/>
        </w:rPr>
      </w:pPr>
    </w:p>
    <w:p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3086"/>
        <w:gridCol w:w="3118"/>
        <w:gridCol w:w="2977"/>
        <w:gridCol w:w="2459"/>
        <w:gridCol w:w="1935"/>
      </w:tblGrid>
      <w:tr w:rsidR="000635C0">
        <w:tc>
          <w:tcPr>
            <w:tcW w:w="708"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jc w:val="center"/>
              <w:rPr>
                <w:color w:val="000000"/>
              </w:rPr>
            </w:pPr>
            <w:r>
              <w:rPr>
                <w:color w:val="00000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21"/>
              <w:jc w:val="center"/>
              <w:rPr>
                <w:color w:val="000000"/>
              </w:rPr>
            </w:pPr>
            <w:r>
              <w:rPr>
                <w:color w:val="000000"/>
              </w:rP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vAlign w:val="center"/>
          </w:tcPr>
          <w:p w:rsidR="000635C0" w:rsidRDefault="00BA0BA3">
            <w:pPr>
              <w:jc w:val="center"/>
            </w:pPr>
            <w: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tcBorders>
            <w:vAlign w:val="center"/>
          </w:tcPr>
          <w:p w:rsidR="000635C0" w:rsidRDefault="00BA0BA3">
            <w:pPr>
              <w:jc w:val="center"/>
            </w:pPr>
            <w:r>
              <w:t>Projekta attiecīgā punkta (panta) galīgā redakcija</w:t>
            </w:r>
          </w:p>
        </w:tc>
      </w:tr>
      <w:tr w:rsidR="000635C0">
        <w:tc>
          <w:tcPr>
            <w:tcW w:w="70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459" w:type="dxa"/>
            <w:tcBorders>
              <w:top w:val="single" w:sz="4" w:space="0" w:color="000000"/>
              <w:left w:val="single" w:sz="4" w:space="0" w:color="000000"/>
              <w:bottom w:val="single" w:sz="4" w:space="0" w:color="000000"/>
              <w:right w:val="single" w:sz="4" w:space="0" w:color="000000"/>
            </w:tcBorders>
          </w:tcPr>
          <w:p w:rsidR="000635C0" w:rsidRDefault="00BA0BA3">
            <w:pPr>
              <w:jc w:val="center"/>
              <w:rPr>
                <w:sz w:val="20"/>
                <w:szCs w:val="20"/>
              </w:rPr>
            </w:pPr>
            <w:r>
              <w:rPr>
                <w:sz w:val="20"/>
                <w:szCs w:val="20"/>
              </w:rPr>
              <w:t>5</w:t>
            </w:r>
          </w:p>
        </w:tc>
        <w:tc>
          <w:tcPr>
            <w:tcW w:w="1935"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6</w:t>
            </w:r>
          </w:p>
        </w:tc>
      </w:tr>
    </w:tbl>
    <w:p w:rsidR="000635C0" w:rsidRDefault="000635C0">
      <w:pPr>
        <w:pBdr>
          <w:top w:val="nil"/>
          <w:left w:val="nil"/>
          <w:bottom w:val="nil"/>
          <w:right w:val="nil"/>
          <w:between w:val="nil"/>
        </w:pBdr>
        <w:jc w:val="both"/>
        <w:rPr>
          <w:color w:val="000000"/>
        </w:rPr>
      </w:pPr>
    </w:p>
    <w:p w:rsidR="000635C0" w:rsidRDefault="00BA0BA3">
      <w:pPr>
        <w:pBdr>
          <w:top w:val="nil"/>
          <w:left w:val="nil"/>
          <w:bottom w:val="nil"/>
          <w:right w:val="nil"/>
          <w:between w:val="nil"/>
        </w:pBdr>
        <w:jc w:val="both"/>
        <w:rPr>
          <w:color w:val="000000"/>
        </w:rPr>
      </w:pPr>
      <w:r>
        <w:rPr>
          <w:b/>
          <w:color w:val="000000"/>
        </w:rPr>
        <w:t xml:space="preserve">Informācija par </w:t>
      </w:r>
      <w:proofErr w:type="spellStart"/>
      <w:r>
        <w:rPr>
          <w:b/>
          <w:color w:val="000000"/>
        </w:rPr>
        <w:t>starpministriju</w:t>
      </w:r>
      <w:proofErr w:type="spellEnd"/>
      <w:r>
        <w:rPr>
          <w:b/>
          <w:color w:val="000000"/>
        </w:rPr>
        <w:t xml:space="preserve"> (starpinstitūciju) sanāksmi vai elektronisko saskaņošanu</w:t>
      </w:r>
    </w:p>
    <w:p w:rsidR="000635C0" w:rsidRDefault="000635C0">
      <w:pPr>
        <w:pBdr>
          <w:top w:val="nil"/>
          <w:left w:val="nil"/>
          <w:bottom w:val="nil"/>
          <w:right w:val="nil"/>
          <w:between w:val="nil"/>
        </w:pBdr>
        <w:jc w:val="both"/>
        <w:rPr>
          <w:color w:val="000000"/>
        </w:rPr>
      </w:pPr>
    </w:p>
    <w:tbl>
      <w:tblPr>
        <w:tblStyle w:val="a0"/>
        <w:tblW w:w="12581" w:type="dxa"/>
        <w:tblLayout w:type="fixed"/>
        <w:tblLook w:val="0000" w:firstRow="0" w:lastRow="0" w:firstColumn="0" w:lastColumn="0" w:noHBand="0" w:noVBand="0"/>
      </w:tblPr>
      <w:tblGrid>
        <w:gridCol w:w="6344"/>
        <w:gridCol w:w="1203"/>
        <w:gridCol w:w="5034"/>
      </w:tblGrid>
      <w:tr w:rsidR="000635C0">
        <w:tc>
          <w:tcPr>
            <w:tcW w:w="6345" w:type="dxa"/>
          </w:tcPr>
          <w:p w:rsidR="000635C0" w:rsidRDefault="00BA0BA3">
            <w:pPr>
              <w:pBdr>
                <w:top w:val="nil"/>
                <w:left w:val="nil"/>
                <w:bottom w:val="nil"/>
                <w:right w:val="nil"/>
                <w:between w:val="nil"/>
              </w:pBdr>
              <w:jc w:val="both"/>
              <w:rPr>
                <w:color w:val="000000"/>
              </w:rPr>
            </w:pPr>
            <w:r>
              <w:rPr>
                <w:color w:val="000000"/>
              </w:rPr>
              <w:t>Datums</w:t>
            </w:r>
          </w:p>
        </w:tc>
        <w:tc>
          <w:tcPr>
            <w:tcW w:w="6237" w:type="dxa"/>
            <w:gridSpan w:val="2"/>
            <w:tcBorders>
              <w:bottom w:val="single" w:sz="4" w:space="0" w:color="000000"/>
            </w:tcBorders>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0635C0">
            <w:pPr>
              <w:pBdr>
                <w:top w:val="nil"/>
                <w:left w:val="nil"/>
                <w:bottom w:val="nil"/>
                <w:right w:val="nil"/>
                <w:between w:val="nil"/>
              </w:pBdr>
              <w:jc w:val="both"/>
              <w:rPr>
                <w:color w:val="000000"/>
              </w:rPr>
            </w:pPr>
          </w:p>
        </w:tc>
        <w:tc>
          <w:tcPr>
            <w:tcW w:w="6237" w:type="dxa"/>
            <w:gridSpan w:val="2"/>
            <w:tcBorders>
              <w:top w:val="single" w:sz="4" w:space="0" w:color="000000"/>
            </w:tcBorders>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BA0BA3">
            <w:pPr>
              <w:pBdr>
                <w:top w:val="nil"/>
                <w:left w:val="nil"/>
                <w:bottom w:val="nil"/>
                <w:right w:val="nil"/>
                <w:between w:val="nil"/>
              </w:pBdr>
              <w:rPr>
                <w:color w:val="000000"/>
              </w:rPr>
            </w:pPr>
            <w:r>
              <w:rPr>
                <w:color w:val="000000"/>
              </w:rPr>
              <w:t>Saskaņošanas dalībnieki</w:t>
            </w:r>
          </w:p>
        </w:tc>
        <w:tc>
          <w:tcPr>
            <w:tcW w:w="6237" w:type="dxa"/>
            <w:gridSpan w:val="2"/>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BA0BA3">
            <w:pPr>
              <w:pBdr>
                <w:top w:val="nil"/>
                <w:left w:val="nil"/>
                <w:bottom w:val="nil"/>
                <w:right w:val="nil"/>
                <w:between w:val="nil"/>
              </w:pBdr>
              <w:ind w:firstLine="720"/>
              <w:rPr>
                <w:color w:val="000000"/>
              </w:rPr>
            </w:pPr>
            <w:r>
              <w:rPr>
                <w:color w:val="000000"/>
              </w:rPr>
              <w:t>  </w:t>
            </w:r>
          </w:p>
        </w:tc>
        <w:tc>
          <w:tcPr>
            <w:tcW w:w="6237" w:type="dxa"/>
            <w:gridSpan w:val="2"/>
            <w:tcBorders>
              <w:top w:val="single" w:sz="6" w:space="0" w:color="000000"/>
              <w:bottom w:val="single" w:sz="6" w:space="0" w:color="000000"/>
            </w:tcBorders>
          </w:tcPr>
          <w:p w:rsidR="000635C0" w:rsidRDefault="000635C0">
            <w:pPr>
              <w:pBdr>
                <w:top w:val="nil"/>
                <w:left w:val="nil"/>
                <w:bottom w:val="nil"/>
                <w:right w:val="nil"/>
                <w:between w:val="nil"/>
              </w:pBdr>
              <w:ind w:firstLine="720"/>
              <w:rPr>
                <w:color w:val="000000"/>
              </w:rPr>
            </w:pPr>
          </w:p>
        </w:tc>
      </w:tr>
      <w:tr w:rsidR="000635C0">
        <w:trPr>
          <w:trHeight w:val="280"/>
        </w:trPr>
        <w:tc>
          <w:tcPr>
            <w:tcW w:w="6345" w:type="dxa"/>
          </w:tcPr>
          <w:p w:rsidR="000635C0" w:rsidRDefault="000635C0">
            <w:pPr>
              <w:pBdr>
                <w:top w:val="nil"/>
                <w:left w:val="nil"/>
                <w:bottom w:val="nil"/>
                <w:right w:val="nil"/>
                <w:between w:val="nil"/>
              </w:pBdr>
              <w:rPr>
                <w:color w:val="000000"/>
              </w:rPr>
            </w:pPr>
          </w:p>
        </w:tc>
        <w:tc>
          <w:tcPr>
            <w:tcW w:w="1203" w:type="dxa"/>
          </w:tcPr>
          <w:p w:rsidR="000635C0" w:rsidRDefault="000635C0">
            <w:pPr>
              <w:pBdr>
                <w:top w:val="nil"/>
                <w:left w:val="nil"/>
                <w:bottom w:val="nil"/>
                <w:right w:val="nil"/>
                <w:between w:val="nil"/>
              </w:pBdr>
              <w:ind w:firstLine="720"/>
              <w:rPr>
                <w:color w:val="000000"/>
              </w:rPr>
            </w:pPr>
          </w:p>
        </w:tc>
        <w:tc>
          <w:tcPr>
            <w:tcW w:w="5034" w:type="dxa"/>
          </w:tcPr>
          <w:p w:rsidR="000635C0" w:rsidRDefault="000635C0">
            <w:pPr>
              <w:pBdr>
                <w:top w:val="nil"/>
                <w:left w:val="nil"/>
                <w:bottom w:val="nil"/>
                <w:right w:val="nil"/>
                <w:between w:val="nil"/>
              </w:pBdr>
              <w:ind w:firstLine="12"/>
              <w:rPr>
                <w:color w:val="000000"/>
              </w:rPr>
            </w:pPr>
          </w:p>
        </w:tc>
      </w:tr>
    </w:tbl>
    <w:p w:rsidR="000635C0" w:rsidRDefault="000635C0"/>
    <w:tbl>
      <w:tblPr>
        <w:tblStyle w:val="a1"/>
        <w:tblW w:w="12581" w:type="dxa"/>
        <w:tblLayout w:type="fixed"/>
        <w:tblLook w:val="0000" w:firstRow="0" w:lastRow="0" w:firstColumn="0" w:lastColumn="0" w:noHBand="0" w:noVBand="0"/>
      </w:tblPr>
      <w:tblGrid>
        <w:gridCol w:w="6707"/>
        <w:gridCol w:w="840"/>
        <w:gridCol w:w="5034"/>
      </w:tblGrid>
      <w:tr w:rsidR="000635C0">
        <w:trPr>
          <w:trHeight w:val="280"/>
        </w:trPr>
        <w:tc>
          <w:tcPr>
            <w:tcW w:w="6708" w:type="dxa"/>
          </w:tcPr>
          <w:p w:rsidR="000635C0" w:rsidRDefault="00BA0BA3">
            <w:pPr>
              <w:pBdr>
                <w:top w:val="nil"/>
                <w:left w:val="nil"/>
                <w:bottom w:val="nil"/>
                <w:right w:val="nil"/>
                <w:between w:val="nil"/>
              </w:pBdr>
              <w:rPr>
                <w:color w:val="000000"/>
              </w:rPr>
            </w:pPr>
            <w:r>
              <w:rPr>
                <w:color w:val="000000"/>
              </w:rPr>
              <w:t>Saskaņošanas dalībnieki izskatīja šādu ministriju (citu institūciju) iebildumus</w:t>
            </w:r>
          </w:p>
        </w:tc>
        <w:tc>
          <w:tcPr>
            <w:tcW w:w="840" w:type="dxa"/>
          </w:tcPr>
          <w:p w:rsidR="000635C0" w:rsidRDefault="000635C0">
            <w:pPr>
              <w:pBdr>
                <w:top w:val="nil"/>
                <w:left w:val="nil"/>
                <w:bottom w:val="nil"/>
                <w:right w:val="nil"/>
                <w:between w:val="nil"/>
              </w:pBdr>
              <w:ind w:firstLine="720"/>
              <w:rPr>
                <w:color w:val="000000"/>
              </w:rPr>
            </w:pPr>
          </w:p>
        </w:tc>
        <w:tc>
          <w:tcPr>
            <w:tcW w:w="5034" w:type="dxa"/>
          </w:tcPr>
          <w:p w:rsidR="000635C0" w:rsidRDefault="000635C0">
            <w:pPr>
              <w:pBdr>
                <w:top w:val="nil"/>
                <w:left w:val="nil"/>
                <w:bottom w:val="nil"/>
                <w:right w:val="nil"/>
                <w:between w:val="nil"/>
              </w:pBdr>
              <w:ind w:firstLine="12"/>
              <w:rPr>
                <w:color w:val="000000"/>
              </w:rPr>
            </w:pPr>
          </w:p>
        </w:tc>
      </w:tr>
      <w:tr w:rsidR="000635C0">
        <w:trPr>
          <w:trHeight w:val="460"/>
        </w:trPr>
        <w:tc>
          <w:tcPr>
            <w:tcW w:w="6708" w:type="dxa"/>
          </w:tcPr>
          <w:p w:rsidR="000635C0" w:rsidRDefault="00BA0BA3">
            <w:pPr>
              <w:pBdr>
                <w:top w:val="nil"/>
                <w:left w:val="nil"/>
                <w:bottom w:val="nil"/>
                <w:right w:val="nil"/>
                <w:between w:val="nil"/>
              </w:pBdr>
              <w:ind w:firstLine="720"/>
              <w:rPr>
                <w:color w:val="000000"/>
              </w:rPr>
            </w:pPr>
            <w:r>
              <w:rPr>
                <w:color w:val="000000"/>
              </w:rPr>
              <w:t>  </w:t>
            </w:r>
          </w:p>
        </w:tc>
        <w:tc>
          <w:tcPr>
            <w:tcW w:w="5874" w:type="dxa"/>
            <w:gridSpan w:val="2"/>
            <w:tcBorders>
              <w:top w:val="single" w:sz="6" w:space="0" w:color="000000"/>
              <w:bottom w:val="single" w:sz="6" w:space="0" w:color="000000"/>
            </w:tcBorders>
          </w:tcPr>
          <w:p w:rsidR="000635C0" w:rsidRDefault="00BE779B">
            <w:pPr>
              <w:pBdr>
                <w:top w:val="nil"/>
                <w:left w:val="nil"/>
                <w:bottom w:val="nil"/>
                <w:right w:val="nil"/>
                <w:between w:val="nil"/>
              </w:pBdr>
              <w:ind w:firstLine="720"/>
              <w:rPr>
                <w:color w:val="000000"/>
              </w:rPr>
            </w:pPr>
            <w:r w:rsidRPr="00BE779B">
              <w:rPr>
                <w:b/>
                <w:color w:val="000000"/>
              </w:rPr>
              <w:t>Tieslietu ministrijas</w:t>
            </w:r>
            <w:r>
              <w:rPr>
                <w:b/>
                <w:color w:val="000000"/>
              </w:rPr>
              <w:t xml:space="preserve"> un </w:t>
            </w:r>
            <w:r w:rsidRPr="00BE779B">
              <w:rPr>
                <w:b/>
                <w:color w:val="000000"/>
              </w:rPr>
              <w:t>Vides aizsardzības un reģionālās attīstības ministrija</w:t>
            </w:r>
            <w:r>
              <w:rPr>
                <w:b/>
                <w:color w:val="000000"/>
              </w:rPr>
              <w:t>s</w:t>
            </w:r>
          </w:p>
        </w:tc>
      </w:tr>
      <w:tr w:rsidR="000635C0">
        <w:trPr>
          <w:trHeight w:val="460"/>
        </w:trPr>
        <w:tc>
          <w:tcPr>
            <w:tcW w:w="12582" w:type="dxa"/>
            <w:gridSpan w:val="3"/>
          </w:tcPr>
          <w:p w:rsidR="000635C0" w:rsidRDefault="000635C0">
            <w:pPr>
              <w:pBdr>
                <w:top w:val="nil"/>
                <w:left w:val="nil"/>
                <w:bottom w:val="nil"/>
                <w:right w:val="nil"/>
                <w:between w:val="nil"/>
              </w:pBdr>
              <w:ind w:left="4820" w:firstLine="720"/>
              <w:jc w:val="center"/>
              <w:rPr>
                <w:color w:val="000000"/>
              </w:rPr>
            </w:pPr>
          </w:p>
        </w:tc>
      </w:tr>
      <w:tr w:rsidR="000635C0">
        <w:tc>
          <w:tcPr>
            <w:tcW w:w="6708" w:type="dxa"/>
          </w:tcPr>
          <w:p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5874" w:type="dxa"/>
            <w:gridSpan w:val="2"/>
          </w:tcPr>
          <w:p w:rsidR="000635C0" w:rsidRDefault="000635C0">
            <w:pPr>
              <w:pBdr>
                <w:top w:val="nil"/>
                <w:left w:val="nil"/>
                <w:bottom w:val="nil"/>
                <w:right w:val="nil"/>
                <w:between w:val="nil"/>
              </w:pBdr>
              <w:ind w:firstLine="720"/>
              <w:rPr>
                <w:color w:val="000000"/>
              </w:rPr>
            </w:pPr>
          </w:p>
        </w:tc>
      </w:tr>
      <w:tr w:rsidR="000635C0">
        <w:tc>
          <w:tcPr>
            <w:tcW w:w="6708" w:type="dxa"/>
          </w:tcPr>
          <w:p w:rsidR="000635C0" w:rsidRDefault="00BA0BA3" w:rsidP="008503EE">
            <w:pPr>
              <w:pBdr>
                <w:top w:val="nil"/>
                <w:left w:val="nil"/>
                <w:bottom w:val="nil"/>
                <w:right w:val="nil"/>
                <w:between w:val="nil"/>
              </w:pBdr>
              <w:tabs>
                <w:tab w:val="left" w:pos="1695"/>
              </w:tabs>
              <w:ind w:firstLine="720"/>
              <w:rPr>
                <w:color w:val="000000"/>
              </w:rPr>
            </w:pPr>
            <w:r>
              <w:rPr>
                <w:color w:val="000000"/>
              </w:rPr>
              <w:t>  </w:t>
            </w:r>
            <w:r w:rsidR="008503EE">
              <w:rPr>
                <w:color w:val="000000"/>
              </w:rPr>
              <w:tab/>
            </w:r>
          </w:p>
        </w:tc>
        <w:tc>
          <w:tcPr>
            <w:tcW w:w="5874" w:type="dxa"/>
            <w:gridSpan w:val="2"/>
            <w:tcBorders>
              <w:top w:val="single" w:sz="6" w:space="0" w:color="000000"/>
              <w:bottom w:val="single" w:sz="6" w:space="0" w:color="000000"/>
            </w:tcBorders>
          </w:tcPr>
          <w:p w:rsidR="000635C0" w:rsidRDefault="000635C0">
            <w:pPr>
              <w:pBdr>
                <w:top w:val="nil"/>
                <w:left w:val="nil"/>
                <w:bottom w:val="nil"/>
                <w:right w:val="nil"/>
                <w:between w:val="nil"/>
              </w:pBdr>
              <w:ind w:firstLine="720"/>
              <w:rPr>
                <w:color w:val="000000"/>
              </w:rPr>
            </w:pPr>
          </w:p>
        </w:tc>
      </w:tr>
      <w:tr w:rsidR="000635C0">
        <w:tc>
          <w:tcPr>
            <w:tcW w:w="6708" w:type="dxa"/>
          </w:tcPr>
          <w:p w:rsidR="000635C0" w:rsidRDefault="00BA0BA3">
            <w:pPr>
              <w:pBdr>
                <w:top w:val="nil"/>
                <w:left w:val="nil"/>
                <w:bottom w:val="nil"/>
                <w:right w:val="nil"/>
                <w:between w:val="nil"/>
              </w:pBdr>
              <w:ind w:firstLine="720"/>
              <w:rPr>
                <w:color w:val="000000"/>
              </w:rPr>
            </w:pPr>
            <w:r>
              <w:rPr>
                <w:color w:val="000000"/>
              </w:rPr>
              <w:lastRenderedPageBreak/>
              <w:t>  </w:t>
            </w:r>
          </w:p>
        </w:tc>
        <w:tc>
          <w:tcPr>
            <w:tcW w:w="5874" w:type="dxa"/>
            <w:gridSpan w:val="2"/>
            <w:tcBorders>
              <w:bottom w:val="single" w:sz="6" w:space="0" w:color="000000"/>
            </w:tcBorders>
          </w:tcPr>
          <w:p w:rsidR="000635C0" w:rsidRDefault="000635C0">
            <w:pPr>
              <w:pBdr>
                <w:top w:val="nil"/>
                <w:left w:val="nil"/>
                <w:bottom w:val="nil"/>
                <w:right w:val="nil"/>
                <w:between w:val="nil"/>
              </w:pBdr>
              <w:ind w:firstLine="720"/>
              <w:rPr>
                <w:color w:val="000000"/>
              </w:rPr>
            </w:pPr>
          </w:p>
        </w:tc>
      </w:tr>
    </w:tbl>
    <w:p w:rsidR="000635C0" w:rsidRDefault="000635C0">
      <w:pPr>
        <w:pBdr>
          <w:top w:val="nil"/>
          <w:left w:val="nil"/>
          <w:bottom w:val="nil"/>
          <w:right w:val="nil"/>
          <w:between w:val="nil"/>
        </w:pBdr>
        <w:ind w:firstLine="720"/>
        <w:jc w:val="both"/>
        <w:rPr>
          <w:color w:val="000000"/>
        </w:rPr>
      </w:pPr>
    </w:p>
    <w:p w:rsidR="001A3CFD" w:rsidRDefault="001A3CFD">
      <w:pPr>
        <w:pBdr>
          <w:top w:val="nil"/>
          <w:left w:val="nil"/>
          <w:bottom w:val="nil"/>
          <w:right w:val="nil"/>
          <w:between w:val="nil"/>
        </w:pBdr>
        <w:jc w:val="center"/>
        <w:rPr>
          <w:b/>
          <w:color w:val="000000"/>
        </w:rPr>
      </w:pPr>
    </w:p>
    <w:p w:rsidR="000635C0" w:rsidRDefault="00BA0BA3">
      <w:pPr>
        <w:pBdr>
          <w:top w:val="nil"/>
          <w:left w:val="nil"/>
          <w:bottom w:val="nil"/>
          <w:right w:val="nil"/>
          <w:between w:val="nil"/>
        </w:pBdr>
        <w:jc w:val="center"/>
        <w:rPr>
          <w:color w:val="000000"/>
        </w:rPr>
      </w:pPr>
      <w:r>
        <w:rPr>
          <w:b/>
          <w:color w:val="000000"/>
        </w:rPr>
        <w:t>II. Jautājumi, par kuriem saskaņošanā vienošanās ir panākta</w:t>
      </w:r>
    </w:p>
    <w:p w:rsidR="000635C0" w:rsidRDefault="000635C0">
      <w:pPr>
        <w:pBdr>
          <w:top w:val="nil"/>
          <w:left w:val="nil"/>
          <w:bottom w:val="nil"/>
          <w:right w:val="nil"/>
          <w:between w:val="nil"/>
        </w:pBdr>
        <w:ind w:firstLine="720"/>
        <w:jc w:val="both"/>
        <w:rPr>
          <w:color w:val="000000"/>
        </w:rPr>
      </w:pPr>
    </w:p>
    <w:tbl>
      <w:tblPr>
        <w:tblStyle w:val="a2"/>
        <w:tblW w:w="1499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4394"/>
        <w:gridCol w:w="3996"/>
        <w:gridCol w:w="2808"/>
      </w:tblGrid>
      <w:tr w:rsidR="000635C0" w:rsidTr="00BE779B">
        <w:tc>
          <w:tcPr>
            <w:tcW w:w="707"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jc w:val="center"/>
              <w:rPr>
                <w:color w:val="000000"/>
              </w:rPr>
            </w:pPr>
            <w:r>
              <w:rPr>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3996"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21"/>
              <w:jc w:val="center"/>
              <w:rPr>
                <w:color w:val="000000"/>
              </w:rPr>
            </w:pPr>
            <w:r>
              <w:rPr>
                <w:color w:val="000000"/>
              </w:rPr>
              <w:t>Atbildīgās ministrijas norāde par to, ka iebildums ir ņemts vērā, vai informācija par saskaņošanā panākto alternatīvo risinājumu</w:t>
            </w:r>
          </w:p>
        </w:tc>
        <w:tc>
          <w:tcPr>
            <w:tcW w:w="2808" w:type="dxa"/>
            <w:tcBorders>
              <w:top w:val="single" w:sz="4" w:space="0" w:color="000000"/>
              <w:left w:val="single" w:sz="4" w:space="0" w:color="000000"/>
              <w:bottom w:val="single" w:sz="4" w:space="0" w:color="000000"/>
            </w:tcBorders>
            <w:vAlign w:val="center"/>
          </w:tcPr>
          <w:p w:rsidR="000635C0" w:rsidRDefault="00BA0BA3">
            <w:pPr>
              <w:jc w:val="center"/>
            </w:pPr>
            <w:r>
              <w:t>Projekta attiecīgā punkta (panta) galīgā redakcija</w:t>
            </w:r>
          </w:p>
        </w:tc>
      </w:tr>
      <w:tr w:rsidR="000635C0" w:rsidTr="00BE779B">
        <w:tc>
          <w:tcPr>
            <w:tcW w:w="70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3996"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808"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5</w:t>
            </w:r>
          </w:p>
        </w:tc>
      </w:tr>
      <w:tr w:rsidR="000635C0" w:rsidTr="00BE779B">
        <w:tc>
          <w:tcPr>
            <w:tcW w:w="707" w:type="dxa"/>
            <w:tcBorders>
              <w:left w:val="single" w:sz="6" w:space="0" w:color="000000"/>
              <w:bottom w:val="single" w:sz="4" w:space="0" w:color="000000"/>
              <w:right w:val="single" w:sz="6" w:space="0" w:color="000000"/>
            </w:tcBorders>
          </w:tcPr>
          <w:p w:rsidR="000635C0" w:rsidRDefault="00BA0BA3" w:rsidP="00E8019D">
            <w:pPr>
              <w:pBdr>
                <w:top w:val="nil"/>
                <w:left w:val="nil"/>
                <w:bottom w:val="nil"/>
                <w:right w:val="nil"/>
                <w:between w:val="nil"/>
              </w:pBdr>
              <w:ind w:firstLine="720"/>
              <w:rPr>
                <w:color w:val="000000"/>
              </w:rPr>
            </w:pPr>
            <w:r>
              <w:rPr>
                <w:color w:val="000000"/>
              </w:rPr>
              <w:t>1</w:t>
            </w:r>
            <w:r w:rsidRPr="00623563">
              <w:rPr>
                <w:b/>
                <w:color w:val="000000"/>
              </w:rPr>
              <w:t>1.</w:t>
            </w:r>
          </w:p>
        </w:tc>
        <w:tc>
          <w:tcPr>
            <w:tcW w:w="3086" w:type="dxa"/>
            <w:gridSpan w:val="2"/>
            <w:tcBorders>
              <w:left w:val="single" w:sz="6" w:space="0" w:color="000000"/>
              <w:bottom w:val="single" w:sz="4" w:space="0" w:color="000000"/>
              <w:right w:val="single" w:sz="6" w:space="0" w:color="000000"/>
            </w:tcBorders>
          </w:tcPr>
          <w:p w:rsidR="008B75ED" w:rsidRPr="008B75ED" w:rsidRDefault="008B75ED" w:rsidP="008B75ED">
            <w:pPr>
              <w:pBdr>
                <w:top w:val="nil"/>
                <w:left w:val="nil"/>
                <w:bottom w:val="nil"/>
                <w:right w:val="nil"/>
                <w:between w:val="nil"/>
              </w:pBdr>
              <w:jc w:val="center"/>
              <w:rPr>
                <w:b/>
                <w:color w:val="000000"/>
              </w:rPr>
            </w:pPr>
            <w:r w:rsidRPr="008B75ED">
              <w:rPr>
                <w:b/>
                <w:color w:val="000000"/>
              </w:rPr>
              <w:t>“28.pants. Kvalifikācijas pārbaudījums”;</w:t>
            </w:r>
          </w:p>
          <w:p w:rsidR="008B75ED" w:rsidRPr="008B75ED" w:rsidRDefault="008B75ED" w:rsidP="008B75ED">
            <w:pPr>
              <w:pBdr>
                <w:top w:val="nil"/>
                <w:left w:val="nil"/>
                <w:bottom w:val="nil"/>
                <w:right w:val="nil"/>
                <w:between w:val="nil"/>
              </w:pBdr>
              <w:rPr>
                <w:b/>
                <w:color w:val="000000"/>
              </w:rPr>
            </w:pPr>
          </w:p>
          <w:p w:rsidR="008B75ED" w:rsidRPr="008B75ED" w:rsidRDefault="008B75ED" w:rsidP="008B75ED">
            <w:pPr>
              <w:pBdr>
                <w:top w:val="nil"/>
                <w:left w:val="nil"/>
                <w:bottom w:val="nil"/>
                <w:right w:val="nil"/>
                <w:between w:val="nil"/>
              </w:pBdr>
              <w:jc w:val="both"/>
              <w:rPr>
                <w:color w:val="000000"/>
              </w:rPr>
            </w:pPr>
            <w:r w:rsidRPr="008B75ED">
              <w:rPr>
                <w:color w:val="000000"/>
              </w:rPr>
              <w:t>svītrot pirmajā daļā pirmo teikumu;</w:t>
            </w:r>
          </w:p>
          <w:p w:rsidR="008B75ED" w:rsidRPr="008B75ED" w:rsidRDefault="008B75ED" w:rsidP="008B75ED">
            <w:pPr>
              <w:pBdr>
                <w:top w:val="nil"/>
                <w:left w:val="nil"/>
                <w:bottom w:val="nil"/>
                <w:right w:val="nil"/>
                <w:between w:val="nil"/>
              </w:pBdr>
              <w:jc w:val="both"/>
              <w:rPr>
                <w:color w:val="000000"/>
              </w:rPr>
            </w:pPr>
          </w:p>
          <w:p w:rsidR="008B75ED" w:rsidRPr="008B75ED" w:rsidRDefault="008B75ED" w:rsidP="008B75ED">
            <w:pPr>
              <w:pBdr>
                <w:top w:val="nil"/>
                <w:left w:val="nil"/>
                <w:bottom w:val="nil"/>
                <w:right w:val="nil"/>
                <w:between w:val="nil"/>
              </w:pBdr>
              <w:jc w:val="both"/>
              <w:rPr>
                <w:color w:val="000000"/>
              </w:rPr>
            </w:pPr>
            <w:r w:rsidRPr="008B75ED">
              <w:rPr>
                <w:color w:val="000000"/>
              </w:rPr>
              <w:t>izteikt otro daļu šādā redakcijā:</w:t>
            </w:r>
          </w:p>
          <w:p w:rsidR="008B75ED" w:rsidRPr="008B75ED" w:rsidRDefault="008B75ED" w:rsidP="008B75ED">
            <w:pPr>
              <w:pBdr>
                <w:top w:val="nil"/>
                <w:left w:val="nil"/>
                <w:bottom w:val="nil"/>
                <w:right w:val="nil"/>
                <w:between w:val="nil"/>
              </w:pBdr>
              <w:jc w:val="both"/>
              <w:rPr>
                <w:color w:val="000000"/>
              </w:rPr>
            </w:pPr>
            <w:r w:rsidRPr="008B75ED">
              <w:rPr>
                <w:color w:val="000000"/>
              </w:rPr>
              <w:t>“(2) Kvalifikācijas pārbaudījumu par ieroču un munīcijas apriti kārto:</w:t>
            </w:r>
          </w:p>
          <w:p w:rsidR="008B75ED" w:rsidRPr="008B75ED" w:rsidRDefault="008B75ED" w:rsidP="008B75ED">
            <w:pPr>
              <w:pBdr>
                <w:top w:val="nil"/>
                <w:left w:val="nil"/>
                <w:bottom w:val="nil"/>
                <w:right w:val="nil"/>
                <w:between w:val="nil"/>
              </w:pBdr>
              <w:jc w:val="both"/>
              <w:rPr>
                <w:color w:val="000000"/>
              </w:rPr>
            </w:pPr>
            <w:r w:rsidRPr="008B75ED">
              <w:rPr>
                <w:color w:val="000000"/>
              </w:rPr>
              <w:t>1)</w:t>
            </w:r>
            <w:r w:rsidRPr="008B75ED">
              <w:rPr>
                <w:color w:val="000000"/>
              </w:rPr>
              <w:tab/>
              <w:t>fiziskās personas pirms šaujamieroča (izņemot medību šaujamieroci) vai lielas enerģijas pneimatiska ieroča (izņemot medību lielas enerģijas pneimatiska ieroča) pirmreizējas iegādes;</w:t>
            </w:r>
          </w:p>
          <w:p w:rsidR="008B75ED" w:rsidRPr="008B75ED" w:rsidRDefault="008B75ED" w:rsidP="008B75ED">
            <w:pPr>
              <w:pBdr>
                <w:top w:val="nil"/>
                <w:left w:val="nil"/>
                <w:bottom w:val="nil"/>
                <w:right w:val="nil"/>
                <w:between w:val="nil"/>
              </w:pBdr>
              <w:jc w:val="both"/>
              <w:rPr>
                <w:color w:val="000000"/>
              </w:rPr>
            </w:pPr>
            <w:r w:rsidRPr="008B75ED">
              <w:rPr>
                <w:color w:val="000000"/>
              </w:rPr>
              <w:t>2)</w:t>
            </w:r>
            <w:r w:rsidRPr="008B75ED">
              <w:rPr>
                <w:color w:val="000000"/>
              </w:rPr>
              <w:tab/>
              <w:t xml:space="preserve">ieroču komersanta vai juridiskās personas darbinieks, kuriem saskaņā ar darba pienākumiem pieejami ieroči un munīcija, un to </w:t>
            </w:r>
            <w:r w:rsidRPr="008B75ED">
              <w:rPr>
                <w:color w:val="000000"/>
              </w:rPr>
              <w:lastRenderedPageBreak/>
              <w:t>sastāvdaļas, kā arī fiziskā persona, kurām saskaņā ar juridiskās personas darbību ir pieejami ieroči un munīcija (izņemot fiziskās personas, kuram pieejami salūtieroči (akustiskie ieroči) darbībai kultūras jomā vai vēstures notikumu atveidošanai);</w:t>
            </w:r>
          </w:p>
          <w:p w:rsidR="008B75ED" w:rsidRPr="008B75ED" w:rsidRDefault="008B75ED" w:rsidP="008B75ED">
            <w:pPr>
              <w:pBdr>
                <w:top w:val="nil"/>
                <w:left w:val="nil"/>
                <w:bottom w:val="nil"/>
                <w:right w:val="nil"/>
                <w:between w:val="nil"/>
              </w:pBdr>
              <w:jc w:val="both"/>
              <w:rPr>
                <w:color w:val="000000"/>
              </w:rPr>
            </w:pPr>
            <w:r w:rsidRPr="008B75ED">
              <w:rPr>
                <w:color w:val="000000"/>
              </w:rPr>
              <w:t>3)</w:t>
            </w:r>
            <w:r w:rsidRPr="008B75ED">
              <w:rPr>
                <w:color w:val="000000"/>
              </w:rPr>
              <w:tab/>
              <w:t xml:space="preserve">individuālais komersants un komersanta amatpersonas, kuriem saskaņā ar darba pienākumiem ir pieejami ieroči, munīcija un to sastāvdaļas; </w:t>
            </w:r>
          </w:p>
          <w:p w:rsidR="000635C0" w:rsidRPr="003A178E" w:rsidRDefault="008B75ED" w:rsidP="008B75ED">
            <w:pPr>
              <w:pBdr>
                <w:top w:val="nil"/>
                <w:left w:val="nil"/>
                <w:bottom w:val="nil"/>
                <w:right w:val="nil"/>
                <w:between w:val="nil"/>
              </w:pBdr>
              <w:jc w:val="both"/>
              <w:rPr>
                <w:b/>
                <w:color w:val="000000"/>
              </w:rPr>
            </w:pPr>
            <w:r w:rsidRPr="008B75ED">
              <w:rPr>
                <w:color w:val="000000"/>
              </w:rPr>
              <w:t>4)</w:t>
            </w:r>
            <w:r w:rsidRPr="008B75ED">
              <w:rPr>
                <w:color w:val="000000"/>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p>
        </w:tc>
        <w:tc>
          <w:tcPr>
            <w:tcW w:w="4394" w:type="dxa"/>
            <w:tcBorders>
              <w:left w:val="single" w:sz="6" w:space="0" w:color="000000"/>
              <w:bottom w:val="single" w:sz="4" w:space="0" w:color="000000"/>
              <w:right w:val="single" w:sz="6" w:space="0" w:color="000000"/>
            </w:tcBorders>
          </w:tcPr>
          <w:p w:rsidR="000635C0" w:rsidRDefault="00BA0BA3">
            <w:pPr>
              <w:pBdr>
                <w:top w:val="nil"/>
                <w:left w:val="nil"/>
                <w:bottom w:val="nil"/>
                <w:right w:val="nil"/>
                <w:between w:val="nil"/>
              </w:pBdr>
              <w:jc w:val="center"/>
              <w:rPr>
                <w:color w:val="000000"/>
              </w:rPr>
            </w:pPr>
            <w:r>
              <w:rPr>
                <w:b/>
                <w:color w:val="000000"/>
              </w:rPr>
              <w:lastRenderedPageBreak/>
              <w:t>Tieslietu ministrija</w:t>
            </w:r>
            <w:r w:rsidR="00A20A87">
              <w:rPr>
                <w:b/>
                <w:color w:val="000000"/>
              </w:rPr>
              <w:t>s iebildums</w:t>
            </w:r>
          </w:p>
          <w:p w:rsidR="00700E03" w:rsidRDefault="00700E03" w:rsidP="00700E03">
            <w:pPr>
              <w:ind w:firstLine="720"/>
              <w:jc w:val="both"/>
              <w:rPr>
                <w:sz w:val="26"/>
                <w:szCs w:val="26"/>
                <w:lang w:eastAsia="en-US"/>
              </w:rPr>
            </w:pPr>
          </w:p>
          <w:p w:rsidR="00700E03" w:rsidRPr="00700E03" w:rsidRDefault="00700E03" w:rsidP="00700E03">
            <w:pPr>
              <w:ind w:firstLine="720"/>
              <w:jc w:val="both"/>
              <w:rPr>
                <w:sz w:val="26"/>
                <w:szCs w:val="26"/>
                <w:lang w:eastAsia="en-US"/>
              </w:rPr>
            </w:pPr>
            <w:r w:rsidRPr="00700E03">
              <w:rPr>
                <w:sz w:val="26"/>
                <w:szCs w:val="26"/>
                <w:lang w:eastAsia="en-US"/>
              </w:rPr>
              <w:t xml:space="preserve">Tieslietu ministrijā ir izskatīts Iekšlietu ministrijas sagatavotais likumprojekts “Grozījumi Ieroču aprites likumā” (turpmāk – projekts) un atbalstām tā tālāku virzību, vienlaikus izsakot šādu iebildumu. </w:t>
            </w:r>
          </w:p>
          <w:p w:rsidR="00700E03" w:rsidRPr="00700E03" w:rsidRDefault="00700E03" w:rsidP="00700E03">
            <w:pPr>
              <w:ind w:firstLine="720"/>
              <w:jc w:val="both"/>
              <w:rPr>
                <w:sz w:val="26"/>
                <w:szCs w:val="26"/>
                <w:lang w:eastAsia="en-US"/>
              </w:rPr>
            </w:pPr>
            <w:r w:rsidRPr="00700E03">
              <w:rPr>
                <w:sz w:val="26"/>
                <w:szCs w:val="26"/>
                <w:lang w:eastAsia="en-US"/>
              </w:rPr>
              <w:t xml:space="preserve">Projekta 3. pantā paredzēto grozījumu Ieroču aprites likuma (turpmāk – likums) 28. panta pirmajā daļā nepieciešams izvērtēt un piedāvājam grozījumu precizēt, jo šāda grozījuma rezultātā panta daļa zaudēs loģisko struktūru. Vēršam uzmanību, ka šīs daļas pirmais teikums faktiski skaidro, kas ir kvalifikācijas pārbaudījums, bet otrais teikums ir īsi izteikts pilnvarojums Ministru kabinetam par noteikumu izdošanu par kvalifikācijas pārbaudījumu. Izslēdzot šīs daļas pirmo teikumu, likumā nebūs </w:t>
            </w:r>
            <w:r w:rsidRPr="00700E03">
              <w:rPr>
                <w:sz w:val="26"/>
                <w:szCs w:val="26"/>
                <w:lang w:eastAsia="en-US"/>
              </w:rPr>
              <w:lastRenderedPageBreak/>
              <w:t xml:space="preserve">kvalifikācijas pārbaudījuma definīcijas un pilnvarojums Ministru kabinetam par noteikumu izdošanu būs dažādi interpretējams. Ievērojot minēto, Tieslietu ministrija piedāvā likuma 28. panta pirmās daļas pirmo teikumu izteikt jaunā redakcijā ar pietiekamu vispārinājuma pakāpi, lai kvalifikācijas pārbaudījums tiktu attiecināts gan uz pirmreizējo, gan arī atkārtoto kvalifikācijas pārbaudi. Papildus norādām, ka šobrīd projektā piedāvātie grozījumi likuma 28. pantā ir nepilnīgi, jo nav paredzēts grozījums likuma 28. panta ceturtajā daļā, kurā nepieciešams izslēgt iekšējo atsauci uz panta pirmo daļu, proti, izslēgt vārdus “pirmajā un”. Nobeigumā vēlamies norādīt, ka likumu grozījumos izmanto vārdu “izslēgt”, nevis vārdu “svītrot”, kas tiek izmantots Ministru kabineta noteikumu grozījumos. </w:t>
            </w:r>
          </w:p>
          <w:p w:rsidR="000635C0" w:rsidRDefault="000635C0">
            <w:pPr>
              <w:pBdr>
                <w:top w:val="nil"/>
                <w:left w:val="nil"/>
                <w:bottom w:val="nil"/>
                <w:right w:val="nil"/>
                <w:between w:val="nil"/>
              </w:pBdr>
              <w:rPr>
                <w:color w:val="000000"/>
              </w:rPr>
            </w:pPr>
          </w:p>
          <w:p w:rsidR="000635C0" w:rsidRDefault="000635C0" w:rsidP="00700E03">
            <w:pPr>
              <w:pBdr>
                <w:top w:val="nil"/>
                <w:left w:val="nil"/>
                <w:bottom w:val="nil"/>
                <w:right w:val="nil"/>
                <w:between w:val="nil"/>
              </w:pBdr>
              <w:jc w:val="both"/>
              <w:rPr>
                <w:color w:val="000000"/>
              </w:rPr>
            </w:pPr>
          </w:p>
        </w:tc>
        <w:tc>
          <w:tcPr>
            <w:tcW w:w="3996" w:type="dxa"/>
            <w:tcBorders>
              <w:left w:val="single" w:sz="6" w:space="0" w:color="000000"/>
              <w:bottom w:val="single" w:sz="4" w:space="0" w:color="000000"/>
              <w:right w:val="single" w:sz="6" w:space="0" w:color="000000"/>
            </w:tcBorders>
          </w:tcPr>
          <w:p w:rsidR="00530E2E" w:rsidRDefault="003D745C" w:rsidP="003D745C">
            <w:pPr>
              <w:pBdr>
                <w:top w:val="nil"/>
                <w:left w:val="nil"/>
                <w:bottom w:val="nil"/>
                <w:right w:val="nil"/>
                <w:between w:val="nil"/>
              </w:pBdr>
              <w:jc w:val="center"/>
              <w:rPr>
                <w:b/>
                <w:color w:val="000000"/>
              </w:rPr>
            </w:pPr>
            <w:r>
              <w:rPr>
                <w:b/>
                <w:color w:val="000000"/>
              </w:rPr>
              <w:lastRenderedPageBreak/>
              <w:t>Iebildums ņemts vērā</w:t>
            </w:r>
          </w:p>
          <w:p w:rsidR="003D745C" w:rsidRDefault="003D745C" w:rsidP="003D745C">
            <w:pPr>
              <w:ind w:left="-108"/>
              <w:jc w:val="both"/>
            </w:pPr>
          </w:p>
          <w:p w:rsidR="00530E2E" w:rsidRDefault="00530E2E" w:rsidP="00700E03">
            <w:pPr>
              <w:ind w:left="-108" w:firstLine="310"/>
              <w:jc w:val="both"/>
              <w:rPr>
                <w:color w:val="000000"/>
              </w:rPr>
            </w:pPr>
          </w:p>
        </w:tc>
        <w:tc>
          <w:tcPr>
            <w:tcW w:w="2808" w:type="dxa"/>
            <w:tcBorders>
              <w:top w:val="single" w:sz="4" w:space="0" w:color="000000"/>
              <w:left w:val="single" w:sz="4" w:space="0" w:color="000000"/>
              <w:bottom w:val="single" w:sz="4" w:space="0" w:color="000000"/>
            </w:tcBorders>
          </w:tcPr>
          <w:p w:rsidR="007E048F" w:rsidRPr="007E048F" w:rsidRDefault="007E048F" w:rsidP="007E048F">
            <w:pPr>
              <w:jc w:val="both"/>
              <w:rPr>
                <w:b/>
                <w:bCs/>
              </w:rPr>
            </w:pPr>
            <w:r w:rsidRPr="007E048F">
              <w:rPr>
                <w:b/>
                <w:bCs/>
              </w:rPr>
              <w:t>“28.pants. Kvalifikācijas pārbaudījums”;</w:t>
            </w:r>
          </w:p>
          <w:p w:rsidR="007E048F" w:rsidRPr="007E048F" w:rsidRDefault="007E048F" w:rsidP="007E048F">
            <w:pPr>
              <w:jc w:val="both"/>
              <w:rPr>
                <w:b/>
                <w:bCs/>
              </w:rPr>
            </w:pPr>
          </w:p>
          <w:p w:rsidR="007E048F" w:rsidRPr="007E048F" w:rsidRDefault="007E048F" w:rsidP="007E048F">
            <w:pPr>
              <w:jc w:val="both"/>
              <w:rPr>
                <w:bCs/>
              </w:rPr>
            </w:pPr>
            <w:r w:rsidRPr="007E048F">
              <w:rPr>
                <w:bCs/>
              </w:rPr>
              <w:t>izteikt pirmās daļas pirmo teikumu šādā redakcijā:</w:t>
            </w:r>
          </w:p>
          <w:p w:rsidR="007E048F" w:rsidRPr="007E048F" w:rsidRDefault="007E048F" w:rsidP="007E048F">
            <w:pPr>
              <w:jc w:val="both"/>
              <w:rPr>
                <w:bCs/>
              </w:rPr>
            </w:pPr>
            <w:r w:rsidRPr="007E048F">
              <w:rPr>
                <w:bCs/>
              </w:rPr>
              <w:t>“Kvalifikācijas pārbaudījumu par ieroču un munīcijas aprites kārtību un prasmēm rīkoties ar ieroci kārto šā panta otrajā daļā noteiktās fiziskās personas.”;</w:t>
            </w:r>
          </w:p>
          <w:p w:rsidR="007E048F" w:rsidRPr="007E048F" w:rsidRDefault="007E048F" w:rsidP="007E048F">
            <w:pPr>
              <w:jc w:val="both"/>
              <w:rPr>
                <w:bCs/>
              </w:rPr>
            </w:pPr>
          </w:p>
          <w:p w:rsidR="007E048F" w:rsidRPr="007E048F" w:rsidRDefault="007E048F" w:rsidP="007E048F">
            <w:pPr>
              <w:jc w:val="both"/>
              <w:rPr>
                <w:bCs/>
              </w:rPr>
            </w:pPr>
            <w:r w:rsidRPr="007E048F">
              <w:rPr>
                <w:bCs/>
              </w:rPr>
              <w:t>izteikt otro daļu šādā redakcijā:</w:t>
            </w:r>
          </w:p>
          <w:p w:rsidR="007E048F" w:rsidRPr="007E048F" w:rsidRDefault="007E048F" w:rsidP="007E048F">
            <w:pPr>
              <w:jc w:val="both"/>
              <w:rPr>
                <w:bCs/>
              </w:rPr>
            </w:pPr>
            <w:r w:rsidRPr="007E048F">
              <w:rPr>
                <w:bCs/>
              </w:rPr>
              <w:t xml:space="preserve">“(2) Kvalifikācijas pārbaudījumu par ieroču un munīcijas apriti </w:t>
            </w:r>
            <w:r w:rsidRPr="007E048F">
              <w:rPr>
                <w:bCs/>
                <w:u w:val="single"/>
              </w:rPr>
              <w:t xml:space="preserve">un prasmēm rīkoties ar ieroci </w:t>
            </w:r>
            <w:r w:rsidRPr="007E048F">
              <w:rPr>
                <w:bCs/>
              </w:rPr>
              <w:t>kārto:</w:t>
            </w:r>
          </w:p>
          <w:p w:rsidR="007E048F" w:rsidRPr="007E048F" w:rsidRDefault="007E048F" w:rsidP="007E048F">
            <w:pPr>
              <w:jc w:val="both"/>
              <w:rPr>
                <w:bCs/>
              </w:rPr>
            </w:pPr>
            <w:r w:rsidRPr="007E048F">
              <w:rPr>
                <w:bCs/>
              </w:rPr>
              <w:t>1)</w:t>
            </w:r>
            <w:r w:rsidRPr="007E048F">
              <w:rPr>
                <w:bCs/>
              </w:rPr>
              <w:tab/>
              <w:t xml:space="preserve">fiziskās personas pirms šaujamieroča (izņemot medību </w:t>
            </w:r>
            <w:r w:rsidRPr="007E048F">
              <w:rPr>
                <w:bCs/>
              </w:rPr>
              <w:lastRenderedPageBreak/>
              <w:t xml:space="preserve">šaujamieroci) vai lielas enerģijas pneimatiska ieroča (izņemot medību lielas enerģijas pneimatiska ieroča) pirmreizējas iegādes; </w:t>
            </w:r>
          </w:p>
          <w:p w:rsidR="007E048F" w:rsidRPr="007E048F" w:rsidRDefault="007E048F" w:rsidP="007E048F">
            <w:pPr>
              <w:jc w:val="both"/>
              <w:rPr>
                <w:bCs/>
              </w:rPr>
            </w:pPr>
            <w:r w:rsidRPr="007E048F">
              <w:rPr>
                <w:bCs/>
              </w:rPr>
              <w:t>2)</w:t>
            </w:r>
            <w:r w:rsidRPr="007E048F">
              <w:rPr>
                <w:bCs/>
              </w:rPr>
              <w:tab/>
              <w:t>fiziskās personas, kurām ieroča (izņemot medību šaujamieroci) glabāšanas atļauja vai nēsāšanas atļauja anulēta par ieroča vai munīcijas iegādāšanās, reģistrēšanas, glabāšanas, nēsāšanas, pārvadāšanas vai realizēšanas noteikumu pārkāpumiem;</w:t>
            </w:r>
          </w:p>
          <w:p w:rsidR="007E048F" w:rsidRPr="007E048F" w:rsidRDefault="007E048F" w:rsidP="007E048F">
            <w:pPr>
              <w:jc w:val="both"/>
              <w:rPr>
                <w:bCs/>
              </w:rPr>
            </w:pPr>
            <w:r w:rsidRPr="007E048F">
              <w:rPr>
                <w:bCs/>
              </w:rPr>
              <w:t>3)</w:t>
            </w:r>
            <w:r w:rsidRPr="007E048F">
              <w:rPr>
                <w:bCs/>
              </w:rPr>
              <w:tab/>
              <w:t>fiziskās personas, kurām saskaņā ar juridiskās personas darbību ir pieejami ieroči un munīcija (izņemot fiziskās personas, kuram pieejami salūtieroči (akustiskie ieroči) darbībai kultūras jomā vai vēstures notikumu atveidošanai), pirms pieejas atļaušanas;</w:t>
            </w:r>
          </w:p>
          <w:p w:rsidR="007E048F" w:rsidRPr="007E048F" w:rsidRDefault="007E048F" w:rsidP="007E048F">
            <w:pPr>
              <w:jc w:val="both"/>
              <w:rPr>
                <w:bCs/>
              </w:rPr>
            </w:pPr>
            <w:r w:rsidRPr="007E048F">
              <w:rPr>
                <w:bCs/>
              </w:rPr>
              <w:t>4)</w:t>
            </w:r>
            <w:r w:rsidRPr="007E048F">
              <w:rPr>
                <w:bCs/>
              </w:rPr>
              <w:tab/>
              <w:t xml:space="preserve">individuālais komersants un komersanta amatpersonas un darbinieki, ieroču komersanta un juridiskās </w:t>
            </w:r>
            <w:r w:rsidRPr="007E048F">
              <w:rPr>
                <w:bCs/>
              </w:rPr>
              <w:lastRenderedPageBreak/>
              <w:t>personas amatpersonas un darbinieki, kuriem saskaņā ar darba pienākumiem pieejami ieroči un munīcija, un to sastāvdaļas, pirms pieejas atļaušanas.”;</w:t>
            </w:r>
          </w:p>
          <w:p w:rsidR="007E048F" w:rsidRPr="007E048F" w:rsidRDefault="007E048F" w:rsidP="007E048F">
            <w:pPr>
              <w:jc w:val="both"/>
              <w:rPr>
                <w:bCs/>
              </w:rPr>
            </w:pPr>
          </w:p>
          <w:p w:rsidR="007E048F" w:rsidRPr="007E048F" w:rsidRDefault="007E048F" w:rsidP="007E048F">
            <w:pPr>
              <w:jc w:val="both"/>
              <w:rPr>
                <w:bCs/>
              </w:rPr>
            </w:pPr>
            <w:r w:rsidRPr="007E048F">
              <w:rPr>
                <w:bCs/>
              </w:rPr>
              <w:t>Izslēgt ceturtajā daļā vārdus “pirmajā un”.</w:t>
            </w:r>
          </w:p>
          <w:p w:rsidR="00C63215" w:rsidRDefault="00C63215" w:rsidP="007E048F">
            <w:pPr>
              <w:jc w:val="both"/>
            </w:pPr>
          </w:p>
        </w:tc>
      </w:tr>
      <w:tr w:rsidR="00530E2E" w:rsidTr="00BE779B">
        <w:tc>
          <w:tcPr>
            <w:tcW w:w="707" w:type="dxa"/>
            <w:tcBorders>
              <w:left w:val="single" w:sz="6" w:space="0" w:color="000000"/>
              <w:bottom w:val="single" w:sz="4" w:space="0" w:color="000000"/>
              <w:right w:val="single" w:sz="6" w:space="0" w:color="000000"/>
            </w:tcBorders>
          </w:tcPr>
          <w:p w:rsidR="00530E2E" w:rsidRDefault="00530E2E" w:rsidP="00E8019D">
            <w:pPr>
              <w:pBdr>
                <w:top w:val="nil"/>
                <w:left w:val="nil"/>
                <w:bottom w:val="nil"/>
                <w:right w:val="nil"/>
                <w:between w:val="nil"/>
              </w:pBdr>
              <w:ind w:firstLine="720"/>
              <w:rPr>
                <w:color w:val="000000"/>
              </w:rPr>
            </w:pPr>
            <w:r>
              <w:rPr>
                <w:color w:val="000000"/>
              </w:rPr>
              <w:lastRenderedPageBreak/>
              <w:t>2</w:t>
            </w:r>
            <w:r w:rsidRPr="00530E2E">
              <w:rPr>
                <w:b/>
                <w:color w:val="000000"/>
              </w:rPr>
              <w:t>2.</w:t>
            </w:r>
          </w:p>
        </w:tc>
        <w:tc>
          <w:tcPr>
            <w:tcW w:w="3086" w:type="dxa"/>
            <w:gridSpan w:val="2"/>
            <w:tcBorders>
              <w:left w:val="single" w:sz="6" w:space="0" w:color="000000"/>
              <w:bottom w:val="single" w:sz="4" w:space="0" w:color="000000"/>
              <w:right w:val="single" w:sz="6" w:space="0" w:color="000000"/>
            </w:tcBorders>
          </w:tcPr>
          <w:p w:rsidR="00530E2E" w:rsidRPr="003A178E" w:rsidRDefault="00FC331E" w:rsidP="00FC331E">
            <w:pPr>
              <w:pBdr>
                <w:top w:val="nil"/>
                <w:left w:val="nil"/>
                <w:bottom w:val="nil"/>
                <w:right w:val="nil"/>
                <w:between w:val="nil"/>
              </w:pBdr>
              <w:rPr>
                <w:b/>
                <w:color w:val="000000"/>
              </w:rPr>
            </w:pPr>
            <w:r w:rsidRPr="00FC331E">
              <w:rPr>
                <w:b/>
                <w:color w:val="000000"/>
              </w:rPr>
              <w:t>Mini</w:t>
            </w:r>
            <w:r w:rsidR="00700E03">
              <w:rPr>
                <w:b/>
                <w:color w:val="000000"/>
              </w:rPr>
              <w:t>stru kabineta noteikuma projekta anotācijas I sadaļas 2.punkts.</w:t>
            </w:r>
          </w:p>
        </w:tc>
        <w:tc>
          <w:tcPr>
            <w:tcW w:w="4394" w:type="dxa"/>
            <w:tcBorders>
              <w:left w:val="single" w:sz="6" w:space="0" w:color="000000"/>
              <w:bottom w:val="single" w:sz="4" w:space="0" w:color="000000"/>
              <w:right w:val="single" w:sz="6" w:space="0" w:color="000000"/>
            </w:tcBorders>
          </w:tcPr>
          <w:p w:rsidR="00D13239" w:rsidRPr="00700E03" w:rsidRDefault="00700E03" w:rsidP="00700E03">
            <w:pPr>
              <w:pBdr>
                <w:top w:val="nil"/>
                <w:left w:val="nil"/>
                <w:bottom w:val="nil"/>
                <w:right w:val="nil"/>
                <w:between w:val="nil"/>
              </w:pBdr>
              <w:tabs>
                <w:tab w:val="left" w:pos="674"/>
              </w:tabs>
              <w:jc w:val="center"/>
              <w:rPr>
                <w:b/>
                <w:color w:val="000000"/>
              </w:rPr>
            </w:pPr>
            <w:r w:rsidRPr="00700E03">
              <w:rPr>
                <w:rFonts w:eastAsia="Calibri"/>
                <w:b/>
                <w:lang w:eastAsia="en-US"/>
              </w:rPr>
              <w:t>Vides aizsardzības un reģionālās attīstības ministrija</w:t>
            </w:r>
            <w:r w:rsidR="00BE779B">
              <w:rPr>
                <w:rFonts w:eastAsia="Calibri"/>
                <w:b/>
                <w:lang w:eastAsia="en-US"/>
              </w:rPr>
              <w:t>s</w:t>
            </w:r>
            <w:r w:rsidRPr="00700E03">
              <w:rPr>
                <w:rFonts w:eastAsia="Calibri"/>
                <w:b/>
                <w:lang w:eastAsia="en-US"/>
              </w:rPr>
              <w:t xml:space="preserve"> </w:t>
            </w:r>
            <w:r w:rsidR="00D13239" w:rsidRPr="00700E03">
              <w:rPr>
                <w:b/>
                <w:color w:val="000000"/>
              </w:rPr>
              <w:t>iebildums</w:t>
            </w:r>
          </w:p>
          <w:p w:rsidR="003D745C" w:rsidRPr="003D745C" w:rsidRDefault="003D745C" w:rsidP="003D745C">
            <w:pPr>
              <w:pBdr>
                <w:top w:val="nil"/>
                <w:left w:val="nil"/>
                <w:bottom w:val="nil"/>
                <w:right w:val="nil"/>
                <w:between w:val="nil"/>
              </w:pBdr>
              <w:tabs>
                <w:tab w:val="left" w:pos="674"/>
              </w:tabs>
              <w:rPr>
                <w:color w:val="000000"/>
              </w:rPr>
            </w:pPr>
          </w:p>
          <w:p w:rsidR="00700E03" w:rsidRPr="00700E03" w:rsidRDefault="00700E03" w:rsidP="00700E03">
            <w:pPr>
              <w:widowControl w:val="0"/>
              <w:spacing w:after="200" w:line="276" w:lineRule="auto"/>
              <w:contextualSpacing/>
              <w:jc w:val="both"/>
              <w:rPr>
                <w:rFonts w:eastAsia="Calibri"/>
                <w:lang w:eastAsia="en-US"/>
              </w:rPr>
            </w:pPr>
            <w:r w:rsidRPr="00700E03">
              <w:rPr>
                <w:rFonts w:eastAsia="Calibri"/>
                <w:lang w:eastAsia="en-US"/>
              </w:rPr>
              <w:t xml:space="preserve">Saskaņā ar Ministru kabineta 2009. gada 15. decembra instrukcijas Nr. 19 “Tiesību akta projekta sākotnējās ietekmes izvērtēšanas kārtība” (turpmāk – MK instrukcija Nr. 19) 14.4. apakšpunktu anotācijas I sadaļas 2. punktā jānorāda paredzēto pakalpojumu nosaukumi, ja projekts paredz ieviest jaunus pakalpojumus vai arī </w:t>
            </w:r>
            <w:r w:rsidRPr="00700E03">
              <w:rPr>
                <w:rFonts w:eastAsia="Calibri"/>
                <w:u w:val="single"/>
                <w:lang w:eastAsia="en-US"/>
              </w:rPr>
              <w:t>pilnveidot esošos</w:t>
            </w:r>
            <w:r w:rsidRPr="00700E03">
              <w:rPr>
                <w:rFonts w:eastAsia="Calibri"/>
                <w:lang w:eastAsia="en-US"/>
              </w:rPr>
              <w:t>, kā arī to, vai pakalpojums tiks sniegts elektroniski (ja pakalpojums nav pieejams elektroniski, vai ir plānots veidot elektronisku kanālu).</w:t>
            </w:r>
          </w:p>
          <w:p w:rsidR="00700E03" w:rsidRPr="00700E03" w:rsidRDefault="00700E03" w:rsidP="00700E03">
            <w:pPr>
              <w:ind w:firstLine="426"/>
              <w:contextualSpacing/>
              <w:jc w:val="both"/>
              <w:rPr>
                <w:rFonts w:eastAsia="Calibri"/>
                <w:lang w:eastAsia="en-US"/>
              </w:rPr>
            </w:pPr>
            <w:r w:rsidRPr="00700E03">
              <w:rPr>
                <w:rFonts w:eastAsia="Calibri"/>
                <w:lang w:eastAsia="en-US"/>
              </w:rPr>
              <w:t xml:space="preserve">Ņemot vērā minēto, lūdzam, atbilstoši MK instrukcijas Nr. 19 14.4. apakšpunktā noteiktajam, anotācijas I sadaļas 2. punktā norādīt pakalpojuma pieprasīšanas kanālus. </w:t>
            </w:r>
            <w:r w:rsidRPr="00700E03">
              <w:rPr>
                <w:rFonts w:eastAsia="Calibri"/>
                <w:lang w:eastAsia="en-US"/>
              </w:rPr>
              <w:lastRenderedPageBreak/>
              <w:t>Saskaņā ar Ministru kabineta 2017. gada 4. jūlija noteikumu Nr. 399 “Valsts pārvaldes pakalpojumu uzskaites, kvalitātes kontroles un sniegšanas kārtība” (turpmāk – MK noteikumi Nr. 399) 17. punktu pakalpojumu pieprasīšanas un saņemšanas kanāli iedalāmi klātienes un neklātienes kanālos.</w:t>
            </w:r>
          </w:p>
          <w:p w:rsidR="00D13239" w:rsidRPr="003D745C" w:rsidRDefault="00D13239" w:rsidP="00D13239">
            <w:pPr>
              <w:pBdr>
                <w:top w:val="nil"/>
                <w:left w:val="nil"/>
                <w:bottom w:val="nil"/>
                <w:right w:val="nil"/>
                <w:between w:val="nil"/>
              </w:pBdr>
              <w:tabs>
                <w:tab w:val="left" w:pos="674"/>
              </w:tabs>
              <w:rPr>
                <w:color w:val="000000"/>
              </w:rPr>
            </w:pPr>
          </w:p>
          <w:p w:rsidR="00530E2E" w:rsidRPr="003D745C" w:rsidRDefault="00530E2E" w:rsidP="00D13239">
            <w:pPr>
              <w:pBdr>
                <w:top w:val="nil"/>
                <w:left w:val="nil"/>
                <w:bottom w:val="nil"/>
                <w:right w:val="nil"/>
                <w:between w:val="nil"/>
              </w:pBdr>
              <w:tabs>
                <w:tab w:val="left" w:pos="674"/>
              </w:tabs>
              <w:jc w:val="both"/>
              <w:rPr>
                <w:color w:val="000000"/>
              </w:rPr>
            </w:pPr>
          </w:p>
        </w:tc>
        <w:tc>
          <w:tcPr>
            <w:tcW w:w="3996" w:type="dxa"/>
            <w:tcBorders>
              <w:left w:val="single" w:sz="6" w:space="0" w:color="000000"/>
              <w:bottom w:val="single" w:sz="4" w:space="0" w:color="000000"/>
              <w:right w:val="single" w:sz="6" w:space="0" w:color="000000"/>
            </w:tcBorders>
          </w:tcPr>
          <w:p w:rsidR="0033385D" w:rsidRPr="0033385D" w:rsidRDefault="0033385D" w:rsidP="0033385D">
            <w:pPr>
              <w:pBdr>
                <w:top w:val="nil"/>
                <w:left w:val="nil"/>
                <w:bottom w:val="nil"/>
                <w:right w:val="nil"/>
                <w:between w:val="nil"/>
              </w:pBdr>
              <w:jc w:val="center"/>
              <w:rPr>
                <w:b/>
                <w:color w:val="000000"/>
              </w:rPr>
            </w:pPr>
            <w:r w:rsidRPr="0033385D">
              <w:rPr>
                <w:b/>
                <w:color w:val="000000"/>
              </w:rPr>
              <w:lastRenderedPageBreak/>
              <w:t>Iebildums ņemts vērā</w:t>
            </w:r>
          </w:p>
          <w:p w:rsidR="00530E2E" w:rsidRDefault="00530E2E" w:rsidP="00530E2E">
            <w:pPr>
              <w:pBdr>
                <w:top w:val="nil"/>
                <w:left w:val="nil"/>
                <w:bottom w:val="nil"/>
                <w:right w:val="nil"/>
                <w:between w:val="nil"/>
              </w:pBdr>
              <w:jc w:val="center"/>
              <w:rPr>
                <w:b/>
                <w:color w:val="000000"/>
              </w:rPr>
            </w:pPr>
          </w:p>
        </w:tc>
        <w:tc>
          <w:tcPr>
            <w:tcW w:w="2808" w:type="dxa"/>
            <w:tcBorders>
              <w:top w:val="single" w:sz="4" w:space="0" w:color="000000"/>
              <w:left w:val="single" w:sz="4" w:space="0" w:color="000000"/>
              <w:bottom w:val="single" w:sz="4" w:space="0" w:color="000000"/>
            </w:tcBorders>
          </w:tcPr>
          <w:p w:rsidR="00530E2E" w:rsidRDefault="00700E03" w:rsidP="00A21DC1">
            <w:pPr>
              <w:jc w:val="both"/>
            </w:pPr>
            <w:r w:rsidRPr="00700E03">
              <w:t>Ministru kabineta noteiku</w:t>
            </w:r>
            <w:r>
              <w:t>mu projekta anotācijas I</w:t>
            </w:r>
            <w:r w:rsidRPr="00700E03">
              <w:t xml:space="preserve"> sadaļa</w:t>
            </w:r>
            <w:r>
              <w:t>s 2.punkts ir papildināts</w:t>
            </w:r>
            <w:r w:rsidRPr="00700E03">
              <w:t>.</w:t>
            </w:r>
          </w:p>
          <w:p w:rsidR="00587016" w:rsidRDefault="00587016" w:rsidP="00A21DC1">
            <w:pPr>
              <w:jc w:val="both"/>
            </w:pPr>
          </w:p>
          <w:p w:rsidR="00587016" w:rsidRDefault="00BD1100" w:rsidP="00587016">
            <w:pPr>
              <w:jc w:val="both"/>
            </w:pPr>
            <w:r>
              <w:t>Likump</w:t>
            </w:r>
            <w:r w:rsidR="00587016" w:rsidRPr="00587016">
              <w:t xml:space="preserve">rojekts </w:t>
            </w:r>
            <w:r w:rsidR="00587016">
              <w:t>ne</w:t>
            </w:r>
            <w:r w:rsidR="00587016" w:rsidRPr="00587016">
              <w:t>paredz ieviest jaunus pakalpojumus vai arī pilnveidot esošos, kā arī sniegts</w:t>
            </w:r>
            <w:r w:rsidR="00587016">
              <w:t xml:space="preserve"> pakalpojumus</w:t>
            </w:r>
            <w:r w:rsidR="00587016" w:rsidRPr="00587016">
              <w:t xml:space="preserve"> elektroniski</w:t>
            </w:r>
            <w:r w:rsidR="00587016">
              <w:t xml:space="preserve">. </w:t>
            </w:r>
          </w:p>
        </w:tc>
      </w:tr>
      <w:tr w:rsidR="00700E03" w:rsidTr="00BE779B">
        <w:tc>
          <w:tcPr>
            <w:tcW w:w="707" w:type="dxa"/>
            <w:tcBorders>
              <w:left w:val="single" w:sz="6" w:space="0" w:color="000000"/>
              <w:bottom w:val="single" w:sz="4" w:space="0" w:color="000000"/>
              <w:right w:val="single" w:sz="6" w:space="0" w:color="000000"/>
            </w:tcBorders>
          </w:tcPr>
          <w:p w:rsidR="00700E03" w:rsidRDefault="00700E03" w:rsidP="00E8019D">
            <w:pPr>
              <w:pBdr>
                <w:top w:val="nil"/>
                <w:left w:val="nil"/>
                <w:bottom w:val="nil"/>
                <w:right w:val="nil"/>
                <w:between w:val="nil"/>
              </w:pBdr>
              <w:ind w:firstLine="720"/>
              <w:rPr>
                <w:color w:val="000000"/>
              </w:rPr>
            </w:pPr>
          </w:p>
        </w:tc>
        <w:tc>
          <w:tcPr>
            <w:tcW w:w="3086" w:type="dxa"/>
            <w:gridSpan w:val="2"/>
            <w:tcBorders>
              <w:left w:val="single" w:sz="6" w:space="0" w:color="000000"/>
              <w:bottom w:val="single" w:sz="4" w:space="0" w:color="000000"/>
              <w:right w:val="single" w:sz="6" w:space="0" w:color="000000"/>
            </w:tcBorders>
          </w:tcPr>
          <w:p w:rsidR="00700E03" w:rsidRPr="00FC331E" w:rsidRDefault="00700E03" w:rsidP="00FC331E">
            <w:pPr>
              <w:pBdr>
                <w:top w:val="nil"/>
                <w:left w:val="nil"/>
                <w:bottom w:val="nil"/>
                <w:right w:val="nil"/>
                <w:between w:val="nil"/>
              </w:pBdr>
              <w:rPr>
                <w:b/>
                <w:color w:val="000000"/>
              </w:rPr>
            </w:pPr>
          </w:p>
        </w:tc>
        <w:tc>
          <w:tcPr>
            <w:tcW w:w="4394" w:type="dxa"/>
            <w:tcBorders>
              <w:left w:val="single" w:sz="6" w:space="0" w:color="000000"/>
              <w:bottom w:val="single" w:sz="4" w:space="0" w:color="000000"/>
              <w:right w:val="single" w:sz="6" w:space="0" w:color="000000"/>
            </w:tcBorders>
          </w:tcPr>
          <w:p w:rsidR="00700E03" w:rsidRDefault="00700E03" w:rsidP="00700E03">
            <w:pPr>
              <w:pBdr>
                <w:top w:val="nil"/>
                <w:left w:val="nil"/>
                <w:bottom w:val="nil"/>
                <w:right w:val="nil"/>
                <w:between w:val="nil"/>
              </w:pBdr>
              <w:tabs>
                <w:tab w:val="left" w:pos="674"/>
              </w:tabs>
              <w:jc w:val="center"/>
              <w:rPr>
                <w:rFonts w:eastAsia="Calibri"/>
                <w:b/>
                <w:lang w:eastAsia="en-US"/>
              </w:rPr>
            </w:pPr>
            <w:r w:rsidRPr="00700E03">
              <w:rPr>
                <w:rFonts w:eastAsia="Calibri"/>
                <w:b/>
                <w:lang w:eastAsia="en-US"/>
              </w:rPr>
              <w:t>Vides aizsardzības un reģionālās attīstības ministrija</w:t>
            </w:r>
            <w:r w:rsidR="00BE779B">
              <w:rPr>
                <w:rFonts w:eastAsia="Calibri"/>
                <w:b/>
                <w:lang w:eastAsia="en-US"/>
              </w:rPr>
              <w:t>s</w:t>
            </w:r>
            <w:r w:rsidRPr="00700E03">
              <w:rPr>
                <w:rFonts w:eastAsia="Calibri"/>
                <w:b/>
                <w:lang w:eastAsia="en-US"/>
              </w:rPr>
              <w:t xml:space="preserve"> iebildums</w:t>
            </w:r>
          </w:p>
          <w:p w:rsidR="00700E03" w:rsidRDefault="00700E03" w:rsidP="00700E03">
            <w:pPr>
              <w:pBdr>
                <w:top w:val="nil"/>
                <w:left w:val="nil"/>
                <w:bottom w:val="nil"/>
                <w:right w:val="nil"/>
                <w:between w:val="nil"/>
              </w:pBdr>
              <w:tabs>
                <w:tab w:val="left" w:pos="674"/>
              </w:tabs>
              <w:jc w:val="center"/>
              <w:rPr>
                <w:rFonts w:eastAsia="Calibri"/>
                <w:b/>
                <w:lang w:eastAsia="en-US"/>
              </w:rPr>
            </w:pPr>
          </w:p>
          <w:p w:rsidR="00700E03" w:rsidRPr="00700E03" w:rsidRDefault="00700E03" w:rsidP="00700E03">
            <w:pPr>
              <w:widowControl w:val="0"/>
              <w:spacing w:after="200" w:line="276" w:lineRule="auto"/>
              <w:contextualSpacing/>
              <w:jc w:val="both"/>
              <w:rPr>
                <w:rFonts w:eastAsia="Calibri"/>
                <w:lang w:eastAsia="en-US"/>
              </w:rPr>
            </w:pPr>
            <w:r w:rsidRPr="00700E03">
              <w:rPr>
                <w:rFonts w:eastAsia="Calibri"/>
                <w:lang w:eastAsia="en-US"/>
              </w:rPr>
              <w:t>Pēc likumprojekta spēkā stāšanās saskaņā ar MK noteikumu Nr. 399 4.3. apakšpunktā minēto, lūdzam pakalpojuma turētāju nodrošināt pakalpojumu aktualizāciju valsts pārvaldes pakalpojumu portālā Latvija.lv.</w:t>
            </w:r>
          </w:p>
          <w:p w:rsidR="00700E03" w:rsidRPr="00700E03" w:rsidRDefault="00700E03" w:rsidP="00700E03">
            <w:pPr>
              <w:widowControl w:val="0"/>
              <w:ind w:firstLine="425"/>
              <w:contextualSpacing/>
              <w:jc w:val="both"/>
              <w:rPr>
                <w:rFonts w:eastAsia="Calibri"/>
                <w:lang w:eastAsia="en-US"/>
              </w:rPr>
            </w:pPr>
          </w:p>
          <w:p w:rsidR="00700E03" w:rsidRPr="00700E03" w:rsidRDefault="00700E03" w:rsidP="00700E03">
            <w:pPr>
              <w:pBdr>
                <w:top w:val="nil"/>
                <w:left w:val="nil"/>
                <w:bottom w:val="nil"/>
                <w:right w:val="nil"/>
                <w:between w:val="nil"/>
              </w:pBdr>
              <w:tabs>
                <w:tab w:val="left" w:pos="674"/>
              </w:tabs>
              <w:jc w:val="center"/>
              <w:rPr>
                <w:rFonts w:eastAsia="Calibri"/>
                <w:b/>
                <w:lang w:eastAsia="en-US"/>
              </w:rPr>
            </w:pPr>
          </w:p>
          <w:p w:rsidR="00700E03" w:rsidRPr="00700E03" w:rsidRDefault="00700E03" w:rsidP="00700E03">
            <w:pPr>
              <w:pBdr>
                <w:top w:val="nil"/>
                <w:left w:val="nil"/>
                <w:bottom w:val="nil"/>
                <w:right w:val="nil"/>
                <w:between w:val="nil"/>
              </w:pBdr>
              <w:tabs>
                <w:tab w:val="left" w:pos="674"/>
              </w:tabs>
              <w:jc w:val="center"/>
              <w:rPr>
                <w:rFonts w:eastAsia="Calibri"/>
                <w:b/>
                <w:lang w:eastAsia="en-US"/>
              </w:rPr>
            </w:pPr>
          </w:p>
        </w:tc>
        <w:tc>
          <w:tcPr>
            <w:tcW w:w="3996" w:type="dxa"/>
            <w:tcBorders>
              <w:left w:val="single" w:sz="6" w:space="0" w:color="000000"/>
              <w:bottom w:val="single" w:sz="4" w:space="0" w:color="000000"/>
              <w:right w:val="single" w:sz="6" w:space="0" w:color="000000"/>
            </w:tcBorders>
          </w:tcPr>
          <w:p w:rsidR="00700E03" w:rsidRPr="00700E03" w:rsidRDefault="00700E03" w:rsidP="00700E03">
            <w:pPr>
              <w:pBdr>
                <w:top w:val="nil"/>
                <w:left w:val="nil"/>
                <w:bottom w:val="nil"/>
                <w:right w:val="nil"/>
                <w:between w:val="nil"/>
              </w:pBdr>
              <w:jc w:val="center"/>
              <w:rPr>
                <w:b/>
                <w:color w:val="000000"/>
              </w:rPr>
            </w:pPr>
            <w:r w:rsidRPr="00700E03">
              <w:rPr>
                <w:b/>
                <w:color w:val="000000"/>
              </w:rPr>
              <w:t>Iebildums ņemts vērā</w:t>
            </w:r>
          </w:p>
          <w:p w:rsidR="00700E03" w:rsidRPr="0033385D" w:rsidRDefault="00700E03" w:rsidP="0033385D">
            <w:pPr>
              <w:pBdr>
                <w:top w:val="nil"/>
                <w:left w:val="nil"/>
                <w:bottom w:val="nil"/>
                <w:right w:val="nil"/>
                <w:between w:val="nil"/>
              </w:pBdr>
              <w:jc w:val="center"/>
              <w:rPr>
                <w:b/>
                <w:color w:val="000000"/>
              </w:rPr>
            </w:pPr>
          </w:p>
        </w:tc>
        <w:tc>
          <w:tcPr>
            <w:tcW w:w="2808" w:type="dxa"/>
            <w:tcBorders>
              <w:top w:val="single" w:sz="4" w:space="0" w:color="000000"/>
              <w:left w:val="single" w:sz="4" w:space="0" w:color="000000"/>
              <w:bottom w:val="single" w:sz="4" w:space="0" w:color="000000"/>
            </w:tcBorders>
          </w:tcPr>
          <w:p w:rsidR="003619BC" w:rsidRPr="003619BC" w:rsidRDefault="003619BC" w:rsidP="003619BC">
            <w:pPr>
              <w:jc w:val="both"/>
            </w:pPr>
            <w:r w:rsidRPr="003619BC">
              <w:t>Ministru kabineta noteikumu projekta anotācijas I sadaļas 2.punkts ir papildināts.</w:t>
            </w:r>
          </w:p>
          <w:p w:rsidR="003619BC" w:rsidRDefault="003619BC" w:rsidP="00A21DC1">
            <w:pPr>
              <w:jc w:val="both"/>
            </w:pPr>
          </w:p>
          <w:p w:rsidR="003619BC" w:rsidRDefault="003619BC" w:rsidP="00A21DC1">
            <w:pPr>
              <w:jc w:val="both"/>
            </w:pPr>
          </w:p>
          <w:p w:rsidR="00700E03" w:rsidRPr="00700E03" w:rsidRDefault="00BD1100" w:rsidP="00A21DC1">
            <w:pPr>
              <w:jc w:val="both"/>
            </w:pPr>
            <w:r>
              <w:t>Likum</w:t>
            </w:r>
            <w:r w:rsidR="00587016" w:rsidRPr="00587016">
              <w:t>rojekts neparedz ieviest jaunus pakalpojumus vai arī pilnveidot esošos, kā arī sniegts pakalpojumus elektroniski.</w:t>
            </w:r>
          </w:p>
        </w:tc>
      </w:tr>
      <w:tr w:rsidR="006F22E3" w:rsidTr="00405261">
        <w:tc>
          <w:tcPr>
            <w:tcW w:w="3107" w:type="dxa"/>
            <w:gridSpan w:val="2"/>
          </w:tcPr>
          <w:p w:rsidR="006F22E3" w:rsidRDefault="006F22E3" w:rsidP="006F22E3">
            <w:pPr>
              <w:pBdr>
                <w:top w:val="nil"/>
                <w:left w:val="nil"/>
                <w:bottom w:val="nil"/>
                <w:right w:val="nil"/>
                <w:between w:val="nil"/>
              </w:pBdr>
              <w:rPr>
                <w:color w:val="000000"/>
              </w:rPr>
            </w:pPr>
          </w:p>
          <w:p w:rsidR="006F22E3" w:rsidRDefault="006F22E3" w:rsidP="006F22E3">
            <w:pPr>
              <w:pBdr>
                <w:top w:val="nil"/>
                <w:left w:val="nil"/>
                <w:bottom w:val="nil"/>
                <w:right w:val="nil"/>
                <w:between w:val="nil"/>
              </w:pBdr>
              <w:rPr>
                <w:color w:val="000000"/>
              </w:rPr>
            </w:pPr>
            <w:r>
              <w:rPr>
                <w:color w:val="000000"/>
              </w:rPr>
              <w:t>Atbildīgā amatpersona</w:t>
            </w:r>
          </w:p>
        </w:tc>
        <w:tc>
          <w:tcPr>
            <w:tcW w:w="11884" w:type="dxa"/>
            <w:gridSpan w:val="4"/>
          </w:tcPr>
          <w:p w:rsidR="006F22E3" w:rsidRDefault="006F22E3" w:rsidP="006F22E3">
            <w:pPr>
              <w:pBdr>
                <w:top w:val="nil"/>
                <w:left w:val="nil"/>
                <w:bottom w:val="nil"/>
                <w:right w:val="nil"/>
                <w:between w:val="nil"/>
              </w:pBdr>
              <w:ind w:firstLine="720"/>
              <w:rPr>
                <w:color w:val="000000"/>
              </w:rPr>
            </w:pPr>
            <w:r>
              <w:rPr>
                <w:color w:val="000000"/>
              </w:rPr>
              <w:t>  </w:t>
            </w:r>
          </w:p>
        </w:tc>
      </w:tr>
      <w:tr w:rsidR="006F22E3" w:rsidTr="00405261">
        <w:tc>
          <w:tcPr>
            <w:tcW w:w="3107" w:type="dxa"/>
            <w:gridSpan w:val="2"/>
          </w:tcPr>
          <w:p w:rsidR="006F22E3" w:rsidRDefault="006F22E3" w:rsidP="006F22E3">
            <w:pPr>
              <w:pBdr>
                <w:top w:val="nil"/>
                <w:left w:val="nil"/>
                <w:bottom w:val="nil"/>
                <w:right w:val="nil"/>
                <w:between w:val="nil"/>
              </w:pBdr>
              <w:ind w:firstLine="720"/>
              <w:rPr>
                <w:color w:val="000000"/>
              </w:rPr>
            </w:pPr>
          </w:p>
        </w:tc>
        <w:tc>
          <w:tcPr>
            <w:tcW w:w="11884" w:type="dxa"/>
            <w:gridSpan w:val="4"/>
            <w:tcBorders>
              <w:top w:val="single" w:sz="6" w:space="0" w:color="000000"/>
            </w:tcBorders>
          </w:tcPr>
          <w:p w:rsidR="006F22E3" w:rsidRDefault="006F22E3" w:rsidP="006F22E3">
            <w:pPr>
              <w:pBdr>
                <w:top w:val="nil"/>
                <w:left w:val="nil"/>
                <w:bottom w:val="nil"/>
                <w:right w:val="nil"/>
                <w:between w:val="nil"/>
              </w:pBdr>
              <w:ind w:firstLine="720"/>
              <w:jc w:val="center"/>
              <w:rPr>
                <w:color w:val="000000"/>
              </w:rPr>
            </w:pPr>
            <w:r>
              <w:rPr>
                <w:color w:val="000000"/>
              </w:rPr>
              <w:t>(paraksts*)</w:t>
            </w:r>
          </w:p>
        </w:tc>
      </w:tr>
    </w:tbl>
    <w:p w:rsidR="000635C0" w:rsidRDefault="000635C0">
      <w:pPr>
        <w:pBdr>
          <w:top w:val="nil"/>
          <w:left w:val="nil"/>
          <w:bottom w:val="nil"/>
          <w:right w:val="nil"/>
          <w:between w:val="nil"/>
        </w:pBdr>
        <w:ind w:firstLine="720"/>
        <w:jc w:val="both"/>
        <w:rPr>
          <w:color w:val="000000"/>
        </w:rPr>
      </w:pPr>
    </w:p>
    <w:p w:rsidR="000635C0" w:rsidRDefault="000635C0">
      <w:pPr>
        <w:pBdr>
          <w:top w:val="nil"/>
          <w:left w:val="nil"/>
          <w:bottom w:val="nil"/>
          <w:right w:val="nil"/>
          <w:between w:val="nil"/>
        </w:pBdr>
        <w:ind w:firstLine="720"/>
        <w:jc w:val="both"/>
        <w:rPr>
          <w:color w:val="000000"/>
        </w:rPr>
      </w:pPr>
    </w:p>
    <w:p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rsidR="00587906" w:rsidRDefault="00587906" w:rsidP="00587906">
      <w:pPr>
        <w:pBdr>
          <w:top w:val="nil"/>
          <w:left w:val="nil"/>
          <w:bottom w:val="nil"/>
          <w:right w:val="nil"/>
          <w:between w:val="nil"/>
        </w:pBdr>
        <w:ind w:firstLine="720"/>
        <w:jc w:val="both"/>
        <w:rPr>
          <w:color w:val="000000"/>
        </w:rPr>
      </w:pPr>
    </w:p>
    <w:p w:rsidR="00587906" w:rsidRDefault="00EE5E60" w:rsidP="00587906">
      <w:pPr>
        <w:pBdr>
          <w:top w:val="nil"/>
          <w:left w:val="nil"/>
          <w:bottom w:val="nil"/>
          <w:right w:val="nil"/>
          <w:between w:val="nil"/>
        </w:pBdr>
        <w:ind w:firstLine="720"/>
        <w:jc w:val="both"/>
        <w:rPr>
          <w:color w:val="000000"/>
        </w:rPr>
      </w:pPr>
      <w:r>
        <w:rPr>
          <w:color w:val="000000"/>
        </w:rPr>
        <w:t>Andris Melkers</w:t>
      </w:r>
    </w:p>
    <w:tbl>
      <w:tblPr>
        <w:tblStyle w:val="a3"/>
        <w:tblW w:w="8268" w:type="dxa"/>
        <w:tblLayout w:type="fixed"/>
        <w:tblLook w:val="0000" w:firstRow="0" w:lastRow="0" w:firstColumn="0" w:lastColumn="0" w:noHBand="0" w:noVBand="0"/>
      </w:tblPr>
      <w:tblGrid>
        <w:gridCol w:w="8268"/>
      </w:tblGrid>
      <w:tr w:rsidR="000635C0">
        <w:tc>
          <w:tcPr>
            <w:tcW w:w="8268" w:type="dxa"/>
            <w:tcBorders>
              <w:top w:val="single" w:sz="4" w:space="0" w:color="000000"/>
            </w:tcBorders>
          </w:tcPr>
          <w:p w:rsidR="000635C0" w:rsidRDefault="00BA0BA3">
            <w:pPr>
              <w:jc w:val="center"/>
            </w:pPr>
            <w:r>
              <w:t>(par projektu atbildīgās amatpersonas vārds un uzvārds)</w:t>
            </w:r>
          </w:p>
        </w:tc>
      </w:tr>
      <w:tr w:rsidR="000635C0">
        <w:tc>
          <w:tcPr>
            <w:tcW w:w="8268" w:type="dxa"/>
            <w:tcBorders>
              <w:bottom w:val="single" w:sz="4" w:space="0" w:color="000000"/>
            </w:tcBorders>
          </w:tcPr>
          <w:p w:rsidR="000635C0" w:rsidRDefault="00EE5E60">
            <w:r>
              <w:t>VP GKPP KKP LASB priekšnieka vietnieks</w:t>
            </w:r>
          </w:p>
        </w:tc>
      </w:tr>
      <w:tr w:rsidR="000635C0">
        <w:tc>
          <w:tcPr>
            <w:tcW w:w="8268" w:type="dxa"/>
            <w:tcBorders>
              <w:top w:val="single" w:sz="4" w:space="0" w:color="000000"/>
            </w:tcBorders>
          </w:tcPr>
          <w:p w:rsidR="000635C0" w:rsidRDefault="00BA0BA3">
            <w:pPr>
              <w:jc w:val="center"/>
            </w:pPr>
            <w:r>
              <w:lastRenderedPageBreak/>
              <w:t>(amats)</w:t>
            </w:r>
          </w:p>
        </w:tc>
      </w:tr>
      <w:tr w:rsidR="000635C0">
        <w:tc>
          <w:tcPr>
            <w:tcW w:w="8268" w:type="dxa"/>
            <w:tcBorders>
              <w:bottom w:val="single" w:sz="4" w:space="0" w:color="000000"/>
            </w:tcBorders>
          </w:tcPr>
          <w:p w:rsidR="000635C0" w:rsidRDefault="00EE5E60">
            <w:r>
              <w:t>67208232</w:t>
            </w:r>
          </w:p>
        </w:tc>
      </w:tr>
      <w:tr w:rsidR="000635C0">
        <w:tc>
          <w:tcPr>
            <w:tcW w:w="8268" w:type="dxa"/>
            <w:tcBorders>
              <w:top w:val="single" w:sz="4" w:space="0" w:color="000000"/>
            </w:tcBorders>
          </w:tcPr>
          <w:p w:rsidR="000635C0" w:rsidRDefault="00BA0BA3">
            <w:pPr>
              <w:jc w:val="center"/>
            </w:pPr>
            <w:r>
              <w:t>(tālruņa un faksa numurs)</w:t>
            </w:r>
          </w:p>
        </w:tc>
      </w:tr>
      <w:tr w:rsidR="000635C0">
        <w:tc>
          <w:tcPr>
            <w:tcW w:w="8268" w:type="dxa"/>
            <w:tcBorders>
              <w:bottom w:val="single" w:sz="4" w:space="0" w:color="000000"/>
            </w:tcBorders>
          </w:tcPr>
          <w:p w:rsidR="000635C0" w:rsidRDefault="00EE5E60">
            <w:r>
              <w:t>andris.melkers@vp.gov.lv</w:t>
            </w:r>
          </w:p>
        </w:tc>
      </w:tr>
      <w:tr w:rsidR="000635C0">
        <w:tc>
          <w:tcPr>
            <w:tcW w:w="8268" w:type="dxa"/>
            <w:tcBorders>
              <w:top w:val="single" w:sz="4" w:space="0" w:color="000000"/>
            </w:tcBorders>
          </w:tcPr>
          <w:p w:rsidR="000635C0" w:rsidRDefault="00BA0BA3">
            <w:pPr>
              <w:jc w:val="center"/>
            </w:pPr>
            <w:r>
              <w:t>(e-pasta adrese)</w:t>
            </w:r>
          </w:p>
        </w:tc>
      </w:tr>
    </w:tbl>
    <w:p w:rsidR="00114DF3" w:rsidRDefault="00114DF3" w:rsidP="00114DF3">
      <w:pPr>
        <w:pBdr>
          <w:top w:val="nil"/>
          <w:left w:val="nil"/>
          <w:bottom w:val="nil"/>
          <w:right w:val="nil"/>
          <w:between w:val="nil"/>
        </w:pBdr>
        <w:rPr>
          <w:color w:val="000000"/>
          <w:sz w:val="28"/>
          <w:szCs w:val="28"/>
        </w:rPr>
      </w:pPr>
    </w:p>
    <w:sectPr w:rsidR="00114DF3">
      <w:headerReference w:type="even" r:id="rId8"/>
      <w:headerReference w:type="default" r:id="rId9"/>
      <w:footerReference w:type="default" r:id="rId10"/>
      <w:footerReference w:type="first" r:id="rId11"/>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E1" w:rsidRDefault="000D55E1">
      <w:r>
        <w:separator/>
      </w:r>
    </w:p>
  </w:endnote>
  <w:endnote w:type="continuationSeparator" w:id="0">
    <w:p w:rsidR="000D55E1" w:rsidRDefault="000D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rPr>
        <w:color w:val="000000"/>
      </w:rPr>
    </w:pPr>
    <w:r>
      <w:rPr>
        <w:color w:val="000000"/>
        <w:sz w:val="20"/>
        <w:szCs w:val="20"/>
      </w:rPr>
      <w:t>IEMIzz_</w:t>
    </w:r>
    <w:r w:rsidR="00700E03">
      <w:rPr>
        <w:color w:val="000000"/>
        <w:sz w:val="20"/>
        <w:szCs w:val="20"/>
      </w:rPr>
      <w:t>16</w:t>
    </w:r>
    <w:r w:rsidR="00BE0A4F">
      <w:rPr>
        <w:noProof/>
        <w:sz w:val="20"/>
        <w:szCs w:val="20"/>
      </w:rPr>
      <w:t>0</w:t>
    </w:r>
    <w:r w:rsidR="00700E03">
      <w:rPr>
        <w:noProof/>
        <w:sz w:val="20"/>
        <w:szCs w:val="20"/>
      </w:rPr>
      <w:t>221</w:t>
    </w:r>
    <w:r w:rsidR="00700E03" w:rsidRPr="00700E03">
      <w:rPr>
        <w:color w:val="000000"/>
        <w:sz w:val="20"/>
        <w:szCs w:val="20"/>
      </w:rPr>
      <w:t>_groz_IAL</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03" w:rsidRPr="00700E03" w:rsidRDefault="00700E03" w:rsidP="00700E03">
    <w:pPr>
      <w:pBdr>
        <w:top w:val="nil"/>
        <w:left w:val="nil"/>
        <w:bottom w:val="nil"/>
        <w:right w:val="nil"/>
        <w:between w:val="nil"/>
      </w:pBdr>
      <w:rPr>
        <w:color w:val="000000"/>
        <w:sz w:val="20"/>
        <w:szCs w:val="20"/>
      </w:rPr>
    </w:pPr>
    <w:r w:rsidRPr="00700E03">
      <w:rPr>
        <w:color w:val="000000"/>
        <w:sz w:val="20"/>
        <w:szCs w:val="20"/>
      </w:rPr>
      <w:t>IEMIzz_160221_groz_IAL</w:t>
    </w:r>
  </w:p>
  <w:p w:rsidR="00944A42" w:rsidRDefault="00944A4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E1" w:rsidRDefault="000D55E1">
      <w:r>
        <w:separator/>
      </w:r>
    </w:p>
  </w:footnote>
  <w:footnote w:type="continuationSeparator" w:id="0">
    <w:p w:rsidR="000D55E1" w:rsidRDefault="000D55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944A42" w:rsidRDefault="00944A4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F62F1C">
      <w:rPr>
        <w:noProof/>
        <w:color w:val="000000"/>
      </w:rPr>
      <w:t>6</w:t>
    </w:r>
    <w:r>
      <w:rPr>
        <w:color w:val="000000"/>
      </w:rPr>
      <w:fldChar w:fldCharType="end"/>
    </w:r>
  </w:p>
  <w:p w:rsidR="00944A42" w:rsidRDefault="00944A4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1">
    <w:nsid w:val="30CC4ECE"/>
    <w:multiLevelType w:val="hybridMultilevel"/>
    <w:tmpl w:val="8416A77C"/>
    <w:lvl w:ilvl="0" w:tplc="F104E1D0">
      <w:start w:val="1"/>
      <w:numFmt w:val="decimal"/>
      <w:lvlText w:val="%1."/>
      <w:lvlJc w:val="left"/>
      <w:pPr>
        <w:ind w:left="644" w:hanging="360"/>
      </w:pPr>
      <w:rPr>
        <w:rFonts w:hint="default"/>
      </w:rPr>
    </w:lvl>
    <w:lvl w:ilvl="1" w:tplc="770A2642" w:tentative="1">
      <w:start w:val="1"/>
      <w:numFmt w:val="lowerLetter"/>
      <w:lvlText w:val="%2."/>
      <w:lvlJc w:val="left"/>
      <w:pPr>
        <w:ind w:left="1364" w:hanging="360"/>
      </w:pPr>
    </w:lvl>
    <w:lvl w:ilvl="2" w:tplc="0A9C3C02" w:tentative="1">
      <w:start w:val="1"/>
      <w:numFmt w:val="lowerRoman"/>
      <w:lvlText w:val="%3."/>
      <w:lvlJc w:val="right"/>
      <w:pPr>
        <w:ind w:left="2084" w:hanging="180"/>
      </w:pPr>
    </w:lvl>
    <w:lvl w:ilvl="3" w:tplc="6336ABAE" w:tentative="1">
      <w:start w:val="1"/>
      <w:numFmt w:val="decimal"/>
      <w:lvlText w:val="%4."/>
      <w:lvlJc w:val="left"/>
      <w:pPr>
        <w:ind w:left="2804" w:hanging="360"/>
      </w:pPr>
    </w:lvl>
    <w:lvl w:ilvl="4" w:tplc="DF347A98" w:tentative="1">
      <w:start w:val="1"/>
      <w:numFmt w:val="lowerLetter"/>
      <w:lvlText w:val="%5."/>
      <w:lvlJc w:val="left"/>
      <w:pPr>
        <w:ind w:left="3524" w:hanging="360"/>
      </w:pPr>
    </w:lvl>
    <w:lvl w:ilvl="5" w:tplc="924CF212" w:tentative="1">
      <w:start w:val="1"/>
      <w:numFmt w:val="lowerRoman"/>
      <w:lvlText w:val="%6."/>
      <w:lvlJc w:val="right"/>
      <w:pPr>
        <w:ind w:left="4244" w:hanging="180"/>
      </w:pPr>
    </w:lvl>
    <w:lvl w:ilvl="6" w:tplc="50A06080" w:tentative="1">
      <w:start w:val="1"/>
      <w:numFmt w:val="decimal"/>
      <w:lvlText w:val="%7."/>
      <w:lvlJc w:val="left"/>
      <w:pPr>
        <w:ind w:left="4964" w:hanging="360"/>
      </w:pPr>
    </w:lvl>
    <w:lvl w:ilvl="7" w:tplc="904ADC28" w:tentative="1">
      <w:start w:val="1"/>
      <w:numFmt w:val="lowerLetter"/>
      <w:lvlText w:val="%8."/>
      <w:lvlJc w:val="left"/>
      <w:pPr>
        <w:ind w:left="5684" w:hanging="360"/>
      </w:pPr>
    </w:lvl>
    <w:lvl w:ilvl="8" w:tplc="8A0C51FA" w:tentative="1">
      <w:start w:val="1"/>
      <w:numFmt w:val="lowerRoman"/>
      <w:lvlText w:val="%9."/>
      <w:lvlJc w:val="right"/>
      <w:pPr>
        <w:ind w:left="6404" w:hanging="180"/>
      </w:pPr>
    </w:lvl>
  </w:abstractNum>
  <w:abstractNum w:abstractNumId="6"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817E39"/>
    <w:multiLevelType w:val="multilevel"/>
    <w:tmpl w:val="3904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B92EF9"/>
    <w:multiLevelType w:val="hybridMultilevel"/>
    <w:tmpl w:val="EEFCC828"/>
    <w:lvl w:ilvl="0" w:tplc="F912E648">
      <w:start w:val="1"/>
      <w:numFmt w:val="decimal"/>
      <w:lvlText w:val="%1."/>
      <w:lvlJc w:val="left"/>
      <w:pPr>
        <w:ind w:left="5895" w:hanging="360"/>
      </w:pPr>
      <w:rPr>
        <w:rFonts w:hint="default"/>
      </w:rPr>
    </w:lvl>
    <w:lvl w:ilvl="1" w:tplc="04260019" w:tentative="1">
      <w:start w:val="1"/>
      <w:numFmt w:val="lowerLetter"/>
      <w:lvlText w:val="%2."/>
      <w:lvlJc w:val="left"/>
      <w:pPr>
        <w:ind w:left="6615" w:hanging="360"/>
      </w:pPr>
    </w:lvl>
    <w:lvl w:ilvl="2" w:tplc="0426001B" w:tentative="1">
      <w:start w:val="1"/>
      <w:numFmt w:val="lowerRoman"/>
      <w:lvlText w:val="%3."/>
      <w:lvlJc w:val="right"/>
      <w:pPr>
        <w:ind w:left="7335" w:hanging="180"/>
      </w:pPr>
    </w:lvl>
    <w:lvl w:ilvl="3" w:tplc="0426000F" w:tentative="1">
      <w:start w:val="1"/>
      <w:numFmt w:val="decimal"/>
      <w:lvlText w:val="%4."/>
      <w:lvlJc w:val="left"/>
      <w:pPr>
        <w:ind w:left="8055" w:hanging="360"/>
      </w:pPr>
    </w:lvl>
    <w:lvl w:ilvl="4" w:tplc="04260019" w:tentative="1">
      <w:start w:val="1"/>
      <w:numFmt w:val="lowerLetter"/>
      <w:lvlText w:val="%5."/>
      <w:lvlJc w:val="left"/>
      <w:pPr>
        <w:ind w:left="8775" w:hanging="360"/>
      </w:pPr>
    </w:lvl>
    <w:lvl w:ilvl="5" w:tplc="0426001B" w:tentative="1">
      <w:start w:val="1"/>
      <w:numFmt w:val="lowerRoman"/>
      <w:lvlText w:val="%6."/>
      <w:lvlJc w:val="right"/>
      <w:pPr>
        <w:ind w:left="9495" w:hanging="180"/>
      </w:pPr>
    </w:lvl>
    <w:lvl w:ilvl="6" w:tplc="0426000F" w:tentative="1">
      <w:start w:val="1"/>
      <w:numFmt w:val="decimal"/>
      <w:lvlText w:val="%7."/>
      <w:lvlJc w:val="left"/>
      <w:pPr>
        <w:ind w:left="10215" w:hanging="360"/>
      </w:pPr>
    </w:lvl>
    <w:lvl w:ilvl="7" w:tplc="04260019" w:tentative="1">
      <w:start w:val="1"/>
      <w:numFmt w:val="lowerLetter"/>
      <w:lvlText w:val="%8."/>
      <w:lvlJc w:val="left"/>
      <w:pPr>
        <w:ind w:left="10935" w:hanging="360"/>
      </w:pPr>
    </w:lvl>
    <w:lvl w:ilvl="8" w:tplc="0426001B" w:tentative="1">
      <w:start w:val="1"/>
      <w:numFmt w:val="lowerRoman"/>
      <w:lvlText w:val="%9."/>
      <w:lvlJc w:val="right"/>
      <w:pPr>
        <w:ind w:left="11655" w:hanging="180"/>
      </w:pPr>
    </w:lvl>
  </w:abstractNum>
  <w:abstractNum w:abstractNumId="15"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2"/>
  </w:num>
  <w:num w:numId="4">
    <w:abstractNumId w:val="15"/>
  </w:num>
  <w:num w:numId="5">
    <w:abstractNumId w:val="4"/>
  </w:num>
  <w:num w:numId="6">
    <w:abstractNumId w:val="10"/>
  </w:num>
  <w:num w:numId="7">
    <w:abstractNumId w:val="1"/>
  </w:num>
  <w:num w:numId="8">
    <w:abstractNumId w:val="9"/>
  </w:num>
  <w:num w:numId="9">
    <w:abstractNumId w:val="3"/>
  </w:num>
  <w:num w:numId="10">
    <w:abstractNumId w:val="8"/>
  </w:num>
  <w:num w:numId="11">
    <w:abstractNumId w:val="16"/>
  </w:num>
  <w:num w:numId="12">
    <w:abstractNumId w:val="6"/>
  </w:num>
  <w:num w:numId="13">
    <w:abstractNumId w:val="11"/>
  </w:num>
  <w:num w:numId="14">
    <w:abstractNumId w:val="13"/>
  </w:num>
  <w:num w:numId="15">
    <w:abstractNumId w:val="7"/>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0"/>
    <w:rsid w:val="00015A38"/>
    <w:rsid w:val="00017878"/>
    <w:rsid w:val="00021ED5"/>
    <w:rsid w:val="000221DB"/>
    <w:rsid w:val="000232EE"/>
    <w:rsid w:val="000271A1"/>
    <w:rsid w:val="00031E98"/>
    <w:rsid w:val="00042539"/>
    <w:rsid w:val="00042E6C"/>
    <w:rsid w:val="00056864"/>
    <w:rsid w:val="000635C0"/>
    <w:rsid w:val="00074E76"/>
    <w:rsid w:val="00081482"/>
    <w:rsid w:val="00082EE6"/>
    <w:rsid w:val="000953A6"/>
    <w:rsid w:val="000A2EDA"/>
    <w:rsid w:val="000A6D17"/>
    <w:rsid w:val="000B1A7F"/>
    <w:rsid w:val="000B3092"/>
    <w:rsid w:val="000B4216"/>
    <w:rsid w:val="000C451F"/>
    <w:rsid w:val="000C49C6"/>
    <w:rsid w:val="000C787B"/>
    <w:rsid w:val="000D0EBB"/>
    <w:rsid w:val="000D2C8A"/>
    <w:rsid w:val="000D55E1"/>
    <w:rsid w:val="000D5D20"/>
    <w:rsid w:val="000F747E"/>
    <w:rsid w:val="000F79EF"/>
    <w:rsid w:val="00114A0B"/>
    <w:rsid w:val="00114DF3"/>
    <w:rsid w:val="00122B69"/>
    <w:rsid w:val="00131A70"/>
    <w:rsid w:val="00134388"/>
    <w:rsid w:val="001355D6"/>
    <w:rsid w:val="0013594D"/>
    <w:rsid w:val="00137810"/>
    <w:rsid w:val="001442AD"/>
    <w:rsid w:val="001452FE"/>
    <w:rsid w:val="001458F4"/>
    <w:rsid w:val="00146202"/>
    <w:rsid w:val="0015089D"/>
    <w:rsid w:val="00151C34"/>
    <w:rsid w:val="0015302B"/>
    <w:rsid w:val="00157BB4"/>
    <w:rsid w:val="00167607"/>
    <w:rsid w:val="00173B6C"/>
    <w:rsid w:val="00176A6C"/>
    <w:rsid w:val="00191678"/>
    <w:rsid w:val="00192BC0"/>
    <w:rsid w:val="00193F01"/>
    <w:rsid w:val="001970C7"/>
    <w:rsid w:val="001A38C9"/>
    <w:rsid w:val="001A3CFD"/>
    <w:rsid w:val="001A4CCB"/>
    <w:rsid w:val="001A5760"/>
    <w:rsid w:val="001E2215"/>
    <w:rsid w:val="001E4888"/>
    <w:rsid w:val="001E6DC7"/>
    <w:rsid w:val="00204A9B"/>
    <w:rsid w:val="00211337"/>
    <w:rsid w:val="00211550"/>
    <w:rsid w:val="0022513E"/>
    <w:rsid w:val="00226F82"/>
    <w:rsid w:val="00237AEB"/>
    <w:rsid w:val="00245D8E"/>
    <w:rsid w:val="00255FF3"/>
    <w:rsid w:val="00257663"/>
    <w:rsid w:val="00270095"/>
    <w:rsid w:val="00271F72"/>
    <w:rsid w:val="002831A5"/>
    <w:rsid w:val="00297595"/>
    <w:rsid w:val="002B25AB"/>
    <w:rsid w:val="002B7CCF"/>
    <w:rsid w:val="002C26F3"/>
    <w:rsid w:val="002C27F1"/>
    <w:rsid w:val="002C5994"/>
    <w:rsid w:val="002D0208"/>
    <w:rsid w:val="002E2E93"/>
    <w:rsid w:val="002E5086"/>
    <w:rsid w:val="002F0538"/>
    <w:rsid w:val="002F639B"/>
    <w:rsid w:val="002F7611"/>
    <w:rsid w:val="00304B8D"/>
    <w:rsid w:val="00306C90"/>
    <w:rsid w:val="003111EB"/>
    <w:rsid w:val="003142F9"/>
    <w:rsid w:val="0032058C"/>
    <w:rsid w:val="00326BE3"/>
    <w:rsid w:val="00332AD4"/>
    <w:rsid w:val="003331A9"/>
    <w:rsid w:val="0033385D"/>
    <w:rsid w:val="0035441C"/>
    <w:rsid w:val="00360682"/>
    <w:rsid w:val="003619BC"/>
    <w:rsid w:val="0038097E"/>
    <w:rsid w:val="003821DA"/>
    <w:rsid w:val="00382B5B"/>
    <w:rsid w:val="00392B06"/>
    <w:rsid w:val="003A178E"/>
    <w:rsid w:val="003A49E2"/>
    <w:rsid w:val="003A4ED6"/>
    <w:rsid w:val="003B3040"/>
    <w:rsid w:val="003B4574"/>
    <w:rsid w:val="003B5A2E"/>
    <w:rsid w:val="003B5FD9"/>
    <w:rsid w:val="003C6CB2"/>
    <w:rsid w:val="003C7435"/>
    <w:rsid w:val="003D136C"/>
    <w:rsid w:val="003D745C"/>
    <w:rsid w:val="003D74A5"/>
    <w:rsid w:val="003E08C0"/>
    <w:rsid w:val="003E0996"/>
    <w:rsid w:val="003E1CBE"/>
    <w:rsid w:val="003F62D0"/>
    <w:rsid w:val="00400011"/>
    <w:rsid w:val="00400C0D"/>
    <w:rsid w:val="00404273"/>
    <w:rsid w:val="00405261"/>
    <w:rsid w:val="00434679"/>
    <w:rsid w:val="00435506"/>
    <w:rsid w:val="004358F9"/>
    <w:rsid w:val="00444863"/>
    <w:rsid w:val="004517F2"/>
    <w:rsid w:val="0045657E"/>
    <w:rsid w:val="00457E0C"/>
    <w:rsid w:val="004649DD"/>
    <w:rsid w:val="00467269"/>
    <w:rsid w:val="0047065C"/>
    <w:rsid w:val="0047113D"/>
    <w:rsid w:val="00475466"/>
    <w:rsid w:val="00484F14"/>
    <w:rsid w:val="0049309B"/>
    <w:rsid w:val="0049314E"/>
    <w:rsid w:val="004954A1"/>
    <w:rsid w:val="00497201"/>
    <w:rsid w:val="00497A6C"/>
    <w:rsid w:val="004A3649"/>
    <w:rsid w:val="004B2ED7"/>
    <w:rsid w:val="004C2FFA"/>
    <w:rsid w:val="004C7A04"/>
    <w:rsid w:val="004F31CA"/>
    <w:rsid w:val="004F43EC"/>
    <w:rsid w:val="004F77D9"/>
    <w:rsid w:val="00500A9A"/>
    <w:rsid w:val="005042E3"/>
    <w:rsid w:val="00511E22"/>
    <w:rsid w:val="005123E0"/>
    <w:rsid w:val="005164D2"/>
    <w:rsid w:val="005246CE"/>
    <w:rsid w:val="0052733E"/>
    <w:rsid w:val="00530E2E"/>
    <w:rsid w:val="00540C99"/>
    <w:rsid w:val="005414B1"/>
    <w:rsid w:val="005479A2"/>
    <w:rsid w:val="00551184"/>
    <w:rsid w:val="00553B32"/>
    <w:rsid w:val="005552C2"/>
    <w:rsid w:val="00571E83"/>
    <w:rsid w:val="00573EF8"/>
    <w:rsid w:val="00577758"/>
    <w:rsid w:val="00580195"/>
    <w:rsid w:val="00587016"/>
    <w:rsid w:val="00587906"/>
    <w:rsid w:val="0059415D"/>
    <w:rsid w:val="005A129E"/>
    <w:rsid w:val="005A49CE"/>
    <w:rsid w:val="005A6430"/>
    <w:rsid w:val="005B0E41"/>
    <w:rsid w:val="005B5102"/>
    <w:rsid w:val="005C2C62"/>
    <w:rsid w:val="005C2E7E"/>
    <w:rsid w:val="005C51B7"/>
    <w:rsid w:val="005D1BE0"/>
    <w:rsid w:val="005D231C"/>
    <w:rsid w:val="005D2662"/>
    <w:rsid w:val="005D3978"/>
    <w:rsid w:val="005D52EC"/>
    <w:rsid w:val="005E55D4"/>
    <w:rsid w:val="005F2A7D"/>
    <w:rsid w:val="005F5D59"/>
    <w:rsid w:val="00603657"/>
    <w:rsid w:val="00605345"/>
    <w:rsid w:val="00606CB1"/>
    <w:rsid w:val="00616CF1"/>
    <w:rsid w:val="00623563"/>
    <w:rsid w:val="00641282"/>
    <w:rsid w:val="00652CB1"/>
    <w:rsid w:val="00655864"/>
    <w:rsid w:val="0065600F"/>
    <w:rsid w:val="00663B0B"/>
    <w:rsid w:val="006711C0"/>
    <w:rsid w:val="00675D17"/>
    <w:rsid w:val="00681904"/>
    <w:rsid w:val="00681CF5"/>
    <w:rsid w:val="00694DBE"/>
    <w:rsid w:val="006A2DBE"/>
    <w:rsid w:val="006A6E1F"/>
    <w:rsid w:val="006D2FB3"/>
    <w:rsid w:val="006D51B6"/>
    <w:rsid w:val="006E6D0F"/>
    <w:rsid w:val="006F0185"/>
    <w:rsid w:val="006F22E3"/>
    <w:rsid w:val="006F70D9"/>
    <w:rsid w:val="007004C3"/>
    <w:rsid w:val="00700E03"/>
    <w:rsid w:val="007069B0"/>
    <w:rsid w:val="00707843"/>
    <w:rsid w:val="00715273"/>
    <w:rsid w:val="00717447"/>
    <w:rsid w:val="00717758"/>
    <w:rsid w:val="007344C4"/>
    <w:rsid w:val="007402CB"/>
    <w:rsid w:val="00741C2D"/>
    <w:rsid w:val="0074430D"/>
    <w:rsid w:val="00744CF8"/>
    <w:rsid w:val="00753AB5"/>
    <w:rsid w:val="00775C01"/>
    <w:rsid w:val="00782EB7"/>
    <w:rsid w:val="00786F8B"/>
    <w:rsid w:val="007876B3"/>
    <w:rsid w:val="007959FD"/>
    <w:rsid w:val="007A1647"/>
    <w:rsid w:val="007A6802"/>
    <w:rsid w:val="007B6833"/>
    <w:rsid w:val="007B6AAF"/>
    <w:rsid w:val="007C5234"/>
    <w:rsid w:val="007D333F"/>
    <w:rsid w:val="007E048F"/>
    <w:rsid w:val="007E0D31"/>
    <w:rsid w:val="007E13FF"/>
    <w:rsid w:val="007E20A0"/>
    <w:rsid w:val="007E3E94"/>
    <w:rsid w:val="007E513A"/>
    <w:rsid w:val="007F09D9"/>
    <w:rsid w:val="007F2556"/>
    <w:rsid w:val="00810901"/>
    <w:rsid w:val="0081552B"/>
    <w:rsid w:val="00823957"/>
    <w:rsid w:val="008306C1"/>
    <w:rsid w:val="00833E92"/>
    <w:rsid w:val="00833FFC"/>
    <w:rsid w:val="00840AF4"/>
    <w:rsid w:val="00843270"/>
    <w:rsid w:val="00843C3A"/>
    <w:rsid w:val="00845DCE"/>
    <w:rsid w:val="008503EE"/>
    <w:rsid w:val="00856089"/>
    <w:rsid w:val="008561D6"/>
    <w:rsid w:val="00862E7F"/>
    <w:rsid w:val="00870C06"/>
    <w:rsid w:val="00884839"/>
    <w:rsid w:val="00892B53"/>
    <w:rsid w:val="00896AB6"/>
    <w:rsid w:val="00896F7C"/>
    <w:rsid w:val="008A1011"/>
    <w:rsid w:val="008B37E5"/>
    <w:rsid w:val="008B42C6"/>
    <w:rsid w:val="008B75ED"/>
    <w:rsid w:val="008B760F"/>
    <w:rsid w:val="008C7B8E"/>
    <w:rsid w:val="008D2F28"/>
    <w:rsid w:val="008D5B89"/>
    <w:rsid w:val="008F1E89"/>
    <w:rsid w:val="008F5C4F"/>
    <w:rsid w:val="008F6D10"/>
    <w:rsid w:val="009043F0"/>
    <w:rsid w:val="0090556E"/>
    <w:rsid w:val="009125F7"/>
    <w:rsid w:val="009156BA"/>
    <w:rsid w:val="0091706D"/>
    <w:rsid w:val="00924C12"/>
    <w:rsid w:val="00930DFE"/>
    <w:rsid w:val="009435ED"/>
    <w:rsid w:val="00944A42"/>
    <w:rsid w:val="00960DB1"/>
    <w:rsid w:val="0096161F"/>
    <w:rsid w:val="00963EA6"/>
    <w:rsid w:val="00966373"/>
    <w:rsid w:val="00971748"/>
    <w:rsid w:val="009761EA"/>
    <w:rsid w:val="00987CA0"/>
    <w:rsid w:val="009A04C7"/>
    <w:rsid w:val="009A2923"/>
    <w:rsid w:val="009A2DEE"/>
    <w:rsid w:val="009A4138"/>
    <w:rsid w:val="009B669E"/>
    <w:rsid w:val="009C0815"/>
    <w:rsid w:val="009E0B1E"/>
    <w:rsid w:val="009E3E4D"/>
    <w:rsid w:val="009E5EC9"/>
    <w:rsid w:val="009E7028"/>
    <w:rsid w:val="009F112B"/>
    <w:rsid w:val="009F174E"/>
    <w:rsid w:val="00A01CF1"/>
    <w:rsid w:val="00A17FA7"/>
    <w:rsid w:val="00A20A87"/>
    <w:rsid w:val="00A21DC1"/>
    <w:rsid w:val="00A23117"/>
    <w:rsid w:val="00A25EC2"/>
    <w:rsid w:val="00A3159F"/>
    <w:rsid w:val="00A32FD3"/>
    <w:rsid w:val="00A455BE"/>
    <w:rsid w:val="00A50108"/>
    <w:rsid w:val="00A5031B"/>
    <w:rsid w:val="00A60AEA"/>
    <w:rsid w:val="00A616BD"/>
    <w:rsid w:val="00A703A9"/>
    <w:rsid w:val="00A7210A"/>
    <w:rsid w:val="00A741C2"/>
    <w:rsid w:val="00A74C10"/>
    <w:rsid w:val="00A80A06"/>
    <w:rsid w:val="00A82A4E"/>
    <w:rsid w:val="00A87F22"/>
    <w:rsid w:val="00A94615"/>
    <w:rsid w:val="00A97085"/>
    <w:rsid w:val="00AB19D7"/>
    <w:rsid w:val="00AC637F"/>
    <w:rsid w:val="00AD42BC"/>
    <w:rsid w:val="00AD6935"/>
    <w:rsid w:val="00AD76DF"/>
    <w:rsid w:val="00AE796B"/>
    <w:rsid w:val="00B136EC"/>
    <w:rsid w:val="00B136FA"/>
    <w:rsid w:val="00B24495"/>
    <w:rsid w:val="00B26F07"/>
    <w:rsid w:val="00B40CD2"/>
    <w:rsid w:val="00B43923"/>
    <w:rsid w:val="00B559B9"/>
    <w:rsid w:val="00B65736"/>
    <w:rsid w:val="00B7273E"/>
    <w:rsid w:val="00B77F42"/>
    <w:rsid w:val="00B8065C"/>
    <w:rsid w:val="00B85548"/>
    <w:rsid w:val="00B8658B"/>
    <w:rsid w:val="00B87998"/>
    <w:rsid w:val="00B90C0F"/>
    <w:rsid w:val="00B92AA8"/>
    <w:rsid w:val="00BA0BA3"/>
    <w:rsid w:val="00BB32B0"/>
    <w:rsid w:val="00BB3D37"/>
    <w:rsid w:val="00BB66FE"/>
    <w:rsid w:val="00BD0496"/>
    <w:rsid w:val="00BD1100"/>
    <w:rsid w:val="00BD55DC"/>
    <w:rsid w:val="00BD72BB"/>
    <w:rsid w:val="00BD7E7A"/>
    <w:rsid w:val="00BE0A4F"/>
    <w:rsid w:val="00BE71AA"/>
    <w:rsid w:val="00BE779B"/>
    <w:rsid w:val="00BE7B8B"/>
    <w:rsid w:val="00BE7E9D"/>
    <w:rsid w:val="00BF129E"/>
    <w:rsid w:val="00C003D0"/>
    <w:rsid w:val="00C0318F"/>
    <w:rsid w:val="00C05527"/>
    <w:rsid w:val="00C0626E"/>
    <w:rsid w:val="00C114D2"/>
    <w:rsid w:val="00C132BF"/>
    <w:rsid w:val="00C156C7"/>
    <w:rsid w:val="00C175C0"/>
    <w:rsid w:val="00C20C2B"/>
    <w:rsid w:val="00C21D62"/>
    <w:rsid w:val="00C25CC7"/>
    <w:rsid w:val="00C266B1"/>
    <w:rsid w:val="00C27145"/>
    <w:rsid w:val="00C302CA"/>
    <w:rsid w:val="00C315B4"/>
    <w:rsid w:val="00C3629F"/>
    <w:rsid w:val="00C414A4"/>
    <w:rsid w:val="00C45047"/>
    <w:rsid w:val="00C57CC5"/>
    <w:rsid w:val="00C61F92"/>
    <w:rsid w:val="00C63215"/>
    <w:rsid w:val="00C653B9"/>
    <w:rsid w:val="00C72BBB"/>
    <w:rsid w:val="00C75410"/>
    <w:rsid w:val="00C80487"/>
    <w:rsid w:val="00C852A8"/>
    <w:rsid w:val="00CB0B3F"/>
    <w:rsid w:val="00CC3D6C"/>
    <w:rsid w:val="00CD3248"/>
    <w:rsid w:val="00CD5087"/>
    <w:rsid w:val="00CE1901"/>
    <w:rsid w:val="00CF3EA1"/>
    <w:rsid w:val="00D02333"/>
    <w:rsid w:val="00D06638"/>
    <w:rsid w:val="00D10CD7"/>
    <w:rsid w:val="00D13239"/>
    <w:rsid w:val="00D149DE"/>
    <w:rsid w:val="00D1665D"/>
    <w:rsid w:val="00D2044F"/>
    <w:rsid w:val="00D22431"/>
    <w:rsid w:val="00D24ED1"/>
    <w:rsid w:val="00D32588"/>
    <w:rsid w:val="00D40198"/>
    <w:rsid w:val="00D4067E"/>
    <w:rsid w:val="00D41120"/>
    <w:rsid w:val="00D439F8"/>
    <w:rsid w:val="00D5451C"/>
    <w:rsid w:val="00D57421"/>
    <w:rsid w:val="00D7276D"/>
    <w:rsid w:val="00D81BDF"/>
    <w:rsid w:val="00D86DF5"/>
    <w:rsid w:val="00D94EC0"/>
    <w:rsid w:val="00DA0F6A"/>
    <w:rsid w:val="00DA2AFC"/>
    <w:rsid w:val="00DA7881"/>
    <w:rsid w:val="00DA7B1F"/>
    <w:rsid w:val="00DB445C"/>
    <w:rsid w:val="00DB4D4E"/>
    <w:rsid w:val="00DC56B9"/>
    <w:rsid w:val="00DE4F91"/>
    <w:rsid w:val="00DE6F80"/>
    <w:rsid w:val="00DE7C13"/>
    <w:rsid w:val="00DF06CD"/>
    <w:rsid w:val="00DF1BCB"/>
    <w:rsid w:val="00DF2909"/>
    <w:rsid w:val="00DF43D2"/>
    <w:rsid w:val="00E04C3B"/>
    <w:rsid w:val="00E07176"/>
    <w:rsid w:val="00E10B4C"/>
    <w:rsid w:val="00E13AA4"/>
    <w:rsid w:val="00E162AC"/>
    <w:rsid w:val="00E21665"/>
    <w:rsid w:val="00E22DEC"/>
    <w:rsid w:val="00E55A13"/>
    <w:rsid w:val="00E61010"/>
    <w:rsid w:val="00E6250F"/>
    <w:rsid w:val="00E7547A"/>
    <w:rsid w:val="00E75CFA"/>
    <w:rsid w:val="00E76180"/>
    <w:rsid w:val="00E8019D"/>
    <w:rsid w:val="00E8314D"/>
    <w:rsid w:val="00E86DEC"/>
    <w:rsid w:val="00E9402F"/>
    <w:rsid w:val="00E9699C"/>
    <w:rsid w:val="00EA11DE"/>
    <w:rsid w:val="00EB00D9"/>
    <w:rsid w:val="00EB58F5"/>
    <w:rsid w:val="00EB5EA0"/>
    <w:rsid w:val="00EC18A8"/>
    <w:rsid w:val="00ED2814"/>
    <w:rsid w:val="00ED454D"/>
    <w:rsid w:val="00ED50B8"/>
    <w:rsid w:val="00ED5A52"/>
    <w:rsid w:val="00EE320A"/>
    <w:rsid w:val="00EE5E60"/>
    <w:rsid w:val="00EE6052"/>
    <w:rsid w:val="00EF2071"/>
    <w:rsid w:val="00F002BF"/>
    <w:rsid w:val="00F02E98"/>
    <w:rsid w:val="00F04E7B"/>
    <w:rsid w:val="00F04F90"/>
    <w:rsid w:val="00F225A8"/>
    <w:rsid w:val="00F24B46"/>
    <w:rsid w:val="00F32905"/>
    <w:rsid w:val="00F357D3"/>
    <w:rsid w:val="00F3604B"/>
    <w:rsid w:val="00F3686A"/>
    <w:rsid w:val="00F36E8A"/>
    <w:rsid w:val="00F41EDE"/>
    <w:rsid w:val="00F44AFD"/>
    <w:rsid w:val="00F47CCD"/>
    <w:rsid w:val="00F47D36"/>
    <w:rsid w:val="00F52D85"/>
    <w:rsid w:val="00F564F9"/>
    <w:rsid w:val="00F60364"/>
    <w:rsid w:val="00F62F1C"/>
    <w:rsid w:val="00F6399E"/>
    <w:rsid w:val="00F63BEA"/>
    <w:rsid w:val="00F75490"/>
    <w:rsid w:val="00F85796"/>
    <w:rsid w:val="00F90922"/>
    <w:rsid w:val="00F9259E"/>
    <w:rsid w:val="00F958BE"/>
    <w:rsid w:val="00FA21C9"/>
    <w:rsid w:val="00FB0453"/>
    <w:rsid w:val="00FB6DF1"/>
    <w:rsid w:val="00FC331E"/>
    <w:rsid w:val="00FC5B82"/>
    <w:rsid w:val="00FD7077"/>
    <w:rsid w:val="00FD7E5E"/>
    <w:rsid w:val="00FE0C1E"/>
    <w:rsid w:val="00FE273C"/>
    <w:rsid w:val="00FE482C"/>
    <w:rsid w:val="00FE4951"/>
    <w:rsid w:val="00FE5CA3"/>
    <w:rsid w:val="00FE68A8"/>
    <w:rsid w:val="00FE693B"/>
    <w:rsid w:val="00FF098A"/>
    <w:rsid w:val="00FF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69B2-0FF2-4643-BC73-93EEBA6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031E98"/>
  </w:style>
  <w:style w:type="paragraph" w:styleId="Virsraksts1">
    <w:name w:val="heading 1"/>
    <w:basedOn w:val="Parasts"/>
    <w:next w:val="Parasts"/>
    <w:pPr>
      <w:spacing w:before="100" w:after="10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Pr>
  </w:style>
  <w:style w:type="table" w:customStyle="1" w:styleId="a0">
    <w:basedOn w:val="Parastatabula"/>
    <w:tblPr>
      <w:tblStyleRowBandSize w:val="1"/>
      <w:tblStyleColBandSize w:val="1"/>
    </w:tblPr>
  </w:style>
  <w:style w:type="table" w:customStyle="1" w:styleId="a1">
    <w:basedOn w:val="Parastatabula"/>
    <w:tblPr>
      <w:tblStyleRowBandSize w:val="1"/>
      <w:tblStyleColBandSize w:val="1"/>
    </w:tblPr>
  </w:style>
  <w:style w:type="table" w:customStyle="1" w:styleId="a2">
    <w:basedOn w:val="Parastatabula"/>
    <w:tblPr>
      <w:tblStyleRowBandSize w:val="1"/>
      <w:tblStyleColBandSize w:val="1"/>
    </w:tblPr>
  </w:style>
  <w:style w:type="table" w:customStyle="1" w:styleId="a3">
    <w:basedOn w:val="Parastatabula"/>
    <w:tblPr>
      <w:tblStyleRowBandSize w:val="1"/>
      <w:tblStyleColBandSize w:val="1"/>
    </w:tblPr>
  </w:style>
  <w:style w:type="paragraph" w:styleId="Sarakstarindkopa">
    <w:name w:val="List Paragraph"/>
    <w:basedOn w:val="Parasts"/>
    <w:uiPriority w:val="34"/>
    <w:qFormat/>
    <w:rsid w:val="00675D17"/>
    <w:pPr>
      <w:ind w:left="720"/>
      <w:contextualSpacing/>
    </w:pPr>
  </w:style>
  <w:style w:type="character" w:styleId="Hipersaite">
    <w:name w:val="Hyperlink"/>
    <w:basedOn w:val="Noklusjumarindkopasfonts"/>
    <w:uiPriority w:val="99"/>
    <w:unhideWhenUsed/>
    <w:rsid w:val="00F60364"/>
    <w:rPr>
      <w:color w:val="0000FF" w:themeColor="hyperlink"/>
      <w:u w:val="single"/>
    </w:rPr>
  </w:style>
  <w:style w:type="character" w:customStyle="1" w:styleId="UnresolvedMention1">
    <w:name w:val="Unresolved Mention1"/>
    <w:basedOn w:val="Noklusjumarindkopasfonts"/>
    <w:uiPriority w:val="99"/>
    <w:semiHidden/>
    <w:unhideWhenUsed/>
    <w:rsid w:val="00F60364"/>
    <w:rPr>
      <w:color w:val="808080"/>
      <w:shd w:val="clear" w:color="auto" w:fill="E6E6E6"/>
    </w:rPr>
  </w:style>
  <w:style w:type="character" w:styleId="Izteiksmgs">
    <w:name w:val="Strong"/>
    <w:basedOn w:val="Noklusjumarindkopasfonts"/>
    <w:uiPriority w:val="22"/>
    <w:qFormat/>
    <w:rsid w:val="000D2C8A"/>
    <w:rPr>
      <w:b/>
      <w:bCs/>
    </w:rPr>
  </w:style>
  <w:style w:type="paragraph" w:styleId="Kjene">
    <w:name w:val="footer"/>
    <w:basedOn w:val="Parasts"/>
    <w:link w:val="KjeneRakstz"/>
    <w:uiPriority w:val="99"/>
    <w:unhideWhenUsed/>
    <w:rsid w:val="00B77F42"/>
    <w:pPr>
      <w:tabs>
        <w:tab w:val="center" w:pos="4153"/>
        <w:tab w:val="right" w:pos="8306"/>
      </w:tabs>
    </w:pPr>
  </w:style>
  <w:style w:type="character" w:customStyle="1" w:styleId="KjeneRakstz">
    <w:name w:val="Kājene Rakstz."/>
    <w:basedOn w:val="Noklusjumarindkopasfonts"/>
    <w:link w:val="Kjene"/>
    <w:uiPriority w:val="99"/>
    <w:rsid w:val="00B77F42"/>
  </w:style>
  <w:style w:type="paragraph" w:styleId="Galvene">
    <w:name w:val="header"/>
    <w:basedOn w:val="Parasts"/>
    <w:link w:val="GalveneRakstz"/>
    <w:uiPriority w:val="99"/>
    <w:unhideWhenUsed/>
    <w:rsid w:val="00B77F42"/>
    <w:pPr>
      <w:tabs>
        <w:tab w:val="center" w:pos="4153"/>
        <w:tab w:val="right" w:pos="8306"/>
      </w:tabs>
    </w:pPr>
  </w:style>
  <w:style w:type="character" w:customStyle="1" w:styleId="GalveneRakstz">
    <w:name w:val="Galvene Rakstz."/>
    <w:basedOn w:val="Noklusjumarindkopasfonts"/>
    <w:link w:val="Galvene"/>
    <w:uiPriority w:val="99"/>
    <w:rsid w:val="00B77F42"/>
  </w:style>
  <w:style w:type="character" w:customStyle="1" w:styleId="UnresolvedMention">
    <w:name w:val="Unresolved Mention"/>
    <w:basedOn w:val="Noklusjumarindkopasfonts"/>
    <w:uiPriority w:val="99"/>
    <w:semiHidden/>
    <w:unhideWhenUsed/>
    <w:rsid w:val="002C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0828">
      <w:bodyDiv w:val="1"/>
      <w:marLeft w:val="0"/>
      <w:marRight w:val="0"/>
      <w:marTop w:val="0"/>
      <w:marBottom w:val="0"/>
      <w:divBdr>
        <w:top w:val="none" w:sz="0" w:space="0" w:color="auto"/>
        <w:left w:val="none" w:sz="0" w:space="0" w:color="auto"/>
        <w:bottom w:val="none" w:sz="0" w:space="0" w:color="auto"/>
        <w:right w:val="none" w:sz="0" w:space="0" w:color="auto"/>
      </w:divBdr>
    </w:div>
    <w:div w:id="712927827">
      <w:bodyDiv w:val="1"/>
      <w:marLeft w:val="0"/>
      <w:marRight w:val="0"/>
      <w:marTop w:val="0"/>
      <w:marBottom w:val="0"/>
      <w:divBdr>
        <w:top w:val="none" w:sz="0" w:space="0" w:color="auto"/>
        <w:left w:val="none" w:sz="0" w:space="0" w:color="auto"/>
        <w:bottom w:val="none" w:sz="0" w:space="0" w:color="auto"/>
        <w:right w:val="none" w:sz="0" w:space="0" w:color="auto"/>
      </w:divBdr>
    </w:div>
    <w:div w:id="968316161">
      <w:bodyDiv w:val="1"/>
      <w:marLeft w:val="0"/>
      <w:marRight w:val="0"/>
      <w:marTop w:val="0"/>
      <w:marBottom w:val="0"/>
      <w:divBdr>
        <w:top w:val="none" w:sz="0" w:space="0" w:color="auto"/>
        <w:left w:val="none" w:sz="0" w:space="0" w:color="auto"/>
        <w:bottom w:val="none" w:sz="0" w:space="0" w:color="auto"/>
        <w:right w:val="none" w:sz="0" w:space="0" w:color="auto"/>
      </w:divBdr>
    </w:div>
    <w:div w:id="1303340559">
      <w:bodyDiv w:val="1"/>
      <w:marLeft w:val="0"/>
      <w:marRight w:val="0"/>
      <w:marTop w:val="0"/>
      <w:marBottom w:val="0"/>
      <w:divBdr>
        <w:top w:val="none" w:sz="0" w:space="0" w:color="auto"/>
        <w:left w:val="none" w:sz="0" w:space="0" w:color="auto"/>
        <w:bottom w:val="none" w:sz="0" w:space="0" w:color="auto"/>
        <w:right w:val="none" w:sz="0" w:space="0" w:color="auto"/>
      </w:divBdr>
    </w:div>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 w:id="193490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B5AD0-E601-47B7-B1C3-A0885146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5008</Words>
  <Characters>2856</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Solvita Žakaite</cp:lastModifiedBy>
  <cp:revision>2</cp:revision>
  <dcterms:created xsi:type="dcterms:W3CDTF">2021-04-12T13:47:00Z</dcterms:created>
  <dcterms:modified xsi:type="dcterms:W3CDTF">2021-04-12T13:47:00Z</dcterms:modified>
</cp:coreProperties>
</file>