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1EB5B" w14:textId="5C0D2F1B" w:rsidR="00B349FB" w:rsidRDefault="00BC65C7" w:rsidP="00BC65C7">
      <w:pPr>
        <w:pStyle w:val="tv20787921"/>
        <w:spacing w:after="0" w:line="240" w:lineRule="auto"/>
        <w:rPr>
          <w:rFonts w:ascii="Times New Roman" w:hAnsi="Times New Roman"/>
          <w:sz w:val="26"/>
          <w:szCs w:val="26"/>
        </w:rPr>
      </w:pPr>
      <w:r w:rsidRPr="00BC65C7">
        <w:rPr>
          <w:rFonts w:ascii="Times New Roman" w:hAnsi="Times New Roman"/>
          <w:sz w:val="26"/>
          <w:szCs w:val="26"/>
        </w:rPr>
        <w:t>Izziņa par atzinumos sniegtajiem iebildumiem par</w:t>
      </w:r>
      <w:r w:rsidR="00B349FB" w:rsidRPr="00FD75C9">
        <w:rPr>
          <w:rFonts w:ascii="Times New Roman" w:hAnsi="Times New Roman"/>
          <w:sz w:val="26"/>
          <w:szCs w:val="26"/>
        </w:rPr>
        <w:t xml:space="preserve"> Mini</w:t>
      </w:r>
      <w:r w:rsidR="00FD5E81">
        <w:rPr>
          <w:rFonts w:ascii="Times New Roman" w:hAnsi="Times New Roman"/>
          <w:sz w:val="26"/>
          <w:szCs w:val="26"/>
        </w:rPr>
        <w:t>stru kabineta noteikumu projektiem</w:t>
      </w:r>
      <w:r w:rsidR="00B349FB" w:rsidRPr="00FD75C9">
        <w:rPr>
          <w:rFonts w:ascii="Times New Roman" w:hAnsi="Times New Roman"/>
          <w:sz w:val="26"/>
          <w:szCs w:val="26"/>
        </w:rPr>
        <w:t xml:space="preserve"> </w:t>
      </w:r>
      <w:r w:rsidR="004A2138" w:rsidRPr="004A2138">
        <w:rPr>
          <w:rFonts w:ascii="Times New Roman" w:hAnsi="Times New Roman"/>
          <w:sz w:val="26"/>
          <w:szCs w:val="26"/>
        </w:rPr>
        <w:t xml:space="preserve">“Grozījumi Ministru kabineta 2016. gada 5. jūlija noteikumos Nr. 477 “Speciālās izglītības iestāžu un vispārējās izglītības iestāžu speciālās izglītības klašu </w:t>
      </w:r>
      <w:r w:rsidR="004A2138">
        <w:rPr>
          <w:rFonts w:ascii="Times New Roman" w:hAnsi="Times New Roman"/>
          <w:sz w:val="26"/>
          <w:szCs w:val="26"/>
        </w:rPr>
        <w:t xml:space="preserve">(grupu) finansēšanas kārtība””, </w:t>
      </w:r>
      <w:r w:rsidR="004A2138" w:rsidRPr="004A2138">
        <w:rPr>
          <w:rFonts w:ascii="Times New Roman" w:hAnsi="Times New Roman"/>
          <w:sz w:val="26"/>
          <w:szCs w:val="26"/>
        </w:rPr>
        <w:t xml:space="preserve">“Grozījumi Ministru kabineta 2011. gada 5. jūlija noteikumos Nr. 523 “Kārtība, kādā aprēķina un sadala valsts budžeta mērķdotāciju pedagogu darba samaksai pašvaldību izglītības iestādēs, kurās īsteno profesionālās pamatizglītības, arodizglītības un profesionālās vidējās izglītības programmas”” un “Grozījumi Ministru kabineta 2001. gada 28. augusta noteikumos Nr. 382 “Interešu izglītības programmu finansēšanas kārtība”” </w:t>
      </w:r>
      <w:r w:rsidR="004A2138">
        <w:rPr>
          <w:rFonts w:ascii="Times New Roman" w:hAnsi="Times New Roman"/>
          <w:sz w:val="26"/>
          <w:szCs w:val="26"/>
        </w:rPr>
        <w:t>un tiem</w:t>
      </w:r>
      <w:r w:rsidRPr="00BC65C7">
        <w:rPr>
          <w:rFonts w:ascii="Times New Roman" w:hAnsi="Times New Roman"/>
          <w:sz w:val="26"/>
          <w:szCs w:val="26"/>
        </w:rPr>
        <w:t xml:space="preserve"> pievienoto sākotnējās ietekmes novērtējuma ziņojumu (anotācija)</w:t>
      </w:r>
    </w:p>
    <w:p w14:paraId="51CEB9A8" w14:textId="3886B1B1" w:rsidR="003A316E" w:rsidRPr="00FD75C9" w:rsidRDefault="00FD5E81" w:rsidP="00FD5E81">
      <w:pPr>
        <w:pStyle w:val="tv20787921"/>
        <w:tabs>
          <w:tab w:val="left" w:pos="4536"/>
        </w:tabs>
        <w:spacing w:after="0" w:line="240" w:lineRule="auto"/>
        <w:jc w:val="left"/>
        <w:rPr>
          <w:rFonts w:ascii="Times New Roman" w:hAnsi="Times New Roman"/>
          <w:b w:val="0"/>
          <w:sz w:val="26"/>
          <w:szCs w:val="26"/>
        </w:rPr>
      </w:pPr>
      <w:r>
        <w:rPr>
          <w:rFonts w:ascii="Times New Roman" w:hAnsi="Times New Roman"/>
          <w:b w:val="0"/>
          <w:sz w:val="26"/>
          <w:szCs w:val="26"/>
        </w:rPr>
        <w:tab/>
      </w:r>
    </w:p>
    <w:p w14:paraId="02B53355" w14:textId="77777777" w:rsidR="009638EA" w:rsidRPr="003A316E" w:rsidRDefault="009638EA" w:rsidP="003A316E">
      <w:pPr>
        <w:pStyle w:val="naisf"/>
        <w:numPr>
          <w:ilvl w:val="0"/>
          <w:numId w:val="1"/>
        </w:numPr>
        <w:shd w:val="clear" w:color="auto" w:fill="FFFFFF"/>
        <w:spacing w:before="0" w:after="0"/>
        <w:jc w:val="center"/>
        <w:rPr>
          <w:b/>
        </w:rPr>
      </w:pPr>
      <w:r w:rsidRPr="0052064D">
        <w:rPr>
          <w:b/>
        </w:rPr>
        <w:t xml:space="preserve">Jautājumi, par kuriem saskaņošanā vienošanās </w:t>
      </w:r>
      <w:r w:rsidR="00FD75C9">
        <w:rPr>
          <w:b/>
        </w:rPr>
        <w:t>nav</w:t>
      </w:r>
      <w:r w:rsidRPr="0052064D">
        <w:rPr>
          <w:b/>
        </w:rPr>
        <w:t xml:space="preserve"> panākta</w:t>
      </w:r>
    </w:p>
    <w:tbl>
      <w:tblPr>
        <w:tblpPr w:leftFromText="180" w:rightFromText="180" w:vertAnchor="text" w:tblpX="-601" w:tblpY="1"/>
        <w:tblOverlap w:val="neve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148"/>
        <w:gridCol w:w="4394"/>
        <w:gridCol w:w="3748"/>
        <w:gridCol w:w="2744"/>
      </w:tblGrid>
      <w:tr w:rsidR="009638EA" w:rsidRPr="0052064D" w14:paraId="2CAF2CC0" w14:textId="77777777" w:rsidTr="00A96574">
        <w:trPr>
          <w:trHeight w:val="648"/>
        </w:trPr>
        <w:tc>
          <w:tcPr>
            <w:tcW w:w="675" w:type="dxa"/>
            <w:tcBorders>
              <w:top w:val="single" w:sz="4" w:space="0" w:color="000000"/>
              <w:left w:val="single" w:sz="4" w:space="0" w:color="000000"/>
              <w:bottom w:val="single" w:sz="4" w:space="0" w:color="000000"/>
              <w:right w:val="single" w:sz="4" w:space="0" w:color="000000"/>
            </w:tcBorders>
            <w:hideMark/>
          </w:tcPr>
          <w:p w14:paraId="7C7EFA6C" w14:textId="77777777" w:rsidR="009638EA" w:rsidRPr="0052064D" w:rsidRDefault="009638EA" w:rsidP="004D6D2B">
            <w:pPr>
              <w:shd w:val="clear" w:color="auto" w:fill="FFFFFF"/>
              <w:jc w:val="center"/>
              <w:rPr>
                <w:b/>
              </w:rPr>
            </w:pPr>
            <w:r w:rsidRPr="0052064D">
              <w:rPr>
                <w:b/>
              </w:rPr>
              <w:t>Nr. p.k.</w:t>
            </w:r>
          </w:p>
          <w:p w14:paraId="2E5A0A6F" w14:textId="77777777" w:rsidR="009638EA" w:rsidRPr="0052064D" w:rsidRDefault="009638EA" w:rsidP="004D6D2B">
            <w:pPr>
              <w:shd w:val="clear" w:color="auto" w:fill="FFFFFF"/>
              <w:jc w:val="center"/>
              <w:rPr>
                <w:b/>
              </w:rPr>
            </w:pPr>
          </w:p>
        </w:tc>
        <w:tc>
          <w:tcPr>
            <w:tcW w:w="3148" w:type="dxa"/>
            <w:tcBorders>
              <w:top w:val="single" w:sz="4" w:space="0" w:color="000000"/>
              <w:left w:val="single" w:sz="4" w:space="0" w:color="000000"/>
              <w:bottom w:val="single" w:sz="4" w:space="0" w:color="000000"/>
              <w:right w:val="single" w:sz="4" w:space="0" w:color="000000"/>
            </w:tcBorders>
            <w:hideMark/>
          </w:tcPr>
          <w:p w14:paraId="4F4EFED8" w14:textId="77777777" w:rsidR="009638EA" w:rsidRPr="0052064D" w:rsidRDefault="009638EA" w:rsidP="004D6D2B">
            <w:pPr>
              <w:shd w:val="clear" w:color="auto" w:fill="FFFFFF"/>
              <w:jc w:val="center"/>
              <w:rPr>
                <w:b/>
              </w:rPr>
            </w:pPr>
            <w:r w:rsidRPr="0052064D">
              <w:rPr>
                <w:b/>
              </w:rPr>
              <w:t>Saskaņošanai nosūtītā projekta redakcija (konkrēta punkta (panta) redakcija)</w:t>
            </w:r>
          </w:p>
        </w:tc>
        <w:tc>
          <w:tcPr>
            <w:tcW w:w="4394" w:type="dxa"/>
            <w:tcBorders>
              <w:top w:val="single" w:sz="4" w:space="0" w:color="000000"/>
              <w:left w:val="single" w:sz="4" w:space="0" w:color="000000"/>
              <w:bottom w:val="single" w:sz="4" w:space="0" w:color="000000"/>
              <w:right w:val="single" w:sz="4" w:space="0" w:color="000000"/>
            </w:tcBorders>
            <w:hideMark/>
          </w:tcPr>
          <w:p w14:paraId="249378FD" w14:textId="77777777" w:rsidR="009638EA" w:rsidRPr="0052064D" w:rsidRDefault="009638EA" w:rsidP="004D6D2B">
            <w:pPr>
              <w:shd w:val="clear" w:color="auto" w:fill="FFFFFF"/>
              <w:jc w:val="center"/>
              <w:rPr>
                <w:b/>
              </w:rPr>
            </w:pPr>
            <w:r w:rsidRPr="0052064D">
              <w:rPr>
                <w:b/>
              </w:rPr>
              <w:t>Atzinumā norādītais ministrijas (citas institūcijas) iebildums, kā arī saskaņošanā papildus izteiktais iebildums par projekta konkrēto punktu (pantu)</w:t>
            </w:r>
          </w:p>
        </w:tc>
        <w:tc>
          <w:tcPr>
            <w:tcW w:w="3748" w:type="dxa"/>
            <w:tcBorders>
              <w:top w:val="single" w:sz="4" w:space="0" w:color="000000"/>
              <w:left w:val="single" w:sz="4" w:space="0" w:color="000000"/>
              <w:bottom w:val="single" w:sz="4" w:space="0" w:color="000000"/>
              <w:right w:val="single" w:sz="4" w:space="0" w:color="000000"/>
            </w:tcBorders>
            <w:hideMark/>
          </w:tcPr>
          <w:p w14:paraId="4895578E" w14:textId="77777777" w:rsidR="009638EA" w:rsidRPr="0052064D" w:rsidRDefault="009638EA" w:rsidP="004D6D2B">
            <w:pPr>
              <w:shd w:val="clear" w:color="auto" w:fill="FFFFFF"/>
              <w:jc w:val="center"/>
              <w:rPr>
                <w:b/>
              </w:rPr>
            </w:pPr>
            <w:r w:rsidRPr="0052064D">
              <w:rPr>
                <w:b/>
              </w:rPr>
              <w:t>Atbildīgās ministrijas norāde par to, ka iebildums ir ņemts vērā, vai informācija par saskaņošanā panākto alternatīvo risinājumu</w:t>
            </w:r>
          </w:p>
        </w:tc>
        <w:tc>
          <w:tcPr>
            <w:tcW w:w="2744" w:type="dxa"/>
            <w:tcBorders>
              <w:top w:val="single" w:sz="4" w:space="0" w:color="000000"/>
              <w:left w:val="single" w:sz="4" w:space="0" w:color="000000"/>
              <w:bottom w:val="single" w:sz="4" w:space="0" w:color="000000"/>
              <w:right w:val="single" w:sz="4" w:space="0" w:color="000000"/>
            </w:tcBorders>
            <w:hideMark/>
          </w:tcPr>
          <w:p w14:paraId="244CADAB" w14:textId="77777777" w:rsidR="009638EA" w:rsidRPr="0052064D" w:rsidRDefault="009638EA" w:rsidP="004D6D2B">
            <w:pPr>
              <w:shd w:val="clear" w:color="auto" w:fill="FFFFFF"/>
              <w:jc w:val="center"/>
              <w:rPr>
                <w:b/>
              </w:rPr>
            </w:pPr>
            <w:r w:rsidRPr="0052064D">
              <w:rPr>
                <w:b/>
              </w:rPr>
              <w:t>Projekta attiecīgā punkta (panta) galīgā redakcija</w:t>
            </w:r>
          </w:p>
        </w:tc>
      </w:tr>
      <w:tr w:rsidR="009638EA" w:rsidRPr="00593425" w14:paraId="6AD1337E" w14:textId="77777777" w:rsidTr="00A96574">
        <w:trPr>
          <w:trHeight w:val="300"/>
        </w:trPr>
        <w:tc>
          <w:tcPr>
            <w:tcW w:w="675" w:type="dxa"/>
            <w:tcBorders>
              <w:top w:val="single" w:sz="4" w:space="0" w:color="000000"/>
              <w:left w:val="single" w:sz="4" w:space="0" w:color="000000"/>
              <w:bottom w:val="single" w:sz="4" w:space="0" w:color="000000"/>
              <w:right w:val="single" w:sz="4" w:space="0" w:color="000000"/>
            </w:tcBorders>
          </w:tcPr>
          <w:p w14:paraId="57547AFE" w14:textId="77777777" w:rsidR="009638EA" w:rsidRPr="00593425" w:rsidRDefault="009638EA" w:rsidP="00593425">
            <w:pPr>
              <w:shd w:val="clear" w:color="auto" w:fill="FFFFFF"/>
              <w:jc w:val="both"/>
            </w:pPr>
            <w:r w:rsidRPr="00593425">
              <w:t>1</w:t>
            </w:r>
          </w:p>
        </w:tc>
        <w:tc>
          <w:tcPr>
            <w:tcW w:w="3148" w:type="dxa"/>
            <w:tcBorders>
              <w:top w:val="single" w:sz="4" w:space="0" w:color="000000"/>
              <w:left w:val="single" w:sz="4" w:space="0" w:color="000000"/>
              <w:bottom w:val="single" w:sz="4" w:space="0" w:color="000000"/>
              <w:right w:val="single" w:sz="4" w:space="0" w:color="000000"/>
            </w:tcBorders>
          </w:tcPr>
          <w:p w14:paraId="5EFF59C8" w14:textId="77777777" w:rsidR="009638EA" w:rsidRPr="00593425" w:rsidRDefault="009638EA" w:rsidP="00593425">
            <w:pPr>
              <w:shd w:val="clear" w:color="auto" w:fill="FFFFFF"/>
              <w:jc w:val="both"/>
            </w:pPr>
            <w:r w:rsidRPr="00593425">
              <w:t>2</w:t>
            </w:r>
          </w:p>
        </w:tc>
        <w:tc>
          <w:tcPr>
            <w:tcW w:w="4394" w:type="dxa"/>
            <w:tcBorders>
              <w:top w:val="single" w:sz="4" w:space="0" w:color="000000"/>
              <w:left w:val="single" w:sz="4" w:space="0" w:color="000000"/>
              <w:bottom w:val="single" w:sz="4" w:space="0" w:color="000000"/>
              <w:right w:val="single" w:sz="4" w:space="0" w:color="000000"/>
            </w:tcBorders>
          </w:tcPr>
          <w:p w14:paraId="052442FF" w14:textId="77777777" w:rsidR="009638EA" w:rsidRPr="00593425" w:rsidRDefault="009638EA" w:rsidP="00593425">
            <w:pPr>
              <w:shd w:val="clear" w:color="auto" w:fill="FFFFFF"/>
              <w:jc w:val="both"/>
            </w:pPr>
            <w:r w:rsidRPr="00593425">
              <w:t>3</w:t>
            </w:r>
          </w:p>
        </w:tc>
        <w:tc>
          <w:tcPr>
            <w:tcW w:w="3748" w:type="dxa"/>
            <w:tcBorders>
              <w:top w:val="single" w:sz="4" w:space="0" w:color="000000"/>
              <w:left w:val="single" w:sz="4" w:space="0" w:color="000000"/>
              <w:bottom w:val="single" w:sz="4" w:space="0" w:color="000000"/>
              <w:right w:val="single" w:sz="4" w:space="0" w:color="000000"/>
            </w:tcBorders>
          </w:tcPr>
          <w:p w14:paraId="5B2AF558" w14:textId="77777777" w:rsidR="009638EA" w:rsidRPr="00593425" w:rsidRDefault="009638EA" w:rsidP="00593425">
            <w:pPr>
              <w:shd w:val="clear" w:color="auto" w:fill="FFFFFF"/>
              <w:jc w:val="both"/>
            </w:pPr>
            <w:r w:rsidRPr="00593425">
              <w:t>4</w:t>
            </w:r>
          </w:p>
        </w:tc>
        <w:tc>
          <w:tcPr>
            <w:tcW w:w="2744" w:type="dxa"/>
            <w:tcBorders>
              <w:top w:val="single" w:sz="4" w:space="0" w:color="000000"/>
              <w:left w:val="single" w:sz="4" w:space="0" w:color="000000"/>
              <w:bottom w:val="single" w:sz="4" w:space="0" w:color="000000"/>
              <w:right w:val="single" w:sz="4" w:space="0" w:color="000000"/>
            </w:tcBorders>
          </w:tcPr>
          <w:p w14:paraId="1A132077" w14:textId="77777777" w:rsidR="009638EA" w:rsidRPr="00593425" w:rsidRDefault="009638EA" w:rsidP="00593425">
            <w:pPr>
              <w:shd w:val="clear" w:color="auto" w:fill="FFFFFF"/>
              <w:jc w:val="both"/>
            </w:pPr>
            <w:r w:rsidRPr="00593425">
              <w:t>5</w:t>
            </w:r>
          </w:p>
        </w:tc>
      </w:tr>
      <w:tr w:rsidR="00CB4FC8" w:rsidRPr="00593425" w14:paraId="0EC1B465" w14:textId="77777777" w:rsidTr="00BD0670">
        <w:trPr>
          <w:trHeight w:val="300"/>
        </w:trPr>
        <w:tc>
          <w:tcPr>
            <w:tcW w:w="14709" w:type="dxa"/>
            <w:gridSpan w:val="5"/>
            <w:tcBorders>
              <w:top w:val="single" w:sz="4" w:space="0" w:color="000000"/>
              <w:left w:val="single" w:sz="4" w:space="0" w:color="000000"/>
              <w:bottom w:val="single" w:sz="4" w:space="0" w:color="000000"/>
              <w:right w:val="single" w:sz="4" w:space="0" w:color="000000"/>
            </w:tcBorders>
          </w:tcPr>
          <w:p w14:paraId="76B166CD" w14:textId="00D5005F" w:rsidR="00CB4FC8" w:rsidRPr="00CB4FC8" w:rsidRDefault="00CB4FC8" w:rsidP="00747D9E">
            <w:pPr>
              <w:shd w:val="clear" w:color="auto" w:fill="FFFFFF"/>
              <w:jc w:val="center"/>
              <w:rPr>
                <w:b/>
              </w:rPr>
            </w:pPr>
          </w:p>
        </w:tc>
      </w:tr>
    </w:tbl>
    <w:p w14:paraId="4E7E3A26" w14:textId="77777777" w:rsidR="00D96093" w:rsidRDefault="00D96093" w:rsidP="00FD5E81">
      <w:pPr>
        <w:rPr>
          <w:b/>
        </w:rPr>
      </w:pPr>
    </w:p>
    <w:p w14:paraId="2A11D008" w14:textId="77777777" w:rsidR="00305684" w:rsidRPr="00D56974" w:rsidRDefault="00305684" w:rsidP="00305684">
      <w:pPr>
        <w:ind w:firstLine="375"/>
        <w:jc w:val="center"/>
        <w:rPr>
          <w:b/>
        </w:rPr>
      </w:pPr>
      <w:r w:rsidRPr="00D56974">
        <w:rPr>
          <w:b/>
        </w:rPr>
        <w:t>Informācija par starpministriju (starpinstitūciju) sanāksmi vai elektronisko saskaņošanu</w:t>
      </w:r>
    </w:p>
    <w:p w14:paraId="29886A2A" w14:textId="77777777" w:rsidR="00D56974" w:rsidRPr="00D56974" w:rsidRDefault="00D56974" w:rsidP="00D56974">
      <w:pPr>
        <w:ind w:firstLine="375"/>
        <w:jc w:val="both"/>
        <w:rPr>
          <w:b/>
        </w:rPr>
      </w:pPr>
    </w:p>
    <w:tbl>
      <w:tblPr>
        <w:tblW w:w="14493" w:type="dxa"/>
        <w:tblInd w:w="-459" w:type="dxa"/>
        <w:tblLayout w:type="fixed"/>
        <w:tblLook w:val="00A0" w:firstRow="1" w:lastRow="0" w:firstColumn="1" w:lastColumn="0" w:noHBand="0" w:noVBand="0"/>
      </w:tblPr>
      <w:tblGrid>
        <w:gridCol w:w="5211"/>
        <w:gridCol w:w="236"/>
        <w:gridCol w:w="1241"/>
        <w:gridCol w:w="7805"/>
      </w:tblGrid>
      <w:tr w:rsidR="00D56974" w:rsidRPr="00D56974" w14:paraId="2F410038" w14:textId="77777777" w:rsidTr="003E71FE">
        <w:tc>
          <w:tcPr>
            <w:tcW w:w="5211" w:type="dxa"/>
          </w:tcPr>
          <w:p w14:paraId="715DA5F8" w14:textId="77777777" w:rsidR="00D56974" w:rsidRPr="00D56974" w:rsidRDefault="00D56974" w:rsidP="00D56974">
            <w:pPr>
              <w:jc w:val="both"/>
            </w:pPr>
            <w:r w:rsidRPr="00D56974">
              <w:t>Datums</w:t>
            </w:r>
          </w:p>
        </w:tc>
        <w:tc>
          <w:tcPr>
            <w:tcW w:w="9282" w:type="dxa"/>
            <w:gridSpan w:val="3"/>
            <w:tcBorders>
              <w:bottom w:val="single" w:sz="4" w:space="0" w:color="auto"/>
            </w:tcBorders>
          </w:tcPr>
          <w:p w14:paraId="30B51DB2" w14:textId="013851AE" w:rsidR="00D56974" w:rsidRPr="00D56974" w:rsidRDefault="00691BFD" w:rsidP="00E15E43">
            <w:r>
              <w:t>2021</w:t>
            </w:r>
            <w:r w:rsidR="00CF44A1">
              <w:t xml:space="preserve">. gada </w:t>
            </w:r>
            <w:r w:rsidR="00E15E43">
              <w:t>6.maijā</w:t>
            </w:r>
            <w:r>
              <w:t xml:space="preserve"> atkārtotai saskaņošanai</w:t>
            </w:r>
            <w:r w:rsidR="00CF44A1">
              <w:t xml:space="preserve"> nosūtīts elektroniski</w:t>
            </w:r>
            <w:r w:rsidR="004A2138">
              <w:t xml:space="preserve"> Tieslietu ministrijai</w:t>
            </w:r>
          </w:p>
        </w:tc>
      </w:tr>
      <w:tr w:rsidR="00D56974" w:rsidRPr="00D56974" w14:paraId="491267D4" w14:textId="77777777" w:rsidTr="003E71FE">
        <w:tc>
          <w:tcPr>
            <w:tcW w:w="5211" w:type="dxa"/>
          </w:tcPr>
          <w:p w14:paraId="6BB233EA" w14:textId="77777777" w:rsidR="00D56974" w:rsidRPr="00D56974" w:rsidRDefault="00D56974" w:rsidP="00D56974">
            <w:pPr>
              <w:ind w:firstLine="375"/>
              <w:jc w:val="both"/>
            </w:pPr>
          </w:p>
        </w:tc>
        <w:tc>
          <w:tcPr>
            <w:tcW w:w="9282" w:type="dxa"/>
            <w:gridSpan w:val="3"/>
            <w:tcBorders>
              <w:top w:val="single" w:sz="4" w:space="0" w:color="auto"/>
            </w:tcBorders>
          </w:tcPr>
          <w:p w14:paraId="2E7E9477" w14:textId="77777777" w:rsidR="00D56974" w:rsidRPr="00D56974" w:rsidRDefault="00D56974" w:rsidP="00D56974">
            <w:pPr>
              <w:ind w:firstLine="720"/>
            </w:pPr>
          </w:p>
        </w:tc>
      </w:tr>
      <w:tr w:rsidR="00D56974" w:rsidRPr="00D56974" w14:paraId="6E8E8C89" w14:textId="77777777" w:rsidTr="003E71FE">
        <w:tc>
          <w:tcPr>
            <w:tcW w:w="5211" w:type="dxa"/>
          </w:tcPr>
          <w:p w14:paraId="62261E9C" w14:textId="77777777" w:rsidR="00D56974" w:rsidRPr="00D56974" w:rsidRDefault="00D56974" w:rsidP="00D56974">
            <w:r w:rsidRPr="00D56974">
              <w:t>Saskaņošanas dalībnieki</w:t>
            </w:r>
          </w:p>
        </w:tc>
        <w:tc>
          <w:tcPr>
            <w:tcW w:w="9282" w:type="dxa"/>
            <w:gridSpan w:val="3"/>
            <w:tcBorders>
              <w:bottom w:val="single" w:sz="4" w:space="0" w:color="auto"/>
            </w:tcBorders>
          </w:tcPr>
          <w:p w14:paraId="6B712468" w14:textId="560C2A47" w:rsidR="00D56974" w:rsidRPr="00D56974" w:rsidRDefault="004A2138" w:rsidP="00691BFD">
            <w:pPr>
              <w:jc w:val="both"/>
            </w:pPr>
            <w:r>
              <w:t>Tieslietu ministrija</w:t>
            </w:r>
          </w:p>
        </w:tc>
      </w:tr>
      <w:tr w:rsidR="00D56974" w:rsidRPr="00D56974" w14:paraId="6EA8C3A8" w14:textId="77777777" w:rsidTr="003E71FE">
        <w:trPr>
          <w:trHeight w:val="285"/>
        </w:trPr>
        <w:tc>
          <w:tcPr>
            <w:tcW w:w="5211" w:type="dxa"/>
          </w:tcPr>
          <w:p w14:paraId="6DB24D31" w14:textId="77777777" w:rsidR="00D56974" w:rsidRPr="00D56974" w:rsidRDefault="00D56974" w:rsidP="00D56974"/>
        </w:tc>
        <w:tc>
          <w:tcPr>
            <w:tcW w:w="1477" w:type="dxa"/>
            <w:gridSpan w:val="2"/>
          </w:tcPr>
          <w:p w14:paraId="6C484084" w14:textId="77777777" w:rsidR="00D56974" w:rsidRPr="00D56974" w:rsidRDefault="00D56974" w:rsidP="00D56974">
            <w:pPr>
              <w:ind w:firstLine="720"/>
            </w:pPr>
          </w:p>
        </w:tc>
        <w:tc>
          <w:tcPr>
            <w:tcW w:w="7805" w:type="dxa"/>
          </w:tcPr>
          <w:p w14:paraId="2AE00190" w14:textId="77777777" w:rsidR="00D56974" w:rsidRPr="00D56974" w:rsidRDefault="00D56974" w:rsidP="00D56974">
            <w:pPr>
              <w:ind w:firstLine="12"/>
            </w:pPr>
          </w:p>
        </w:tc>
      </w:tr>
      <w:tr w:rsidR="00EC1EB6" w:rsidRPr="00D56974" w14:paraId="47F78D6B" w14:textId="77777777" w:rsidTr="00B711D0">
        <w:trPr>
          <w:trHeight w:val="285"/>
        </w:trPr>
        <w:tc>
          <w:tcPr>
            <w:tcW w:w="5211" w:type="dxa"/>
          </w:tcPr>
          <w:p w14:paraId="5B66F5C5" w14:textId="77777777" w:rsidR="00D56974" w:rsidRPr="00D56974" w:rsidRDefault="00D56974" w:rsidP="00D56974">
            <w:r w:rsidRPr="00D56974">
              <w:br w:type="page"/>
              <w:t>Saskaņošanas dalībnieki izskatīja šādu ministriju (citu institūciju) iebildumus</w:t>
            </w:r>
          </w:p>
        </w:tc>
        <w:tc>
          <w:tcPr>
            <w:tcW w:w="236" w:type="dxa"/>
            <w:tcBorders>
              <w:bottom w:val="single" w:sz="4" w:space="0" w:color="auto"/>
            </w:tcBorders>
          </w:tcPr>
          <w:p w14:paraId="17EF7C95" w14:textId="6ADFEA14" w:rsidR="00D56974" w:rsidRPr="00D56974" w:rsidRDefault="00FD5E81" w:rsidP="00D56974">
            <w:pPr>
              <w:ind w:firstLine="720"/>
            </w:pPr>
            <w:r>
              <w:t>T</w:t>
            </w:r>
          </w:p>
        </w:tc>
        <w:tc>
          <w:tcPr>
            <w:tcW w:w="9046" w:type="dxa"/>
            <w:gridSpan w:val="2"/>
            <w:tcBorders>
              <w:bottom w:val="single" w:sz="4" w:space="0" w:color="auto"/>
            </w:tcBorders>
            <w:vAlign w:val="bottom"/>
          </w:tcPr>
          <w:p w14:paraId="598B16D3" w14:textId="40EF6D49" w:rsidR="00D56974" w:rsidRPr="00D56974" w:rsidRDefault="004A2138" w:rsidP="00691BFD">
            <w:pPr>
              <w:autoSpaceDE w:val="0"/>
              <w:autoSpaceDN w:val="0"/>
              <w:adjustRightInd w:val="0"/>
              <w:jc w:val="both"/>
              <w:rPr>
                <w:color w:val="000000"/>
              </w:rPr>
            </w:pPr>
            <w:r>
              <w:rPr>
                <w:color w:val="000000"/>
              </w:rPr>
              <w:t>Tieslietu ministrijas</w:t>
            </w:r>
            <w:r w:rsidR="00CF44A1">
              <w:rPr>
                <w:color w:val="000000"/>
              </w:rPr>
              <w:t xml:space="preserve"> </w:t>
            </w:r>
          </w:p>
        </w:tc>
      </w:tr>
      <w:tr w:rsidR="00D56974" w:rsidRPr="00D56974" w14:paraId="3D0D0C59" w14:textId="77777777" w:rsidTr="003E71FE">
        <w:tc>
          <w:tcPr>
            <w:tcW w:w="5211" w:type="dxa"/>
          </w:tcPr>
          <w:p w14:paraId="7EF929DE" w14:textId="77777777" w:rsidR="00D56974" w:rsidRPr="00D56974" w:rsidRDefault="00D56974" w:rsidP="00D56974">
            <w:r w:rsidRPr="00D56974">
              <w:br w:type="page"/>
            </w:r>
            <w:bookmarkStart w:id="0" w:name="_GoBack"/>
            <w:bookmarkEnd w:id="0"/>
          </w:p>
          <w:p w14:paraId="37C82E59" w14:textId="77777777" w:rsidR="00D56974" w:rsidRPr="00D56974" w:rsidRDefault="00D56974" w:rsidP="00D56974">
            <w:r w:rsidRPr="00D56974">
              <w:lastRenderedPageBreak/>
              <w:t>Ministrijas (citas institūcijas), kuras nav ieradušās uz sanāksmi vai kuras nav atbildējušas uz uzaicinājumu piedalīties elektroniskajā saskaņošanā</w:t>
            </w:r>
          </w:p>
        </w:tc>
        <w:tc>
          <w:tcPr>
            <w:tcW w:w="9282" w:type="dxa"/>
            <w:gridSpan w:val="3"/>
            <w:vAlign w:val="bottom"/>
          </w:tcPr>
          <w:p w14:paraId="15A6DA2F" w14:textId="36ED2BDD" w:rsidR="00D56974" w:rsidRPr="003055E0" w:rsidRDefault="00D56974" w:rsidP="00D56974">
            <w:pPr>
              <w:autoSpaceDE w:val="0"/>
              <w:autoSpaceDN w:val="0"/>
              <w:adjustRightInd w:val="0"/>
              <w:jc w:val="both"/>
              <w:rPr>
                <w:u w:val="single"/>
              </w:rPr>
            </w:pPr>
          </w:p>
        </w:tc>
      </w:tr>
    </w:tbl>
    <w:p w14:paraId="4E27358B" w14:textId="77777777" w:rsidR="00D96093" w:rsidRDefault="00D96093" w:rsidP="00D96093">
      <w:pPr>
        <w:pStyle w:val="naisf"/>
        <w:shd w:val="clear" w:color="auto" w:fill="FFFFFF"/>
        <w:spacing w:before="0" w:after="0"/>
        <w:ind w:firstLine="0"/>
        <w:rPr>
          <w:b/>
        </w:rPr>
      </w:pPr>
    </w:p>
    <w:p w14:paraId="6DA5644B" w14:textId="77777777" w:rsidR="00D10A9B" w:rsidRDefault="00D10A9B" w:rsidP="00D10A9B">
      <w:pPr>
        <w:pStyle w:val="naisf"/>
        <w:shd w:val="clear" w:color="auto" w:fill="FFFFFF"/>
        <w:spacing w:before="0" w:after="0"/>
        <w:ind w:left="1080" w:firstLine="0"/>
        <w:rPr>
          <w:b/>
        </w:rPr>
      </w:pPr>
    </w:p>
    <w:p w14:paraId="4B2B5194" w14:textId="1B3E02D6" w:rsidR="00C052AE" w:rsidRPr="0052064D" w:rsidRDefault="00D10A9B" w:rsidP="00D10A9B">
      <w:pPr>
        <w:pStyle w:val="naisf"/>
        <w:numPr>
          <w:ilvl w:val="0"/>
          <w:numId w:val="1"/>
        </w:numPr>
        <w:shd w:val="clear" w:color="auto" w:fill="FFFFFF"/>
        <w:spacing w:before="0" w:after="0"/>
        <w:jc w:val="center"/>
        <w:rPr>
          <w:b/>
        </w:rPr>
      </w:pPr>
      <w:r>
        <w:rPr>
          <w:b/>
        </w:rPr>
        <w:t xml:space="preserve"> </w:t>
      </w:r>
      <w:r w:rsidR="00C052AE" w:rsidRPr="0052064D">
        <w:rPr>
          <w:b/>
        </w:rPr>
        <w:t xml:space="preserve">Jautājumi, par kuriem saskaņošanā vienošanās </w:t>
      </w:r>
      <w:r w:rsidR="00C052AE">
        <w:rPr>
          <w:b/>
        </w:rPr>
        <w:t xml:space="preserve">ir </w:t>
      </w:r>
      <w:r w:rsidR="00C052AE" w:rsidRPr="0052064D">
        <w:rPr>
          <w:b/>
        </w:rPr>
        <w:t>panākta</w:t>
      </w:r>
    </w:p>
    <w:p w14:paraId="57E58AB5" w14:textId="77777777" w:rsidR="00C052AE" w:rsidRPr="0052064D" w:rsidRDefault="00C052AE" w:rsidP="00C052AE">
      <w:pPr>
        <w:pStyle w:val="naisf"/>
        <w:shd w:val="clear" w:color="auto" w:fill="FFFFFF"/>
        <w:spacing w:before="0" w:after="0"/>
        <w:ind w:left="360" w:firstLine="0"/>
        <w:rPr>
          <w:b/>
        </w:rPr>
      </w:pPr>
    </w:p>
    <w:tbl>
      <w:tblPr>
        <w:tblpPr w:leftFromText="180" w:rightFromText="180" w:vertAnchor="text" w:tblpX="-464" w:tblpY="1"/>
        <w:tblOverlap w:val="never"/>
        <w:tblW w:w="14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
        <w:gridCol w:w="3431"/>
        <w:gridCol w:w="3402"/>
        <w:gridCol w:w="3823"/>
        <w:gridCol w:w="3123"/>
      </w:tblGrid>
      <w:tr w:rsidR="00C052AE" w:rsidRPr="0052064D" w14:paraId="5ADBAB37" w14:textId="77777777" w:rsidTr="002A454A">
        <w:trPr>
          <w:trHeight w:val="648"/>
        </w:trPr>
        <w:tc>
          <w:tcPr>
            <w:tcW w:w="538" w:type="dxa"/>
            <w:tcBorders>
              <w:top w:val="single" w:sz="4" w:space="0" w:color="000000"/>
              <w:left w:val="single" w:sz="4" w:space="0" w:color="000000"/>
              <w:bottom w:val="single" w:sz="4" w:space="0" w:color="000000"/>
              <w:right w:val="single" w:sz="4" w:space="0" w:color="000000"/>
            </w:tcBorders>
            <w:hideMark/>
          </w:tcPr>
          <w:p w14:paraId="1C0729D5" w14:textId="77777777" w:rsidR="00C052AE" w:rsidRPr="0052064D" w:rsidRDefault="00C052AE" w:rsidP="00AB7271">
            <w:pPr>
              <w:shd w:val="clear" w:color="auto" w:fill="FFFFFF"/>
              <w:jc w:val="center"/>
              <w:rPr>
                <w:b/>
              </w:rPr>
            </w:pPr>
            <w:r w:rsidRPr="0052064D">
              <w:rPr>
                <w:b/>
              </w:rPr>
              <w:t>Nr. p.k.</w:t>
            </w:r>
          </w:p>
          <w:p w14:paraId="59DC8F51" w14:textId="77777777" w:rsidR="00C052AE" w:rsidRPr="0052064D" w:rsidRDefault="00C052AE" w:rsidP="00AB7271">
            <w:pPr>
              <w:shd w:val="clear" w:color="auto" w:fill="FFFFFF"/>
              <w:jc w:val="center"/>
              <w:rPr>
                <w:b/>
              </w:rPr>
            </w:pPr>
          </w:p>
        </w:tc>
        <w:tc>
          <w:tcPr>
            <w:tcW w:w="3431" w:type="dxa"/>
            <w:tcBorders>
              <w:top w:val="single" w:sz="4" w:space="0" w:color="000000"/>
              <w:left w:val="single" w:sz="4" w:space="0" w:color="000000"/>
              <w:bottom w:val="single" w:sz="4" w:space="0" w:color="000000"/>
              <w:right w:val="single" w:sz="4" w:space="0" w:color="000000"/>
            </w:tcBorders>
            <w:hideMark/>
          </w:tcPr>
          <w:p w14:paraId="7D730671" w14:textId="77777777" w:rsidR="00C052AE" w:rsidRPr="0052064D" w:rsidRDefault="00C052AE" w:rsidP="00AB7271">
            <w:pPr>
              <w:shd w:val="clear" w:color="auto" w:fill="FFFFFF"/>
              <w:jc w:val="center"/>
              <w:rPr>
                <w:b/>
              </w:rPr>
            </w:pPr>
            <w:r w:rsidRPr="0052064D">
              <w:rPr>
                <w:b/>
              </w:rPr>
              <w:t>Saskaņošanai nosūtītā projekta redakcija (konkrēta punkta (panta) redakcija)</w:t>
            </w:r>
          </w:p>
        </w:tc>
        <w:tc>
          <w:tcPr>
            <w:tcW w:w="3402" w:type="dxa"/>
            <w:tcBorders>
              <w:top w:val="single" w:sz="4" w:space="0" w:color="000000"/>
              <w:left w:val="single" w:sz="4" w:space="0" w:color="000000"/>
              <w:bottom w:val="single" w:sz="4" w:space="0" w:color="000000"/>
              <w:right w:val="single" w:sz="4" w:space="0" w:color="000000"/>
            </w:tcBorders>
            <w:hideMark/>
          </w:tcPr>
          <w:p w14:paraId="40CB0C18" w14:textId="77777777" w:rsidR="00C052AE" w:rsidRPr="0052064D" w:rsidRDefault="00C052AE" w:rsidP="00AB7271">
            <w:pPr>
              <w:shd w:val="clear" w:color="auto" w:fill="FFFFFF"/>
              <w:jc w:val="center"/>
              <w:rPr>
                <w:b/>
              </w:rPr>
            </w:pPr>
            <w:r w:rsidRPr="0052064D">
              <w:rPr>
                <w:b/>
              </w:rPr>
              <w:t>Atzinumā norādītais ministrijas (citas institūcijas) iebildums, kā arī saskaņošanā papildus izteiktais iebildums par projekta konkrēto punktu (pantu)</w:t>
            </w:r>
          </w:p>
        </w:tc>
        <w:tc>
          <w:tcPr>
            <w:tcW w:w="3823" w:type="dxa"/>
            <w:tcBorders>
              <w:top w:val="single" w:sz="4" w:space="0" w:color="000000"/>
              <w:left w:val="single" w:sz="4" w:space="0" w:color="000000"/>
              <w:bottom w:val="single" w:sz="4" w:space="0" w:color="000000"/>
              <w:right w:val="single" w:sz="4" w:space="0" w:color="000000"/>
            </w:tcBorders>
            <w:hideMark/>
          </w:tcPr>
          <w:p w14:paraId="489BD60D" w14:textId="77777777" w:rsidR="00C052AE" w:rsidRPr="0052064D" w:rsidRDefault="00C052AE" w:rsidP="00AB7271">
            <w:pPr>
              <w:shd w:val="clear" w:color="auto" w:fill="FFFFFF"/>
              <w:jc w:val="center"/>
              <w:rPr>
                <w:b/>
              </w:rPr>
            </w:pPr>
            <w:r w:rsidRPr="0052064D">
              <w:rPr>
                <w:b/>
              </w:rPr>
              <w:t>Atbildīgās ministrijas norāde par to, ka iebildums ir ņemts vērā, vai informācija par saskaņošanā panākto alternatīvo risinājumu</w:t>
            </w:r>
          </w:p>
        </w:tc>
        <w:tc>
          <w:tcPr>
            <w:tcW w:w="3123" w:type="dxa"/>
            <w:tcBorders>
              <w:top w:val="single" w:sz="4" w:space="0" w:color="000000"/>
              <w:left w:val="single" w:sz="4" w:space="0" w:color="000000"/>
              <w:bottom w:val="single" w:sz="4" w:space="0" w:color="000000"/>
              <w:right w:val="single" w:sz="4" w:space="0" w:color="000000"/>
            </w:tcBorders>
            <w:hideMark/>
          </w:tcPr>
          <w:p w14:paraId="1D6F88B1" w14:textId="77777777" w:rsidR="00C052AE" w:rsidRPr="0052064D" w:rsidRDefault="00C052AE" w:rsidP="00AB7271">
            <w:pPr>
              <w:shd w:val="clear" w:color="auto" w:fill="FFFFFF"/>
              <w:jc w:val="center"/>
              <w:rPr>
                <w:b/>
              </w:rPr>
            </w:pPr>
            <w:r w:rsidRPr="0052064D">
              <w:rPr>
                <w:b/>
              </w:rPr>
              <w:t>Projekta attiecīgā punkta (panta) galīgā redakcija</w:t>
            </w:r>
          </w:p>
        </w:tc>
      </w:tr>
      <w:tr w:rsidR="00C052AE" w:rsidRPr="0052064D" w14:paraId="3353F803" w14:textId="77777777" w:rsidTr="002A454A">
        <w:trPr>
          <w:trHeight w:val="300"/>
        </w:trPr>
        <w:tc>
          <w:tcPr>
            <w:tcW w:w="538" w:type="dxa"/>
            <w:tcBorders>
              <w:top w:val="single" w:sz="4" w:space="0" w:color="000000"/>
              <w:left w:val="single" w:sz="4" w:space="0" w:color="000000"/>
              <w:bottom w:val="single" w:sz="4" w:space="0" w:color="000000"/>
              <w:right w:val="single" w:sz="4" w:space="0" w:color="000000"/>
            </w:tcBorders>
          </w:tcPr>
          <w:p w14:paraId="384450AC" w14:textId="77777777" w:rsidR="00C052AE" w:rsidRPr="009638EA" w:rsidRDefault="00C052AE" w:rsidP="00AB7271">
            <w:pPr>
              <w:shd w:val="clear" w:color="auto" w:fill="FFFFFF"/>
              <w:jc w:val="center"/>
            </w:pPr>
            <w:r w:rsidRPr="009638EA">
              <w:t>1</w:t>
            </w:r>
          </w:p>
        </w:tc>
        <w:tc>
          <w:tcPr>
            <w:tcW w:w="3431" w:type="dxa"/>
            <w:tcBorders>
              <w:top w:val="single" w:sz="4" w:space="0" w:color="000000"/>
              <w:left w:val="single" w:sz="4" w:space="0" w:color="000000"/>
              <w:bottom w:val="single" w:sz="4" w:space="0" w:color="000000"/>
              <w:right w:val="single" w:sz="4" w:space="0" w:color="000000"/>
            </w:tcBorders>
          </w:tcPr>
          <w:p w14:paraId="2FD79B58" w14:textId="77777777" w:rsidR="00C052AE" w:rsidRPr="009638EA" w:rsidRDefault="00C052AE" w:rsidP="00AB7271">
            <w:pPr>
              <w:shd w:val="clear" w:color="auto" w:fill="FFFFFF"/>
              <w:jc w:val="center"/>
            </w:pPr>
            <w:r w:rsidRPr="009638EA">
              <w:t>2</w:t>
            </w:r>
          </w:p>
        </w:tc>
        <w:tc>
          <w:tcPr>
            <w:tcW w:w="3402" w:type="dxa"/>
            <w:tcBorders>
              <w:top w:val="single" w:sz="4" w:space="0" w:color="000000"/>
              <w:left w:val="single" w:sz="4" w:space="0" w:color="000000"/>
              <w:bottom w:val="single" w:sz="4" w:space="0" w:color="000000"/>
              <w:right w:val="single" w:sz="4" w:space="0" w:color="000000"/>
            </w:tcBorders>
          </w:tcPr>
          <w:p w14:paraId="7D6F5608" w14:textId="77777777" w:rsidR="00C052AE" w:rsidRPr="009638EA" w:rsidRDefault="00C052AE" w:rsidP="00AB7271">
            <w:pPr>
              <w:shd w:val="clear" w:color="auto" w:fill="FFFFFF"/>
              <w:jc w:val="center"/>
            </w:pPr>
            <w:r w:rsidRPr="009638EA">
              <w:t>3</w:t>
            </w:r>
          </w:p>
        </w:tc>
        <w:tc>
          <w:tcPr>
            <w:tcW w:w="3823" w:type="dxa"/>
            <w:tcBorders>
              <w:top w:val="single" w:sz="4" w:space="0" w:color="000000"/>
              <w:left w:val="single" w:sz="4" w:space="0" w:color="000000"/>
              <w:bottom w:val="single" w:sz="4" w:space="0" w:color="000000"/>
              <w:right w:val="single" w:sz="4" w:space="0" w:color="000000"/>
            </w:tcBorders>
          </w:tcPr>
          <w:p w14:paraId="334473A8" w14:textId="77777777" w:rsidR="00C052AE" w:rsidRPr="009638EA" w:rsidRDefault="00C052AE" w:rsidP="00AB7271">
            <w:pPr>
              <w:shd w:val="clear" w:color="auto" w:fill="FFFFFF"/>
              <w:jc w:val="center"/>
            </w:pPr>
            <w:r w:rsidRPr="009638EA">
              <w:t>4</w:t>
            </w:r>
          </w:p>
        </w:tc>
        <w:tc>
          <w:tcPr>
            <w:tcW w:w="3123" w:type="dxa"/>
            <w:tcBorders>
              <w:top w:val="single" w:sz="4" w:space="0" w:color="000000"/>
              <w:left w:val="single" w:sz="4" w:space="0" w:color="000000"/>
              <w:bottom w:val="single" w:sz="4" w:space="0" w:color="000000"/>
              <w:right w:val="single" w:sz="4" w:space="0" w:color="000000"/>
            </w:tcBorders>
          </w:tcPr>
          <w:p w14:paraId="6415CC85" w14:textId="77777777" w:rsidR="00C052AE" w:rsidRPr="009638EA" w:rsidRDefault="00C052AE" w:rsidP="00AB7271">
            <w:pPr>
              <w:shd w:val="clear" w:color="auto" w:fill="FFFFFF"/>
              <w:jc w:val="center"/>
            </w:pPr>
            <w:r w:rsidRPr="009638EA">
              <w:t>5</w:t>
            </w:r>
          </w:p>
        </w:tc>
      </w:tr>
    </w:tbl>
    <w:p w14:paraId="375E61EF" w14:textId="557125EA" w:rsidR="00E826D7" w:rsidRPr="00E826D7" w:rsidRDefault="00E826D7" w:rsidP="00E826D7">
      <w:pPr>
        <w:jc w:val="center"/>
        <w:rPr>
          <w:b/>
        </w:rPr>
      </w:pPr>
    </w:p>
    <w:tbl>
      <w:tblPr>
        <w:tblpPr w:leftFromText="180" w:rightFromText="180" w:vertAnchor="text" w:tblpXSpec="right" w:tblpY="1"/>
        <w:tblOverlap w:val="never"/>
        <w:tblW w:w="1445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3402"/>
        <w:gridCol w:w="3827"/>
        <w:gridCol w:w="3261"/>
        <w:gridCol w:w="3260"/>
      </w:tblGrid>
      <w:tr w:rsidR="00BF236D" w:rsidRPr="0052064D" w14:paraId="17F92133" w14:textId="77777777" w:rsidTr="00A72807">
        <w:trPr>
          <w:trHeight w:val="300"/>
          <w:jc w:val="right"/>
        </w:trPr>
        <w:tc>
          <w:tcPr>
            <w:tcW w:w="14454" w:type="dxa"/>
            <w:gridSpan w:val="5"/>
            <w:tcBorders>
              <w:top w:val="single" w:sz="4" w:space="0" w:color="000000"/>
              <w:left w:val="single" w:sz="4" w:space="0" w:color="000000"/>
              <w:bottom w:val="single" w:sz="4" w:space="0" w:color="000000"/>
              <w:right w:val="single" w:sz="4" w:space="0" w:color="000000"/>
            </w:tcBorders>
          </w:tcPr>
          <w:p w14:paraId="22259CB2" w14:textId="6A759B86" w:rsidR="00BF236D" w:rsidRDefault="00FD5E81" w:rsidP="005A6E3A">
            <w:pPr>
              <w:shd w:val="clear" w:color="auto" w:fill="FFFFFF"/>
              <w:jc w:val="center"/>
              <w:rPr>
                <w:b/>
              </w:rPr>
            </w:pPr>
            <w:r>
              <w:rPr>
                <w:b/>
              </w:rPr>
              <w:t>Tieslietu</w:t>
            </w:r>
            <w:r w:rsidR="00A861DF">
              <w:rPr>
                <w:b/>
              </w:rPr>
              <w:t xml:space="preserve"> ministrija</w:t>
            </w:r>
          </w:p>
        </w:tc>
      </w:tr>
      <w:tr w:rsidR="00BF236D" w:rsidRPr="0052064D" w14:paraId="68AC1327" w14:textId="77777777" w:rsidTr="00A861DF">
        <w:trPr>
          <w:trHeight w:val="300"/>
          <w:jc w:val="right"/>
        </w:trPr>
        <w:tc>
          <w:tcPr>
            <w:tcW w:w="704" w:type="dxa"/>
            <w:tcBorders>
              <w:top w:val="single" w:sz="4" w:space="0" w:color="000000"/>
              <w:left w:val="single" w:sz="4" w:space="0" w:color="000000"/>
              <w:bottom w:val="single" w:sz="4" w:space="0" w:color="000000"/>
              <w:right w:val="single" w:sz="4" w:space="0" w:color="000000"/>
            </w:tcBorders>
          </w:tcPr>
          <w:p w14:paraId="757D6329" w14:textId="64AE693C" w:rsidR="00BF236D" w:rsidRDefault="00A861DF" w:rsidP="005A6E3A">
            <w:pPr>
              <w:shd w:val="clear" w:color="auto" w:fill="FFFFFF"/>
              <w:jc w:val="center"/>
              <w:rPr>
                <w:b/>
              </w:rPr>
            </w:pPr>
            <w:r>
              <w:rPr>
                <w:b/>
              </w:rPr>
              <w:t>1.</w:t>
            </w:r>
          </w:p>
        </w:tc>
        <w:tc>
          <w:tcPr>
            <w:tcW w:w="3402" w:type="dxa"/>
            <w:tcBorders>
              <w:top w:val="single" w:sz="4" w:space="0" w:color="000000"/>
              <w:left w:val="single" w:sz="4" w:space="0" w:color="000000"/>
              <w:bottom w:val="single" w:sz="4" w:space="0" w:color="000000"/>
              <w:right w:val="single" w:sz="4" w:space="0" w:color="000000"/>
            </w:tcBorders>
          </w:tcPr>
          <w:p w14:paraId="665217C0" w14:textId="77777777" w:rsidR="00BF236D" w:rsidRDefault="00BF236D" w:rsidP="005A6E3A">
            <w:pPr>
              <w:shd w:val="clear" w:color="auto" w:fill="FFFFFF"/>
              <w:jc w:val="center"/>
              <w:rPr>
                <w:b/>
              </w:rPr>
            </w:pPr>
          </w:p>
        </w:tc>
        <w:tc>
          <w:tcPr>
            <w:tcW w:w="3827" w:type="dxa"/>
            <w:tcBorders>
              <w:top w:val="single" w:sz="4" w:space="0" w:color="000000"/>
              <w:left w:val="single" w:sz="4" w:space="0" w:color="000000"/>
              <w:bottom w:val="single" w:sz="4" w:space="0" w:color="000000"/>
              <w:right w:val="single" w:sz="4" w:space="0" w:color="000000"/>
            </w:tcBorders>
          </w:tcPr>
          <w:p w14:paraId="4BB8E64D" w14:textId="0004F4E7" w:rsidR="0072781F" w:rsidRPr="0072781F" w:rsidRDefault="0072781F" w:rsidP="0072781F">
            <w:pPr>
              <w:shd w:val="clear" w:color="auto" w:fill="FFFFFF"/>
              <w:jc w:val="both"/>
              <w:rPr>
                <w:b/>
              </w:rPr>
            </w:pPr>
            <w:r w:rsidRPr="0072781F">
              <w:rPr>
                <w:b/>
              </w:rPr>
              <w:t>Par Ministru kabineta noteikumu projektu "Grozījumi Ministru kabineta 2011. gada 5. jūlija noteikumos Nr. 523</w:t>
            </w:r>
            <w:r>
              <w:rPr>
                <w:b/>
              </w:rPr>
              <w:t>”:</w:t>
            </w:r>
          </w:p>
          <w:p w14:paraId="3D0233C8" w14:textId="77777777" w:rsidR="002E2B04" w:rsidRDefault="002E2B04" w:rsidP="002E2B04">
            <w:pPr>
              <w:shd w:val="clear" w:color="auto" w:fill="FFFFFF"/>
              <w:jc w:val="both"/>
            </w:pPr>
            <w:r>
              <w:t>1.</w:t>
            </w:r>
            <w:r>
              <w:tab/>
              <w:t xml:space="preserve">Noteikumu projekta 2. punkts paredz papildināt Ministru kabineta 2011. gada 5. jūlija noteikumus Nr. 523 "Kārtība, kādā aprēķina un sadala valsts budžeta mērķdotāciju pedagogu darba samaksai pašvaldību izglītības iestādēs, kurās īsteno profesionālās pamatizglītības, arodizglītības un profesionālās </w:t>
            </w:r>
            <w:r>
              <w:lastRenderedPageBreak/>
              <w:t>vidējās izglītības programmas" (turpmāk – MK noteikumi Nr. 523) ar 12.</w:t>
            </w:r>
            <w:r w:rsidRPr="00091E4E">
              <w:rPr>
                <w:vertAlign w:val="superscript"/>
              </w:rPr>
              <w:t>5</w:t>
            </w:r>
            <w:r>
              <w:t xml:space="preserve"> un 12.</w:t>
            </w:r>
            <w:r w:rsidRPr="00091E4E">
              <w:rPr>
                <w:vertAlign w:val="superscript"/>
              </w:rPr>
              <w:t>6</w:t>
            </w:r>
            <w:r>
              <w:t xml:space="preserve"> punktu.</w:t>
            </w:r>
          </w:p>
          <w:p w14:paraId="18895813" w14:textId="77777777" w:rsidR="002E2B04" w:rsidRDefault="002E2B04" w:rsidP="002E2B04">
            <w:pPr>
              <w:shd w:val="clear" w:color="auto" w:fill="FFFFFF"/>
              <w:jc w:val="both"/>
            </w:pPr>
            <w:r>
              <w:t xml:space="preserve">Lūdzam papildināt anotāciju atbilstoši Ministru kabineta 2009. gada 15. decembra instrukcijas Nr. 19 "Tiesību akta projekta sākotnējās ietekmes izvērtēšanas kārtība" </w:t>
            </w:r>
          </w:p>
          <w:p w14:paraId="68049143" w14:textId="77777777" w:rsidR="002E2B04" w:rsidRDefault="002E2B04" w:rsidP="002E2B04">
            <w:pPr>
              <w:shd w:val="clear" w:color="auto" w:fill="FFFFFF"/>
              <w:jc w:val="both"/>
            </w:pPr>
            <w:r>
              <w:t xml:space="preserve">(turpmāk – Instrukcija Nr. 19) 4.12. apakšpunktam un 14. punktam, jo nav sniegts detalizēts pamatojums noteikumu projekta 2. punktam. Tāpat nav saprotams, kā tās pašvaldības, kas darbojas līdz 2021. gada 30. jūnijam, varēs iesniegt pārskatus līdz 2021. gada 30. septembrim. Vēršam uzmanību, ka saskaņā ar Administratīvo teritoriju un apdzīvoto vietu likuma pārejas noteikumu 2. punktu ar šā likuma spēkā stāšanos republikas pilsētu un novadu pašvaldības turpina pildīt savas funkcijas un uzdevumus normatīvajos aktos noteiktajā kārtībā līdz 2021. gada pašvaldību vēlēšanās ievēlētās pašvaldības domes pirmajai sēdei, kura tiek sasaukta šajā likumā noteiktajā kārtībā 2021. gada 1. jūlijā. </w:t>
            </w:r>
          </w:p>
          <w:p w14:paraId="1245B8AB" w14:textId="77777777" w:rsidR="002E2B04" w:rsidRDefault="002E2B04" w:rsidP="002E2B04">
            <w:pPr>
              <w:shd w:val="clear" w:color="auto" w:fill="FFFFFF"/>
              <w:jc w:val="both"/>
            </w:pPr>
            <w:r>
              <w:t xml:space="preserve">Tāpat vēršam uzmanību, ka saskaņā ar Administratīvo teritoriju un </w:t>
            </w:r>
            <w:r>
              <w:lastRenderedPageBreak/>
              <w:t>apdzīvoto vietu likuma pārejas noteikumu 6. punktu ar 2021. gada pašvaldību vēlēšanās jaunievēlētās pašvaldības domes pirmo sēdi izbeidzas visu bijušo pašvaldību domju pilnvaras. Novada pašvaldība ir attiecīgajā novadā iekļauto pašvaldību institūciju, finanšu, mantas, tiesību un saistību pārņēmēja.</w:t>
            </w:r>
          </w:p>
          <w:p w14:paraId="17CA3F3B" w14:textId="77777777" w:rsidR="002E2B04" w:rsidRDefault="002E2B04" w:rsidP="002E2B04">
            <w:pPr>
              <w:shd w:val="clear" w:color="auto" w:fill="FFFFFF"/>
              <w:jc w:val="both"/>
            </w:pPr>
            <w:r>
              <w:t>Ņemot vērā, ka attiecīgā pašvaldība ir tiesību un saistību pārņēmēja, kā arī izbeidzas bijušās pašvaldības domes pilnvaras, tad nav saprotams, kāpēc nav piemērojama MK noteikumu Nr. 523 12. punktā paredzētā vispārējā pārskatu iesniegšanas kārtība, proti, pārskatus iesniedzot līdz 2021. gada 20. septembrim.</w:t>
            </w:r>
          </w:p>
          <w:p w14:paraId="44E87C5F" w14:textId="77777777" w:rsidR="002E2B04" w:rsidRDefault="002E2B04" w:rsidP="002E2B04">
            <w:pPr>
              <w:shd w:val="clear" w:color="auto" w:fill="FFFFFF"/>
              <w:jc w:val="both"/>
            </w:pPr>
            <w:r>
              <w:t>Attiecīgi ir pārskatāma arī anotācijas II sadaļas 2. punktā ietvertā informācija.</w:t>
            </w:r>
          </w:p>
          <w:p w14:paraId="25F81C5C" w14:textId="77777777" w:rsidR="002E2B04" w:rsidRDefault="002E2B04" w:rsidP="002E2B04">
            <w:pPr>
              <w:shd w:val="clear" w:color="auto" w:fill="FFFFFF"/>
              <w:jc w:val="both"/>
            </w:pPr>
            <w:r>
              <w:t>2.</w:t>
            </w:r>
            <w:r>
              <w:tab/>
              <w:t>Lūdzam papildināt anotāciju atbilstoši Instrukcijas Nr.19 14. punktam, jo tajā nav skaidrota noteikumu projekta 3. punktā paredzēto grozījumu nepieciešamība.</w:t>
            </w:r>
          </w:p>
          <w:p w14:paraId="3A64B2B7" w14:textId="77777777" w:rsidR="002E2B04" w:rsidRDefault="002E2B04" w:rsidP="002E2B04">
            <w:pPr>
              <w:shd w:val="clear" w:color="auto" w:fill="FFFFFF"/>
              <w:jc w:val="both"/>
            </w:pPr>
            <w:r>
              <w:t>3.</w:t>
            </w:r>
            <w:r>
              <w:tab/>
              <w:t xml:space="preserve">No noteikumu projekta anotācijas var secināt, ka sabiedrības līdzdalība noteikumu projekta izstrādē netika nodrošināta atbilstoši </w:t>
            </w:r>
            <w:r>
              <w:lastRenderedPageBreak/>
              <w:t>Instrukcijas Nr. 19 3. punktam. Ievērojot minēto, lūdzam izvērtēt sabiedrības līdzdalības pietiekamību noteikumu projekta saskaņošanā. Piemēram, lūdzam izvērtēt lietderību noskaidrot ietekmēto sabiedrības grupu (anotācijas II sadaļas 1. punktā minēto) viedokli par noteikumu projektā ietverto regulējumu, attiecīgi aizpildot anotācijas VI sadaļu.</w:t>
            </w:r>
          </w:p>
          <w:p w14:paraId="76660454" w14:textId="4428E049" w:rsidR="00BF236D" w:rsidRPr="00F91DED" w:rsidRDefault="002E2B04" w:rsidP="002E2B04">
            <w:pPr>
              <w:shd w:val="clear" w:color="auto" w:fill="FFFFFF"/>
              <w:jc w:val="both"/>
            </w:pPr>
            <w:r>
              <w:t>Papildus vēršam uzmanību, ka saskaņā ar Ministru kabineta 2009. gada 25. augusta noteikumu Nr. 970 "Sabiedrības līdzdalības kārtība attīstības plānošanas procesā" 14. punktu tiešās valsts pārvaldes institūcijas elektroniski sagatavotus paziņojumus par līdzdalības procesu iesniedz arī Valsts kancelejā publicēšanai tās mājaslapā. Ievērojot minēto, lūdzam papildināt anotācijas VI sadaļas 2. punktu ar attiecīgu informāciju, ja noteikumu projekts tur ir bijis publicēts.</w:t>
            </w:r>
          </w:p>
        </w:tc>
        <w:tc>
          <w:tcPr>
            <w:tcW w:w="3261" w:type="dxa"/>
            <w:tcBorders>
              <w:top w:val="single" w:sz="4" w:space="0" w:color="000000"/>
              <w:left w:val="single" w:sz="4" w:space="0" w:color="000000"/>
              <w:bottom w:val="single" w:sz="4" w:space="0" w:color="000000"/>
              <w:right w:val="single" w:sz="4" w:space="0" w:color="000000"/>
            </w:tcBorders>
          </w:tcPr>
          <w:p w14:paraId="42C0F3B7" w14:textId="264591A8" w:rsidR="00A861DF" w:rsidRPr="00054871" w:rsidRDefault="00F91DED" w:rsidP="00A861DF">
            <w:pPr>
              <w:shd w:val="clear" w:color="auto" w:fill="FFFFFF"/>
              <w:rPr>
                <w:b/>
              </w:rPr>
            </w:pPr>
            <w:r w:rsidRPr="00054871">
              <w:rPr>
                <w:b/>
              </w:rPr>
              <w:lastRenderedPageBreak/>
              <w:t>Ņemts vērā.</w:t>
            </w:r>
          </w:p>
        </w:tc>
        <w:tc>
          <w:tcPr>
            <w:tcW w:w="3260" w:type="dxa"/>
            <w:tcBorders>
              <w:top w:val="single" w:sz="4" w:space="0" w:color="000000"/>
              <w:left w:val="single" w:sz="4" w:space="0" w:color="000000"/>
              <w:bottom w:val="single" w:sz="4" w:space="0" w:color="000000"/>
              <w:right w:val="single" w:sz="4" w:space="0" w:color="000000"/>
            </w:tcBorders>
          </w:tcPr>
          <w:p w14:paraId="506D6190" w14:textId="390DF132" w:rsidR="00BF236D" w:rsidRDefault="00F91DED" w:rsidP="00F91DED">
            <w:pPr>
              <w:shd w:val="clear" w:color="auto" w:fill="FFFFFF"/>
              <w:jc w:val="both"/>
              <w:rPr>
                <w:b/>
              </w:rPr>
            </w:pPr>
            <w:r>
              <w:rPr>
                <w:b/>
              </w:rPr>
              <w:t>P</w:t>
            </w:r>
            <w:r w:rsidR="00054871">
              <w:rPr>
                <w:b/>
              </w:rPr>
              <w:t>recizēta</w:t>
            </w:r>
            <w:r>
              <w:rPr>
                <w:b/>
              </w:rPr>
              <w:t xml:space="preserve"> anotācija:</w:t>
            </w:r>
          </w:p>
          <w:p w14:paraId="6AA3EBF2" w14:textId="1B7EC449" w:rsidR="00091E4E" w:rsidRDefault="00091E4E" w:rsidP="00091E4E">
            <w:pPr>
              <w:shd w:val="clear" w:color="auto" w:fill="FFFFFF"/>
              <w:jc w:val="both"/>
            </w:pPr>
            <w:r>
              <w:rPr>
                <w:b/>
              </w:rPr>
              <w:t>1.</w:t>
            </w:r>
            <w:r>
              <w:t>Precizēts anotācijas  I. sadaļas 2.punkts:</w:t>
            </w:r>
          </w:p>
          <w:p w14:paraId="2D9F93E8" w14:textId="32F0B17A" w:rsidR="00091E4E" w:rsidRDefault="00091E4E" w:rsidP="00091E4E">
            <w:pPr>
              <w:shd w:val="clear" w:color="auto" w:fill="FFFFFF"/>
              <w:jc w:val="both"/>
            </w:pPr>
            <w:r>
              <w:t xml:space="preserve">„par 2021. gadā saņemtās mērķdotācijas izlietojumu jaunievēlētās pašvaldības sagatavos un iesniegts pārskatus, atbilstoši projekta 2. punktā paredzētajām punktu redakcijām, tas ir, par periodu no 2021. gada 1. janvāra līdz 2021. gada 30.jūnijam, kad beidzas bijušo pašvaldību </w:t>
            </w:r>
            <w:r>
              <w:lastRenderedPageBreak/>
              <w:t>domju pilnvaras, pārskats iesniedzams līdz 2021. gada 20. septembrim, savukārt par periodu no 2021. gada 1. jūlija līdz 2021. gada 31. decembrim, pārskats iesniedzams līdz 2022.gada 20.janvārim. Par minētajiem atskaišu pašvaldības pārskatus iesniegs tikai 2021. gadā, kad tiek īstenota administratīvo teritoriju un novadu reforma. Attiecībā uz nākamajiem gadiem tiek saglabāti līdzšinējie pārskatu iesniegšanas periodi.”</w:t>
            </w:r>
          </w:p>
          <w:p w14:paraId="5DFA01D2" w14:textId="77777777" w:rsidR="00091E4E" w:rsidRDefault="00091E4E" w:rsidP="00091E4E">
            <w:pPr>
              <w:shd w:val="clear" w:color="auto" w:fill="FFFFFF"/>
              <w:jc w:val="both"/>
            </w:pPr>
            <w:r>
              <w:t>2. Mainīta 3.punkta redakcija, izsakot visu pielikumu jaunā redakcijā.</w:t>
            </w:r>
          </w:p>
          <w:p w14:paraId="5B24CD9F" w14:textId="77777777" w:rsidR="00091E4E" w:rsidRDefault="00091E4E" w:rsidP="00091E4E">
            <w:pPr>
              <w:shd w:val="clear" w:color="auto" w:fill="FFFFFF"/>
              <w:jc w:val="both"/>
            </w:pPr>
            <w:r>
              <w:t>3. Papildināta  anotācijas VI sadaļa.</w:t>
            </w:r>
          </w:p>
          <w:p w14:paraId="20549A31" w14:textId="721FB4EF" w:rsidR="00F91DED" w:rsidRPr="007C1829" w:rsidRDefault="00F91DED" w:rsidP="00F91DED">
            <w:pPr>
              <w:shd w:val="clear" w:color="auto" w:fill="FFFFFF"/>
              <w:jc w:val="both"/>
            </w:pPr>
          </w:p>
        </w:tc>
      </w:tr>
      <w:tr w:rsidR="0072781F" w:rsidRPr="0052064D" w14:paraId="662DBFCE" w14:textId="77777777" w:rsidTr="00A861DF">
        <w:trPr>
          <w:trHeight w:val="300"/>
          <w:jc w:val="right"/>
        </w:trPr>
        <w:tc>
          <w:tcPr>
            <w:tcW w:w="704" w:type="dxa"/>
            <w:tcBorders>
              <w:top w:val="single" w:sz="4" w:space="0" w:color="000000"/>
              <w:left w:val="single" w:sz="4" w:space="0" w:color="000000"/>
              <w:bottom w:val="single" w:sz="4" w:space="0" w:color="000000"/>
              <w:right w:val="single" w:sz="4" w:space="0" w:color="000000"/>
            </w:tcBorders>
          </w:tcPr>
          <w:p w14:paraId="60DFEADC" w14:textId="77777777" w:rsidR="0072781F" w:rsidRDefault="0072781F" w:rsidP="005A6E3A">
            <w:pPr>
              <w:shd w:val="clear" w:color="auto" w:fill="FFFFFF"/>
              <w:jc w:val="center"/>
              <w:rPr>
                <w:b/>
              </w:rPr>
            </w:pPr>
          </w:p>
        </w:tc>
        <w:tc>
          <w:tcPr>
            <w:tcW w:w="3402" w:type="dxa"/>
            <w:tcBorders>
              <w:top w:val="single" w:sz="4" w:space="0" w:color="000000"/>
              <w:left w:val="single" w:sz="4" w:space="0" w:color="000000"/>
              <w:bottom w:val="single" w:sz="4" w:space="0" w:color="000000"/>
              <w:right w:val="single" w:sz="4" w:space="0" w:color="000000"/>
            </w:tcBorders>
          </w:tcPr>
          <w:p w14:paraId="0941F0FD" w14:textId="77777777" w:rsidR="0072781F" w:rsidRDefault="0072781F" w:rsidP="005A6E3A">
            <w:pPr>
              <w:shd w:val="clear" w:color="auto" w:fill="FFFFFF"/>
              <w:jc w:val="center"/>
              <w:rPr>
                <w:b/>
              </w:rPr>
            </w:pPr>
          </w:p>
        </w:tc>
        <w:tc>
          <w:tcPr>
            <w:tcW w:w="3827" w:type="dxa"/>
            <w:tcBorders>
              <w:top w:val="single" w:sz="4" w:space="0" w:color="000000"/>
              <w:left w:val="single" w:sz="4" w:space="0" w:color="000000"/>
              <w:bottom w:val="single" w:sz="4" w:space="0" w:color="000000"/>
              <w:right w:val="single" w:sz="4" w:space="0" w:color="000000"/>
            </w:tcBorders>
          </w:tcPr>
          <w:p w14:paraId="0A66DAC0" w14:textId="77777777" w:rsidR="0072781F" w:rsidRDefault="0072781F" w:rsidP="0072781F">
            <w:pPr>
              <w:shd w:val="clear" w:color="auto" w:fill="FFFFFF"/>
              <w:jc w:val="both"/>
              <w:rPr>
                <w:b/>
              </w:rPr>
            </w:pPr>
            <w:r w:rsidRPr="0072781F">
              <w:rPr>
                <w:b/>
              </w:rPr>
              <w:t>Par Ministru kabineta noteikumu projektu "Grozījumi Ministru kabineta 2016. gada 15. jūlija noteikumos Nr. 477</w:t>
            </w:r>
            <w:r>
              <w:rPr>
                <w:b/>
              </w:rPr>
              <w:t>:</w:t>
            </w:r>
          </w:p>
          <w:p w14:paraId="6E964CB4" w14:textId="77777777" w:rsidR="0072781F" w:rsidRPr="0072781F" w:rsidRDefault="0072781F" w:rsidP="0072781F">
            <w:pPr>
              <w:shd w:val="clear" w:color="auto" w:fill="FFFFFF"/>
              <w:jc w:val="both"/>
            </w:pPr>
            <w:r w:rsidRPr="005A7A7D">
              <w:lastRenderedPageBreak/>
              <w:t>1.</w:t>
            </w:r>
            <w:r w:rsidRPr="0072781F">
              <w:tab/>
              <w:t>Noteikumu projekta 2. punkts paredz papildināt Ministru kabineta 2016. gada 15. jūlija noteikumus Nr. 477 "Speciālās izglītības iestāžu un vispārējās izglītības iestāžu speciālās izglītības klašu (grupu) finansēšanas kārtība" (turpmāk – MK noteikumi Nr. 477) ar 22.4 un 22.5 punktu.</w:t>
            </w:r>
          </w:p>
          <w:p w14:paraId="17098004" w14:textId="77777777" w:rsidR="0072781F" w:rsidRPr="0072781F" w:rsidRDefault="0072781F" w:rsidP="0072781F">
            <w:pPr>
              <w:shd w:val="clear" w:color="auto" w:fill="FFFFFF"/>
              <w:jc w:val="both"/>
            </w:pPr>
            <w:r w:rsidRPr="0072781F">
              <w:t xml:space="preserve">Lūdzam papildināt anotāciju atbilstoši Ministru kabineta 2009. gada 15. decembra instrukcijas Nr. 19 "Tiesību akta projekta sākotnējās ietekmes izvērtēšanas kārtība" </w:t>
            </w:r>
          </w:p>
          <w:p w14:paraId="6280DF36" w14:textId="77777777" w:rsidR="0072781F" w:rsidRPr="0072781F" w:rsidRDefault="0072781F" w:rsidP="0072781F">
            <w:pPr>
              <w:shd w:val="clear" w:color="auto" w:fill="FFFFFF"/>
              <w:jc w:val="both"/>
            </w:pPr>
            <w:r w:rsidRPr="0072781F">
              <w:t xml:space="preserve">(turpmāk – Instrukcija Nr. 19) 4.12. apakšpunktam un 14. punktam, jo nav sniegts detalizēts pamatojums noteikumu projekta 2. punktam. Tāpat nav saprotams, kā tās pašvaldības, kas darbojas līdz 2021. gada 30. jūnijam, varēs iesniegt pārskatus līdz 2021. gada 30. septembrim. Vēršam uzmanību, ka saskaņā ar Administratīvo teritoriju un apdzīvoto vietu likuma pārejas noteikumu 2. punktu ar šā likuma spēkā stāšanos republikas pilsētu un novadu pašvaldības turpina pildīt savas funkcijas un uzdevumus normatīvajos aktos noteiktajā kārtībā līdz 2021. gada pašvaldību vēlēšanās </w:t>
            </w:r>
            <w:r w:rsidRPr="0072781F">
              <w:lastRenderedPageBreak/>
              <w:t xml:space="preserve">ievēlētās pašvaldības domes pirmajai sēdei, kura tiek sasaukta šajā likumā noteiktajā kārtībā 2021. gada 1. jūlijā. </w:t>
            </w:r>
          </w:p>
          <w:p w14:paraId="04FFF895" w14:textId="77777777" w:rsidR="0072781F" w:rsidRPr="0072781F" w:rsidRDefault="0072781F" w:rsidP="0072781F">
            <w:pPr>
              <w:shd w:val="clear" w:color="auto" w:fill="FFFFFF"/>
              <w:jc w:val="both"/>
            </w:pPr>
            <w:r w:rsidRPr="0072781F">
              <w:t>Tāpat vēršam uzmanību, ka saskaņā ar Administratīvo teritoriju un apdzīvoto vietu likuma pārejas noteikumu 6. punktu ar 2021. gada pašvaldību vēlēšanās jaunievēlētās pašvaldības domes pirmo sēdi izbeidzas visu bijušo pašvaldību domju pilnvaras. Novada pašvaldība ir attiecīgajā novadā iekļauto pašvaldību institūciju, finanšu, mantas, tiesību un saistību pārņēmēja.</w:t>
            </w:r>
          </w:p>
          <w:p w14:paraId="6AF0170F" w14:textId="77777777" w:rsidR="0072781F" w:rsidRPr="0072781F" w:rsidRDefault="0072781F" w:rsidP="0072781F">
            <w:pPr>
              <w:shd w:val="clear" w:color="auto" w:fill="FFFFFF"/>
              <w:jc w:val="both"/>
            </w:pPr>
            <w:r w:rsidRPr="0072781F">
              <w:t>Ņemot vērā, ka attiecīgā pašvaldība ir tiesību un saistību pārņēmēja, kā arī izbeidzas bijušās pašvaldības domes pilnvaras, tad nav saprotams, kāpēc nav piemērojama MK noteikumu Nr. 477 18.1 punktā paredzētā vispārējā pārskatu iesniegšanas kārtība, proti, pārskatus iesniedzot līdz 2021. gada 20. septembrim.</w:t>
            </w:r>
          </w:p>
          <w:p w14:paraId="17B19DBA" w14:textId="77777777" w:rsidR="0072781F" w:rsidRPr="0072781F" w:rsidRDefault="0072781F" w:rsidP="0072781F">
            <w:pPr>
              <w:shd w:val="clear" w:color="auto" w:fill="FFFFFF"/>
              <w:jc w:val="both"/>
            </w:pPr>
            <w:r w:rsidRPr="0072781F">
              <w:t xml:space="preserve">Papildus noteikumu projekta 2. punkts ir precizējams, svītrojot atsauces uz MK noteikumu Nr. 477 18.3 un 18.4 punktu, jo tie neparedz pārskatu iesniegšanas kārtību, bet gan to kā Izglītības un zinātnes ministrija </w:t>
            </w:r>
            <w:r w:rsidRPr="0072781F">
              <w:lastRenderedPageBreak/>
              <w:t>pārbauda un apstiprina pašvaldības iesniegtos pārskatus.</w:t>
            </w:r>
          </w:p>
          <w:p w14:paraId="13FCA50A" w14:textId="77777777" w:rsidR="0072781F" w:rsidRPr="0072781F" w:rsidRDefault="0072781F" w:rsidP="0072781F">
            <w:pPr>
              <w:shd w:val="clear" w:color="auto" w:fill="FFFFFF"/>
              <w:jc w:val="both"/>
            </w:pPr>
            <w:r w:rsidRPr="0072781F">
              <w:t>Attiecīgi ir pārskatāma arī anotācijas II sadaļas 2. punktā ietvertā informācija.</w:t>
            </w:r>
          </w:p>
          <w:p w14:paraId="5E543A83" w14:textId="77777777" w:rsidR="0072781F" w:rsidRPr="0072781F" w:rsidRDefault="0072781F" w:rsidP="0072781F">
            <w:pPr>
              <w:shd w:val="clear" w:color="auto" w:fill="FFFFFF"/>
              <w:jc w:val="both"/>
            </w:pPr>
            <w:r w:rsidRPr="0072781F">
              <w:t>2.</w:t>
            </w:r>
            <w:r w:rsidRPr="0072781F">
              <w:tab/>
              <w:t>Lūdzam papildināt anotāciju atbilstoši Instrukcijas Nr.19 14. punktam, jo tajā nav skaidrota noteikumu projekta 3. punktā paredzēto grozījumu nepieciešamība.</w:t>
            </w:r>
          </w:p>
          <w:p w14:paraId="6055912C" w14:textId="77777777" w:rsidR="0072781F" w:rsidRPr="0072781F" w:rsidRDefault="0072781F" w:rsidP="0072781F">
            <w:pPr>
              <w:shd w:val="clear" w:color="auto" w:fill="FFFFFF"/>
              <w:jc w:val="both"/>
            </w:pPr>
            <w:r w:rsidRPr="0072781F">
              <w:t>3.</w:t>
            </w:r>
            <w:r w:rsidRPr="0072781F">
              <w:tab/>
              <w:t>No noteikumu projekta anotācijas var secināt, ka sabiedrības līdzdalība noteikumu projekta izstrādē netika nodrošināta atbilstoši Instrukcijas Nr. 19 3. punktam. Ievērojot minēto, lūdzam izvērtēt sabiedrības līdzdalības pietiekamību noteikumu projekta saskaņošanā. Piemēram, lūdzam izvērtēt lietderību noskaidrot ietekmēto sabiedrības grupu (anotācijas II sadaļas 1. punktā minēto) viedokli par noteikumu projektā ietverto regulējumu, attiecīgi aizpildot anotācijas VI sadaļu.</w:t>
            </w:r>
          </w:p>
          <w:p w14:paraId="41C6BF13" w14:textId="4DAF402A" w:rsidR="0072781F" w:rsidRPr="0072781F" w:rsidRDefault="0072781F" w:rsidP="0072781F">
            <w:pPr>
              <w:shd w:val="clear" w:color="auto" w:fill="FFFFFF"/>
              <w:jc w:val="both"/>
              <w:rPr>
                <w:b/>
              </w:rPr>
            </w:pPr>
            <w:r w:rsidRPr="0072781F">
              <w:t xml:space="preserve">Papildus vēršam uzmanību, ka saskaņā ar Ministru kabineta 2009. gada 25. augusta noteikumu Nr. 970 "Sabiedrības līdzdalības kārtība attīstības plānošanas procesā" 14. punktu tiešās valsts pārvaldes </w:t>
            </w:r>
            <w:r w:rsidRPr="0072781F">
              <w:lastRenderedPageBreak/>
              <w:t>institūcijas elektroniski sagatavotus paziņojumus par līdzdalības procesu iesniedz arī Valsts kancelejā publicēšanai tās mājaslapā. Ievērojot minēto, lūdzam papildināt anotācijas VI sadaļas 2. punktu ar attiecīgu informāciju, ja noteikumu projekts tur ir bijis publicēts.</w:t>
            </w:r>
          </w:p>
        </w:tc>
        <w:tc>
          <w:tcPr>
            <w:tcW w:w="3261" w:type="dxa"/>
            <w:tcBorders>
              <w:top w:val="single" w:sz="4" w:space="0" w:color="000000"/>
              <w:left w:val="single" w:sz="4" w:space="0" w:color="000000"/>
              <w:bottom w:val="single" w:sz="4" w:space="0" w:color="000000"/>
              <w:right w:val="single" w:sz="4" w:space="0" w:color="000000"/>
            </w:tcBorders>
          </w:tcPr>
          <w:p w14:paraId="009D1958" w14:textId="41E83745" w:rsidR="0072781F" w:rsidRPr="00054871" w:rsidRDefault="00DA5A35" w:rsidP="00A861DF">
            <w:pPr>
              <w:shd w:val="clear" w:color="auto" w:fill="FFFFFF"/>
              <w:rPr>
                <w:b/>
              </w:rPr>
            </w:pPr>
            <w:r>
              <w:rPr>
                <w:b/>
              </w:rPr>
              <w:lastRenderedPageBreak/>
              <w:t>Ņemts vērā.</w:t>
            </w:r>
          </w:p>
        </w:tc>
        <w:tc>
          <w:tcPr>
            <w:tcW w:w="3260" w:type="dxa"/>
            <w:tcBorders>
              <w:top w:val="single" w:sz="4" w:space="0" w:color="000000"/>
              <w:left w:val="single" w:sz="4" w:space="0" w:color="000000"/>
              <w:bottom w:val="single" w:sz="4" w:space="0" w:color="000000"/>
              <w:right w:val="single" w:sz="4" w:space="0" w:color="000000"/>
            </w:tcBorders>
          </w:tcPr>
          <w:p w14:paraId="1B15BA63" w14:textId="77777777" w:rsidR="00DA5A35" w:rsidRPr="00DA5A35" w:rsidRDefault="00DA5A35" w:rsidP="00DA5A35">
            <w:pPr>
              <w:shd w:val="clear" w:color="auto" w:fill="FFFFFF"/>
              <w:jc w:val="both"/>
            </w:pPr>
            <w:r w:rsidRPr="00DA5A35">
              <w:rPr>
                <w:b/>
              </w:rPr>
              <w:t>1</w:t>
            </w:r>
            <w:r w:rsidRPr="00DA5A35">
              <w:t>.Precizēts anotācijas  I. sadaļas 2.punkts:</w:t>
            </w:r>
          </w:p>
          <w:p w14:paraId="22538781" w14:textId="510B17E5" w:rsidR="0072781F" w:rsidRDefault="00DA5A35" w:rsidP="00DA5A35">
            <w:pPr>
              <w:shd w:val="clear" w:color="auto" w:fill="FFFFFF"/>
              <w:jc w:val="both"/>
            </w:pPr>
            <w:r w:rsidRPr="00DA5A35">
              <w:t xml:space="preserve">„par 2021. gadā saņemtās mērķdotācijas izlietojumu jaunievēlētās pašvaldības </w:t>
            </w:r>
            <w:r w:rsidRPr="00DA5A35">
              <w:lastRenderedPageBreak/>
              <w:t>sagatavos un iesniegts pārskatus, atbilstoši pr</w:t>
            </w:r>
            <w:r w:rsidR="00091E4E">
              <w:t>ojekta 2. punktā paredzētajām</w:t>
            </w:r>
            <w:r w:rsidRPr="00DA5A35">
              <w:t xml:space="preserve"> punktu redakcijām, tas ir, par periodu no 2021. gada 1. janvāra līdz 2021. gada 30.jūnijam, kad beidzas bijušo pašvaldību domju pilnvaras, pārskats iesniedzams līdz 2021. gada 20. septembrim, savukārt par periodu no 2021. gada 1. jūlija līdz 2021. gada 31. decembrim, pārskats iesniedzams līdz 2022.gada 20.janvārim. Par minētajiem atskaišu pašvaldības pārskatus iesniegs tikai 2021. gadā, kad tiek īstenota administratīvo teritoriju un novadu reforma. Attiecībā uz nākamajiem gadiem tiek saglabāti līdzšinējie pārskatu iesniegšanas periodi.”</w:t>
            </w:r>
          </w:p>
          <w:p w14:paraId="101D21FD" w14:textId="77777777" w:rsidR="00DA5A35" w:rsidRDefault="00DA5A35" w:rsidP="00DA5A35">
            <w:pPr>
              <w:shd w:val="clear" w:color="auto" w:fill="FFFFFF"/>
              <w:jc w:val="both"/>
            </w:pPr>
            <w:r w:rsidRPr="00DA5A35">
              <w:t>2. Mainīta 3.punkta redakcija, izsakot visu pielikumu jaunā redakcijā.</w:t>
            </w:r>
          </w:p>
          <w:p w14:paraId="173CFDC3" w14:textId="5FF6FF00" w:rsidR="00DA5A35" w:rsidRDefault="00DA5A35" w:rsidP="00DA5A35">
            <w:pPr>
              <w:shd w:val="clear" w:color="auto" w:fill="FFFFFF"/>
              <w:jc w:val="both"/>
            </w:pPr>
            <w:r>
              <w:t>3.</w:t>
            </w:r>
            <w:r w:rsidR="004C6485">
              <w:t xml:space="preserve"> Papildināta  anotācijas VI sadaļa.</w:t>
            </w:r>
          </w:p>
          <w:p w14:paraId="4A83B18C" w14:textId="77777777" w:rsidR="00DA5A35" w:rsidRPr="00DA5A35" w:rsidRDefault="00DA5A35" w:rsidP="00DA5A35">
            <w:pPr>
              <w:shd w:val="clear" w:color="auto" w:fill="FFFFFF"/>
              <w:jc w:val="both"/>
            </w:pPr>
          </w:p>
          <w:p w14:paraId="25E1E57D" w14:textId="0C07538E" w:rsidR="00DA5A35" w:rsidRDefault="00DA5A35" w:rsidP="00DA5A35">
            <w:pPr>
              <w:shd w:val="clear" w:color="auto" w:fill="FFFFFF"/>
              <w:jc w:val="both"/>
              <w:rPr>
                <w:b/>
              </w:rPr>
            </w:pPr>
          </w:p>
        </w:tc>
      </w:tr>
      <w:tr w:rsidR="0072781F" w:rsidRPr="0052064D" w14:paraId="7BE7B4B2" w14:textId="77777777" w:rsidTr="00A861DF">
        <w:trPr>
          <w:trHeight w:val="300"/>
          <w:jc w:val="right"/>
        </w:trPr>
        <w:tc>
          <w:tcPr>
            <w:tcW w:w="704" w:type="dxa"/>
            <w:tcBorders>
              <w:top w:val="single" w:sz="4" w:space="0" w:color="000000"/>
              <w:left w:val="single" w:sz="4" w:space="0" w:color="000000"/>
              <w:bottom w:val="single" w:sz="4" w:space="0" w:color="000000"/>
              <w:right w:val="single" w:sz="4" w:space="0" w:color="000000"/>
            </w:tcBorders>
          </w:tcPr>
          <w:p w14:paraId="13D46883" w14:textId="48ADB19D" w:rsidR="0072781F" w:rsidRDefault="0072781F" w:rsidP="005A6E3A">
            <w:pPr>
              <w:shd w:val="clear" w:color="auto" w:fill="FFFFFF"/>
              <w:jc w:val="center"/>
              <w:rPr>
                <w:b/>
              </w:rPr>
            </w:pPr>
          </w:p>
        </w:tc>
        <w:tc>
          <w:tcPr>
            <w:tcW w:w="3402" w:type="dxa"/>
            <w:tcBorders>
              <w:top w:val="single" w:sz="4" w:space="0" w:color="000000"/>
              <w:left w:val="single" w:sz="4" w:space="0" w:color="000000"/>
              <w:bottom w:val="single" w:sz="4" w:space="0" w:color="000000"/>
              <w:right w:val="single" w:sz="4" w:space="0" w:color="000000"/>
            </w:tcBorders>
          </w:tcPr>
          <w:p w14:paraId="56BA2CB9" w14:textId="77777777" w:rsidR="0072781F" w:rsidRDefault="0072781F" w:rsidP="005A6E3A">
            <w:pPr>
              <w:shd w:val="clear" w:color="auto" w:fill="FFFFFF"/>
              <w:jc w:val="center"/>
              <w:rPr>
                <w:b/>
              </w:rPr>
            </w:pPr>
          </w:p>
        </w:tc>
        <w:tc>
          <w:tcPr>
            <w:tcW w:w="3827" w:type="dxa"/>
            <w:tcBorders>
              <w:top w:val="single" w:sz="4" w:space="0" w:color="000000"/>
              <w:left w:val="single" w:sz="4" w:space="0" w:color="000000"/>
              <w:bottom w:val="single" w:sz="4" w:space="0" w:color="000000"/>
              <w:right w:val="single" w:sz="4" w:space="0" w:color="000000"/>
            </w:tcBorders>
          </w:tcPr>
          <w:p w14:paraId="4632F2CB" w14:textId="77777777" w:rsidR="0072781F" w:rsidRDefault="0072781F" w:rsidP="0072781F">
            <w:pPr>
              <w:shd w:val="clear" w:color="auto" w:fill="FFFFFF"/>
              <w:jc w:val="both"/>
              <w:rPr>
                <w:b/>
              </w:rPr>
            </w:pPr>
            <w:r w:rsidRPr="0072781F">
              <w:rPr>
                <w:b/>
              </w:rPr>
              <w:t>Par Ministru kabineta noteikumu projektu "Grozījumi Ministru kabineta 2001. gada 28. augusta noteikumos Nr. 382</w:t>
            </w:r>
            <w:r>
              <w:rPr>
                <w:b/>
              </w:rPr>
              <w:t>”:</w:t>
            </w:r>
          </w:p>
          <w:p w14:paraId="4DF73062" w14:textId="77777777" w:rsidR="009B5076" w:rsidRPr="009B5076" w:rsidRDefault="009B5076" w:rsidP="009B5076">
            <w:pPr>
              <w:shd w:val="clear" w:color="auto" w:fill="FFFFFF"/>
              <w:jc w:val="both"/>
            </w:pPr>
            <w:r w:rsidRPr="009B5076">
              <w:t>1.</w:t>
            </w:r>
            <w:r w:rsidRPr="009B5076">
              <w:tab/>
              <w:t>Anotācijā norādīts, ka novada pašvaldība ir attiecīgajā novadā iekļauto pašvaldību institūciju, finanšu, mantas, tiesību un saistību pārņēmēja, tad nav saprotams, kādu iemeslu dēļ nepieciešams 2021. gadā mainīt noteikumos jau noteikto vispārējo pārskatu iesniegšanas kārtību, mainot pārskatu periodus un to iesniegšanas datumu, ja arī vispārējā kārtībā iesniegtie dati būs analizējami no budžeta līdzekļu izlietošanas uzraudzības aspekta. Lūdzam anotācijā pilnīgāk pamatot projektā ietverto 2021. gada īpašo pārskatu sniegšanas kārtības nepieciešamību.</w:t>
            </w:r>
          </w:p>
          <w:p w14:paraId="1F07EECE" w14:textId="77777777" w:rsidR="009B5076" w:rsidRPr="009B5076" w:rsidRDefault="009B5076" w:rsidP="009B5076">
            <w:pPr>
              <w:shd w:val="clear" w:color="auto" w:fill="FFFFFF"/>
              <w:jc w:val="both"/>
            </w:pPr>
            <w:r w:rsidRPr="009B5076">
              <w:lastRenderedPageBreak/>
              <w:t>2.</w:t>
            </w:r>
            <w:r w:rsidRPr="009B5076">
              <w:tab/>
              <w:t>Lūdzam precizēt projekta anotācijas II sadaļas 1. punktu atbilstoši Ministru kabineta 2009. gada 15. decembra instrukcija Nr. 19 "Tiesību akta projekta sākotnējās ietekmes izvērtēšanas kārtība" 20. punkta prasībām, norādot visas sabiedrības mērķgrupas, uz kurām attiecināms projekta tiesiskais regulējums tiešā un netiešā veidā, t.i., kuru tiesības, pienākumus, finanses vai iespējas projekts ietekmē vai varētu ietekmēt. Ar sabiedrības mērķgrupu saprot jebkuru fizisku vai juridisku personu grupu (tai skaitā valsts un pašvaldību iestādēs nodarbinātos), kuru skar projektā paredzētais regulējums. Anotācijas II sadaļas papildu mērķgrupas ir arī izglītības iestādes darbinieki, kas sniegs attiecīgos datus pārskatam, Izglītības un zinātnes ministrijas un Valsts kases darbinieki, kas apstrādās pārskatus. Tāpat lūdzam veikt atbilstošu ietekmes izvērtējumu anotācijas II sadaļā.</w:t>
            </w:r>
          </w:p>
          <w:p w14:paraId="0E610817" w14:textId="77777777" w:rsidR="009B5076" w:rsidRPr="009B5076" w:rsidRDefault="009B5076" w:rsidP="009B5076">
            <w:pPr>
              <w:shd w:val="clear" w:color="auto" w:fill="FFFFFF"/>
              <w:jc w:val="both"/>
            </w:pPr>
            <w:r w:rsidRPr="009B5076">
              <w:t>3.</w:t>
            </w:r>
            <w:r w:rsidRPr="009B5076">
              <w:tab/>
              <w:t xml:space="preserve">Minimālo sabiedrības līdzdalību nodrošina atbilstoši Ministru kabineta 2009. gada 25. augusta noteikumu Nr. 970 </w:t>
            </w:r>
            <w:r w:rsidRPr="009B5076">
              <w:lastRenderedPageBreak/>
              <w:t>"Sabiedrības līdzdalības kārtība attīstības plānošanas procesā" (turpmāk – Noteikumi Nr.970) 7.4.1. apakšpunktam. Atbilstoši Noteikumu Nr. 970 sadaļas "Sabiedrības līdzdalības kārtība attīstības plānošanas procesā" 13. punktam atbildīgā amatpersona sagatavo un nodrošina paziņojuma par līdzdalības procesu (kurš ilgst minimums 14 dienas) publicēšanu institūcijas mājaslapā sadaļā "Sabiedrības līdzdalība". Sabiedrības līdzdalība notiek tiesību aktu projektu izstrādes procesā, proti, līdz izsludināšanai Valsts sekretāru sanāksmē. Šo noteikumu 14. punkts vienlaikus paredz, ka tiešās valsts pārvaldes institūcijas elektroniski sagatavotus paziņojumus par līdzdalības procesu iesniedz arī Valsts kancelejā publicēšanai tās mājaslapā. Anotācijā ievietojama saite uz paziņojumu.</w:t>
            </w:r>
          </w:p>
          <w:p w14:paraId="3B80171F" w14:textId="77777777" w:rsidR="009B5076" w:rsidRPr="009B5076" w:rsidRDefault="009B5076" w:rsidP="009B5076">
            <w:pPr>
              <w:shd w:val="clear" w:color="auto" w:fill="FFFFFF"/>
              <w:jc w:val="both"/>
            </w:pPr>
            <w:r w:rsidRPr="009B5076">
              <w:t>Ievērojot minēto, lūdzam atbilstoši precizēt anotācijas VI sadaļas 2. punktā norādīto informāciju par sabiedrības līdzdalības procesu.</w:t>
            </w:r>
          </w:p>
          <w:p w14:paraId="3C03E604" w14:textId="77777777" w:rsidR="009B5076" w:rsidRPr="009B5076" w:rsidRDefault="009B5076" w:rsidP="009B5076">
            <w:pPr>
              <w:shd w:val="clear" w:color="auto" w:fill="FFFFFF"/>
              <w:jc w:val="both"/>
            </w:pPr>
            <w:r w:rsidRPr="009B5076">
              <w:t>4.</w:t>
            </w:r>
            <w:r w:rsidRPr="009B5076">
              <w:tab/>
              <w:t xml:space="preserve">Lūdzam anotācijas VII sadaļas 1. punktā norādīt, ka projekta izpildi nodrošinās arī izglītības </w:t>
            </w:r>
            <w:r w:rsidRPr="009B5076">
              <w:lastRenderedPageBreak/>
              <w:t>iestādes, sniedzot attiecīgos pārskatu datus, un Valsts kase, nodrošinot iespēju iesniegt attiecīgos pārskatus ePārskatu sistēmā.</w:t>
            </w:r>
          </w:p>
          <w:p w14:paraId="7C9BF48D" w14:textId="77777777" w:rsidR="009B5076" w:rsidRPr="009B5076" w:rsidRDefault="009B5076" w:rsidP="009B5076">
            <w:pPr>
              <w:shd w:val="clear" w:color="auto" w:fill="FFFFFF"/>
              <w:jc w:val="both"/>
            </w:pPr>
            <w:r w:rsidRPr="009B5076">
              <w:t>5.</w:t>
            </w:r>
            <w:r w:rsidRPr="009B5076">
              <w:tab/>
              <w:t>Lūdzam svītrot projekta 3. punktu, jo projekta 4. punktā pielikums tiek izteikts jaunā redakcijā. Vienlaikus lūdzam projekta 4. punktā ietvertajā pielikuma redakcijā svītrot vārdus "novadu un republikas pilsētu", jo tie ir lieki.</w:t>
            </w:r>
          </w:p>
          <w:p w14:paraId="0601C1E8" w14:textId="77777777" w:rsidR="009B5076" w:rsidRPr="009B5076" w:rsidRDefault="009B5076" w:rsidP="009B5076">
            <w:pPr>
              <w:shd w:val="clear" w:color="auto" w:fill="FFFFFF"/>
              <w:jc w:val="both"/>
            </w:pPr>
            <w:r w:rsidRPr="009B5076">
              <w:t>6.</w:t>
            </w:r>
            <w:r w:rsidRPr="009B5076">
              <w:tab/>
              <w:t>Lūdzam projekta 4. punktā ietvertajā noteikumu pielikumā budžeta programmas nosaukumu un Izglītības un zinātnes ministrijas nosaukumu rakstīt bez saīsinājumiem, jo tie nav tekstā atrunāti.</w:t>
            </w:r>
          </w:p>
          <w:p w14:paraId="0C789E5A" w14:textId="77777777" w:rsidR="009B5076" w:rsidRPr="009B5076" w:rsidRDefault="009B5076" w:rsidP="009B5076">
            <w:pPr>
              <w:shd w:val="clear" w:color="auto" w:fill="FFFFFF"/>
              <w:jc w:val="both"/>
            </w:pPr>
            <w:r w:rsidRPr="009B5076">
              <w:t>7.</w:t>
            </w:r>
            <w:r w:rsidRPr="009B5076">
              <w:tab/>
              <w:t>Lūdzam projekta 4. punktā ietvertajā noteikumu pielikumā ietverto budžeta izdevumu klasifikācijas kodu 1200 un 1221 posteņu nosaukumus precizēt atbilstoši Ministru kabineta 2005. gada 27. decembra noteikumos Nr. 1031 "Noteikumi par budžetu izdevumu klasifikāciju atbilstoši ekonomiskajām kategorijām"  noteiktajiem atbilstošo kodu nosaukumiem.</w:t>
            </w:r>
          </w:p>
          <w:p w14:paraId="0A5F9799" w14:textId="77777777" w:rsidR="009B5076" w:rsidRPr="009B5076" w:rsidRDefault="009B5076" w:rsidP="009B5076">
            <w:pPr>
              <w:shd w:val="clear" w:color="auto" w:fill="FFFFFF"/>
              <w:jc w:val="both"/>
            </w:pPr>
            <w:r w:rsidRPr="009B5076">
              <w:lastRenderedPageBreak/>
              <w:t>8.</w:t>
            </w:r>
            <w:r w:rsidRPr="009B5076">
              <w:tab/>
              <w:t>Ņemot vērā to, ka regulāri tiek grozīta noteikumu pielikuma 5. piezīme, lūdzam to izteikt vispārīgāk, lai to ik gadu varētu piemērot bez grozīšanas.</w:t>
            </w:r>
          </w:p>
          <w:p w14:paraId="10478534" w14:textId="77777777" w:rsidR="009B5076" w:rsidRPr="009B5076" w:rsidRDefault="009B5076" w:rsidP="009B5076">
            <w:pPr>
              <w:shd w:val="clear" w:color="auto" w:fill="FFFFFF"/>
              <w:jc w:val="both"/>
            </w:pPr>
          </w:p>
          <w:p w14:paraId="22CDCD58" w14:textId="77777777" w:rsidR="009B5076" w:rsidRPr="009B5076" w:rsidRDefault="009B5076" w:rsidP="009B5076">
            <w:pPr>
              <w:shd w:val="clear" w:color="auto" w:fill="FFFFFF"/>
              <w:jc w:val="both"/>
            </w:pPr>
            <w:r w:rsidRPr="009B5076">
              <w:t>Vienlaikus izsakām šādus priekšlikumus:</w:t>
            </w:r>
          </w:p>
          <w:p w14:paraId="4C4B7E50" w14:textId="77777777" w:rsidR="009B5076" w:rsidRPr="009B5076" w:rsidRDefault="009B5076" w:rsidP="009B5076">
            <w:pPr>
              <w:shd w:val="clear" w:color="auto" w:fill="FFFFFF"/>
              <w:jc w:val="both"/>
            </w:pPr>
            <w:r w:rsidRPr="009B5076">
              <w:t>1.</w:t>
            </w:r>
            <w:r w:rsidRPr="009B5076">
              <w:tab/>
              <w:t>Ierosinām konsultēties ar Valsts kasi, vai projektā ietvertajām izmaiņām nav nepieciešami ePārskatu sistēmas pielāgojumi. Ja tādi nepieciešami, lūdzam to norādīt anotācijā.</w:t>
            </w:r>
          </w:p>
          <w:p w14:paraId="3F52ABD2" w14:textId="073998A2" w:rsidR="0072781F" w:rsidRPr="0072781F" w:rsidRDefault="009B5076" w:rsidP="009B5076">
            <w:pPr>
              <w:shd w:val="clear" w:color="auto" w:fill="FFFFFF"/>
              <w:jc w:val="both"/>
              <w:rPr>
                <w:b/>
              </w:rPr>
            </w:pPr>
            <w:r w:rsidRPr="009B5076">
              <w:t>2.</w:t>
            </w:r>
            <w:r w:rsidRPr="009B5076">
              <w:tab/>
              <w:t>Ierosinām anotācijas IV sadaļas 1. punktu papildināt ar informāciju, kurā Valsts sekretāru sanāksmē attiecīgie tiesību aktu projekti ir izsludināti (sanāksmes datums, protokola numurs un paragrāfs).</w:t>
            </w:r>
          </w:p>
        </w:tc>
        <w:tc>
          <w:tcPr>
            <w:tcW w:w="3261" w:type="dxa"/>
            <w:tcBorders>
              <w:top w:val="single" w:sz="4" w:space="0" w:color="000000"/>
              <w:left w:val="single" w:sz="4" w:space="0" w:color="000000"/>
              <w:bottom w:val="single" w:sz="4" w:space="0" w:color="000000"/>
              <w:right w:val="single" w:sz="4" w:space="0" w:color="000000"/>
            </w:tcBorders>
          </w:tcPr>
          <w:p w14:paraId="74E1F339" w14:textId="77777777" w:rsidR="0072781F" w:rsidRDefault="0072781F" w:rsidP="00A861DF">
            <w:pPr>
              <w:shd w:val="clear" w:color="auto" w:fill="FFFFFF"/>
              <w:rPr>
                <w:b/>
              </w:rPr>
            </w:pPr>
          </w:p>
          <w:p w14:paraId="61965F5E" w14:textId="550D8966" w:rsidR="005678DF" w:rsidRPr="00054871" w:rsidRDefault="005678DF" w:rsidP="00A861DF">
            <w:pPr>
              <w:shd w:val="clear" w:color="auto" w:fill="FFFFFF"/>
              <w:rPr>
                <w:b/>
              </w:rPr>
            </w:pPr>
            <w:r>
              <w:rPr>
                <w:b/>
              </w:rPr>
              <w:t>Nemts vērā</w:t>
            </w:r>
          </w:p>
        </w:tc>
        <w:tc>
          <w:tcPr>
            <w:tcW w:w="3260" w:type="dxa"/>
            <w:tcBorders>
              <w:top w:val="single" w:sz="4" w:space="0" w:color="000000"/>
              <w:left w:val="single" w:sz="4" w:space="0" w:color="000000"/>
              <w:bottom w:val="single" w:sz="4" w:space="0" w:color="000000"/>
              <w:right w:val="single" w:sz="4" w:space="0" w:color="000000"/>
            </w:tcBorders>
          </w:tcPr>
          <w:p w14:paraId="526444F0" w14:textId="54FB03D9" w:rsidR="005678DF" w:rsidRDefault="005678DF" w:rsidP="00F91DED">
            <w:pPr>
              <w:shd w:val="clear" w:color="auto" w:fill="FFFFFF"/>
              <w:jc w:val="both"/>
            </w:pPr>
            <w:r>
              <w:t>1.Precizēts anotācijas  I. sadaļas 2.punkts:</w:t>
            </w:r>
          </w:p>
          <w:p w14:paraId="0C455CFC" w14:textId="29098E40" w:rsidR="0072781F" w:rsidRDefault="005678DF" w:rsidP="00F91DED">
            <w:pPr>
              <w:shd w:val="clear" w:color="auto" w:fill="FFFFFF"/>
              <w:jc w:val="both"/>
            </w:pPr>
            <w:r>
              <w:t>„</w:t>
            </w:r>
            <w:r w:rsidRPr="005678DF">
              <w:t xml:space="preserve">par 2021. gadā saņemtās mērķdotācijas izlietojumu jaunievēlētās pašvaldības sagatavos un iesniegts pārskatus, atbilstoši projekta 2. punktā paredzētajām </w:t>
            </w:r>
            <w:r w:rsidR="00091E4E">
              <w:t>atbilstošo</w:t>
            </w:r>
            <w:r w:rsidRPr="005678DF">
              <w:t xml:space="preserve"> punktu redakcijām, tas ir, par periodu no 2021. gada 1. janvāra līdz 2021. gada 30.jūnijam, kad beidzas bijušo pašvaldību domju pilnvaras, pārskats iesniedzams līdz 2021. gada 20. septembrim, savukārt par periodu no 2021. gada 1. jūlija līdz 2021. gada 31. decembrim, pārskats iesniedzams līdz 2022.gada 20.janvārim. Par minētajiem atskaišu pašvaldības pārskatus </w:t>
            </w:r>
            <w:r w:rsidRPr="005678DF">
              <w:lastRenderedPageBreak/>
              <w:t>iesniegs tikai 2021. gadā, kad tiek īstenota administratīvo teritoriju un novadu reforma. Attiecībā uz nākamajiem gadiem tiek saglabāti līdzšinējie pārskatu iesniegšanas periodi.</w:t>
            </w:r>
            <w:r>
              <w:t>”</w:t>
            </w:r>
          </w:p>
          <w:p w14:paraId="0AE444F2" w14:textId="77777777" w:rsidR="005678DF" w:rsidRDefault="005678DF" w:rsidP="005678DF">
            <w:pPr>
              <w:shd w:val="clear" w:color="auto" w:fill="FFFFFF"/>
              <w:jc w:val="both"/>
            </w:pPr>
            <w:r>
              <w:t>2</w:t>
            </w:r>
            <w:r w:rsidRPr="005678DF">
              <w:t>.Precizēts  anotā</w:t>
            </w:r>
            <w:r>
              <w:t>cijas II. sadaļas 1. un 2.punkts.</w:t>
            </w:r>
          </w:p>
          <w:p w14:paraId="181D1625" w14:textId="77777777" w:rsidR="005678DF" w:rsidRDefault="00972735" w:rsidP="005678DF">
            <w:pPr>
              <w:shd w:val="clear" w:color="auto" w:fill="FFFFFF"/>
              <w:jc w:val="both"/>
            </w:pPr>
            <w:r>
              <w:t>3</w:t>
            </w:r>
            <w:r w:rsidRPr="00972735">
              <w:t xml:space="preserve">.Precizēts  </w:t>
            </w:r>
            <w:r>
              <w:t>VI sadaļas 2. punkts.</w:t>
            </w:r>
          </w:p>
          <w:p w14:paraId="25CF158A" w14:textId="77777777" w:rsidR="00451275" w:rsidRDefault="00451275" w:rsidP="005678DF">
            <w:pPr>
              <w:shd w:val="clear" w:color="auto" w:fill="FFFFFF"/>
              <w:jc w:val="both"/>
            </w:pPr>
            <w:r>
              <w:t>4.</w:t>
            </w:r>
            <w:r w:rsidRPr="00451275">
              <w:t xml:space="preserve">Precizēts </w:t>
            </w:r>
            <w:r>
              <w:t>anotācijas VII sadaļas 1. punkts.</w:t>
            </w:r>
          </w:p>
          <w:p w14:paraId="1E2D80C3" w14:textId="288D8475" w:rsidR="00451275" w:rsidRDefault="00451275" w:rsidP="00451275">
            <w:pPr>
              <w:shd w:val="clear" w:color="auto" w:fill="FFFFFF"/>
              <w:jc w:val="both"/>
            </w:pPr>
            <w:r>
              <w:t>5. S</w:t>
            </w:r>
            <w:r w:rsidRPr="00451275">
              <w:t>vītrot</w:t>
            </w:r>
            <w:r>
              <w:t xml:space="preserve">s projekta 3. punkts, kā arī </w:t>
            </w:r>
            <w:r w:rsidRPr="00451275">
              <w:t>pielikuma redakcijā svītrot</w:t>
            </w:r>
            <w:r>
              <w:t>i vārdi</w:t>
            </w:r>
            <w:r w:rsidRPr="00451275">
              <w:t xml:space="preserve"> "novadu un republikas pilsētu"</w:t>
            </w:r>
            <w:r>
              <w:t>.</w:t>
            </w:r>
          </w:p>
          <w:p w14:paraId="581F5225" w14:textId="1EC3D04F" w:rsidR="00451275" w:rsidRDefault="00451275" w:rsidP="00451275">
            <w:pPr>
              <w:shd w:val="clear" w:color="auto" w:fill="FFFFFF"/>
              <w:jc w:val="both"/>
            </w:pPr>
            <w:r>
              <w:t xml:space="preserve">6. Veikti precizējumi </w:t>
            </w:r>
            <w:r w:rsidRPr="00451275">
              <w:t xml:space="preserve"> </w:t>
            </w:r>
            <w:r>
              <w:t>noteikumu pielikuma redakcijā.</w:t>
            </w:r>
          </w:p>
          <w:p w14:paraId="74C7EA98" w14:textId="7B8BB39E" w:rsidR="00451275" w:rsidRDefault="00451275" w:rsidP="00451275">
            <w:pPr>
              <w:shd w:val="clear" w:color="auto" w:fill="FFFFFF"/>
              <w:jc w:val="both"/>
            </w:pPr>
            <w:r>
              <w:t>7. Precizēti budžeta izdevumu klasifikācijas kodu 1200 un 1221 nosaukumi.</w:t>
            </w:r>
          </w:p>
          <w:p w14:paraId="1BDE33F8" w14:textId="77777777" w:rsidR="00451275" w:rsidRDefault="00451275" w:rsidP="00451275">
            <w:pPr>
              <w:shd w:val="clear" w:color="auto" w:fill="FFFFFF"/>
              <w:jc w:val="both"/>
            </w:pPr>
            <w:r>
              <w:t xml:space="preserve">Bet, ņemot vērā to, ka ministrijai nepieciešama atsevišķi nodalīta informācija, par to kāds finansējums izmaksāts slimības naudām un kāds atlaišanas pabalstiem, saglabātas arī šobrīd spēkā esošajos noteikumos un </w:t>
            </w:r>
            <w:r>
              <w:lastRenderedPageBreak/>
              <w:t>iepriekšējā projekta versijā piedāvātā koda 1221 redakcija.</w:t>
            </w:r>
          </w:p>
          <w:p w14:paraId="0446AE73" w14:textId="77777777" w:rsidR="00451275" w:rsidRDefault="00E26DDB" w:rsidP="00E26DDB">
            <w:pPr>
              <w:shd w:val="clear" w:color="auto" w:fill="FFFFFF"/>
              <w:jc w:val="both"/>
            </w:pPr>
            <w:r>
              <w:t>Vienlaikus informējam, ka p</w:t>
            </w:r>
            <w:r w:rsidRPr="00E26DDB">
              <w:t>rojektu izstrādes gaitā, veidojot pārskata veidlapas, ministrija regulāri konsultējas ar Valsts kasi. Turklāt, Finanšu ministrijas atzinumos, ja tas ir nepieciešams, tiek pausts Valsts kases viedoklis, priekšlikumi un iebildumi, kuri vienmēr tiek uzklausīti, izrunāti un ņemti vērā, vai arī, panākta vienošanās par pārskatā attēlojamo informāciju.</w:t>
            </w:r>
          </w:p>
          <w:p w14:paraId="60D58F4F" w14:textId="0794E8EF" w:rsidR="00E26DDB" w:rsidRPr="005678DF" w:rsidRDefault="00E26DDB" w:rsidP="00E26DDB">
            <w:pPr>
              <w:shd w:val="clear" w:color="auto" w:fill="FFFFFF"/>
              <w:jc w:val="both"/>
            </w:pPr>
            <w:r>
              <w:t xml:space="preserve">IV sadaļas 1. punkts papildināts ar informāciju: </w:t>
            </w:r>
            <w:r w:rsidRPr="00E26DDB">
              <w:t>(izsludināti 2021.gada 8.aprīļa Valsts sekretāru sanāksmē VSS – 13, VSS – 14, VSS – 15)</w:t>
            </w:r>
            <w:r>
              <w:t>.</w:t>
            </w:r>
          </w:p>
        </w:tc>
      </w:tr>
    </w:tbl>
    <w:p w14:paraId="4B4DC561" w14:textId="449F46E2" w:rsidR="009638EA" w:rsidRDefault="009638EA" w:rsidP="000A605C">
      <w:pPr>
        <w:rPr>
          <w:b/>
        </w:rPr>
      </w:pPr>
    </w:p>
    <w:p w14:paraId="5522EF77" w14:textId="77777777" w:rsidR="00A6789F" w:rsidRPr="009638EA" w:rsidRDefault="00A6789F" w:rsidP="000A605C">
      <w:pPr>
        <w:rPr>
          <w:b/>
        </w:rPr>
      </w:pPr>
    </w:p>
    <w:p w14:paraId="019A0637" w14:textId="77777777" w:rsidR="005607AE" w:rsidRDefault="005607AE"/>
    <w:p w14:paraId="0CED15A5" w14:textId="77777777" w:rsidR="00D43340" w:rsidRPr="00D43340" w:rsidRDefault="00D43340" w:rsidP="00D43340">
      <w:pPr>
        <w:shd w:val="clear" w:color="auto" w:fill="FFFFFF"/>
        <w:tabs>
          <w:tab w:val="left" w:pos="240"/>
          <w:tab w:val="left" w:pos="720"/>
        </w:tabs>
      </w:pPr>
      <w:r w:rsidRPr="00D43340">
        <w:t>Atbildīgā amatpersona</w:t>
      </w:r>
      <w:r w:rsidRPr="00D43340">
        <w:tab/>
        <w:t>_________________________________________________________________</w:t>
      </w:r>
    </w:p>
    <w:p w14:paraId="7E640E1D" w14:textId="77777777" w:rsidR="00D43340" w:rsidRPr="00D43340" w:rsidRDefault="00D43340" w:rsidP="00D43340">
      <w:pPr>
        <w:shd w:val="clear" w:color="auto" w:fill="FFFFFF"/>
        <w:tabs>
          <w:tab w:val="left" w:pos="240"/>
          <w:tab w:val="left" w:pos="720"/>
        </w:tabs>
      </w:pPr>
      <w:r w:rsidRPr="00D43340">
        <w:tab/>
      </w:r>
    </w:p>
    <w:p w14:paraId="127D7283" w14:textId="1DC9862E" w:rsidR="009B3135" w:rsidRDefault="00D43340" w:rsidP="00D155F0">
      <w:pPr>
        <w:shd w:val="clear" w:color="auto" w:fill="FFFFFF"/>
        <w:tabs>
          <w:tab w:val="left" w:pos="240"/>
          <w:tab w:val="left" w:pos="720"/>
        </w:tabs>
      </w:pPr>
      <w:r w:rsidRPr="00D43340">
        <w:tab/>
      </w:r>
      <w:r w:rsidRPr="00D43340">
        <w:tab/>
      </w:r>
      <w:r w:rsidRPr="00D43340">
        <w:tab/>
      </w:r>
      <w:r w:rsidRPr="00D43340">
        <w:tab/>
      </w:r>
      <w:r w:rsidRPr="00D43340">
        <w:tab/>
      </w:r>
      <w:r w:rsidRPr="00D43340">
        <w:tab/>
      </w:r>
      <w:r w:rsidRPr="00D43340">
        <w:tab/>
      </w:r>
      <w:r w:rsidRPr="00D43340">
        <w:tab/>
      </w:r>
      <w:r w:rsidRPr="00D43340">
        <w:tab/>
      </w:r>
      <w:r w:rsidRPr="00D43340">
        <w:tab/>
        <w:t>(paraksts)</w:t>
      </w:r>
    </w:p>
    <w:p w14:paraId="719EC907" w14:textId="77777777" w:rsidR="009B3135" w:rsidRDefault="009B3135"/>
    <w:p w14:paraId="73930FA5" w14:textId="0B780C95" w:rsidR="009B3135" w:rsidRPr="009B3135" w:rsidRDefault="00715DFF" w:rsidP="00A046AC">
      <w:pPr>
        <w:tabs>
          <w:tab w:val="left" w:pos="4155"/>
        </w:tabs>
        <w:rPr>
          <w:rFonts w:eastAsiaTheme="minorHAnsi"/>
          <w:sz w:val="20"/>
          <w:szCs w:val="20"/>
          <w:lang w:eastAsia="en-US"/>
        </w:rPr>
      </w:pPr>
      <w:r>
        <w:rPr>
          <w:rFonts w:eastAsiaTheme="minorHAnsi"/>
          <w:sz w:val="20"/>
          <w:szCs w:val="20"/>
          <w:lang w:eastAsia="en-US"/>
        </w:rPr>
        <w:t>17</w:t>
      </w:r>
      <w:r w:rsidR="005A7A7D">
        <w:rPr>
          <w:rFonts w:eastAsiaTheme="minorHAnsi"/>
          <w:sz w:val="20"/>
          <w:szCs w:val="20"/>
          <w:lang w:eastAsia="en-US"/>
        </w:rPr>
        <w:t>.05</w:t>
      </w:r>
      <w:r w:rsidR="000B397A">
        <w:rPr>
          <w:rFonts w:eastAsiaTheme="minorHAnsi"/>
          <w:sz w:val="20"/>
          <w:szCs w:val="20"/>
          <w:lang w:eastAsia="en-US"/>
        </w:rPr>
        <w:t>.2021.</w:t>
      </w:r>
      <w:r w:rsidR="00A046AC">
        <w:rPr>
          <w:rFonts w:eastAsiaTheme="minorHAnsi"/>
          <w:sz w:val="20"/>
          <w:szCs w:val="20"/>
          <w:lang w:eastAsia="en-US"/>
        </w:rPr>
        <w:tab/>
      </w:r>
    </w:p>
    <w:p w14:paraId="4898BCE0" w14:textId="77777777" w:rsidR="00D155F0" w:rsidRDefault="009B3135" w:rsidP="009B3135">
      <w:pPr>
        <w:rPr>
          <w:rFonts w:eastAsiaTheme="minorHAnsi"/>
          <w:sz w:val="20"/>
          <w:szCs w:val="20"/>
          <w:lang w:eastAsia="en-US"/>
        </w:rPr>
      </w:pPr>
      <w:r w:rsidRPr="009B3135">
        <w:rPr>
          <w:rFonts w:eastAsiaTheme="minorHAnsi"/>
          <w:sz w:val="20"/>
          <w:szCs w:val="20"/>
          <w:lang w:eastAsia="en-US"/>
        </w:rPr>
        <w:t xml:space="preserve">M.Jansone, </w:t>
      </w:r>
    </w:p>
    <w:p w14:paraId="2447507E" w14:textId="66324326" w:rsidR="009B3135" w:rsidRPr="00D155F0" w:rsidRDefault="009B3135" w:rsidP="00D155F0">
      <w:pPr>
        <w:rPr>
          <w:rFonts w:eastAsiaTheme="minorHAnsi"/>
          <w:sz w:val="20"/>
          <w:szCs w:val="20"/>
          <w:lang w:eastAsia="en-US"/>
        </w:rPr>
      </w:pPr>
      <w:r w:rsidRPr="009B3135">
        <w:rPr>
          <w:rFonts w:eastAsiaTheme="minorHAnsi"/>
          <w:sz w:val="20"/>
          <w:szCs w:val="20"/>
          <w:lang w:eastAsia="en-US"/>
        </w:rPr>
        <w:t xml:space="preserve">67047973, </w:t>
      </w:r>
      <w:hyperlink r:id="rId8" w:history="1">
        <w:r w:rsidRPr="009B3135">
          <w:rPr>
            <w:rFonts w:eastAsiaTheme="minorHAnsi"/>
            <w:color w:val="0000FF"/>
            <w:sz w:val="20"/>
            <w:szCs w:val="20"/>
            <w:u w:val="single"/>
            <w:lang w:eastAsia="en-US"/>
          </w:rPr>
          <w:t>modra.jansone@izm.gov.lv</w:t>
        </w:r>
      </w:hyperlink>
      <w:r w:rsidR="00D43340">
        <w:tab/>
      </w:r>
    </w:p>
    <w:sectPr w:rsidR="009B3135" w:rsidRPr="00D155F0" w:rsidSect="00B349FB">
      <w:headerReference w:type="default" r:id="rId9"/>
      <w:footerReference w:type="default" r:id="rId10"/>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B9951" w14:textId="77777777" w:rsidR="004354A7" w:rsidRDefault="004354A7" w:rsidP="00B67BFB">
      <w:r>
        <w:separator/>
      </w:r>
    </w:p>
  </w:endnote>
  <w:endnote w:type="continuationSeparator" w:id="0">
    <w:p w14:paraId="77E95D3E" w14:textId="77777777" w:rsidR="004354A7" w:rsidRDefault="004354A7" w:rsidP="00B67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E8F1B" w14:textId="1F849061" w:rsidR="00B67BFB" w:rsidRPr="008A47F5" w:rsidRDefault="00B67BFB" w:rsidP="008A47F5">
    <w:pPr>
      <w:pStyle w:val="tv20787921"/>
      <w:spacing w:after="0" w:line="240" w:lineRule="auto"/>
      <w:jc w:val="both"/>
      <w:rPr>
        <w:rFonts w:ascii="Times New Roman" w:hAnsi="Times New Roman"/>
        <w:b w:val="0"/>
        <w:bCs w:val="0"/>
        <w:sz w:val="24"/>
        <w:szCs w:val="24"/>
      </w:rPr>
    </w:pPr>
    <w:r w:rsidRPr="00FD75C9">
      <w:rPr>
        <w:rFonts w:ascii="Times New Roman" w:hAnsi="Times New Roman"/>
        <w:b w:val="0"/>
        <w:sz w:val="24"/>
        <w:szCs w:val="24"/>
      </w:rPr>
      <w:t>IZMIzz_</w:t>
    </w:r>
    <w:r w:rsidR="00715DFF">
      <w:rPr>
        <w:rFonts w:ascii="Times New Roman" w:hAnsi="Times New Roman"/>
        <w:b w:val="0"/>
        <w:sz w:val="24"/>
        <w:szCs w:val="24"/>
      </w:rPr>
      <w:t>17</w:t>
    </w:r>
    <w:r w:rsidR="00412A1D">
      <w:rPr>
        <w:rFonts w:ascii="Times New Roman" w:hAnsi="Times New Roman"/>
        <w:b w:val="0"/>
        <w:sz w:val="24"/>
        <w:szCs w:val="24"/>
      </w:rPr>
      <w:t>05</w:t>
    </w:r>
    <w:r w:rsidR="000B397A">
      <w:rPr>
        <w:rFonts w:ascii="Times New Roman" w:hAnsi="Times New Roman"/>
        <w:b w:val="0"/>
        <w:sz w:val="24"/>
        <w:szCs w:val="24"/>
      </w:rPr>
      <w:t>21</w:t>
    </w:r>
    <w:r w:rsidRPr="00FD75C9">
      <w:rPr>
        <w:rFonts w:ascii="Times New Roman" w:hAnsi="Times New Roman"/>
        <w:b w:val="0"/>
        <w:sz w:val="24"/>
        <w:szCs w:val="24"/>
      </w:rPr>
      <w:t xml:space="preserve">_ </w:t>
    </w:r>
    <w:r w:rsidR="00FD75C9">
      <w:rPr>
        <w:rFonts w:ascii="Times New Roman" w:hAnsi="Times New Roman"/>
        <w:b w:val="0"/>
        <w:sz w:val="24"/>
        <w:szCs w:val="24"/>
      </w:rPr>
      <w:t>G</w:t>
    </w:r>
    <w:r w:rsidR="000B397A">
      <w:rPr>
        <w:rFonts w:ascii="Times New Roman" w:hAnsi="Times New Roman"/>
        <w:b w:val="0"/>
        <w:sz w:val="24"/>
        <w:szCs w:val="24"/>
      </w:rPr>
      <w:t>roz</w:t>
    </w:r>
    <w:r w:rsidR="00715DFF">
      <w:rPr>
        <w:rFonts w:ascii="Times New Roman" w:hAnsi="Times New Roman"/>
        <w:b w:val="0"/>
        <w:sz w:val="24"/>
        <w:szCs w:val="24"/>
      </w:rPr>
      <w:t>382,</w:t>
    </w:r>
    <w:r w:rsidR="000B397A">
      <w:rPr>
        <w:rFonts w:ascii="Times New Roman" w:hAnsi="Times New Roman"/>
        <w:b w:val="0"/>
        <w:sz w:val="24"/>
        <w:szCs w:val="24"/>
      </w:rPr>
      <w:t>583</w:t>
    </w:r>
    <w:r w:rsidR="00715DFF">
      <w:rPr>
        <w:rFonts w:ascii="Times New Roman" w:hAnsi="Times New Roman"/>
        <w:b w:val="0"/>
        <w:sz w:val="24"/>
        <w:szCs w:val="24"/>
      </w:rPr>
      <w:t>,477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743B22" w14:textId="77777777" w:rsidR="004354A7" w:rsidRDefault="004354A7" w:rsidP="00B67BFB">
      <w:r>
        <w:separator/>
      </w:r>
    </w:p>
  </w:footnote>
  <w:footnote w:type="continuationSeparator" w:id="0">
    <w:p w14:paraId="2C8D5B09" w14:textId="77777777" w:rsidR="004354A7" w:rsidRDefault="004354A7" w:rsidP="00B67B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671321"/>
      <w:docPartObj>
        <w:docPartGallery w:val="Page Numbers (Top of Page)"/>
        <w:docPartUnique/>
      </w:docPartObj>
    </w:sdtPr>
    <w:sdtEndPr>
      <w:rPr>
        <w:noProof/>
      </w:rPr>
    </w:sdtEndPr>
    <w:sdtContent>
      <w:p w14:paraId="3C76F151" w14:textId="77777777" w:rsidR="003D2797" w:rsidRDefault="003D2797">
        <w:pPr>
          <w:pStyle w:val="Header"/>
          <w:jc w:val="center"/>
        </w:pPr>
        <w:r>
          <w:fldChar w:fldCharType="begin"/>
        </w:r>
        <w:r>
          <w:instrText xml:space="preserve"> PAGE   \* MERGEFORMAT </w:instrText>
        </w:r>
        <w:r>
          <w:fldChar w:fldCharType="separate"/>
        </w:r>
        <w:r w:rsidR="00715DFF">
          <w:rPr>
            <w:noProof/>
          </w:rPr>
          <w:t>1</w:t>
        </w:r>
        <w:r>
          <w:rPr>
            <w:noProof/>
          </w:rPr>
          <w:fldChar w:fldCharType="end"/>
        </w:r>
      </w:p>
    </w:sdtContent>
  </w:sdt>
  <w:p w14:paraId="3A148851" w14:textId="77777777" w:rsidR="003D2797" w:rsidRDefault="003D27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57858"/>
    <w:multiLevelType w:val="hybridMultilevel"/>
    <w:tmpl w:val="42FAD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DD7852"/>
    <w:multiLevelType w:val="hybridMultilevel"/>
    <w:tmpl w:val="2DF2299C"/>
    <w:lvl w:ilvl="0" w:tplc="62D610D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4B1078A"/>
    <w:multiLevelType w:val="hybridMultilevel"/>
    <w:tmpl w:val="69929C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2152578"/>
    <w:multiLevelType w:val="hybridMultilevel"/>
    <w:tmpl w:val="06869C20"/>
    <w:lvl w:ilvl="0" w:tplc="AD88AF78">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4">
    <w:nsid w:val="2EE4255D"/>
    <w:multiLevelType w:val="hybridMultilevel"/>
    <w:tmpl w:val="950A2C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2906B2B"/>
    <w:multiLevelType w:val="multilevel"/>
    <w:tmpl w:val="2D348EEA"/>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35780152"/>
    <w:multiLevelType w:val="hybridMultilevel"/>
    <w:tmpl w:val="4B962592"/>
    <w:lvl w:ilvl="0" w:tplc="C6C8810C">
      <w:start w:val="1"/>
      <w:numFmt w:val="decimal"/>
      <w:lvlText w:val="%1."/>
      <w:lvlJc w:val="left"/>
      <w:pPr>
        <w:ind w:left="1494" w:hanging="360"/>
      </w:pPr>
      <w:rPr>
        <w:rFonts w:hint="default"/>
      </w:rPr>
    </w:lvl>
    <w:lvl w:ilvl="1" w:tplc="04260019" w:tentative="1">
      <w:start w:val="1"/>
      <w:numFmt w:val="lowerLetter"/>
      <w:lvlText w:val="%2."/>
      <w:lvlJc w:val="left"/>
      <w:pPr>
        <w:ind w:left="1950" w:hanging="360"/>
      </w:pPr>
    </w:lvl>
    <w:lvl w:ilvl="2" w:tplc="0426001B" w:tentative="1">
      <w:start w:val="1"/>
      <w:numFmt w:val="lowerRoman"/>
      <w:lvlText w:val="%3."/>
      <w:lvlJc w:val="right"/>
      <w:pPr>
        <w:ind w:left="2670" w:hanging="180"/>
      </w:pPr>
    </w:lvl>
    <w:lvl w:ilvl="3" w:tplc="0426000F" w:tentative="1">
      <w:start w:val="1"/>
      <w:numFmt w:val="decimal"/>
      <w:lvlText w:val="%4."/>
      <w:lvlJc w:val="left"/>
      <w:pPr>
        <w:ind w:left="3390" w:hanging="360"/>
      </w:pPr>
    </w:lvl>
    <w:lvl w:ilvl="4" w:tplc="04260019" w:tentative="1">
      <w:start w:val="1"/>
      <w:numFmt w:val="lowerLetter"/>
      <w:lvlText w:val="%5."/>
      <w:lvlJc w:val="left"/>
      <w:pPr>
        <w:ind w:left="4110" w:hanging="360"/>
      </w:pPr>
    </w:lvl>
    <w:lvl w:ilvl="5" w:tplc="0426001B" w:tentative="1">
      <w:start w:val="1"/>
      <w:numFmt w:val="lowerRoman"/>
      <w:lvlText w:val="%6."/>
      <w:lvlJc w:val="right"/>
      <w:pPr>
        <w:ind w:left="4830" w:hanging="180"/>
      </w:pPr>
    </w:lvl>
    <w:lvl w:ilvl="6" w:tplc="0426000F" w:tentative="1">
      <w:start w:val="1"/>
      <w:numFmt w:val="decimal"/>
      <w:lvlText w:val="%7."/>
      <w:lvlJc w:val="left"/>
      <w:pPr>
        <w:ind w:left="5550" w:hanging="360"/>
      </w:pPr>
    </w:lvl>
    <w:lvl w:ilvl="7" w:tplc="04260019" w:tentative="1">
      <w:start w:val="1"/>
      <w:numFmt w:val="lowerLetter"/>
      <w:lvlText w:val="%8."/>
      <w:lvlJc w:val="left"/>
      <w:pPr>
        <w:ind w:left="6270" w:hanging="360"/>
      </w:pPr>
    </w:lvl>
    <w:lvl w:ilvl="8" w:tplc="0426001B" w:tentative="1">
      <w:start w:val="1"/>
      <w:numFmt w:val="lowerRoman"/>
      <w:lvlText w:val="%9."/>
      <w:lvlJc w:val="right"/>
      <w:pPr>
        <w:ind w:left="6990" w:hanging="180"/>
      </w:pPr>
    </w:lvl>
  </w:abstractNum>
  <w:abstractNum w:abstractNumId="7">
    <w:nsid w:val="418D79D3"/>
    <w:multiLevelType w:val="hybridMultilevel"/>
    <w:tmpl w:val="58ECE26E"/>
    <w:lvl w:ilvl="0" w:tplc="D6C6FAAC">
      <w:start w:val="1"/>
      <w:numFmt w:val="decimal"/>
      <w:lvlText w:val="%1."/>
      <w:lvlJc w:val="left"/>
      <w:pPr>
        <w:ind w:left="1140" w:hanging="78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B241383"/>
    <w:multiLevelType w:val="hybridMultilevel"/>
    <w:tmpl w:val="68A641F6"/>
    <w:lvl w:ilvl="0" w:tplc="04260013">
      <w:start w:val="1"/>
      <w:numFmt w:val="upperRoman"/>
      <w:lvlText w:val="%1."/>
      <w:lvlJc w:val="righ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2B7225B"/>
    <w:multiLevelType w:val="hybridMultilevel"/>
    <w:tmpl w:val="2DF2299C"/>
    <w:lvl w:ilvl="0" w:tplc="62D610D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78343069"/>
    <w:multiLevelType w:val="hybridMultilevel"/>
    <w:tmpl w:val="E842C0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9"/>
  </w:num>
  <w:num w:numId="3">
    <w:abstractNumId w:val="3"/>
  </w:num>
  <w:num w:numId="4">
    <w:abstractNumId w:val="4"/>
  </w:num>
  <w:num w:numId="5">
    <w:abstractNumId w:val="1"/>
  </w:num>
  <w:num w:numId="6">
    <w:abstractNumId w:val="10"/>
  </w:num>
  <w:num w:numId="7">
    <w:abstractNumId w:val="6"/>
  </w:num>
  <w:num w:numId="8">
    <w:abstractNumId w:val="5"/>
  </w:num>
  <w:num w:numId="9">
    <w:abstractNumId w:val="2"/>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9FB"/>
    <w:rsid w:val="00007104"/>
    <w:rsid w:val="00023E8F"/>
    <w:rsid w:val="00035730"/>
    <w:rsid w:val="00036E42"/>
    <w:rsid w:val="000503FA"/>
    <w:rsid w:val="00054871"/>
    <w:rsid w:val="000566FF"/>
    <w:rsid w:val="00061890"/>
    <w:rsid w:val="00063692"/>
    <w:rsid w:val="000641E6"/>
    <w:rsid w:val="000743C2"/>
    <w:rsid w:val="00081AAC"/>
    <w:rsid w:val="00091E4E"/>
    <w:rsid w:val="00094FF2"/>
    <w:rsid w:val="000A605C"/>
    <w:rsid w:val="000B397A"/>
    <w:rsid w:val="000C23D4"/>
    <w:rsid w:val="000C4C0F"/>
    <w:rsid w:val="000D0CC0"/>
    <w:rsid w:val="000D174E"/>
    <w:rsid w:val="000D7BCC"/>
    <w:rsid w:val="000E2A6B"/>
    <w:rsid w:val="000E412E"/>
    <w:rsid w:val="000E7B77"/>
    <w:rsid w:val="000F1B84"/>
    <w:rsid w:val="000F27F7"/>
    <w:rsid w:val="00104846"/>
    <w:rsid w:val="00111C99"/>
    <w:rsid w:val="001263C5"/>
    <w:rsid w:val="0013263E"/>
    <w:rsid w:val="00134453"/>
    <w:rsid w:val="00136A1F"/>
    <w:rsid w:val="00140396"/>
    <w:rsid w:val="00140710"/>
    <w:rsid w:val="0014267A"/>
    <w:rsid w:val="0018197E"/>
    <w:rsid w:val="0018761E"/>
    <w:rsid w:val="00193287"/>
    <w:rsid w:val="001B2868"/>
    <w:rsid w:val="001B56AB"/>
    <w:rsid w:val="001C1466"/>
    <w:rsid w:val="001E04B0"/>
    <w:rsid w:val="001E5681"/>
    <w:rsid w:val="001E6B04"/>
    <w:rsid w:val="001F7F42"/>
    <w:rsid w:val="002057B2"/>
    <w:rsid w:val="00206A80"/>
    <w:rsid w:val="002102DC"/>
    <w:rsid w:val="00210349"/>
    <w:rsid w:val="0021287E"/>
    <w:rsid w:val="00217065"/>
    <w:rsid w:val="00223E9F"/>
    <w:rsid w:val="002240AC"/>
    <w:rsid w:val="00241133"/>
    <w:rsid w:val="00263236"/>
    <w:rsid w:val="002848C1"/>
    <w:rsid w:val="00286052"/>
    <w:rsid w:val="002909BE"/>
    <w:rsid w:val="002A454A"/>
    <w:rsid w:val="002A5C42"/>
    <w:rsid w:val="002D00F5"/>
    <w:rsid w:val="002E010A"/>
    <w:rsid w:val="002E2B04"/>
    <w:rsid w:val="002E5F0F"/>
    <w:rsid w:val="002E714B"/>
    <w:rsid w:val="002F06BD"/>
    <w:rsid w:val="002F22DE"/>
    <w:rsid w:val="00303C73"/>
    <w:rsid w:val="003055E0"/>
    <w:rsid w:val="00305684"/>
    <w:rsid w:val="003074B8"/>
    <w:rsid w:val="00315F1C"/>
    <w:rsid w:val="003162EA"/>
    <w:rsid w:val="00332BB7"/>
    <w:rsid w:val="003358F2"/>
    <w:rsid w:val="003378B3"/>
    <w:rsid w:val="003411D1"/>
    <w:rsid w:val="00344BEF"/>
    <w:rsid w:val="00361BA6"/>
    <w:rsid w:val="00371121"/>
    <w:rsid w:val="00394EDA"/>
    <w:rsid w:val="003A316E"/>
    <w:rsid w:val="003D2797"/>
    <w:rsid w:val="003D4EA3"/>
    <w:rsid w:val="003D7E35"/>
    <w:rsid w:val="003E71FE"/>
    <w:rsid w:val="003F4681"/>
    <w:rsid w:val="00400C23"/>
    <w:rsid w:val="00410257"/>
    <w:rsid w:val="00410B41"/>
    <w:rsid w:val="00412A1D"/>
    <w:rsid w:val="004354A7"/>
    <w:rsid w:val="00441FF4"/>
    <w:rsid w:val="0044591F"/>
    <w:rsid w:val="00451275"/>
    <w:rsid w:val="0045448D"/>
    <w:rsid w:val="004667FF"/>
    <w:rsid w:val="00467A4F"/>
    <w:rsid w:val="0049798D"/>
    <w:rsid w:val="00497BA3"/>
    <w:rsid w:val="004A2138"/>
    <w:rsid w:val="004A3DE9"/>
    <w:rsid w:val="004A3F20"/>
    <w:rsid w:val="004B160E"/>
    <w:rsid w:val="004B632D"/>
    <w:rsid w:val="004C6485"/>
    <w:rsid w:val="004E6D6C"/>
    <w:rsid w:val="00500840"/>
    <w:rsid w:val="00511A03"/>
    <w:rsid w:val="00514AC9"/>
    <w:rsid w:val="005607AE"/>
    <w:rsid w:val="005631B6"/>
    <w:rsid w:val="005678DF"/>
    <w:rsid w:val="0057052D"/>
    <w:rsid w:val="00593425"/>
    <w:rsid w:val="005A6E3A"/>
    <w:rsid w:val="005A7A7D"/>
    <w:rsid w:val="005B5415"/>
    <w:rsid w:val="005B7F02"/>
    <w:rsid w:val="005C7C30"/>
    <w:rsid w:val="005D4C71"/>
    <w:rsid w:val="005E297A"/>
    <w:rsid w:val="005E2DF7"/>
    <w:rsid w:val="005F5A9D"/>
    <w:rsid w:val="00616151"/>
    <w:rsid w:val="0061659C"/>
    <w:rsid w:val="006213A7"/>
    <w:rsid w:val="00623890"/>
    <w:rsid w:val="00637D54"/>
    <w:rsid w:val="00641F44"/>
    <w:rsid w:val="00646C73"/>
    <w:rsid w:val="00646F1D"/>
    <w:rsid w:val="006561AD"/>
    <w:rsid w:val="00666441"/>
    <w:rsid w:val="00670292"/>
    <w:rsid w:val="00680995"/>
    <w:rsid w:val="00683281"/>
    <w:rsid w:val="00691BFD"/>
    <w:rsid w:val="00692204"/>
    <w:rsid w:val="006933A9"/>
    <w:rsid w:val="00697DED"/>
    <w:rsid w:val="006A5981"/>
    <w:rsid w:val="006B3852"/>
    <w:rsid w:val="006D0B0E"/>
    <w:rsid w:val="006D1860"/>
    <w:rsid w:val="006D6776"/>
    <w:rsid w:val="006E15FB"/>
    <w:rsid w:val="006E46D3"/>
    <w:rsid w:val="006E62BE"/>
    <w:rsid w:val="006E6656"/>
    <w:rsid w:val="006E6FE0"/>
    <w:rsid w:val="006E7927"/>
    <w:rsid w:val="006F2967"/>
    <w:rsid w:val="006F6289"/>
    <w:rsid w:val="00700393"/>
    <w:rsid w:val="00701095"/>
    <w:rsid w:val="00715DFF"/>
    <w:rsid w:val="0072781F"/>
    <w:rsid w:val="007410A2"/>
    <w:rsid w:val="00741CE0"/>
    <w:rsid w:val="00747D9E"/>
    <w:rsid w:val="00762AB3"/>
    <w:rsid w:val="0077466C"/>
    <w:rsid w:val="00777918"/>
    <w:rsid w:val="007A29F3"/>
    <w:rsid w:val="007A61BC"/>
    <w:rsid w:val="007A6F9C"/>
    <w:rsid w:val="007B1230"/>
    <w:rsid w:val="007B77B6"/>
    <w:rsid w:val="007C1829"/>
    <w:rsid w:val="007C53E6"/>
    <w:rsid w:val="007C6BFB"/>
    <w:rsid w:val="007C7BDC"/>
    <w:rsid w:val="007D075E"/>
    <w:rsid w:val="007D30A3"/>
    <w:rsid w:val="007E6BA6"/>
    <w:rsid w:val="00810098"/>
    <w:rsid w:val="00814882"/>
    <w:rsid w:val="00824EF9"/>
    <w:rsid w:val="0083073F"/>
    <w:rsid w:val="008337C2"/>
    <w:rsid w:val="00836B5C"/>
    <w:rsid w:val="008508DE"/>
    <w:rsid w:val="00886C3C"/>
    <w:rsid w:val="00891721"/>
    <w:rsid w:val="00892E79"/>
    <w:rsid w:val="008A47F5"/>
    <w:rsid w:val="008C3ECD"/>
    <w:rsid w:val="008D1463"/>
    <w:rsid w:val="008D4746"/>
    <w:rsid w:val="008E0B5C"/>
    <w:rsid w:val="008F26F1"/>
    <w:rsid w:val="00914F94"/>
    <w:rsid w:val="009175D2"/>
    <w:rsid w:val="00937495"/>
    <w:rsid w:val="00950152"/>
    <w:rsid w:val="00953A3D"/>
    <w:rsid w:val="009553D7"/>
    <w:rsid w:val="00956F1E"/>
    <w:rsid w:val="00962735"/>
    <w:rsid w:val="009638EA"/>
    <w:rsid w:val="0097272B"/>
    <w:rsid w:val="00972735"/>
    <w:rsid w:val="00974951"/>
    <w:rsid w:val="009751C2"/>
    <w:rsid w:val="00984853"/>
    <w:rsid w:val="00991ABE"/>
    <w:rsid w:val="009958E3"/>
    <w:rsid w:val="009A23D7"/>
    <w:rsid w:val="009A3BC6"/>
    <w:rsid w:val="009A5B28"/>
    <w:rsid w:val="009B3135"/>
    <w:rsid w:val="009B3725"/>
    <w:rsid w:val="009B5076"/>
    <w:rsid w:val="009B5747"/>
    <w:rsid w:val="009C343B"/>
    <w:rsid w:val="009D0442"/>
    <w:rsid w:val="009E7FF4"/>
    <w:rsid w:val="009F5AFE"/>
    <w:rsid w:val="00A046AC"/>
    <w:rsid w:val="00A063FC"/>
    <w:rsid w:val="00A078A3"/>
    <w:rsid w:val="00A30DB7"/>
    <w:rsid w:val="00A41C8B"/>
    <w:rsid w:val="00A45007"/>
    <w:rsid w:val="00A55D78"/>
    <w:rsid w:val="00A6789F"/>
    <w:rsid w:val="00A72807"/>
    <w:rsid w:val="00A85C81"/>
    <w:rsid w:val="00A861DF"/>
    <w:rsid w:val="00A9470B"/>
    <w:rsid w:val="00A9474E"/>
    <w:rsid w:val="00A96574"/>
    <w:rsid w:val="00A96C83"/>
    <w:rsid w:val="00AA05CD"/>
    <w:rsid w:val="00AB12A0"/>
    <w:rsid w:val="00AB7271"/>
    <w:rsid w:val="00AC2305"/>
    <w:rsid w:val="00AE42BA"/>
    <w:rsid w:val="00AF2B3B"/>
    <w:rsid w:val="00AF6C5F"/>
    <w:rsid w:val="00AF7951"/>
    <w:rsid w:val="00B16C9B"/>
    <w:rsid w:val="00B242CE"/>
    <w:rsid w:val="00B349FB"/>
    <w:rsid w:val="00B41C3B"/>
    <w:rsid w:val="00B42ED7"/>
    <w:rsid w:val="00B65F5B"/>
    <w:rsid w:val="00B67BFB"/>
    <w:rsid w:val="00B70F09"/>
    <w:rsid w:val="00B711D0"/>
    <w:rsid w:val="00B72951"/>
    <w:rsid w:val="00B87CCE"/>
    <w:rsid w:val="00B966C9"/>
    <w:rsid w:val="00BA05C7"/>
    <w:rsid w:val="00BA504F"/>
    <w:rsid w:val="00BB2E5D"/>
    <w:rsid w:val="00BB48C7"/>
    <w:rsid w:val="00BC65C7"/>
    <w:rsid w:val="00BD5F83"/>
    <w:rsid w:val="00BD789B"/>
    <w:rsid w:val="00BE49AE"/>
    <w:rsid w:val="00BF236D"/>
    <w:rsid w:val="00BF4E10"/>
    <w:rsid w:val="00C02CC4"/>
    <w:rsid w:val="00C052AE"/>
    <w:rsid w:val="00C13A8F"/>
    <w:rsid w:val="00C476F2"/>
    <w:rsid w:val="00C47F20"/>
    <w:rsid w:val="00C5785E"/>
    <w:rsid w:val="00C63EAC"/>
    <w:rsid w:val="00C65740"/>
    <w:rsid w:val="00C67246"/>
    <w:rsid w:val="00C67EFE"/>
    <w:rsid w:val="00C76A0C"/>
    <w:rsid w:val="00C7796A"/>
    <w:rsid w:val="00C82457"/>
    <w:rsid w:val="00CA7592"/>
    <w:rsid w:val="00CA7D33"/>
    <w:rsid w:val="00CB02DF"/>
    <w:rsid w:val="00CB38D9"/>
    <w:rsid w:val="00CB4FC8"/>
    <w:rsid w:val="00CD554C"/>
    <w:rsid w:val="00CE7C6F"/>
    <w:rsid w:val="00CF44A1"/>
    <w:rsid w:val="00CF5945"/>
    <w:rsid w:val="00CF624B"/>
    <w:rsid w:val="00D10A9B"/>
    <w:rsid w:val="00D155F0"/>
    <w:rsid w:val="00D20FCE"/>
    <w:rsid w:val="00D3511A"/>
    <w:rsid w:val="00D3555E"/>
    <w:rsid w:val="00D43340"/>
    <w:rsid w:val="00D46589"/>
    <w:rsid w:val="00D56974"/>
    <w:rsid w:val="00D57116"/>
    <w:rsid w:val="00D618BD"/>
    <w:rsid w:val="00D65EB7"/>
    <w:rsid w:val="00D73B70"/>
    <w:rsid w:val="00D75C3C"/>
    <w:rsid w:val="00D7632F"/>
    <w:rsid w:val="00D7667F"/>
    <w:rsid w:val="00D96093"/>
    <w:rsid w:val="00D9617D"/>
    <w:rsid w:val="00DA5A35"/>
    <w:rsid w:val="00DA622D"/>
    <w:rsid w:val="00DC04EC"/>
    <w:rsid w:val="00DC30BD"/>
    <w:rsid w:val="00DC66D2"/>
    <w:rsid w:val="00DC76C6"/>
    <w:rsid w:val="00DD022F"/>
    <w:rsid w:val="00DD128B"/>
    <w:rsid w:val="00DD2983"/>
    <w:rsid w:val="00DD437F"/>
    <w:rsid w:val="00DD4381"/>
    <w:rsid w:val="00DE237C"/>
    <w:rsid w:val="00DE5A4C"/>
    <w:rsid w:val="00DF65EB"/>
    <w:rsid w:val="00E016BF"/>
    <w:rsid w:val="00E05877"/>
    <w:rsid w:val="00E0621C"/>
    <w:rsid w:val="00E123D8"/>
    <w:rsid w:val="00E12B07"/>
    <w:rsid w:val="00E15E43"/>
    <w:rsid w:val="00E16AC0"/>
    <w:rsid w:val="00E2067B"/>
    <w:rsid w:val="00E26DDB"/>
    <w:rsid w:val="00E303A9"/>
    <w:rsid w:val="00E30466"/>
    <w:rsid w:val="00E32951"/>
    <w:rsid w:val="00E43B52"/>
    <w:rsid w:val="00E52DC2"/>
    <w:rsid w:val="00E55C24"/>
    <w:rsid w:val="00E57450"/>
    <w:rsid w:val="00E608BC"/>
    <w:rsid w:val="00E81A8D"/>
    <w:rsid w:val="00E826D7"/>
    <w:rsid w:val="00E97C6E"/>
    <w:rsid w:val="00EB20F5"/>
    <w:rsid w:val="00EB3F04"/>
    <w:rsid w:val="00EC1EB6"/>
    <w:rsid w:val="00EC751F"/>
    <w:rsid w:val="00ED065F"/>
    <w:rsid w:val="00ED07A4"/>
    <w:rsid w:val="00ED674B"/>
    <w:rsid w:val="00ED79A3"/>
    <w:rsid w:val="00EE1A57"/>
    <w:rsid w:val="00EE254E"/>
    <w:rsid w:val="00EF09AE"/>
    <w:rsid w:val="00F044A4"/>
    <w:rsid w:val="00F10EFA"/>
    <w:rsid w:val="00F146DA"/>
    <w:rsid w:val="00F23E6B"/>
    <w:rsid w:val="00F360C0"/>
    <w:rsid w:val="00F40429"/>
    <w:rsid w:val="00F419E2"/>
    <w:rsid w:val="00F502EF"/>
    <w:rsid w:val="00F515DF"/>
    <w:rsid w:val="00F5179C"/>
    <w:rsid w:val="00F53696"/>
    <w:rsid w:val="00F65AFF"/>
    <w:rsid w:val="00F74600"/>
    <w:rsid w:val="00F776E6"/>
    <w:rsid w:val="00F81B49"/>
    <w:rsid w:val="00F91DED"/>
    <w:rsid w:val="00F9293C"/>
    <w:rsid w:val="00F97840"/>
    <w:rsid w:val="00FB245F"/>
    <w:rsid w:val="00FC0071"/>
    <w:rsid w:val="00FC48B1"/>
    <w:rsid w:val="00FD15E8"/>
    <w:rsid w:val="00FD352A"/>
    <w:rsid w:val="00FD3EA2"/>
    <w:rsid w:val="00FD4237"/>
    <w:rsid w:val="00FD5E81"/>
    <w:rsid w:val="00FD75C9"/>
    <w:rsid w:val="00FE5D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3C273"/>
  <w15:chartTrackingRefBased/>
  <w15:docId w15:val="{6C923A5F-DBB0-435E-9CFA-1394E58E0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9F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B349FB"/>
    <w:pPr>
      <w:spacing w:before="75" w:after="75"/>
      <w:ind w:firstLine="375"/>
      <w:jc w:val="both"/>
    </w:pPr>
  </w:style>
  <w:style w:type="paragraph" w:customStyle="1" w:styleId="naisc">
    <w:name w:val="naisc"/>
    <w:basedOn w:val="Normal"/>
    <w:rsid w:val="00B349FB"/>
    <w:pPr>
      <w:spacing w:before="75" w:after="75"/>
      <w:jc w:val="center"/>
    </w:pPr>
  </w:style>
  <w:style w:type="paragraph" w:customStyle="1" w:styleId="Standard">
    <w:name w:val="Standard"/>
    <w:rsid w:val="00B349FB"/>
    <w:pPr>
      <w:suppressAutoHyphens/>
      <w:autoSpaceDN w:val="0"/>
      <w:spacing w:after="200" w:line="276" w:lineRule="auto"/>
    </w:pPr>
    <w:rPr>
      <w:rFonts w:ascii="Calibri" w:eastAsia="Times New Roman" w:hAnsi="Calibri" w:cs="Calibri"/>
      <w:kern w:val="3"/>
      <w:lang w:eastAsia="lv-LV"/>
    </w:rPr>
  </w:style>
  <w:style w:type="paragraph" w:styleId="Footer">
    <w:name w:val="footer"/>
    <w:basedOn w:val="Normal"/>
    <w:link w:val="FooterChar"/>
    <w:uiPriority w:val="99"/>
    <w:unhideWhenUsed/>
    <w:rsid w:val="009638EA"/>
    <w:pPr>
      <w:widowControl w:val="0"/>
      <w:tabs>
        <w:tab w:val="center" w:pos="4320"/>
        <w:tab w:val="right" w:pos="8640"/>
      </w:tabs>
      <w:jc w:val="both"/>
    </w:pPr>
    <w:rPr>
      <w:rFonts w:eastAsia="Calibri"/>
      <w:szCs w:val="22"/>
      <w:lang w:eastAsia="en-US"/>
    </w:rPr>
  </w:style>
  <w:style w:type="character" w:customStyle="1" w:styleId="FooterChar">
    <w:name w:val="Footer Char"/>
    <w:basedOn w:val="DefaultParagraphFont"/>
    <w:link w:val="Footer"/>
    <w:uiPriority w:val="99"/>
    <w:rsid w:val="009638EA"/>
    <w:rPr>
      <w:rFonts w:ascii="Times New Roman" w:eastAsia="Calibri" w:hAnsi="Times New Roman" w:cs="Times New Roman"/>
      <w:sz w:val="24"/>
    </w:rPr>
  </w:style>
  <w:style w:type="paragraph" w:styleId="ListParagraph">
    <w:name w:val="List Paragraph"/>
    <w:basedOn w:val="Normal"/>
    <w:uiPriority w:val="34"/>
    <w:qFormat/>
    <w:rsid w:val="00514AC9"/>
    <w:pPr>
      <w:widowControl w:val="0"/>
      <w:adjustRightInd w:val="0"/>
      <w:spacing w:line="360" w:lineRule="atLeast"/>
      <w:ind w:left="720"/>
      <w:contextualSpacing/>
      <w:jc w:val="both"/>
      <w:textAlignment w:val="baseline"/>
    </w:pPr>
  </w:style>
  <w:style w:type="paragraph" w:styleId="Header">
    <w:name w:val="header"/>
    <w:basedOn w:val="Normal"/>
    <w:link w:val="HeaderChar"/>
    <w:uiPriority w:val="99"/>
    <w:unhideWhenUsed/>
    <w:rsid w:val="00B67BFB"/>
    <w:pPr>
      <w:tabs>
        <w:tab w:val="center" w:pos="4153"/>
        <w:tab w:val="right" w:pos="8306"/>
      </w:tabs>
    </w:pPr>
  </w:style>
  <w:style w:type="character" w:customStyle="1" w:styleId="HeaderChar">
    <w:name w:val="Header Char"/>
    <w:basedOn w:val="DefaultParagraphFont"/>
    <w:link w:val="Header"/>
    <w:uiPriority w:val="99"/>
    <w:rsid w:val="00B67BFB"/>
    <w:rPr>
      <w:rFonts w:ascii="Times New Roman" w:eastAsia="Times New Roman" w:hAnsi="Times New Roman" w:cs="Times New Roman"/>
      <w:sz w:val="24"/>
      <w:szCs w:val="24"/>
      <w:lang w:eastAsia="lv-LV"/>
    </w:rPr>
  </w:style>
  <w:style w:type="paragraph" w:customStyle="1" w:styleId="tv20787921">
    <w:name w:val="tv207_87_921"/>
    <w:basedOn w:val="Normal"/>
    <w:rsid w:val="00FD75C9"/>
    <w:pPr>
      <w:spacing w:after="567" w:line="360" w:lineRule="auto"/>
      <w:jc w:val="center"/>
    </w:pPr>
    <w:rPr>
      <w:rFonts w:ascii="Verdana" w:hAnsi="Verdana"/>
      <w:b/>
      <w:bCs/>
      <w:sz w:val="28"/>
      <w:szCs w:val="28"/>
    </w:rPr>
  </w:style>
  <w:style w:type="paragraph" w:customStyle="1" w:styleId="tv2132">
    <w:name w:val="tv2132"/>
    <w:basedOn w:val="Normal"/>
    <w:rsid w:val="00AE42BA"/>
    <w:pPr>
      <w:spacing w:line="360" w:lineRule="auto"/>
      <w:ind w:firstLine="300"/>
    </w:pPr>
    <w:rPr>
      <w:color w:val="414142"/>
      <w:sz w:val="20"/>
      <w:szCs w:val="20"/>
    </w:rPr>
  </w:style>
  <w:style w:type="character" w:customStyle="1" w:styleId="Bodytext2">
    <w:name w:val="Body text (2)_"/>
    <w:link w:val="Bodytext20"/>
    <w:rsid w:val="002102DC"/>
    <w:rPr>
      <w:sz w:val="28"/>
      <w:szCs w:val="28"/>
      <w:shd w:val="clear" w:color="auto" w:fill="FFFFFF"/>
    </w:rPr>
  </w:style>
  <w:style w:type="paragraph" w:customStyle="1" w:styleId="Bodytext20">
    <w:name w:val="Body text (2)"/>
    <w:basedOn w:val="Normal"/>
    <w:link w:val="Bodytext2"/>
    <w:rsid w:val="002102DC"/>
    <w:pPr>
      <w:widowControl w:val="0"/>
      <w:shd w:val="clear" w:color="auto" w:fill="FFFFFF"/>
      <w:spacing w:after="360" w:line="0" w:lineRule="atLeast"/>
      <w:jc w:val="center"/>
    </w:pPr>
    <w:rPr>
      <w:rFonts w:asciiTheme="minorHAnsi" w:eastAsiaTheme="minorHAnsi" w:hAnsiTheme="minorHAnsi" w:cstheme="minorBidi"/>
      <w:sz w:val="28"/>
      <w:szCs w:val="28"/>
      <w:lang w:eastAsia="en-US"/>
    </w:rPr>
  </w:style>
  <w:style w:type="table" w:styleId="TableGrid">
    <w:name w:val="Table Grid"/>
    <w:basedOn w:val="TableNormal"/>
    <w:rsid w:val="00F97840"/>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F5AFE"/>
    <w:pPr>
      <w:widowControl w:val="0"/>
      <w:spacing w:after="200" w:line="276" w:lineRule="auto"/>
    </w:pPr>
    <w:rPr>
      <w:rFonts w:ascii="Calibri" w:eastAsia="Calibri" w:hAnsi="Calibri"/>
      <w:sz w:val="20"/>
      <w:szCs w:val="20"/>
      <w:lang w:val="en-US" w:eastAsia="en-US"/>
    </w:rPr>
  </w:style>
  <w:style w:type="character" w:customStyle="1" w:styleId="FootnoteTextChar">
    <w:name w:val="Footnote Text Char"/>
    <w:basedOn w:val="DefaultParagraphFont"/>
    <w:link w:val="FootnoteText"/>
    <w:uiPriority w:val="99"/>
    <w:semiHidden/>
    <w:rsid w:val="009F5AFE"/>
    <w:rPr>
      <w:rFonts w:ascii="Calibri" w:eastAsia="Calibri" w:hAnsi="Calibri" w:cs="Times New Roman"/>
      <w:sz w:val="20"/>
      <w:szCs w:val="20"/>
      <w:lang w:val="en-US"/>
    </w:rPr>
  </w:style>
  <w:style w:type="character" w:styleId="FootnoteReference">
    <w:name w:val="footnote reference"/>
    <w:uiPriority w:val="99"/>
    <w:semiHidden/>
    <w:unhideWhenUsed/>
    <w:rsid w:val="009F5AFE"/>
    <w:rPr>
      <w:vertAlign w:val="superscript"/>
    </w:rPr>
  </w:style>
  <w:style w:type="character" w:styleId="Emphasis">
    <w:name w:val="Emphasis"/>
    <w:basedOn w:val="DefaultParagraphFont"/>
    <w:uiPriority w:val="20"/>
    <w:qFormat/>
    <w:rsid w:val="003162EA"/>
    <w:rPr>
      <w:i/>
      <w:iCs/>
    </w:rPr>
  </w:style>
  <w:style w:type="character" w:styleId="CommentReference">
    <w:name w:val="annotation reference"/>
    <w:basedOn w:val="DefaultParagraphFont"/>
    <w:uiPriority w:val="99"/>
    <w:semiHidden/>
    <w:unhideWhenUsed/>
    <w:rsid w:val="005C7C30"/>
    <w:rPr>
      <w:sz w:val="16"/>
      <w:szCs w:val="16"/>
    </w:rPr>
  </w:style>
  <w:style w:type="paragraph" w:styleId="CommentText">
    <w:name w:val="annotation text"/>
    <w:basedOn w:val="Normal"/>
    <w:link w:val="CommentTextChar"/>
    <w:uiPriority w:val="99"/>
    <w:semiHidden/>
    <w:unhideWhenUsed/>
    <w:rsid w:val="005C7C30"/>
    <w:rPr>
      <w:sz w:val="20"/>
      <w:szCs w:val="20"/>
    </w:rPr>
  </w:style>
  <w:style w:type="character" w:customStyle="1" w:styleId="CommentTextChar">
    <w:name w:val="Comment Text Char"/>
    <w:basedOn w:val="DefaultParagraphFont"/>
    <w:link w:val="CommentText"/>
    <w:uiPriority w:val="99"/>
    <w:semiHidden/>
    <w:rsid w:val="005C7C3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5C7C30"/>
    <w:rPr>
      <w:b/>
      <w:bCs/>
    </w:rPr>
  </w:style>
  <w:style w:type="character" w:customStyle="1" w:styleId="CommentSubjectChar">
    <w:name w:val="Comment Subject Char"/>
    <w:basedOn w:val="CommentTextChar"/>
    <w:link w:val="CommentSubject"/>
    <w:uiPriority w:val="99"/>
    <w:semiHidden/>
    <w:rsid w:val="005C7C30"/>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5C7C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C30"/>
    <w:rPr>
      <w:rFonts w:ascii="Segoe UI" w:eastAsia="Times New Roman" w:hAnsi="Segoe UI" w:cs="Segoe UI"/>
      <w:sz w:val="18"/>
      <w:szCs w:val="18"/>
      <w:lang w:eastAsia="lv-LV"/>
    </w:rPr>
  </w:style>
  <w:style w:type="paragraph" w:styleId="Revision">
    <w:name w:val="Revision"/>
    <w:hidden/>
    <w:uiPriority w:val="99"/>
    <w:semiHidden/>
    <w:rsid w:val="00303C73"/>
    <w:pPr>
      <w:spacing w:after="0"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B87C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32340">
      <w:bodyDiv w:val="1"/>
      <w:marLeft w:val="0"/>
      <w:marRight w:val="0"/>
      <w:marTop w:val="0"/>
      <w:marBottom w:val="0"/>
      <w:divBdr>
        <w:top w:val="none" w:sz="0" w:space="0" w:color="auto"/>
        <w:left w:val="none" w:sz="0" w:space="0" w:color="auto"/>
        <w:bottom w:val="none" w:sz="0" w:space="0" w:color="auto"/>
        <w:right w:val="none" w:sz="0" w:space="0" w:color="auto"/>
      </w:divBdr>
    </w:div>
    <w:div w:id="876240295">
      <w:bodyDiv w:val="1"/>
      <w:marLeft w:val="0"/>
      <w:marRight w:val="0"/>
      <w:marTop w:val="0"/>
      <w:marBottom w:val="0"/>
      <w:divBdr>
        <w:top w:val="none" w:sz="0" w:space="0" w:color="auto"/>
        <w:left w:val="none" w:sz="0" w:space="0" w:color="auto"/>
        <w:bottom w:val="none" w:sz="0" w:space="0" w:color="auto"/>
        <w:right w:val="none" w:sz="0" w:space="0" w:color="auto"/>
      </w:divBdr>
    </w:div>
    <w:div w:id="1398088801">
      <w:bodyDiv w:val="1"/>
      <w:marLeft w:val="0"/>
      <w:marRight w:val="0"/>
      <w:marTop w:val="0"/>
      <w:marBottom w:val="0"/>
      <w:divBdr>
        <w:top w:val="none" w:sz="0" w:space="0" w:color="auto"/>
        <w:left w:val="none" w:sz="0" w:space="0" w:color="auto"/>
        <w:bottom w:val="none" w:sz="0" w:space="0" w:color="auto"/>
        <w:right w:val="none" w:sz="0" w:space="0" w:color="auto"/>
      </w:divBdr>
    </w:div>
    <w:div w:id="1442870975">
      <w:bodyDiv w:val="1"/>
      <w:marLeft w:val="0"/>
      <w:marRight w:val="0"/>
      <w:marTop w:val="0"/>
      <w:marBottom w:val="0"/>
      <w:divBdr>
        <w:top w:val="none" w:sz="0" w:space="0" w:color="auto"/>
        <w:left w:val="none" w:sz="0" w:space="0" w:color="auto"/>
        <w:bottom w:val="none" w:sz="0" w:space="0" w:color="auto"/>
        <w:right w:val="none" w:sz="0" w:space="0" w:color="auto"/>
      </w:divBdr>
    </w:div>
    <w:div w:id="198882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dra.jansoen@iz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D4F22-1720-49D4-A8CF-67D41149A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2528</Words>
  <Characters>14415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Modra Jansone</dc:creator>
  <cp:keywords/>
  <dc:description/>
  <cp:lastModifiedBy>Modra Jansone</cp:lastModifiedBy>
  <cp:revision>2</cp:revision>
  <cp:lastPrinted>2019-06-10T07:01:00Z</cp:lastPrinted>
  <dcterms:created xsi:type="dcterms:W3CDTF">2021-05-14T12:52:00Z</dcterms:created>
  <dcterms:modified xsi:type="dcterms:W3CDTF">2021-05-14T12:52:00Z</dcterms:modified>
</cp:coreProperties>
</file>