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2B7B1" w14:textId="77777777" w:rsidR="000D1BD6" w:rsidRPr="007A5BEC" w:rsidRDefault="000D1BD6" w:rsidP="000D1BD6">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_GoBack"/>
      <w:bookmarkEnd w:id="0"/>
      <w:r w:rsidRPr="007A5BEC">
        <w:rPr>
          <w:rFonts w:ascii="Times New Roman" w:hAnsi="Times New Roman" w:cs="Times New Roman"/>
          <w:b/>
          <w:sz w:val="28"/>
          <w:szCs w:val="28"/>
        </w:rPr>
        <w:t>Ministru kabineta noteikumu projekta “Grozījumi Ministru kabineta 2015.gada 26.maija noteikumos Nr.259 “Atbalsta piešķiršanas kārtība dalībai starptautiskās sadarbības programmās pētniecības un tehnoloģiju jomā””</w:t>
      </w:r>
      <w:r w:rsidRPr="007A5BEC">
        <w:rPr>
          <w:rFonts w:ascii="Times New Roman" w:eastAsia="Times New Roman" w:hAnsi="Times New Roman" w:cs="Times New Roman"/>
          <w:b/>
          <w:bCs/>
          <w:sz w:val="28"/>
          <w:szCs w:val="28"/>
          <w:lang w:eastAsia="lv-LV"/>
        </w:rPr>
        <w:t xml:space="preserve"> projekta sākotnējās ietekmes novērtējuma ziņojums (anotācija)</w:t>
      </w:r>
    </w:p>
    <w:p w14:paraId="2C2E09D2" w14:textId="77777777" w:rsidR="000D1BD6" w:rsidRPr="007A5BEC" w:rsidRDefault="000D1BD6" w:rsidP="000D1BD6">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4708" w:type="pct"/>
        <w:tblCellSpacing w:w="15" w:type="dxa"/>
        <w:tblInd w:w="1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78"/>
        <w:gridCol w:w="5850"/>
      </w:tblGrid>
      <w:tr w:rsidR="000D1BD6" w:rsidRPr="007A5BEC" w14:paraId="71DCA1C3" w14:textId="77777777" w:rsidTr="007512BC">
        <w:trPr>
          <w:tblCellSpacing w:w="15" w:type="dxa"/>
        </w:trPr>
        <w:tc>
          <w:tcPr>
            <w:tcW w:w="4966" w:type="pct"/>
            <w:gridSpan w:val="2"/>
            <w:tcBorders>
              <w:top w:val="outset" w:sz="6" w:space="0" w:color="auto"/>
              <w:left w:val="outset" w:sz="6" w:space="0" w:color="auto"/>
              <w:bottom w:val="outset" w:sz="6" w:space="0" w:color="auto"/>
              <w:right w:val="outset" w:sz="6" w:space="0" w:color="auto"/>
            </w:tcBorders>
            <w:vAlign w:val="center"/>
            <w:hideMark/>
          </w:tcPr>
          <w:p w14:paraId="7D3B9554" w14:textId="77777777" w:rsidR="000D1BD6" w:rsidRPr="007A5BEC" w:rsidRDefault="000D1BD6" w:rsidP="007512BC">
            <w:pPr>
              <w:spacing w:after="0" w:line="240" w:lineRule="auto"/>
              <w:rPr>
                <w:rFonts w:ascii="Times New Roman" w:eastAsia="Times New Roman" w:hAnsi="Times New Roman" w:cs="Times New Roman"/>
                <w:b/>
                <w:bCs/>
                <w:iCs/>
                <w:sz w:val="28"/>
                <w:szCs w:val="28"/>
                <w:lang w:eastAsia="lv-LV"/>
              </w:rPr>
            </w:pPr>
            <w:r w:rsidRPr="007A5BEC">
              <w:rPr>
                <w:rFonts w:ascii="Times New Roman" w:eastAsia="Times New Roman" w:hAnsi="Times New Roman" w:cs="Times New Roman"/>
                <w:b/>
                <w:bCs/>
                <w:iCs/>
                <w:sz w:val="28"/>
                <w:szCs w:val="28"/>
                <w:lang w:eastAsia="lv-LV"/>
              </w:rPr>
              <w:t>Tiesību akta projekta anotācijas kopsavilkums</w:t>
            </w:r>
          </w:p>
        </w:tc>
      </w:tr>
      <w:tr w:rsidR="000D1BD6" w:rsidRPr="007A5BEC" w14:paraId="6C1F7A8F" w14:textId="77777777" w:rsidTr="007512BC">
        <w:trPr>
          <w:tblCellSpacing w:w="15" w:type="dxa"/>
        </w:trPr>
        <w:tc>
          <w:tcPr>
            <w:tcW w:w="1704" w:type="pct"/>
            <w:tcBorders>
              <w:top w:val="outset" w:sz="6" w:space="0" w:color="auto"/>
              <w:left w:val="outset" w:sz="6" w:space="0" w:color="auto"/>
              <w:bottom w:val="outset" w:sz="6" w:space="0" w:color="auto"/>
              <w:right w:val="outset" w:sz="6" w:space="0" w:color="auto"/>
            </w:tcBorders>
            <w:hideMark/>
          </w:tcPr>
          <w:p w14:paraId="3836A58F" w14:textId="77777777" w:rsidR="000D1BD6" w:rsidRPr="007A5BEC" w:rsidRDefault="000D1BD6" w:rsidP="007512BC">
            <w:pPr>
              <w:spacing w:after="0" w:line="240" w:lineRule="auto"/>
              <w:rPr>
                <w:rFonts w:ascii="Times New Roman" w:eastAsia="Times New Roman" w:hAnsi="Times New Roman" w:cs="Times New Roman"/>
                <w:iCs/>
                <w:sz w:val="28"/>
                <w:szCs w:val="28"/>
                <w:lang w:eastAsia="lv-LV"/>
              </w:rPr>
            </w:pPr>
            <w:r w:rsidRPr="007A5BEC">
              <w:rPr>
                <w:rFonts w:ascii="Times New Roman" w:eastAsia="Times New Roman" w:hAnsi="Times New Roman" w:cs="Times New Roman"/>
                <w:iCs/>
                <w:sz w:val="28"/>
                <w:szCs w:val="28"/>
                <w:lang w:eastAsia="lv-LV"/>
              </w:rPr>
              <w:t>Mērķis, risinājums un projekta spēkā stāšanās laiks (500 zīmes bez atstarpēm)</w:t>
            </w:r>
          </w:p>
        </w:tc>
        <w:tc>
          <w:tcPr>
            <w:tcW w:w="3246" w:type="pct"/>
            <w:tcBorders>
              <w:top w:val="outset" w:sz="6" w:space="0" w:color="auto"/>
              <w:left w:val="outset" w:sz="6" w:space="0" w:color="auto"/>
              <w:bottom w:val="outset" w:sz="6" w:space="0" w:color="auto"/>
              <w:right w:val="outset" w:sz="6" w:space="0" w:color="auto"/>
            </w:tcBorders>
            <w:hideMark/>
          </w:tcPr>
          <w:p w14:paraId="237A3232" w14:textId="77777777" w:rsidR="000D1BD6" w:rsidRPr="007A5BEC" w:rsidRDefault="000D1BD6" w:rsidP="007512BC">
            <w:pPr>
              <w:spacing w:after="0" w:line="240" w:lineRule="auto"/>
              <w:jc w:val="both"/>
              <w:rPr>
                <w:rFonts w:ascii="Times New Roman" w:eastAsia="Times New Roman" w:hAnsi="Times New Roman" w:cs="Times New Roman"/>
                <w:iCs/>
                <w:sz w:val="28"/>
                <w:szCs w:val="28"/>
                <w:lang w:eastAsia="lv-LV"/>
              </w:rPr>
            </w:pPr>
            <w:r w:rsidRPr="007A5BEC">
              <w:rPr>
                <w:rFonts w:ascii="Times New Roman" w:eastAsia="Times New Roman" w:hAnsi="Times New Roman" w:cs="Times New Roman"/>
                <w:iCs/>
                <w:sz w:val="28"/>
                <w:szCs w:val="28"/>
                <w:lang w:eastAsia="lv-LV"/>
              </w:rPr>
              <w:t xml:space="preserve">Mērķis: </w:t>
            </w:r>
          </w:p>
          <w:p w14:paraId="21E47A70" w14:textId="77777777" w:rsidR="000D1BD6" w:rsidRPr="007A5BEC" w:rsidRDefault="000D1BD6" w:rsidP="007512BC">
            <w:pPr>
              <w:spacing w:after="0" w:line="240" w:lineRule="auto"/>
              <w:jc w:val="both"/>
              <w:rPr>
                <w:rFonts w:ascii="Times New Roman" w:eastAsia="Times New Roman" w:hAnsi="Times New Roman" w:cs="Times New Roman"/>
                <w:sz w:val="28"/>
                <w:szCs w:val="28"/>
                <w:lang w:eastAsia="lv-LV"/>
              </w:rPr>
            </w:pPr>
            <w:r w:rsidRPr="007A5BEC">
              <w:rPr>
                <w:rFonts w:ascii="Times New Roman" w:eastAsia="Times New Roman" w:hAnsi="Times New Roman" w:cs="Times New Roman"/>
                <w:iCs/>
                <w:sz w:val="28"/>
                <w:szCs w:val="28"/>
                <w:lang w:eastAsia="lv-LV"/>
              </w:rPr>
              <w:t xml:space="preserve">1) nodrošināt </w:t>
            </w:r>
            <w:r w:rsidRPr="007A5BEC">
              <w:rPr>
                <w:rFonts w:ascii="Times New Roman" w:eastAsia="Times New Roman" w:hAnsi="Times New Roman" w:cs="Times New Roman"/>
                <w:sz w:val="28"/>
                <w:szCs w:val="28"/>
                <w:lang w:eastAsia="lv-LV"/>
              </w:rPr>
              <w:t xml:space="preserve">Latvijas valsts un </w:t>
            </w:r>
            <w:r w:rsidRPr="007A5BEC">
              <w:rPr>
                <w:rFonts w:ascii="Times New Roman" w:eastAsia="Calibri" w:hAnsi="Times New Roman" w:cs="Times New Roman"/>
                <w:iCs/>
                <w:sz w:val="28"/>
                <w:szCs w:val="28"/>
              </w:rPr>
              <w:t xml:space="preserve">Latvijas dalībnieku </w:t>
            </w:r>
            <w:r w:rsidRPr="007A5BEC">
              <w:rPr>
                <w:rFonts w:ascii="Times New Roman" w:eastAsia="Times New Roman" w:hAnsi="Times New Roman" w:cs="Times New Roman"/>
                <w:sz w:val="28"/>
                <w:szCs w:val="28"/>
                <w:lang w:eastAsia="lv-LV"/>
              </w:rPr>
              <w:t>dalību:</w:t>
            </w:r>
          </w:p>
          <w:p w14:paraId="5539DF19" w14:textId="77777777" w:rsidR="000D1BD6" w:rsidRPr="007A5BEC" w:rsidRDefault="000D1BD6" w:rsidP="007512BC">
            <w:pPr>
              <w:pStyle w:val="ListParagraph"/>
              <w:spacing w:after="0" w:line="240" w:lineRule="auto"/>
              <w:ind w:left="360"/>
              <w:jc w:val="both"/>
              <w:rPr>
                <w:rFonts w:ascii="Times New Roman" w:eastAsia="Calibri" w:hAnsi="Times New Roman" w:cs="Times New Roman"/>
                <w:sz w:val="28"/>
                <w:szCs w:val="28"/>
              </w:rPr>
            </w:pPr>
            <w:r w:rsidRPr="007A5BEC">
              <w:rPr>
                <w:rFonts w:ascii="Times New Roman" w:eastAsia="Calibri" w:hAnsi="Times New Roman" w:cs="Times New Roman"/>
                <w:sz w:val="28"/>
                <w:szCs w:val="28"/>
              </w:rPr>
              <w:t xml:space="preserve">a) Eiropas Augstas veiktspējas datošanas kopuzņēmumā </w:t>
            </w:r>
            <w:r w:rsidRPr="007A5BEC">
              <w:rPr>
                <w:rFonts w:ascii="Times New Roman" w:eastAsia="Calibri" w:hAnsi="Times New Roman" w:cs="Times New Roman"/>
                <w:i/>
                <w:sz w:val="28"/>
                <w:szCs w:val="28"/>
              </w:rPr>
              <w:t xml:space="preserve"> </w:t>
            </w:r>
            <w:r w:rsidRPr="007A5BEC">
              <w:rPr>
                <w:rFonts w:ascii="Times New Roman" w:eastAsia="Calibri" w:hAnsi="Times New Roman" w:cs="Times New Roman"/>
                <w:sz w:val="28"/>
                <w:szCs w:val="28"/>
              </w:rPr>
              <w:t>(EuroHPC</w:t>
            </w:r>
            <w:r w:rsidRPr="007A5BEC">
              <w:rPr>
                <w:rFonts w:ascii="Times New Roman" w:eastAsia="Calibri" w:hAnsi="Times New Roman" w:cs="Times New Roman"/>
                <w:iCs/>
                <w:sz w:val="28"/>
                <w:szCs w:val="28"/>
              </w:rPr>
              <w:t>)</w:t>
            </w:r>
            <w:r w:rsidRPr="007A5BEC">
              <w:rPr>
                <w:rFonts w:ascii="Times New Roman" w:eastAsia="Calibri" w:hAnsi="Times New Roman" w:cs="Times New Roman"/>
                <w:i/>
                <w:sz w:val="28"/>
                <w:szCs w:val="28"/>
              </w:rPr>
              <w:t xml:space="preserve"> </w:t>
            </w:r>
            <w:r w:rsidRPr="007A5BEC">
              <w:rPr>
                <w:rFonts w:ascii="Times New Roman" w:eastAsia="Calibri" w:hAnsi="Times New Roman" w:cs="Times New Roman"/>
                <w:iCs/>
                <w:sz w:val="28"/>
                <w:szCs w:val="28"/>
              </w:rPr>
              <w:t>un tā</w:t>
            </w:r>
            <w:r w:rsidRPr="007A5BEC">
              <w:rPr>
                <w:rFonts w:ascii="Times New Roman" w:eastAsia="Times New Roman" w:hAnsi="Times New Roman" w:cs="Times New Roman"/>
                <w:sz w:val="28"/>
                <w:szCs w:val="28"/>
                <w:lang w:eastAsia="lv-LV"/>
              </w:rPr>
              <w:t xml:space="preserve"> īstenojamajos </w:t>
            </w:r>
            <w:r w:rsidRPr="007A5BEC">
              <w:rPr>
                <w:rFonts w:ascii="Times New Roman" w:eastAsia="Calibri" w:hAnsi="Times New Roman" w:cs="Times New Roman"/>
                <w:sz w:val="28"/>
                <w:szCs w:val="28"/>
              </w:rPr>
              <w:t xml:space="preserve">projektos; </w:t>
            </w:r>
          </w:p>
          <w:p w14:paraId="283095B4" w14:textId="77777777" w:rsidR="000D1BD6" w:rsidRPr="007A5BEC" w:rsidRDefault="000D1BD6" w:rsidP="007512BC">
            <w:pPr>
              <w:pStyle w:val="ListParagraph"/>
              <w:tabs>
                <w:tab w:val="left" w:pos="934"/>
              </w:tabs>
              <w:spacing w:after="0" w:line="240" w:lineRule="auto"/>
              <w:ind w:left="360"/>
              <w:jc w:val="both"/>
              <w:rPr>
                <w:rFonts w:ascii="Times New Roman" w:eastAsia="Times New Roman" w:hAnsi="Times New Roman" w:cs="Times New Roman"/>
                <w:iCs/>
                <w:sz w:val="28"/>
                <w:szCs w:val="28"/>
                <w:lang w:eastAsia="lv-LV"/>
              </w:rPr>
            </w:pPr>
            <w:r w:rsidRPr="007A5BEC">
              <w:rPr>
                <w:rFonts w:ascii="Times New Roman" w:eastAsia="Times New Roman" w:hAnsi="Times New Roman" w:cs="Times New Roman"/>
                <w:sz w:val="28"/>
                <w:szCs w:val="28"/>
                <w:lang w:eastAsia="lv-LV"/>
              </w:rPr>
              <w:t>b) Eiropas pētniecības infrastruktūras konsorcija “Veselības, novecošanas un pensionēšanās apsekojums Eiropā” (SHARE ERIC) 9. posmā</w:t>
            </w:r>
            <w:r w:rsidRPr="007A5BEC">
              <w:rPr>
                <w:rFonts w:ascii="Times New Roman" w:eastAsia="Calibri" w:hAnsi="Times New Roman" w:cs="Times New Roman"/>
                <w:sz w:val="28"/>
                <w:szCs w:val="28"/>
              </w:rPr>
              <w:t>;</w:t>
            </w:r>
          </w:p>
          <w:p w14:paraId="6AEBE923" w14:textId="77777777" w:rsidR="000D1BD6" w:rsidRPr="007A5BEC" w:rsidRDefault="000D1BD6" w:rsidP="007512BC">
            <w:pPr>
              <w:tabs>
                <w:tab w:val="left" w:pos="934"/>
              </w:tabs>
              <w:spacing w:after="0" w:line="240" w:lineRule="auto"/>
              <w:ind w:left="-58"/>
              <w:jc w:val="both"/>
              <w:rPr>
                <w:rFonts w:ascii="Times New Roman" w:eastAsia="Calibri" w:hAnsi="Times New Roman" w:cs="Times New Roman"/>
                <w:sz w:val="28"/>
                <w:szCs w:val="28"/>
              </w:rPr>
            </w:pPr>
            <w:r w:rsidRPr="007A5BEC">
              <w:rPr>
                <w:rFonts w:ascii="Times New Roman" w:eastAsia="Times New Roman" w:hAnsi="Times New Roman" w:cs="Times New Roman"/>
                <w:sz w:val="28"/>
                <w:szCs w:val="28"/>
                <w:lang w:eastAsia="lv-LV"/>
              </w:rPr>
              <w:t xml:space="preserve">2) </w:t>
            </w:r>
            <w:r w:rsidRPr="007A5BEC">
              <w:rPr>
                <w:rFonts w:ascii="Times New Roman" w:eastAsia="Calibri" w:hAnsi="Times New Roman" w:cs="Times New Roman"/>
                <w:sz w:val="28"/>
                <w:szCs w:val="28"/>
              </w:rPr>
              <w:t>noteikt regulējumu par nelikumīga komercdarbības atbalsta atgūšanu;</w:t>
            </w:r>
          </w:p>
          <w:p w14:paraId="775BE03E" w14:textId="77777777" w:rsidR="000D1BD6" w:rsidRPr="007A5BEC" w:rsidRDefault="000D1BD6" w:rsidP="007512BC">
            <w:pPr>
              <w:tabs>
                <w:tab w:val="left" w:pos="934"/>
              </w:tabs>
              <w:spacing w:after="0" w:line="240" w:lineRule="auto"/>
              <w:ind w:left="-58"/>
              <w:jc w:val="both"/>
              <w:rPr>
                <w:rFonts w:ascii="Times New Roman" w:eastAsia="Times New Roman" w:hAnsi="Times New Roman" w:cs="Times New Roman"/>
                <w:iCs/>
                <w:sz w:val="28"/>
                <w:szCs w:val="28"/>
                <w:lang w:eastAsia="lv-LV"/>
              </w:rPr>
            </w:pPr>
            <w:r w:rsidRPr="007A5BEC">
              <w:rPr>
                <w:rFonts w:ascii="Times New Roman" w:eastAsia="Times New Roman" w:hAnsi="Times New Roman" w:cs="Times New Roman"/>
                <w:sz w:val="28"/>
                <w:szCs w:val="28"/>
                <w:lang w:eastAsia="lv-LV"/>
              </w:rPr>
              <w:t xml:space="preserve">3) </w:t>
            </w:r>
            <w:r w:rsidRPr="007A5BEC">
              <w:rPr>
                <w:rFonts w:ascii="Times New Roman" w:eastAsia="Calibri" w:hAnsi="Times New Roman" w:cs="Times New Roman"/>
                <w:sz w:val="28"/>
                <w:szCs w:val="28"/>
              </w:rPr>
              <w:t xml:space="preserve">grozītas (palielinātas) </w:t>
            </w:r>
            <w:r w:rsidRPr="007A5BEC">
              <w:rPr>
                <w:rFonts w:ascii="Times New Roman" w:eastAsia="Times New Roman" w:hAnsi="Times New Roman" w:cs="Times New Roman"/>
                <w:sz w:val="28"/>
                <w:szCs w:val="28"/>
                <w:lang w:eastAsia="lv-LV"/>
              </w:rPr>
              <w:t>projektā nodarbinātajam personālam</w:t>
            </w:r>
            <w:r w:rsidRPr="007A5BEC" w:rsidDel="002607BC">
              <w:rPr>
                <w:rFonts w:ascii="Times New Roman" w:eastAsia="Times New Roman" w:hAnsi="Times New Roman" w:cs="Times New Roman"/>
                <w:sz w:val="28"/>
                <w:szCs w:val="28"/>
                <w:lang w:eastAsia="lv-LV"/>
              </w:rPr>
              <w:t xml:space="preserve"> </w:t>
            </w:r>
            <w:r w:rsidRPr="007A5BEC">
              <w:rPr>
                <w:rFonts w:ascii="Times New Roman" w:eastAsia="Times New Roman" w:hAnsi="Times New Roman" w:cs="Times New Roman"/>
                <w:sz w:val="28"/>
                <w:szCs w:val="28"/>
                <w:lang w:eastAsia="lv-LV"/>
              </w:rPr>
              <w:t>atalgojuma likmju griestus.</w:t>
            </w:r>
          </w:p>
          <w:p w14:paraId="1AB6A688" w14:textId="77777777" w:rsidR="000D1BD6" w:rsidRPr="007A5BEC" w:rsidRDefault="000D1BD6" w:rsidP="007512BC">
            <w:pPr>
              <w:spacing w:after="0" w:line="240" w:lineRule="auto"/>
              <w:jc w:val="both"/>
              <w:rPr>
                <w:rFonts w:ascii="Times New Roman" w:eastAsia="Times New Roman" w:hAnsi="Times New Roman" w:cs="Times New Roman"/>
                <w:iCs/>
                <w:sz w:val="28"/>
                <w:szCs w:val="28"/>
                <w:lang w:eastAsia="lv-LV"/>
              </w:rPr>
            </w:pPr>
            <w:r w:rsidRPr="007A5BEC">
              <w:rPr>
                <w:rFonts w:ascii="Times New Roman" w:hAnsi="Times New Roman" w:cs="Times New Roman"/>
                <w:sz w:val="28"/>
                <w:szCs w:val="28"/>
              </w:rPr>
              <w:t xml:space="preserve">Projekts stāsies spēkā Oficiālo publikāciju un tiesiskās informācijas likumā noteiktajā kārtībā. </w:t>
            </w:r>
          </w:p>
        </w:tc>
      </w:tr>
    </w:tbl>
    <w:p w14:paraId="0EADA0E9" w14:textId="77777777" w:rsidR="000D1BD6" w:rsidRPr="007A5BEC" w:rsidRDefault="000D1BD6" w:rsidP="000D1BD6">
      <w:pPr>
        <w:spacing w:after="0" w:line="240" w:lineRule="auto"/>
        <w:rPr>
          <w:rFonts w:ascii="Times New Roman" w:eastAsia="Times New Roman" w:hAnsi="Times New Roman" w:cs="Times New Roman"/>
          <w:iCs/>
          <w:sz w:val="24"/>
          <w:szCs w:val="24"/>
          <w:lang w:eastAsia="lv-LV"/>
        </w:rPr>
      </w:pPr>
      <w:r w:rsidRPr="007A5BEC">
        <w:rPr>
          <w:rFonts w:ascii="Times New Roman" w:eastAsia="Times New Roman" w:hAnsi="Times New Roman" w:cs="Times New Roman"/>
          <w:iCs/>
          <w:sz w:val="24"/>
          <w:szCs w:val="24"/>
          <w:lang w:eastAsia="lv-LV"/>
        </w:rPr>
        <w:t xml:space="preserve">  </w:t>
      </w:r>
    </w:p>
    <w:tbl>
      <w:tblPr>
        <w:tblW w:w="480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5"/>
        <w:gridCol w:w="2462"/>
        <w:gridCol w:w="6050"/>
      </w:tblGrid>
      <w:tr w:rsidR="000D1BD6" w:rsidRPr="007A5BEC" w14:paraId="228979D5" w14:textId="77777777" w:rsidTr="007512B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602BFEB" w14:textId="77777777" w:rsidR="000D1BD6" w:rsidRPr="007A5BEC" w:rsidRDefault="000D1BD6" w:rsidP="007512BC">
            <w:pPr>
              <w:spacing w:after="0" w:line="240" w:lineRule="auto"/>
              <w:rPr>
                <w:rFonts w:ascii="Times New Roman" w:eastAsia="Times New Roman" w:hAnsi="Times New Roman" w:cs="Times New Roman"/>
                <w:b/>
                <w:bCs/>
                <w:iCs/>
                <w:sz w:val="28"/>
                <w:szCs w:val="28"/>
                <w:lang w:eastAsia="lv-LV"/>
              </w:rPr>
            </w:pPr>
            <w:r w:rsidRPr="007A5BEC">
              <w:rPr>
                <w:rFonts w:ascii="Times New Roman" w:eastAsia="Times New Roman" w:hAnsi="Times New Roman" w:cs="Times New Roman"/>
                <w:b/>
                <w:bCs/>
                <w:iCs/>
                <w:sz w:val="28"/>
                <w:szCs w:val="28"/>
                <w:lang w:eastAsia="lv-LV"/>
              </w:rPr>
              <w:t>I. Tiesību akta projekta izstrādes nepieciešamība</w:t>
            </w:r>
          </w:p>
        </w:tc>
      </w:tr>
      <w:tr w:rsidR="000D1BD6" w:rsidRPr="007A5BEC" w14:paraId="389B6D39" w14:textId="77777777" w:rsidTr="007512BC">
        <w:trPr>
          <w:tblCellSpacing w:w="15" w:type="dxa"/>
        </w:trPr>
        <w:tc>
          <w:tcPr>
            <w:tcW w:w="304" w:type="pct"/>
            <w:tcBorders>
              <w:top w:val="outset" w:sz="6" w:space="0" w:color="auto"/>
              <w:left w:val="outset" w:sz="6" w:space="0" w:color="auto"/>
              <w:bottom w:val="outset" w:sz="6" w:space="0" w:color="auto"/>
              <w:right w:val="outset" w:sz="6" w:space="0" w:color="auto"/>
            </w:tcBorders>
            <w:hideMark/>
          </w:tcPr>
          <w:p w14:paraId="0F13A398" w14:textId="77777777" w:rsidR="000D1BD6" w:rsidRPr="007A5BEC" w:rsidRDefault="000D1BD6" w:rsidP="007512BC">
            <w:pPr>
              <w:spacing w:after="0" w:line="240" w:lineRule="auto"/>
              <w:rPr>
                <w:rFonts w:ascii="Times New Roman" w:eastAsia="Times New Roman" w:hAnsi="Times New Roman" w:cs="Times New Roman"/>
                <w:iCs/>
                <w:sz w:val="24"/>
                <w:szCs w:val="24"/>
                <w:lang w:eastAsia="lv-LV"/>
              </w:rPr>
            </w:pPr>
            <w:r w:rsidRPr="007A5BEC">
              <w:rPr>
                <w:rFonts w:ascii="Times New Roman" w:eastAsia="Times New Roman" w:hAnsi="Times New Roman" w:cs="Times New Roman"/>
                <w:iCs/>
                <w:sz w:val="24"/>
                <w:szCs w:val="24"/>
                <w:lang w:eastAsia="lv-LV"/>
              </w:rPr>
              <w:t>1.</w:t>
            </w:r>
          </w:p>
        </w:tc>
        <w:tc>
          <w:tcPr>
            <w:tcW w:w="1344" w:type="pct"/>
            <w:tcBorders>
              <w:top w:val="outset" w:sz="6" w:space="0" w:color="auto"/>
              <w:left w:val="outset" w:sz="6" w:space="0" w:color="auto"/>
              <w:bottom w:val="outset" w:sz="6" w:space="0" w:color="auto"/>
              <w:right w:val="outset" w:sz="6" w:space="0" w:color="auto"/>
            </w:tcBorders>
            <w:hideMark/>
          </w:tcPr>
          <w:p w14:paraId="7F77AF12" w14:textId="77777777" w:rsidR="000D1BD6" w:rsidRPr="007A5BEC" w:rsidRDefault="000D1BD6" w:rsidP="007512BC">
            <w:pPr>
              <w:spacing w:after="0" w:line="240" w:lineRule="auto"/>
              <w:rPr>
                <w:rFonts w:ascii="Times New Roman" w:eastAsia="Times New Roman" w:hAnsi="Times New Roman" w:cs="Times New Roman"/>
                <w:iCs/>
                <w:sz w:val="28"/>
                <w:szCs w:val="28"/>
                <w:lang w:eastAsia="lv-LV"/>
              </w:rPr>
            </w:pPr>
            <w:r w:rsidRPr="007A5BEC">
              <w:rPr>
                <w:rFonts w:ascii="Times New Roman" w:eastAsia="Times New Roman" w:hAnsi="Times New Roman" w:cs="Times New Roman"/>
                <w:iCs/>
                <w:sz w:val="28"/>
                <w:szCs w:val="28"/>
                <w:lang w:eastAsia="lv-LV"/>
              </w:rPr>
              <w:t>Pamatojums</w:t>
            </w:r>
          </w:p>
          <w:p w14:paraId="2D842FDD" w14:textId="77777777" w:rsidR="000D1BD6" w:rsidRPr="007A5BEC" w:rsidRDefault="000D1BD6" w:rsidP="007512BC">
            <w:pPr>
              <w:rPr>
                <w:rFonts w:ascii="Times New Roman" w:eastAsia="Times New Roman" w:hAnsi="Times New Roman" w:cs="Times New Roman"/>
                <w:sz w:val="28"/>
                <w:szCs w:val="28"/>
                <w:lang w:eastAsia="lv-LV"/>
              </w:rPr>
            </w:pPr>
          </w:p>
          <w:p w14:paraId="432D0189" w14:textId="77777777" w:rsidR="000D1BD6" w:rsidRPr="007A5BEC" w:rsidRDefault="000D1BD6" w:rsidP="007512BC">
            <w:pPr>
              <w:rPr>
                <w:rFonts w:ascii="Times New Roman" w:eastAsia="Times New Roman" w:hAnsi="Times New Roman" w:cs="Times New Roman"/>
                <w:sz w:val="28"/>
                <w:szCs w:val="28"/>
                <w:lang w:eastAsia="lv-LV"/>
              </w:rPr>
            </w:pPr>
          </w:p>
          <w:p w14:paraId="30A0ACDA" w14:textId="77777777" w:rsidR="000D1BD6" w:rsidRPr="007A5BEC" w:rsidRDefault="000D1BD6" w:rsidP="007512BC">
            <w:pPr>
              <w:rPr>
                <w:rFonts w:ascii="Times New Roman" w:eastAsia="Times New Roman" w:hAnsi="Times New Roman" w:cs="Times New Roman"/>
                <w:sz w:val="28"/>
                <w:szCs w:val="28"/>
                <w:lang w:eastAsia="lv-LV"/>
              </w:rPr>
            </w:pPr>
          </w:p>
          <w:p w14:paraId="1F13F6FF" w14:textId="77777777" w:rsidR="000D1BD6" w:rsidRPr="007A5BEC" w:rsidRDefault="000D1BD6" w:rsidP="007512BC">
            <w:pPr>
              <w:rPr>
                <w:rFonts w:ascii="Times New Roman" w:eastAsia="Times New Roman" w:hAnsi="Times New Roman" w:cs="Times New Roman"/>
                <w:sz w:val="28"/>
                <w:szCs w:val="28"/>
                <w:lang w:eastAsia="lv-LV"/>
              </w:rPr>
            </w:pPr>
          </w:p>
          <w:p w14:paraId="5BF75945" w14:textId="77777777" w:rsidR="000D1BD6" w:rsidRPr="007A5BEC" w:rsidRDefault="000D1BD6" w:rsidP="007512BC">
            <w:pPr>
              <w:rPr>
                <w:rFonts w:ascii="Times New Roman" w:eastAsia="Times New Roman" w:hAnsi="Times New Roman" w:cs="Times New Roman"/>
                <w:sz w:val="28"/>
                <w:szCs w:val="28"/>
                <w:lang w:eastAsia="lv-LV"/>
              </w:rPr>
            </w:pPr>
          </w:p>
          <w:p w14:paraId="3B289498" w14:textId="77777777" w:rsidR="000D1BD6" w:rsidRPr="007A5BEC" w:rsidRDefault="000D1BD6" w:rsidP="007512BC">
            <w:pPr>
              <w:rPr>
                <w:rFonts w:ascii="Times New Roman" w:eastAsia="Times New Roman" w:hAnsi="Times New Roman" w:cs="Times New Roman"/>
                <w:sz w:val="28"/>
                <w:szCs w:val="28"/>
                <w:lang w:eastAsia="lv-LV"/>
              </w:rPr>
            </w:pPr>
          </w:p>
          <w:p w14:paraId="1ED94D9C" w14:textId="77777777" w:rsidR="000D1BD6" w:rsidRPr="007A5BEC" w:rsidRDefault="000D1BD6" w:rsidP="007512BC">
            <w:pPr>
              <w:rPr>
                <w:rFonts w:ascii="Times New Roman" w:eastAsia="Times New Roman" w:hAnsi="Times New Roman" w:cs="Times New Roman"/>
                <w:sz w:val="28"/>
                <w:szCs w:val="28"/>
                <w:lang w:eastAsia="lv-LV"/>
              </w:rPr>
            </w:pPr>
          </w:p>
          <w:p w14:paraId="11830A9A" w14:textId="77777777" w:rsidR="000D1BD6" w:rsidRPr="007A5BEC" w:rsidRDefault="000D1BD6" w:rsidP="007512BC">
            <w:pPr>
              <w:rPr>
                <w:rFonts w:ascii="Times New Roman" w:eastAsia="Times New Roman" w:hAnsi="Times New Roman" w:cs="Times New Roman"/>
                <w:sz w:val="28"/>
                <w:szCs w:val="28"/>
                <w:lang w:eastAsia="lv-LV"/>
              </w:rPr>
            </w:pPr>
          </w:p>
          <w:p w14:paraId="6B3A80DF" w14:textId="77777777" w:rsidR="000D1BD6" w:rsidRPr="007A5BEC" w:rsidRDefault="000D1BD6" w:rsidP="007512BC">
            <w:pPr>
              <w:rPr>
                <w:rFonts w:ascii="Times New Roman" w:eastAsia="Times New Roman" w:hAnsi="Times New Roman" w:cs="Times New Roman"/>
                <w:sz w:val="28"/>
                <w:szCs w:val="28"/>
                <w:lang w:eastAsia="lv-LV"/>
              </w:rPr>
            </w:pPr>
          </w:p>
          <w:p w14:paraId="3E6EDD6D" w14:textId="77777777" w:rsidR="000D1BD6" w:rsidRPr="007A5BEC" w:rsidRDefault="000D1BD6" w:rsidP="007512BC">
            <w:pPr>
              <w:rPr>
                <w:rFonts w:ascii="Times New Roman" w:eastAsia="Times New Roman" w:hAnsi="Times New Roman" w:cs="Times New Roman"/>
                <w:sz w:val="28"/>
                <w:szCs w:val="28"/>
                <w:lang w:eastAsia="lv-LV"/>
              </w:rPr>
            </w:pPr>
          </w:p>
          <w:p w14:paraId="3E318686" w14:textId="77777777" w:rsidR="000D1BD6" w:rsidRPr="007A5BEC" w:rsidRDefault="000D1BD6" w:rsidP="007512BC">
            <w:pPr>
              <w:jc w:val="center"/>
              <w:rPr>
                <w:rFonts w:ascii="Times New Roman" w:eastAsia="Times New Roman" w:hAnsi="Times New Roman" w:cs="Times New Roman"/>
                <w:sz w:val="28"/>
                <w:szCs w:val="28"/>
                <w:lang w:eastAsia="lv-LV"/>
              </w:rPr>
            </w:pPr>
          </w:p>
          <w:p w14:paraId="0D029A0D" w14:textId="77777777" w:rsidR="000D1BD6" w:rsidRPr="007A5BEC" w:rsidRDefault="000D1BD6" w:rsidP="007512BC">
            <w:pPr>
              <w:ind w:firstLine="720"/>
              <w:jc w:val="center"/>
              <w:rPr>
                <w:rFonts w:ascii="Times New Roman" w:eastAsia="Times New Roman" w:hAnsi="Times New Roman" w:cs="Times New Roman"/>
                <w:sz w:val="28"/>
                <w:szCs w:val="28"/>
                <w:lang w:eastAsia="lv-LV"/>
              </w:rPr>
            </w:pPr>
          </w:p>
          <w:p w14:paraId="37DC9042" w14:textId="77777777" w:rsidR="000D1BD6" w:rsidRPr="007A5BEC" w:rsidRDefault="000D1BD6" w:rsidP="007512BC">
            <w:pPr>
              <w:rPr>
                <w:rFonts w:ascii="Times New Roman" w:eastAsia="Times New Roman" w:hAnsi="Times New Roman" w:cs="Times New Roman"/>
                <w:sz w:val="28"/>
                <w:szCs w:val="28"/>
                <w:lang w:eastAsia="lv-LV"/>
              </w:rPr>
            </w:pPr>
          </w:p>
          <w:p w14:paraId="2396FBE9" w14:textId="77777777" w:rsidR="000D1BD6" w:rsidRPr="007A5BEC" w:rsidRDefault="000D1BD6" w:rsidP="007512BC">
            <w:pPr>
              <w:rPr>
                <w:rFonts w:ascii="Times New Roman" w:eastAsia="Times New Roman" w:hAnsi="Times New Roman" w:cs="Times New Roman"/>
                <w:iCs/>
                <w:sz w:val="28"/>
                <w:szCs w:val="28"/>
                <w:lang w:eastAsia="lv-LV"/>
              </w:rPr>
            </w:pPr>
          </w:p>
          <w:p w14:paraId="724ADB81" w14:textId="77777777" w:rsidR="000D1BD6" w:rsidRPr="007A5BEC" w:rsidRDefault="000D1BD6" w:rsidP="007512BC">
            <w:pPr>
              <w:rPr>
                <w:rFonts w:ascii="Times New Roman" w:eastAsia="Times New Roman" w:hAnsi="Times New Roman" w:cs="Times New Roman"/>
                <w:sz w:val="28"/>
                <w:szCs w:val="28"/>
                <w:lang w:eastAsia="lv-LV"/>
              </w:rPr>
            </w:pPr>
          </w:p>
        </w:tc>
        <w:tc>
          <w:tcPr>
            <w:tcW w:w="3286" w:type="pct"/>
            <w:tcBorders>
              <w:top w:val="outset" w:sz="6" w:space="0" w:color="auto"/>
              <w:left w:val="outset" w:sz="6" w:space="0" w:color="auto"/>
              <w:bottom w:val="outset" w:sz="6" w:space="0" w:color="auto"/>
              <w:right w:val="outset" w:sz="6" w:space="0" w:color="auto"/>
            </w:tcBorders>
            <w:hideMark/>
          </w:tcPr>
          <w:p w14:paraId="3CD3D71B" w14:textId="77777777" w:rsidR="000D1BD6" w:rsidRPr="007A5BEC" w:rsidRDefault="000D1BD6" w:rsidP="007512BC">
            <w:pPr>
              <w:spacing w:after="0" w:line="240" w:lineRule="auto"/>
              <w:jc w:val="both"/>
              <w:rPr>
                <w:rFonts w:ascii="Times New Roman" w:hAnsi="Times New Roman" w:cs="Times New Roman"/>
                <w:sz w:val="28"/>
                <w:szCs w:val="28"/>
              </w:rPr>
            </w:pPr>
            <w:r w:rsidRPr="007A5BEC">
              <w:rPr>
                <w:rFonts w:ascii="Times New Roman" w:hAnsi="Times New Roman" w:cs="Times New Roman"/>
                <w:sz w:val="28"/>
                <w:szCs w:val="28"/>
              </w:rPr>
              <w:lastRenderedPageBreak/>
              <w:t xml:space="preserve">Izglītības un zinātnes ministrija (turpmāk – ministrija) ir sagatavojusi </w:t>
            </w:r>
            <w:r w:rsidRPr="007A5BEC">
              <w:rPr>
                <w:rFonts w:ascii="Times New Roman" w:hAnsi="Times New Roman" w:cs="Times New Roman"/>
                <w:sz w:val="28"/>
                <w:szCs w:val="28"/>
                <w:lang w:eastAsia="lv-LV"/>
              </w:rPr>
              <w:t xml:space="preserve">Ministru kabineta noteikumu projektu </w:t>
            </w:r>
            <w:r w:rsidRPr="007A5BEC">
              <w:rPr>
                <w:rFonts w:ascii="Times New Roman" w:hAnsi="Times New Roman" w:cs="Times New Roman"/>
                <w:sz w:val="28"/>
                <w:szCs w:val="28"/>
              </w:rPr>
              <w:t>“Grozījumi Ministru kabineta 2015.gada 26.maija noteikumos Nr.259 “Atbalsta piešķiršanas kārtība dalībai starptautiskās sadarbības programmās pētniecības un tehnoloģiju jomā””</w:t>
            </w:r>
            <w:r w:rsidRPr="007A5BEC">
              <w:rPr>
                <w:rFonts w:ascii="Times New Roman" w:eastAsia="Times New Roman" w:hAnsi="Times New Roman" w:cs="Times New Roman"/>
                <w:bCs/>
                <w:sz w:val="28"/>
                <w:szCs w:val="28"/>
                <w:lang w:eastAsia="lv-LV"/>
              </w:rPr>
              <w:t xml:space="preserve"> (turpmāk – projekts)</w:t>
            </w:r>
            <w:r w:rsidRPr="007A5BEC">
              <w:rPr>
                <w:rFonts w:ascii="Times New Roman" w:hAnsi="Times New Roman" w:cs="Times New Roman"/>
                <w:sz w:val="28"/>
                <w:szCs w:val="28"/>
              </w:rPr>
              <w:t>:</w:t>
            </w:r>
          </w:p>
          <w:p w14:paraId="25EFE85F" w14:textId="77777777" w:rsidR="000D1BD6" w:rsidRPr="007A5BEC" w:rsidRDefault="000D1BD6" w:rsidP="007512BC">
            <w:pPr>
              <w:spacing w:after="0" w:line="240" w:lineRule="auto"/>
              <w:jc w:val="both"/>
              <w:rPr>
                <w:rFonts w:ascii="Times New Roman" w:hAnsi="Times New Roman" w:cs="Times New Roman"/>
                <w:sz w:val="28"/>
                <w:szCs w:val="28"/>
              </w:rPr>
            </w:pPr>
            <w:r w:rsidRPr="007A5BEC">
              <w:rPr>
                <w:rFonts w:ascii="Times New Roman" w:hAnsi="Times New Roman" w:cs="Times New Roman"/>
                <w:sz w:val="28"/>
                <w:szCs w:val="28"/>
              </w:rPr>
              <w:t xml:space="preserve">1) saskaņā ar Zinātniskās darbības likuma 13.panta trešās daļas 4.punktu, kas nosaka, ka ministrija koordinē starptautiskās sadarbības programmas pētniecības un tehnoloģiju jomās un Ministru kabineta noteiktajā kārtībā nodrošina finansiālu atbalstu dalībai šajās programmās;  </w:t>
            </w:r>
          </w:p>
          <w:p w14:paraId="7FB25BE0" w14:textId="77777777" w:rsidR="000D1BD6" w:rsidRPr="007A5BEC" w:rsidRDefault="000D1BD6" w:rsidP="007512BC">
            <w:pPr>
              <w:spacing w:after="0" w:line="240" w:lineRule="auto"/>
              <w:jc w:val="both"/>
              <w:rPr>
                <w:rFonts w:ascii="Times New Roman" w:hAnsi="Times New Roman" w:cs="Times New Roman"/>
                <w:sz w:val="28"/>
                <w:szCs w:val="28"/>
              </w:rPr>
            </w:pPr>
            <w:r w:rsidRPr="007A5BEC">
              <w:rPr>
                <w:rFonts w:ascii="Times New Roman" w:hAnsi="Times New Roman" w:cs="Times New Roman"/>
                <w:sz w:val="28"/>
                <w:szCs w:val="28"/>
              </w:rPr>
              <w:t xml:space="preserve">2) ievērojot Ministru kabineta 2021.gada 21.janvāra sēdes protokollēmuma (prot Nr.8 28.§) 4.punktu, kas uzdod ministrijai līdz 2021.gada 1.aprīlim izstrādāt un izglītības un zinātnes ministram noteiktā kārtībā iesniegt izskatīšanai Ministru kabinetā grozījumus </w:t>
            </w:r>
            <w:r w:rsidRPr="007A5BEC">
              <w:rPr>
                <w:rFonts w:ascii="Times New Roman" w:hAnsi="Times New Roman" w:cs="Times New Roman"/>
                <w:sz w:val="28"/>
                <w:szCs w:val="28"/>
              </w:rPr>
              <w:lastRenderedPageBreak/>
              <w:t>Ministru kabineta 2015.gada 26.maija noteikumos Nr.259 “Atbalsta piešķiršanas kārtība dalībai starptautiskās sadarbības programmās pētniecības un tehnoloģiju jomā”, paredzot tajos SHARE ERIC pētījuma posmu (viļņu) izmaksu segšanu;</w:t>
            </w:r>
          </w:p>
          <w:p w14:paraId="787B98A2" w14:textId="77777777" w:rsidR="000D1BD6" w:rsidRPr="007A5BEC" w:rsidRDefault="000D1BD6" w:rsidP="007512BC">
            <w:pPr>
              <w:spacing w:after="0" w:line="240" w:lineRule="auto"/>
              <w:jc w:val="both"/>
              <w:rPr>
                <w:rFonts w:ascii="Times New Roman" w:eastAsia="Times New Roman" w:hAnsi="Times New Roman" w:cs="Times New Roman"/>
                <w:iCs/>
                <w:sz w:val="28"/>
                <w:szCs w:val="28"/>
                <w:lang w:eastAsia="lv-LV"/>
              </w:rPr>
            </w:pPr>
            <w:r w:rsidRPr="007A5BEC">
              <w:rPr>
                <w:rFonts w:ascii="Times New Roman" w:hAnsi="Times New Roman" w:cs="Times New Roman"/>
                <w:sz w:val="28"/>
                <w:szCs w:val="28"/>
              </w:rPr>
              <w:t xml:space="preserve">3) ievērojot Ministru kabineta 2021.gada 25.februāra sēdes protokollēmuma (prot Nr.20 33.§) 4.punktu, kas uzdod ministrijai līdz 2021.gada 1.aprīlim izstrādāt un izglītības un zinātnes ministram noteiktā kārtībā iesniegt izskatīšanai Ministru kabinetā grozījumus MK noteikumos,  iekļaujot tajos informāciju par visiem publiskās un privātās partnerības kopuzņēmumu projektiem, kuros Latvija piedalās, nodrošinot attiecīgu valsts līdzfinansējumu, tajā skaitā Latvijas dalību kopuzņēmumā </w:t>
            </w:r>
            <w:r w:rsidRPr="007A5BEC">
              <w:rPr>
                <w:rFonts w:ascii="Times New Roman" w:hAnsi="Times New Roman" w:cs="Times New Roman"/>
                <w:i/>
                <w:sz w:val="28"/>
                <w:szCs w:val="28"/>
              </w:rPr>
              <w:t>EuroHPC</w:t>
            </w:r>
            <w:r w:rsidRPr="007A5BEC">
              <w:rPr>
                <w:rFonts w:ascii="Times New Roman" w:hAnsi="Times New Roman" w:cs="Times New Roman"/>
                <w:sz w:val="28"/>
                <w:szCs w:val="28"/>
              </w:rPr>
              <w:t>.</w:t>
            </w:r>
          </w:p>
        </w:tc>
      </w:tr>
      <w:tr w:rsidR="000D1BD6" w:rsidRPr="007A5BEC" w14:paraId="14C3DF46" w14:textId="77777777" w:rsidTr="007512BC">
        <w:trPr>
          <w:tblCellSpacing w:w="15" w:type="dxa"/>
        </w:trPr>
        <w:tc>
          <w:tcPr>
            <w:tcW w:w="304" w:type="pct"/>
            <w:tcBorders>
              <w:top w:val="outset" w:sz="6" w:space="0" w:color="auto"/>
              <w:left w:val="outset" w:sz="6" w:space="0" w:color="auto"/>
              <w:bottom w:val="outset" w:sz="6" w:space="0" w:color="auto"/>
              <w:right w:val="outset" w:sz="6" w:space="0" w:color="auto"/>
            </w:tcBorders>
            <w:hideMark/>
          </w:tcPr>
          <w:p w14:paraId="3DB9EC9D" w14:textId="77777777" w:rsidR="000D1BD6" w:rsidRPr="007A5BEC" w:rsidRDefault="000D1BD6" w:rsidP="007512BC">
            <w:pPr>
              <w:spacing w:after="0" w:line="240" w:lineRule="auto"/>
              <w:rPr>
                <w:rFonts w:ascii="Times New Roman" w:eastAsia="Times New Roman" w:hAnsi="Times New Roman" w:cs="Times New Roman"/>
                <w:iCs/>
                <w:sz w:val="24"/>
                <w:szCs w:val="24"/>
                <w:lang w:eastAsia="lv-LV"/>
              </w:rPr>
            </w:pPr>
            <w:r w:rsidRPr="007A5BEC">
              <w:rPr>
                <w:rFonts w:ascii="Times New Roman" w:eastAsia="Times New Roman" w:hAnsi="Times New Roman" w:cs="Times New Roman"/>
                <w:iCs/>
                <w:sz w:val="24"/>
                <w:szCs w:val="24"/>
                <w:lang w:eastAsia="lv-LV"/>
              </w:rPr>
              <w:lastRenderedPageBreak/>
              <w:t>2.</w:t>
            </w:r>
          </w:p>
        </w:tc>
        <w:tc>
          <w:tcPr>
            <w:tcW w:w="1344" w:type="pct"/>
            <w:tcBorders>
              <w:top w:val="outset" w:sz="6" w:space="0" w:color="auto"/>
              <w:left w:val="outset" w:sz="6" w:space="0" w:color="auto"/>
              <w:bottom w:val="outset" w:sz="6" w:space="0" w:color="auto"/>
              <w:right w:val="outset" w:sz="6" w:space="0" w:color="auto"/>
            </w:tcBorders>
            <w:hideMark/>
          </w:tcPr>
          <w:p w14:paraId="20B712C3" w14:textId="77777777" w:rsidR="000D1BD6" w:rsidRPr="007A5BEC" w:rsidRDefault="000D1BD6" w:rsidP="007512BC">
            <w:pPr>
              <w:spacing w:after="0" w:line="240" w:lineRule="auto"/>
              <w:rPr>
                <w:rFonts w:ascii="Times New Roman" w:eastAsia="Times New Roman" w:hAnsi="Times New Roman" w:cs="Times New Roman"/>
                <w:iCs/>
                <w:sz w:val="28"/>
                <w:szCs w:val="28"/>
                <w:lang w:eastAsia="lv-LV"/>
              </w:rPr>
            </w:pPr>
            <w:r w:rsidRPr="007A5BEC">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286" w:type="pct"/>
            <w:tcBorders>
              <w:top w:val="outset" w:sz="6" w:space="0" w:color="auto"/>
              <w:left w:val="outset" w:sz="6" w:space="0" w:color="auto"/>
              <w:bottom w:val="outset" w:sz="6" w:space="0" w:color="auto"/>
              <w:right w:val="outset" w:sz="6" w:space="0" w:color="auto"/>
            </w:tcBorders>
            <w:hideMark/>
          </w:tcPr>
          <w:p w14:paraId="2A578082" w14:textId="77777777" w:rsidR="000D1BD6" w:rsidRPr="007A5BEC" w:rsidRDefault="000D1BD6" w:rsidP="007512BC">
            <w:pPr>
              <w:pStyle w:val="tv213"/>
              <w:shd w:val="clear" w:color="auto" w:fill="FFFFFF"/>
              <w:spacing w:before="0" w:beforeAutospacing="0" w:after="0" w:afterAutospacing="0" w:line="293" w:lineRule="atLeast"/>
              <w:jc w:val="both"/>
              <w:rPr>
                <w:sz w:val="28"/>
                <w:szCs w:val="28"/>
                <w:u w:val="single"/>
                <w:lang w:val="lv-LV"/>
              </w:rPr>
            </w:pPr>
            <w:r w:rsidRPr="007A5BEC">
              <w:rPr>
                <w:sz w:val="28"/>
                <w:szCs w:val="28"/>
                <w:u w:val="single"/>
                <w:lang w:val="lv-LV"/>
              </w:rPr>
              <w:t>Pašreizējā situācija:</w:t>
            </w:r>
          </w:p>
          <w:p w14:paraId="79E9C182" w14:textId="77777777" w:rsidR="000D1BD6" w:rsidRPr="007A5BEC" w:rsidRDefault="000D1BD6" w:rsidP="007512BC">
            <w:pPr>
              <w:pStyle w:val="tv213"/>
              <w:shd w:val="clear" w:color="auto" w:fill="FFFFFF"/>
              <w:spacing w:before="0" w:beforeAutospacing="0" w:after="0" w:afterAutospacing="0" w:line="293" w:lineRule="atLeast"/>
              <w:jc w:val="both"/>
              <w:rPr>
                <w:sz w:val="28"/>
                <w:szCs w:val="28"/>
                <w:lang w:val="lv-LV" w:eastAsia="lv-LV"/>
              </w:rPr>
            </w:pPr>
            <w:r w:rsidRPr="007A5BEC">
              <w:rPr>
                <w:sz w:val="28"/>
                <w:szCs w:val="28"/>
                <w:lang w:val="lv-LV"/>
              </w:rPr>
              <w:t xml:space="preserve">Ministru kabineta 2015.gada 26.maija noteikumi Nr.259 “Atbalsta piešķiršanas kārtība dalībai starptautiskās sadarbības programmās pētniecības un tehnoloģiju jomā” (turpmāk - MK noteikumi) paredz finansiālu </w:t>
            </w:r>
            <w:r w:rsidRPr="007A5BEC">
              <w:rPr>
                <w:sz w:val="28"/>
                <w:szCs w:val="28"/>
                <w:lang w:val="lv-LV" w:eastAsia="lv-LV"/>
              </w:rPr>
              <w:t xml:space="preserve">atbalstu Latvijas dalībniekiem dalībai Eiropas Savienības (turpmāk – ES) pētniecības, inovāciju, tehnoloģiju attīstības un demonstrācijas programmu projektos, kuri ir noteiktā kārtībā kvalificējušies un to apstiprina attiecīga kompetenta ES lēmējinstitūcija, kā rezultātā Latvijas dalībnieki iegūst ES līdzfinansējuma daļu projektam un ir tiesības MK noteikumu kārtībā pretendēt uz valsts budžeta finansējumu </w:t>
            </w:r>
            <w:r w:rsidRPr="007A5BEC">
              <w:rPr>
                <w:sz w:val="28"/>
                <w:szCs w:val="28"/>
                <w:lang w:val="lv-LV"/>
              </w:rPr>
              <w:t>valsts līdzfinansējuma vai valsts atbalsta</w:t>
            </w:r>
            <w:r w:rsidRPr="007A5BEC">
              <w:rPr>
                <w:sz w:val="28"/>
                <w:szCs w:val="28"/>
                <w:lang w:val="lv-LV" w:eastAsia="lv-LV"/>
              </w:rPr>
              <w:t xml:space="preserve"> veidā (turpmāk – atbalsts). </w:t>
            </w:r>
          </w:p>
          <w:p w14:paraId="17B1809B" w14:textId="77777777" w:rsidR="000D1BD6" w:rsidRPr="007A5BEC" w:rsidRDefault="000D1BD6" w:rsidP="007512BC">
            <w:pPr>
              <w:pStyle w:val="tv213"/>
              <w:shd w:val="clear" w:color="auto" w:fill="FFFFFF"/>
              <w:spacing w:after="0" w:line="293" w:lineRule="atLeast"/>
              <w:jc w:val="both"/>
              <w:rPr>
                <w:sz w:val="28"/>
                <w:szCs w:val="28"/>
                <w:lang w:val="lv-LV" w:eastAsia="lv-LV"/>
              </w:rPr>
            </w:pPr>
            <w:r w:rsidRPr="007A5BEC">
              <w:rPr>
                <w:sz w:val="28"/>
                <w:szCs w:val="28"/>
                <w:lang w:val="lv-LV" w:eastAsia="lv-LV"/>
              </w:rPr>
              <w:t>Projekts nepieciešams, lai:</w:t>
            </w:r>
          </w:p>
          <w:p w14:paraId="0F9F6ED6" w14:textId="77777777" w:rsidR="000D1BD6" w:rsidRPr="007A5BEC" w:rsidRDefault="000D1BD6" w:rsidP="007512BC">
            <w:pPr>
              <w:pStyle w:val="tv213"/>
              <w:shd w:val="clear" w:color="auto" w:fill="FFFFFF"/>
              <w:spacing w:after="0" w:line="293" w:lineRule="atLeast"/>
              <w:jc w:val="both"/>
              <w:rPr>
                <w:sz w:val="28"/>
                <w:szCs w:val="28"/>
                <w:lang w:val="lv-LV" w:eastAsia="lv-LV"/>
              </w:rPr>
            </w:pPr>
            <w:r w:rsidRPr="007A5BEC">
              <w:rPr>
                <w:sz w:val="28"/>
                <w:szCs w:val="28"/>
                <w:lang w:val="lv-LV" w:eastAsia="lv-LV"/>
              </w:rPr>
              <w:t xml:space="preserve">1) nodrošinātu Latvijas valsts un </w:t>
            </w:r>
            <w:r w:rsidRPr="007A5BEC">
              <w:rPr>
                <w:rFonts w:eastAsia="Calibri"/>
                <w:iCs/>
                <w:sz w:val="28"/>
                <w:szCs w:val="28"/>
                <w:lang w:val="lv-LV"/>
              </w:rPr>
              <w:t xml:space="preserve">Latvijas dalībnieku </w:t>
            </w:r>
            <w:r w:rsidRPr="007A5BEC">
              <w:rPr>
                <w:sz w:val="28"/>
                <w:szCs w:val="28"/>
                <w:lang w:val="lv-LV" w:eastAsia="lv-LV"/>
              </w:rPr>
              <w:t>dalību Eiropas Augstas veiktspējas datošanas kopuzņēmumā  (EuroHPC) un šī kopuzņēmuma īstenojamajos projektos, kā arī Eiropas pētniecības infrastruktūras konsorcija “Veselības, novecošanas un pensionēšanās apsekojums Eiropā” (SHARE ERIC) 9. posmā;</w:t>
            </w:r>
          </w:p>
          <w:p w14:paraId="726BC7E1" w14:textId="77777777" w:rsidR="000D1BD6" w:rsidRPr="007A5BEC" w:rsidRDefault="000D1BD6" w:rsidP="007512BC">
            <w:pPr>
              <w:tabs>
                <w:tab w:val="left" w:pos="934"/>
              </w:tabs>
              <w:spacing w:after="0" w:line="240" w:lineRule="auto"/>
              <w:ind w:left="-58"/>
              <w:jc w:val="both"/>
              <w:rPr>
                <w:rFonts w:ascii="Times New Roman" w:eastAsia="Times New Roman" w:hAnsi="Times New Roman" w:cs="Times New Roman"/>
                <w:iCs/>
                <w:sz w:val="28"/>
                <w:szCs w:val="28"/>
                <w:lang w:eastAsia="lv-LV"/>
              </w:rPr>
            </w:pPr>
            <w:r w:rsidRPr="007A5BEC">
              <w:rPr>
                <w:rFonts w:ascii="Times New Roman" w:hAnsi="Times New Roman" w:cs="Times New Roman"/>
                <w:sz w:val="28"/>
                <w:szCs w:val="28"/>
                <w:lang w:eastAsia="lv-LV"/>
              </w:rPr>
              <w:lastRenderedPageBreak/>
              <w:t>2) atrisinātu problēmu, kas saistīta ar ne</w:t>
            </w:r>
            <w:r w:rsidRPr="007A5BEC">
              <w:rPr>
                <w:rFonts w:ascii="Times New Roman" w:eastAsia="Times New Roman" w:hAnsi="Times New Roman" w:cs="Times New Roman"/>
                <w:sz w:val="28"/>
                <w:szCs w:val="28"/>
                <w:lang w:eastAsia="lv-LV"/>
              </w:rPr>
              <w:t>konkurētspējīgiem atalgojuma likmju griestiem projektos nodarbinātajam personālam, kas nav atjaunoti kopš 2015. gada.</w:t>
            </w:r>
          </w:p>
          <w:p w14:paraId="2BDFEF29" w14:textId="77777777" w:rsidR="000D1BD6" w:rsidRPr="007A5BEC" w:rsidRDefault="000D1BD6" w:rsidP="007512BC">
            <w:pPr>
              <w:spacing w:after="0" w:line="240" w:lineRule="auto"/>
              <w:jc w:val="both"/>
              <w:rPr>
                <w:rFonts w:ascii="Times New Roman" w:eastAsia="Calibri" w:hAnsi="Times New Roman" w:cs="Times New Roman"/>
                <w:sz w:val="28"/>
                <w:szCs w:val="28"/>
              </w:rPr>
            </w:pPr>
          </w:p>
          <w:p w14:paraId="48E6CB70" w14:textId="77777777" w:rsidR="000D1BD6" w:rsidRPr="007A5BEC" w:rsidRDefault="000D1BD6" w:rsidP="007512BC">
            <w:pPr>
              <w:spacing w:after="0" w:line="240" w:lineRule="auto"/>
              <w:jc w:val="both"/>
              <w:rPr>
                <w:rFonts w:ascii="Times New Roman" w:hAnsi="Times New Roman" w:cs="Times New Roman"/>
                <w:sz w:val="28"/>
                <w:szCs w:val="28"/>
              </w:rPr>
            </w:pPr>
            <w:r w:rsidRPr="007A5BEC">
              <w:rPr>
                <w:rFonts w:ascii="Times New Roman" w:hAnsi="Times New Roman" w:cs="Times New Roman"/>
                <w:sz w:val="28"/>
                <w:szCs w:val="28"/>
                <w:lang w:eastAsia="lv-LV"/>
              </w:rPr>
              <w:t xml:space="preserve">Projekts izstrādāts ar mērķi izpildīt </w:t>
            </w:r>
            <w:r w:rsidRPr="007A5BEC">
              <w:rPr>
                <w:rFonts w:ascii="Times New Roman" w:hAnsi="Times New Roman" w:cs="Times New Roman"/>
                <w:sz w:val="28"/>
                <w:szCs w:val="28"/>
              </w:rPr>
              <w:t xml:space="preserve">Ministru kabineta 2021.gada 21.janvāra sēdes protokollēmuma (prot Nr.8 28.§) 4.punktu un Ministru kabineta 2021.gada 25.februāra sēdes protokollēmuma (prot Nr.20 33.§) 4.punktu, MK noteikumos iekļaut </w:t>
            </w:r>
            <w:r w:rsidRPr="007A5BEC">
              <w:rPr>
                <w:rFonts w:ascii="Times New Roman" w:eastAsia="Times New Roman" w:hAnsi="Times New Roman" w:cs="Times New Roman"/>
                <w:sz w:val="28"/>
                <w:szCs w:val="28"/>
                <w:lang w:eastAsia="lv-LV"/>
              </w:rPr>
              <w:t>Eiropas pētniecības infrastruktūras konsorcija “Veselības, novecošanas un pensionēšanās apsekojums Eiropā (</w:t>
            </w:r>
            <w:r w:rsidRPr="007A5BEC">
              <w:rPr>
                <w:rFonts w:ascii="Times New Roman" w:eastAsia="Times New Roman" w:hAnsi="Times New Roman" w:cs="Times New Roman"/>
                <w:i/>
                <w:sz w:val="28"/>
                <w:szCs w:val="28"/>
                <w:lang w:eastAsia="lv-LV"/>
              </w:rPr>
              <w:t>Survey of Health, Ageing and Retirement in Europe</w:t>
            </w:r>
            <w:r w:rsidRPr="007A5BEC">
              <w:rPr>
                <w:rFonts w:ascii="Times New Roman" w:eastAsia="Times New Roman" w:hAnsi="Times New Roman" w:cs="Times New Roman"/>
                <w:sz w:val="28"/>
                <w:szCs w:val="28"/>
                <w:lang w:eastAsia="lv-LV"/>
              </w:rPr>
              <w:t xml:space="preserve">)” (turpmāk – SHARE) </w:t>
            </w:r>
            <w:r w:rsidRPr="007A5BEC">
              <w:rPr>
                <w:rFonts w:ascii="Times New Roman" w:hAnsi="Times New Roman" w:cs="Times New Roman"/>
                <w:sz w:val="28"/>
                <w:szCs w:val="28"/>
              </w:rPr>
              <w:t>posmu (viļņu) izmaksu segšanu un Latvijas dalību</w:t>
            </w:r>
            <w:r w:rsidRPr="007A5BEC">
              <w:rPr>
                <w:rFonts w:ascii="Times New Roman" w:eastAsia="Calibri" w:hAnsi="Times New Roman" w:cs="Times New Roman"/>
                <w:sz w:val="28"/>
                <w:szCs w:val="28"/>
              </w:rPr>
              <w:t xml:space="preserve"> Eiropas Augstas veiktspējas datošanas kopuzņēmumā (</w:t>
            </w:r>
            <w:r w:rsidRPr="007A5BEC">
              <w:rPr>
                <w:rFonts w:ascii="Times New Roman" w:eastAsia="Calibri" w:hAnsi="Times New Roman" w:cs="Times New Roman"/>
                <w:i/>
                <w:sz w:val="28"/>
                <w:szCs w:val="28"/>
              </w:rPr>
              <w:t>European High Performance Computing  Joint Undertaking</w:t>
            </w:r>
            <w:r w:rsidRPr="007A5BEC">
              <w:rPr>
                <w:rFonts w:ascii="Times New Roman" w:eastAsia="Calibri" w:hAnsi="Times New Roman" w:cs="Times New Roman"/>
                <w:sz w:val="28"/>
                <w:szCs w:val="28"/>
              </w:rPr>
              <w:t xml:space="preserve">) (turpmāk – kopuzņēmums </w:t>
            </w:r>
            <w:r w:rsidRPr="007A5BEC">
              <w:rPr>
                <w:rFonts w:ascii="Times New Roman" w:eastAsia="Calibri" w:hAnsi="Times New Roman" w:cs="Times New Roman"/>
                <w:i/>
                <w:sz w:val="28"/>
                <w:szCs w:val="28"/>
              </w:rPr>
              <w:t>EuroHPC</w:t>
            </w:r>
            <w:r w:rsidRPr="007A5BEC">
              <w:rPr>
                <w:rFonts w:ascii="Times New Roman" w:eastAsia="Calibri" w:hAnsi="Times New Roman" w:cs="Times New Roman"/>
                <w:sz w:val="28"/>
                <w:szCs w:val="28"/>
              </w:rPr>
              <w:t>)</w:t>
            </w:r>
            <w:r w:rsidRPr="007A5BEC">
              <w:rPr>
                <w:rFonts w:ascii="Times New Roman" w:hAnsi="Times New Roman" w:cs="Times New Roman"/>
                <w:sz w:val="28"/>
                <w:szCs w:val="28"/>
              </w:rPr>
              <w:t>.</w:t>
            </w:r>
            <w:r w:rsidRPr="007A5BEC">
              <w:rPr>
                <w:rFonts w:ascii="Times New Roman" w:eastAsia="Calibri" w:hAnsi="Times New Roman" w:cs="Times New Roman"/>
                <w:sz w:val="28"/>
                <w:szCs w:val="28"/>
              </w:rPr>
              <w:t xml:space="preserve"> Latvija ir kopuzņēmuma </w:t>
            </w:r>
            <w:r w:rsidRPr="007A5BEC">
              <w:rPr>
                <w:rFonts w:ascii="Times New Roman" w:eastAsia="Calibri" w:hAnsi="Times New Roman" w:cs="Times New Roman"/>
                <w:i/>
                <w:iCs/>
                <w:sz w:val="28"/>
                <w:szCs w:val="28"/>
              </w:rPr>
              <w:t xml:space="preserve">EuroHPC </w:t>
            </w:r>
            <w:r w:rsidRPr="007A5BEC">
              <w:rPr>
                <w:rFonts w:ascii="Times New Roman" w:eastAsia="Calibri" w:hAnsi="Times New Roman" w:cs="Times New Roman"/>
                <w:sz w:val="28"/>
                <w:szCs w:val="28"/>
              </w:rPr>
              <w:t>locekle.</w:t>
            </w:r>
          </w:p>
          <w:p w14:paraId="591775D5" w14:textId="77777777" w:rsidR="000D1BD6" w:rsidRPr="007A5BEC" w:rsidRDefault="000D1BD6" w:rsidP="007512BC">
            <w:pPr>
              <w:spacing w:after="0" w:line="240" w:lineRule="auto"/>
              <w:jc w:val="both"/>
              <w:rPr>
                <w:rFonts w:ascii="Times New Roman" w:eastAsia="Calibri" w:hAnsi="Times New Roman" w:cs="Times New Roman"/>
                <w:sz w:val="28"/>
                <w:szCs w:val="28"/>
              </w:rPr>
            </w:pPr>
            <w:r w:rsidRPr="007A5BEC">
              <w:rPr>
                <w:rFonts w:ascii="Times New Roman" w:eastAsia="Times New Roman" w:hAnsi="Times New Roman" w:cs="Times New Roman"/>
                <w:sz w:val="28"/>
                <w:szCs w:val="28"/>
                <w:lang w:eastAsia="lv-LV"/>
              </w:rPr>
              <w:t xml:space="preserve">Ar projektu tiks nodrošināts atbalsts Latvijas dalībniekiem, piedaloties </w:t>
            </w:r>
            <w:r w:rsidRPr="007A5BEC">
              <w:rPr>
                <w:rFonts w:ascii="Times New Roman" w:eastAsia="Calibri" w:hAnsi="Times New Roman" w:cs="Times New Roman"/>
                <w:sz w:val="28"/>
                <w:szCs w:val="28"/>
              </w:rPr>
              <w:t xml:space="preserve">kopuzņēmuma </w:t>
            </w:r>
            <w:r w:rsidRPr="007A5BEC">
              <w:rPr>
                <w:rFonts w:ascii="Times New Roman" w:eastAsia="Calibri" w:hAnsi="Times New Roman" w:cs="Times New Roman"/>
                <w:i/>
                <w:iCs/>
                <w:sz w:val="28"/>
                <w:szCs w:val="28"/>
              </w:rPr>
              <w:t>EuroHPC</w:t>
            </w:r>
            <w:r w:rsidRPr="007A5BEC">
              <w:rPr>
                <w:rFonts w:ascii="Times New Roman" w:eastAsia="Calibri" w:hAnsi="Times New Roman" w:cs="Times New Roman"/>
                <w:sz w:val="28"/>
                <w:szCs w:val="28"/>
              </w:rPr>
              <w:t xml:space="preserve"> projektu īstenošanā.</w:t>
            </w:r>
          </w:p>
          <w:p w14:paraId="741046AA" w14:textId="77777777" w:rsidR="000D1BD6" w:rsidRPr="007A5BEC" w:rsidRDefault="000D1BD6" w:rsidP="007512BC">
            <w:pPr>
              <w:spacing w:after="0" w:line="240" w:lineRule="auto"/>
              <w:jc w:val="both"/>
              <w:rPr>
                <w:rFonts w:ascii="Times New Roman" w:hAnsi="Times New Roman" w:cs="Times New Roman"/>
                <w:iCs/>
                <w:sz w:val="28"/>
                <w:szCs w:val="28"/>
              </w:rPr>
            </w:pPr>
            <w:r w:rsidRPr="007A5BEC">
              <w:rPr>
                <w:rFonts w:ascii="Times New Roman" w:eastAsia="Calibri" w:hAnsi="Times New Roman" w:cs="Times New Roman"/>
                <w:sz w:val="28"/>
                <w:szCs w:val="28"/>
              </w:rPr>
              <w:t xml:space="preserve">Latvijai īpaši aktuāls ir kopuzņēmuma </w:t>
            </w:r>
            <w:r w:rsidRPr="007A5BEC">
              <w:rPr>
                <w:rFonts w:ascii="Times New Roman" w:eastAsia="Calibri" w:hAnsi="Times New Roman" w:cs="Times New Roman"/>
                <w:i/>
                <w:iCs/>
                <w:sz w:val="28"/>
                <w:szCs w:val="28"/>
              </w:rPr>
              <w:t xml:space="preserve">EuroHPC </w:t>
            </w:r>
            <w:r w:rsidRPr="007A5BEC">
              <w:rPr>
                <w:rFonts w:ascii="Times New Roman" w:eastAsia="Calibri" w:hAnsi="Times New Roman" w:cs="Times New Roman"/>
                <w:sz w:val="28"/>
                <w:szCs w:val="28"/>
              </w:rPr>
              <w:t xml:space="preserve">valdes apstiprinātais projekts </w:t>
            </w:r>
            <w:r w:rsidRPr="007A5BEC">
              <w:rPr>
                <w:rFonts w:ascii="Times New Roman" w:eastAsia="Calibri" w:hAnsi="Times New Roman" w:cs="Times New Roman"/>
                <w:i/>
                <w:sz w:val="28"/>
                <w:szCs w:val="28"/>
              </w:rPr>
              <w:t>EuroCC - National Competence Centres in the framework of EuroHPC</w:t>
            </w:r>
            <w:r w:rsidRPr="007A5BEC">
              <w:rPr>
                <w:rFonts w:ascii="Times New Roman" w:eastAsia="Calibri" w:hAnsi="Times New Roman" w:cs="Times New Roman"/>
                <w:sz w:val="28"/>
                <w:szCs w:val="28"/>
              </w:rPr>
              <w:t xml:space="preserve">  (turpmāk – </w:t>
            </w:r>
            <w:r w:rsidRPr="007A5BEC">
              <w:rPr>
                <w:rFonts w:ascii="Times New Roman" w:eastAsia="Calibri" w:hAnsi="Times New Roman" w:cs="Times New Roman"/>
                <w:i/>
                <w:sz w:val="28"/>
                <w:szCs w:val="28"/>
              </w:rPr>
              <w:t>EuroCC</w:t>
            </w:r>
            <w:r w:rsidRPr="007A5BEC">
              <w:rPr>
                <w:rFonts w:ascii="Times New Roman" w:eastAsia="Calibri" w:hAnsi="Times New Roman" w:cs="Times New Roman"/>
                <w:sz w:val="28"/>
                <w:szCs w:val="28"/>
              </w:rPr>
              <w:t>)</w:t>
            </w:r>
            <w:r w:rsidRPr="007A5BEC">
              <w:rPr>
                <w:rStyle w:val="FootnoteReference"/>
                <w:rFonts w:ascii="Times New Roman" w:eastAsia="Calibri" w:hAnsi="Times New Roman" w:cs="Times New Roman"/>
                <w:sz w:val="28"/>
                <w:szCs w:val="28"/>
              </w:rPr>
              <w:footnoteReference w:id="1"/>
            </w:r>
            <w:r w:rsidRPr="007A5BEC">
              <w:rPr>
                <w:rFonts w:ascii="Times New Roman" w:eastAsia="Calibri" w:hAnsi="Times New Roman" w:cs="Times New Roman"/>
                <w:sz w:val="28"/>
                <w:szCs w:val="28"/>
              </w:rPr>
              <w:t xml:space="preserve">, kura mērķis ir izveidot Eiropā nacionālo kopuzņēmuma </w:t>
            </w:r>
            <w:r w:rsidRPr="007A5BEC">
              <w:rPr>
                <w:rFonts w:ascii="Times New Roman" w:eastAsia="Calibri" w:hAnsi="Times New Roman" w:cs="Times New Roman"/>
                <w:i/>
                <w:sz w:val="28"/>
                <w:szCs w:val="28"/>
              </w:rPr>
              <w:t>EuroHPC</w:t>
            </w:r>
            <w:r w:rsidRPr="007A5BEC">
              <w:rPr>
                <w:rFonts w:ascii="Times New Roman" w:eastAsia="Calibri" w:hAnsi="Times New Roman" w:cs="Times New Roman"/>
                <w:sz w:val="28"/>
                <w:szCs w:val="28"/>
              </w:rPr>
              <w:t xml:space="preserve"> dalībvalstu augstas veiktspējas datošanas  HPC </w:t>
            </w:r>
            <w:r w:rsidRPr="007A5BEC">
              <w:rPr>
                <w:rFonts w:ascii="Times New Roman" w:eastAsia="Calibri" w:hAnsi="Times New Roman" w:cs="Times New Roman"/>
                <w:i/>
                <w:sz w:val="28"/>
                <w:szCs w:val="28"/>
              </w:rPr>
              <w:t>(High Performance Computing)</w:t>
            </w:r>
            <w:r w:rsidRPr="007A5BEC">
              <w:rPr>
                <w:rFonts w:ascii="Times New Roman" w:eastAsia="Calibri" w:hAnsi="Times New Roman" w:cs="Times New Roman"/>
                <w:sz w:val="28"/>
                <w:szCs w:val="28"/>
              </w:rPr>
              <w:t xml:space="preserve"> kompetences centru tīklu, kas koordinē visu kopuzņēmuma </w:t>
            </w:r>
            <w:r w:rsidRPr="007A5BEC">
              <w:rPr>
                <w:rFonts w:ascii="Times New Roman" w:eastAsia="Calibri" w:hAnsi="Times New Roman" w:cs="Times New Roman"/>
                <w:i/>
                <w:sz w:val="28"/>
                <w:szCs w:val="28"/>
              </w:rPr>
              <w:t>EuroHPC</w:t>
            </w:r>
            <w:r w:rsidRPr="007A5BEC">
              <w:rPr>
                <w:rFonts w:ascii="Times New Roman" w:eastAsia="Calibri" w:hAnsi="Times New Roman" w:cs="Times New Roman"/>
                <w:sz w:val="28"/>
                <w:szCs w:val="28"/>
              </w:rPr>
              <w:t xml:space="preserve"> dalībvalstu  kompetences centru nacionālās iniciatīvas, atvieglojot šo dalībvalstu nacionālo ieinteresēto personu (institūciju) piekļuvi Eiropas augstas veikstspējas datošanas kompetencei un iespējām dažādās rūpniecības nozarēs un jomās, tādās kā veselības nozare, būvniecība, transports. Latvijas zinātnisko institūciju dalība projektā </w:t>
            </w:r>
            <w:r w:rsidRPr="007A5BEC">
              <w:rPr>
                <w:rFonts w:ascii="Times New Roman" w:eastAsia="Calibri" w:hAnsi="Times New Roman" w:cs="Times New Roman"/>
                <w:i/>
                <w:sz w:val="28"/>
                <w:szCs w:val="28"/>
              </w:rPr>
              <w:t>EuroCC</w:t>
            </w:r>
            <w:r w:rsidRPr="007A5BEC">
              <w:rPr>
                <w:rFonts w:ascii="Times New Roman" w:eastAsia="Calibri" w:hAnsi="Times New Roman" w:cs="Times New Roman"/>
                <w:sz w:val="28"/>
                <w:szCs w:val="28"/>
              </w:rPr>
              <w:t xml:space="preserve"> ir arī būtiska Latvijas starptautiskās reputācijas stiprināšanai HPC jomā. Latvijas dalībnieku dalība </w:t>
            </w:r>
            <w:r w:rsidRPr="007A5BEC">
              <w:rPr>
                <w:rFonts w:ascii="Times New Roman" w:eastAsia="Calibri" w:hAnsi="Times New Roman" w:cs="Times New Roman"/>
                <w:i/>
                <w:iCs/>
                <w:sz w:val="28"/>
                <w:szCs w:val="28"/>
              </w:rPr>
              <w:t>EuroHPC</w:t>
            </w:r>
            <w:r w:rsidRPr="007A5BEC">
              <w:rPr>
                <w:rFonts w:ascii="Times New Roman" w:eastAsia="Calibri" w:hAnsi="Times New Roman" w:cs="Times New Roman"/>
                <w:sz w:val="28"/>
                <w:szCs w:val="28"/>
              </w:rPr>
              <w:t xml:space="preserve"> kopuzņēmuma projektos  sniegs</w:t>
            </w:r>
            <w:r w:rsidRPr="007A5BEC">
              <w:rPr>
                <w:rFonts w:ascii="Times New Roman" w:hAnsi="Times New Roman" w:cs="Times New Roman"/>
                <w:sz w:val="28"/>
                <w:szCs w:val="28"/>
              </w:rPr>
              <w:t xml:space="preserve"> </w:t>
            </w:r>
            <w:r w:rsidRPr="007A5BEC">
              <w:rPr>
                <w:rFonts w:ascii="Times New Roman" w:eastAsia="Calibri" w:hAnsi="Times New Roman" w:cs="Times New Roman"/>
                <w:sz w:val="28"/>
                <w:szCs w:val="28"/>
              </w:rPr>
              <w:t xml:space="preserve">iespējas piekļūt augstas veiktspējas </w:t>
            </w:r>
            <w:r w:rsidRPr="007A5BEC">
              <w:rPr>
                <w:rFonts w:ascii="Times New Roman" w:eastAsia="Calibri" w:hAnsi="Times New Roman" w:cs="Times New Roman"/>
                <w:sz w:val="28"/>
                <w:szCs w:val="28"/>
              </w:rPr>
              <w:lastRenderedPageBreak/>
              <w:t xml:space="preserve">skaitļošanas jaudām, lai apstrādātu liela apjoma datus un veiktu sarežģītus aprēķinus daudzās zinātnes un tautsaimniecības jomās. Izvērsta informācija par </w:t>
            </w:r>
            <w:r w:rsidRPr="007A5BEC">
              <w:rPr>
                <w:rFonts w:ascii="Times New Roman" w:eastAsia="Calibri" w:hAnsi="Times New Roman" w:cs="Times New Roman"/>
                <w:i/>
                <w:sz w:val="28"/>
                <w:szCs w:val="28"/>
              </w:rPr>
              <w:t>EuroHPC</w:t>
            </w:r>
            <w:r w:rsidRPr="007A5BEC">
              <w:rPr>
                <w:rFonts w:ascii="Times New Roman" w:eastAsia="Calibri" w:hAnsi="Times New Roman" w:cs="Times New Roman"/>
                <w:sz w:val="28"/>
                <w:szCs w:val="28"/>
              </w:rPr>
              <w:t xml:space="preserve"> kopuzņēmumu un </w:t>
            </w:r>
            <w:r w:rsidRPr="007A5BEC">
              <w:rPr>
                <w:rFonts w:ascii="Times New Roman" w:eastAsia="Calibri" w:hAnsi="Times New Roman" w:cs="Times New Roman"/>
                <w:i/>
                <w:sz w:val="28"/>
                <w:szCs w:val="28"/>
              </w:rPr>
              <w:t>EuroCC</w:t>
            </w:r>
            <w:r w:rsidRPr="007A5BEC">
              <w:rPr>
                <w:rFonts w:ascii="Times New Roman" w:eastAsia="Calibri" w:hAnsi="Times New Roman" w:cs="Times New Roman"/>
                <w:sz w:val="28"/>
                <w:szCs w:val="28"/>
              </w:rPr>
              <w:t xml:space="preserve"> projektu pieejama informatīvajā ziņojumā</w:t>
            </w:r>
            <w:r w:rsidRPr="007A5BEC">
              <w:rPr>
                <w:rStyle w:val="FootnoteReference"/>
                <w:rFonts w:ascii="Times New Roman" w:eastAsia="Calibri" w:hAnsi="Times New Roman" w:cs="Times New Roman"/>
                <w:sz w:val="28"/>
                <w:szCs w:val="28"/>
              </w:rPr>
              <w:footnoteReference w:id="2"/>
            </w:r>
            <w:r w:rsidRPr="007A5BEC">
              <w:rPr>
                <w:rFonts w:ascii="Times New Roman" w:eastAsia="Calibri" w:hAnsi="Times New Roman" w:cs="Times New Roman"/>
                <w:sz w:val="28"/>
                <w:szCs w:val="28"/>
              </w:rPr>
              <w:t xml:space="preserve">. </w:t>
            </w:r>
          </w:p>
          <w:p w14:paraId="2F73E33E" w14:textId="77777777" w:rsidR="000D1BD6" w:rsidRPr="007A5BEC" w:rsidRDefault="000D1BD6" w:rsidP="007512BC">
            <w:pPr>
              <w:spacing w:after="0" w:line="240" w:lineRule="auto"/>
              <w:jc w:val="both"/>
              <w:rPr>
                <w:rFonts w:ascii="Times New Roman" w:eastAsia="Calibri" w:hAnsi="Times New Roman" w:cs="Times New Roman"/>
                <w:sz w:val="28"/>
                <w:szCs w:val="28"/>
              </w:rPr>
            </w:pPr>
          </w:p>
          <w:p w14:paraId="0BE18231" w14:textId="77777777" w:rsidR="000D1BD6" w:rsidRPr="007A5BEC" w:rsidRDefault="000D1BD6" w:rsidP="007512BC">
            <w:pPr>
              <w:pStyle w:val="tv213"/>
              <w:shd w:val="clear" w:color="auto" w:fill="FFFFFF"/>
              <w:spacing w:before="0" w:beforeAutospacing="0" w:after="0" w:afterAutospacing="0" w:line="293" w:lineRule="atLeast"/>
              <w:jc w:val="both"/>
              <w:rPr>
                <w:sz w:val="28"/>
                <w:szCs w:val="28"/>
                <w:lang w:val="lv-LV" w:eastAsia="lv-LV"/>
              </w:rPr>
            </w:pPr>
            <w:r w:rsidRPr="007A5BEC">
              <w:rPr>
                <w:rFonts w:eastAsia="Calibri"/>
                <w:sz w:val="28"/>
                <w:szCs w:val="28"/>
                <w:lang w:val="lv-LV"/>
              </w:rPr>
              <w:t xml:space="preserve">Ar projektu tiks nodrošināts Latvijas dalība </w:t>
            </w:r>
            <w:r w:rsidRPr="007A5BEC">
              <w:rPr>
                <w:sz w:val="28"/>
                <w:szCs w:val="28"/>
                <w:lang w:val="lv-LV" w:eastAsia="lv-LV"/>
              </w:rPr>
              <w:t xml:space="preserve">Veselības, novecošanas un pensionēšanās apsekojumā Eiropā </w:t>
            </w:r>
            <w:r w:rsidRPr="007A5BEC">
              <w:rPr>
                <w:i/>
                <w:sz w:val="28"/>
                <w:szCs w:val="28"/>
                <w:lang w:val="lv-LV" w:eastAsia="lv-LV"/>
              </w:rPr>
              <w:t>(Survey of Health, Ageing and Retirement in Europe)</w:t>
            </w:r>
            <w:r w:rsidRPr="007A5BEC">
              <w:rPr>
                <w:sz w:val="28"/>
                <w:szCs w:val="28"/>
                <w:lang w:val="lv-LV" w:eastAsia="lv-LV"/>
              </w:rPr>
              <w:t xml:space="preserve"> (turpmāk - SHARE pētījumā), kas ir starptautisks, multidisciplinārs, longitudināls pētījums par veselību, novecošanu un pensionēšanos Eiropā. SHARE pētījums ir vērsts uz iedzīvotāju virs 50 gadu vecuma dzīves apstākļu izpēti, iekļaujot veselības, ekonomiskos un sociālos aspektus. Harmonizēta SHARE pētījuma metodoloģija un jautājumi ļauj salīdzināt katrā valstī iegūtos rezultātus ar citām 27 ES valstīm un Izraēlu. Datu vākšana SHARE pētījumā notiek viļņos (kārtās) ik pēc diviem gadiem, kas ļauj izsekot respondentu dzīves pārmaiņām ilgākā laika posmā. Dalība SHARE pētījumā sniegs būtisku ieguldījumu sabiedrības veselības un darba tirgus politiku un citās jomās, kā arī sniegs ieguvumus Latvijas zinātniskās kapacitātes un izcilības celšanai, jauniem pētījumiem sabiedrības novecošanas dažādu aspektu izpētē un inovāciju radīšanai sabiedrības novecošanas problēmu risināšanai. Izvērsta informācija par SHARE ERIC un apsekojuma 9. un 10. posmu īstenošanu atrodama informatīvajā ziņojumā</w:t>
            </w:r>
            <w:r w:rsidRPr="007A5BEC">
              <w:rPr>
                <w:rStyle w:val="FootnoteReference"/>
                <w:sz w:val="28"/>
                <w:szCs w:val="28"/>
                <w:lang w:val="lv-LV" w:eastAsia="lv-LV"/>
              </w:rPr>
              <w:footnoteReference w:id="3"/>
            </w:r>
            <w:r w:rsidRPr="007A5BEC">
              <w:rPr>
                <w:sz w:val="28"/>
                <w:szCs w:val="28"/>
                <w:lang w:val="lv-LV" w:eastAsia="lv-LV"/>
              </w:rPr>
              <w:t xml:space="preserve">. </w:t>
            </w:r>
          </w:p>
          <w:p w14:paraId="654C3BE9" w14:textId="77777777" w:rsidR="000D1BD6" w:rsidRPr="007A5BEC" w:rsidRDefault="000D1BD6" w:rsidP="007512BC">
            <w:pPr>
              <w:spacing w:after="0" w:line="240" w:lineRule="auto"/>
              <w:ind w:left="131" w:hanging="131"/>
              <w:jc w:val="both"/>
              <w:rPr>
                <w:rFonts w:ascii="Times New Roman" w:hAnsi="Times New Roman" w:cs="Times New Roman"/>
                <w:sz w:val="28"/>
                <w:szCs w:val="28"/>
              </w:rPr>
            </w:pPr>
            <w:r w:rsidRPr="007A5BEC">
              <w:rPr>
                <w:rFonts w:ascii="Times New Roman" w:eastAsia="Calibri" w:hAnsi="Times New Roman" w:cs="Times New Roman"/>
                <w:sz w:val="28"/>
                <w:szCs w:val="28"/>
              </w:rPr>
              <w:t xml:space="preserve">Projekts paredz iespēju segt </w:t>
            </w:r>
            <w:r w:rsidRPr="007A5BEC">
              <w:rPr>
                <w:rFonts w:ascii="Times New Roman" w:hAnsi="Times New Roman" w:cs="Times New Roman"/>
                <w:sz w:val="28"/>
                <w:szCs w:val="28"/>
              </w:rPr>
              <w:t xml:space="preserve">Latvijas valsts dalības maksu SHARE ERIC SHARE pētījuma 9. vilnī. (par 2021. gadu). Par cik Latvijai nav dalībvalsts statuss SHARE ERIC, saskaņā ar SHARE ERIC 2019. gada 14. maija 11. SHARE ERIC padomes sēdes protokola 3. punkta 7. paragrāfu (turpmāk - SHARE ERIC protokols), ar katra minētā pētījuma viļņa īstenošanu saistīti izdevumi valstīm, kam nav biedra statuss SHARE ERIC, bez dalības maksas </w:t>
            </w:r>
            <w:r w:rsidRPr="007A5BEC">
              <w:rPr>
                <w:rFonts w:ascii="Times New Roman" w:hAnsi="Times New Roman" w:cs="Times New Roman"/>
                <w:sz w:val="28"/>
                <w:szCs w:val="28"/>
              </w:rPr>
              <w:lastRenderedPageBreak/>
              <w:t xml:space="preserve">attiecīgajā vilnī ir jāsedz arī īpaša dalības maksa </w:t>
            </w:r>
            <w:r w:rsidRPr="007A5BEC">
              <w:rPr>
                <w:rFonts w:ascii="Times New Roman" w:hAnsi="Times New Roman" w:cs="Times New Roman"/>
                <w:i/>
                <w:iCs/>
                <w:sz w:val="28"/>
                <w:szCs w:val="28"/>
              </w:rPr>
              <w:t>(participation fee)</w:t>
            </w:r>
            <w:r w:rsidRPr="007A5BEC">
              <w:rPr>
                <w:rFonts w:ascii="Times New Roman" w:hAnsi="Times New Roman" w:cs="Times New Roman"/>
                <w:sz w:val="28"/>
                <w:szCs w:val="28"/>
              </w:rPr>
              <w:t>.</w:t>
            </w:r>
          </w:p>
          <w:p w14:paraId="38A336A2" w14:textId="77777777" w:rsidR="000D1BD6" w:rsidRPr="007A5BEC" w:rsidRDefault="000D1BD6" w:rsidP="007512BC">
            <w:pPr>
              <w:spacing w:after="0" w:line="240" w:lineRule="auto"/>
              <w:jc w:val="both"/>
              <w:rPr>
                <w:rFonts w:ascii="Times New Roman" w:hAnsi="Times New Roman" w:cs="Times New Roman"/>
                <w:sz w:val="28"/>
                <w:szCs w:val="28"/>
              </w:rPr>
            </w:pPr>
            <w:r w:rsidRPr="007A5BEC">
              <w:rPr>
                <w:rFonts w:ascii="Times New Roman" w:hAnsi="Times New Roman" w:cs="Times New Roman"/>
                <w:sz w:val="28"/>
                <w:szCs w:val="28"/>
              </w:rPr>
              <w:t xml:space="preserve">Ievērojot minēto, lai Latvija nodrošinātu savu dalību 9.vilnī (2021.gads) un ievērojot, ka Latvija vēl nav dalībvalsts statuss SHARE ERIC, saskaņā ar SHARE ERIC protokolu ministrija plāno segt 2021. gada Latvijas valsts īpašo dalības maksu </w:t>
            </w:r>
            <w:r w:rsidRPr="007A5BEC">
              <w:rPr>
                <w:rFonts w:ascii="Times New Roman" w:hAnsi="Times New Roman" w:cs="Times New Roman"/>
                <w:i/>
                <w:iCs/>
                <w:sz w:val="28"/>
                <w:szCs w:val="28"/>
              </w:rPr>
              <w:t>(participation fee)</w:t>
            </w:r>
            <w:r w:rsidRPr="007A5BEC">
              <w:rPr>
                <w:rFonts w:ascii="Times New Roman" w:hAnsi="Times New Roman" w:cs="Times New Roman"/>
                <w:sz w:val="28"/>
                <w:szCs w:val="28"/>
              </w:rPr>
              <w:t xml:space="preserve"> no ministrijas apakšprogrammas 70.06.00 „Dalība Eiropas Savienības pētniecības un tehnoloģiju attīstības programmās” pieejamajiem finanšu līdzekļiem. </w:t>
            </w:r>
          </w:p>
          <w:p w14:paraId="6873A849" w14:textId="77777777" w:rsidR="000D1BD6" w:rsidRPr="007A5BEC" w:rsidRDefault="000D1BD6" w:rsidP="007512BC">
            <w:pPr>
              <w:spacing w:after="0" w:line="240" w:lineRule="auto"/>
              <w:jc w:val="both"/>
              <w:rPr>
                <w:rFonts w:ascii="Times New Roman" w:hAnsi="Times New Roman" w:cs="Times New Roman"/>
                <w:sz w:val="28"/>
                <w:szCs w:val="28"/>
              </w:rPr>
            </w:pPr>
            <w:r w:rsidRPr="007A5BEC">
              <w:rPr>
                <w:rFonts w:ascii="Times New Roman" w:hAnsi="Times New Roman" w:cs="Times New Roman"/>
                <w:sz w:val="28"/>
                <w:szCs w:val="28"/>
              </w:rPr>
              <w:t>Latvijas kā dalībvalsts statusa iegūšanu SHARE ERIC ir plānots no 2022. gada, par ko ministrija ir sagatavojusi un virza izskatīšanai Ministru kabinetā informatīvā ziņojuma projektu “Par Latvijas dalības aktualizāciju Eiropas pētniecības infrastruktūru stratēģijas foruma (ESFRI) Eiropas pētniecības infrastruktūru Ceļa kartes pētniecības infrastruktūrās un Eiropas pētniecības infrastruktūru konsorcijos”, kur dalības maksas ESFRI infrastruktūru organizācijās paredzēts segt no ministrijas budžeta programmas 70.00.00 “Citu Eiropas Savienības politiku instrumentu projektu un pasākumu īstenošana” apakšprogrammas 70.06.00 “Dalība Eiropas Savienības pētniecības un tehnoloģiju attīstības programmās” piešķirto līdzekļu ietvaros.</w:t>
            </w:r>
          </w:p>
          <w:p w14:paraId="380BE4A4" w14:textId="77777777" w:rsidR="000D1BD6" w:rsidRPr="007A5BEC" w:rsidRDefault="000D1BD6" w:rsidP="007512BC">
            <w:pPr>
              <w:pStyle w:val="tv213"/>
              <w:shd w:val="clear" w:color="auto" w:fill="FFFFFF"/>
              <w:spacing w:before="0" w:beforeAutospacing="0" w:after="0" w:afterAutospacing="0" w:line="293" w:lineRule="atLeast"/>
              <w:jc w:val="both"/>
              <w:rPr>
                <w:sz w:val="28"/>
                <w:szCs w:val="28"/>
                <w:lang w:val="lv-LV" w:eastAsia="lv-LV"/>
              </w:rPr>
            </w:pPr>
          </w:p>
          <w:p w14:paraId="3B4F458A" w14:textId="77777777" w:rsidR="000D1BD6" w:rsidRPr="007A5BEC" w:rsidRDefault="000D1BD6" w:rsidP="007512BC">
            <w:pPr>
              <w:pStyle w:val="tv213"/>
              <w:shd w:val="clear" w:color="auto" w:fill="FFFFFF"/>
              <w:spacing w:before="0" w:beforeAutospacing="0" w:after="0" w:afterAutospacing="0" w:line="293" w:lineRule="atLeast"/>
              <w:jc w:val="both"/>
              <w:rPr>
                <w:sz w:val="28"/>
                <w:szCs w:val="28"/>
                <w:lang w:val="lv-LV"/>
              </w:rPr>
            </w:pPr>
            <w:r w:rsidRPr="007A5BEC">
              <w:rPr>
                <w:sz w:val="28"/>
                <w:szCs w:val="28"/>
                <w:lang w:val="lv-LV"/>
              </w:rPr>
              <w:t>Papildus minētajiem grozījumiem MK noteikumos, projekts paredz vēl šādus grozījumus MK noteikumos:</w:t>
            </w:r>
          </w:p>
          <w:p w14:paraId="6B2B906D" w14:textId="77777777" w:rsidR="000D1BD6" w:rsidRPr="007A5BEC" w:rsidRDefault="000D1BD6" w:rsidP="007512BC">
            <w:pPr>
              <w:pStyle w:val="tv213"/>
              <w:shd w:val="clear" w:color="auto" w:fill="FFFFFF"/>
              <w:spacing w:before="0" w:beforeAutospacing="0" w:after="0" w:afterAutospacing="0" w:line="293" w:lineRule="atLeast"/>
              <w:jc w:val="both"/>
              <w:rPr>
                <w:sz w:val="28"/>
                <w:szCs w:val="28"/>
                <w:lang w:val="lv-LV"/>
              </w:rPr>
            </w:pPr>
          </w:p>
          <w:p w14:paraId="0150A8E0" w14:textId="77777777" w:rsidR="000D1BD6" w:rsidRPr="007A5BEC" w:rsidRDefault="000D1BD6" w:rsidP="007512BC">
            <w:pPr>
              <w:spacing w:after="0" w:line="240" w:lineRule="auto"/>
              <w:jc w:val="both"/>
              <w:rPr>
                <w:rFonts w:ascii="Times New Roman" w:hAnsi="Times New Roman" w:cs="Times New Roman"/>
                <w:sz w:val="28"/>
                <w:szCs w:val="28"/>
              </w:rPr>
            </w:pPr>
            <w:r w:rsidRPr="007A5BEC">
              <w:rPr>
                <w:rFonts w:ascii="Times New Roman" w:hAnsi="Times New Roman" w:cs="Times New Roman"/>
                <w:sz w:val="28"/>
                <w:szCs w:val="28"/>
              </w:rPr>
              <w:t xml:space="preserve">1) papildināt ar jaunu </w:t>
            </w:r>
            <w:r w:rsidRPr="007A5BEC">
              <w:rPr>
                <w:rFonts w:ascii="Times New Roman" w:eastAsia="Times New Roman" w:hAnsi="Times New Roman" w:cs="Times New Roman"/>
                <w:sz w:val="28"/>
                <w:szCs w:val="28"/>
                <w:lang w:eastAsia="lv-LV"/>
              </w:rPr>
              <w:t xml:space="preserve">4.2.7. apakšpunktu, </w:t>
            </w:r>
            <w:r w:rsidRPr="007A5BEC">
              <w:rPr>
                <w:rFonts w:ascii="Times New Roman" w:hAnsi="Times New Roman" w:cs="Times New Roman"/>
                <w:sz w:val="28"/>
                <w:szCs w:val="28"/>
              </w:rPr>
              <w:t xml:space="preserve">kas paredz Latvijas dalības maksu un projektu izmaksu segšanu, SHARE </w:t>
            </w:r>
            <w:r w:rsidRPr="007A5BEC">
              <w:rPr>
                <w:rFonts w:ascii="Times New Roman" w:eastAsia="Times New Roman" w:hAnsi="Times New Roman" w:cs="Times New Roman"/>
                <w:sz w:val="28"/>
                <w:szCs w:val="28"/>
                <w:lang w:eastAsia="lv-LV"/>
              </w:rPr>
              <w:t xml:space="preserve">Eiropas pētniecības infrastruktūras konsorcijā </w:t>
            </w:r>
            <w:r w:rsidRPr="007A5BEC">
              <w:rPr>
                <w:rFonts w:ascii="Times New Roman" w:eastAsia="Times New Roman" w:hAnsi="Times New Roman" w:cs="Times New Roman"/>
                <w:i/>
                <w:sz w:val="28"/>
                <w:szCs w:val="28"/>
                <w:lang w:eastAsia="lv-LV"/>
              </w:rPr>
              <w:t xml:space="preserve">(European Research Infrastructure Consortium) </w:t>
            </w:r>
            <w:r w:rsidRPr="007A5BEC">
              <w:rPr>
                <w:rFonts w:ascii="Times New Roman" w:eastAsia="Times New Roman" w:hAnsi="Times New Roman" w:cs="Times New Roman"/>
                <w:iCs/>
                <w:sz w:val="28"/>
                <w:szCs w:val="28"/>
                <w:lang w:eastAsia="lv-LV"/>
              </w:rPr>
              <w:t>(turpmāk – ERIC)</w:t>
            </w:r>
            <w:r w:rsidRPr="007A5BEC">
              <w:rPr>
                <w:rFonts w:ascii="Times New Roman" w:hAnsi="Times New Roman" w:cs="Times New Roman"/>
                <w:sz w:val="28"/>
                <w:szCs w:val="28"/>
              </w:rPr>
              <w:t>;</w:t>
            </w:r>
          </w:p>
          <w:p w14:paraId="0E6B55D8" w14:textId="77777777" w:rsidR="000D1BD6" w:rsidRPr="007A5BEC" w:rsidRDefault="000D1BD6" w:rsidP="007512BC">
            <w:pPr>
              <w:spacing w:after="0" w:line="240" w:lineRule="auto"/>
              <w:jc w:val="both"/>
              <w:rPr>
                <w:rFonts w:ascii="Times New Roman" w:hAnsi="Times New Roman" w:cs="Times New Roman"/>
                <w:sz w:val="28"/>
                <w:szCs w:val="28"/>
              </w:rPr>
            </w:pPr>
          </w:p>
          <w:p w14:paraId="46C90959" w14:textId="77777777" w:rsidR="000D1BD6" w:rsidRPr="007A5BEC" w:rsidRDefault="000D1BD6" w:rsidP="007512BC">
            <w:pPr>
              <w:spacing w:after="0" w:line="240" w:lineRule="auto"/>
              <w:ind w:firstLine="720"/>
              <w:jc w:val="both"/>
              <w:rPr>
                <w:rFonts w:ascii="Times New Roman" w:eastAsia="Times New Roman" w:hAnsi="Times New Roman" w:cs="Times New Roman"/>
                <w:lang w:eastAsia="lv-LV"/>
              </w:rPr>
            </w:pPr>
            <w:r w:rsidRPr="007A5BEC">
              <w:rPr>
                <w:rFonts w:ascii="Times New Roman" w:hAnsi="Times New Roman" w:cs="Times New Roman"/>
                <w:sz w:val="28"/>
                <w:szCs w:val="28"/>
              </w:rPr>
              <w:t>2</w:t>
            </w:r>
            <w:r w:rsidRPr="007A5BEC">
              <w:rPr>
                <w:rFonts w:ascii="Times New Roman" w:eastAsia="Times New Roman" w:hAnsi="Times New Roman" w:cs="Times New Roman"/>
                <w:sz w:val="28"/>
                <w:szCs w:val="28"/>
                <w:lang w:eastAsia="lv-LV"/>
              </w:rPr>
              <w:t>) papildināt ar jaunu 9.</w:t>
            </w:r>
            <w:r w:rsidRPr="007A5BEC">
              <w:rPr>
                <w:rFonts w:ascii="Times New Roman" w:eastAsia="Times New Roman" w:hAnsi="Times New Roman" w:cs="Times New Roman"/>
                <w:sz w:val="28"/>
                <w:szCs w:val="28"/>
                <w:vertAlign w:val="superscript"/>
                <w:lang w:eastAsia="lv-LV"/>
              </w:rPr>
              <w:t xml:space="preserve">1 </w:t>
            </w:r>
            <w:r w:rsidRPr="007A5BEC">
              <w:rPr>
                <w:rFonts w:ascii="Times New Roman" w:eastAsia="Times New Roman" w:hAnsi="Times New Roman" w:cs="Times New Roman"/>
                <w:sz w:val="28"/>
                <w:szCs w:val="28"/>
                <w:lang w:eastAsia="lv-LV"/>
              </w:rPr>
              <w:t xml:space="preserve">punktu un 12.16.apakšpunktu, saskaņā ar kuriem </w:t>
            </w:r>
            <w:r w:rsidRPr="007A5BEC">
              <w:rPr>
                <w:rFonts w:ascii="Times New Roman" w:hAnsi="Times New Roman" w:cs="Times New Roman"/>
                <w:sz w:val="28"/>
                <w:szCs w:val="28"/>
                <w:shd w:val="clear" w:color="auto" w:fill="FFFFFF"/>
              </w:rPr>
              <w:t xml:space="preserve">Valsts izglītības un attīstības aģentūra (turpmāk – aģentūras) </w:t>
            </w:r>
            <w:r w:rsidRPr="007A5BEC">
              <w:rPr>
                <w:rFonts w:ascii="Times New Roman" w:eastAsia="Times New Roman" w:hAnsi="Times New Roman" w:cs="Times New Roman"/>
                <w:sz w:val="28"/>
                <w:szCs w:val="28"/>
                <w:lang w:eastAsia="lv-LV"/>
              </w:rPr>
              <w:t xml:space="preserve"> slēdz atbalsta līgumu par valsts atbalsta piešķiršanu, ja atbalsta pretendents uz šī līguma slēgšanas dienu </w:t>
            </w:r>
            <w:r w:rsidRPr="007A5BEC">
              <w:rPr>
                <w:rFonts w:ascii="Times New Roman" w:eastAsia="Times New Roman" w:hAnsi="Times New Roman" w:cs="Times New Roman"/>
                <w:sz w:val="28"/>
                <w:szCs w:val="28"/>
                <w:lang w:eastAsia="lv-LV"/>
              </w:rPr>
              <w:lastRenderedPageBreak/>
              <w:t>atbilst visiem MK noteikumos</w:t>
            </w:r>
            <w:r>
              <w:rPr>
                <w:rFonts w:ascii="Times New Roman" w:eastAsia="Times New Roman" w:hAnsi="Times New Roman" w:cs="Times New Roman"/>
                <w:sz w:val="28"/>
                <w:szCs w:val="28"/>
                <w:lang w:eastAsia="lv-LV"/>
              </w:rPr>
              <w:t xml:space="preserve"> ietvertajiem</w:t>
            </w:r>
            <w:r w:rsidRPr="007A5BEC">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regulas </w:t>
            </w:r>
            <w:r w:rsidRPr="007A5BEC">
              <w:rPr>
                <w:rFonts w:ascii="Times New Roman" w:eastAsia="Times New Roman" w:hAnsi="Times New Roman" w:cs="Times New Roman"/>
                <w:sz w:val="28"/>
                <w:szCs w:val="28"/>
                <w:lang w:eastAsia="lv-LV"/>
              </w:rPr>
              <w:t xml:space="preserve">Nr.651/2014 </w:t>
            </w:r>
            <w:r>
              <w:rPr>
                <w:rFonts w:ascii="Times New Roman" w:eastAsia="Times New Roman" w:hAnsi="Times New Roman" w:cs="Times New Roman"/>
                <w:sz w:val="28"/>
                <w:szCs w:val="28"/>
                <w:lang w:eastAsia="lv-LV"/>
              </w:rPr>
              <w:t>nosacījumiem. P</w:t>
            </w:r>
            <w:r w:rsidRPr="007A5BEC">
              <w:rPr>
                <w:rFonts w:ascii="Times New Roman" w:eastAsia="Times New Roman" w:hAnsi="Times New Roman" w:cs="Times New Roman"/>
                <w:sz w:val="28"/>
                <w:szCs w:val="28"/>
                <w:lang w:eastAsia="lv-LV"/>
              </w:rPr>
              <w:t>ēc minētās atbilstības konstatējuma, aģentūra un atbalsta pretendenta paraksta līgumu un datums, kurā abas puses ir parakstījušas šo līgumu ir uzskatāms par valsts</w:t>
            </w:r>
            <w:r w:rsidRPr="007A5BEC">
              <w:rPr>
                <w:rFonts w:ascii="Times New Roman" w:eastAsia="Calibri" w:hAnsi="Times New Roman" w:cs="Times New Roman"/>
                <w:sz w:val="28"/>
                <w:szCs w:val="28"/>
                <w:lang w:eastAsia="lv-LV"/>
              </w:rPr>
              <w:t xml:space="preserve"> atbalsta piešķiršanas datumu</w:t>
            </w:r>
            <w:r w:rsidRPr="007A5BEC">
              <w:rPr>
                <w:rFonts w:ascii="Times New Roman" w:eastAsia="Times New Roman" w:hAnsi="Times New Roman" w:cs="Times New Roman"/>
                <w:sz w:val="28"/>
                <w:szCs w:val="28"/>
                <w:lang w:eastAsia="lv-LV"/>
              </w:rPr>
              <w:t>.”;</w:t>
            </w:r>
          </w:p>
          <w:p w14:paraId="2978846C" w14:textId="77777777" w:rsidR="000D1BD6" w:rsidRPr="007A5BEC" w:rsidRDefault="000D1BD6" w:rsidP="007512BC">
            <w:pPr>
              <w:spacing w:after="0" w:line="240" w:lineRule="auto"/>
              <w:jc w:val="both"/>
              <w:rPr>
                <w:rFonts w:ascii="Times New Roman" w:eastAsia="Times New Roman" w:hAnsi="Times New Roman" w:cs="Times New Roman"/>
                <w:sz w:val="28"/>
                <w:szCs w:val="28"/>
                <w:lang w:eastAsia="lv-LV"/>
              </w:rPr>
            </w:pPr>
          </w:p>
          <w:p w14:paraId="0F7CE061" w14:textId="77777777" w:rsidR="000D1BD6" w:rsidRPr="007A5BEC" w:rsidRDefault="000D1BD6" w:rsidP="007512BC">
            <w:pPr>
              <w:spacing w:after="0" w:line="240" w:lineRule="auto"/>
              <w:jc w:val="both"/>
              <w:rPr>
                <w:rFonts w:ascii="Times New Roman" w:hAnsi="Times New Roman" w:cs="Times New Roman"/>
                <w:sz w:val="28"/>
                <w:szCs w:val="28"/>
              </w:rPr>
            </w:pPr>
            <w:r w:rsidRPr="007A5BEC">
              <w:rPr>
                <w:rFonts w:ascii="Times New Roman" w:eastAsia="Times New Roman" w:hAnsi="Times New Roman" w:cs="Times New Roman"/>
                <w:sz w:val="28"/>
                <w:szCs w:val="28"/>
                <w:lang w:eastAsia="lv-LV"/>
              </w:rPr>
              <w:t xml:space="preserve">3) papildināt ar jaunu10.¹ punktu par saņemtā </w:t>
            </w:r>
            <w:r w:rsidRPr="007A5BEC">
              <w:rPr>
                <w:rFonts w:ascii="Times New Roman" w:hAnsi="Times New Roman" w:cs="Times New Roman"/>
                <w:sz w:val="28"/>
                <w:szCs w:val="28"/>
              </w:rPr>
              <w:t>atbalsta atmaksāšanu, kur projekta īstenotājam ir pienākums atmaksāt aģentūrai projekta ietvaros saņemto nelikumīgo komercdarbības atbalstu, ja konstatē, ka valsts atbalsts vai valsts līdzfinansējums ir piešķirts kā nelikumīgs komercdarbības atbalsts, atbilstoši Komercdarbības atbalsta kontroles likuma IV. un V. nodaļas nosacījumiem, ņemot vērā to, ka nelikumīga valsts atbalsta atgūšana ir jānodrošina gan gadījumos, kad tiek konstatēti Eiropas Komisijas 2014. gada 17. jūnija Regulas (ES) Nr. 651/2014, ar ko noteiktas atbalsta kategorijas atzīst par saderīgām ar iekšējo tirgu, piemērojot Līguma 107. un 108. pantu (turpmāk – regula Nr. 651/2014) pārkāpumi, gan arī tad, ja ar saimniecisko darbību nesaistīts projekts tā īstenošanas laikā kļūst par ar saimniecisko darbību saistītu projektu, bet komercdarbības atbalsta kontroles nosacījumi tam piemēroti nav.</w:t>
            </w:r>
          </w:p>
          <w:p w14:paraId="44B8A51B" w14:textId="77777777" w:rsidR="000D1BD6" w:rsidRPr="007A5BEC" w:rsidRDefault="000D1BD6" w:rsidP="007512BC">
            <w:pPr>
              <w:spacing w:after="0" w:line="240" w:lineRule="auto"/>
              <w:jc w:val="both"/>
              <w:rPr>
                <w:rFonts w:ascii="Times New Roman" w:hAnsi="Times New Roman" w:cs="Times New Roman"/>
                <w:sz w:val="28"/>
                <w:szCs w:val="28"/>
                <w:shd w:val="clear" w:color="auto" w:fill="FFFFFF"/>
              </w:rPr>
            </w:pPr>
            <w:r w:rsidRPr="007A5BEC">
              <w:rPr>
                <w:rFonts w:ascii="Times New Roman" w:hAnsi="Times New Roman" w:cs="Times New Roman"/>
                <w:sz w:val="28"/>
                <w:szCs w:val="28"/>
                <w:shd w:val="clear" w:color="auto" w:fill="FFFFFF"/>
              </w:rPr>
              <w:t xml:space="preserve">Ievērojot minēto projekta īstenotājs zinās, ka, konstatējot nelikumīgu komercdarbības atbalstu aģentūra atgūst atbalstu saskaņā ar Komercdarbības atbalsta kontroles likuma </w:t>
            </w:r>
            <w:r w:rsidRPr="007A5BEC">
              <w:rPr>
                <w:rFonts w:ascii="Times New Roman" w:hAnsi="Times New Roman" w:cs="Times New Roman"/>
                <w:sz w:val="28"/>
                <w:szCs w:val="28"/>
              </w:rPr>
              <w:t xml:space="preserve">IV. un V. nodaļā </w:t>
            </w:r>
            <w:r w:rsidRPr="007A5BEC">
              <w:rPr>
                <w:rFonts w:ascii="Times New Roman" w:hAnsi="Times New Roman" w:cs="Times New Roman"/>
                <w:sz w:val="28"/>
                <w:szCs w:val="28"/>
                <w:shd w:val="clear" w:color="auto" w:fill="FFFFFF"/>
              </w:rPr>
              <w:t>noteikto, ievērojot šī likuma 2.panta 11.punktā noteikto terminu “</w:t>
            </w:r>
            <w:r w:rsidRPr="007A5BEC">
              <w:rPr>
                <w:rFonts w:ascii="Times New Roman" w:hAnsi="Times New Roman" w:cs="Times New Roman"/>
                <w:bCs/>
                <w:sz w:val="28"/>
                <w:szCs w:val="28"/>
                <w:shd w:val="clear" w:color="auto" w:fill="FFFFFF"/>
              </w:rPr>
              <w:t xml:space="preserve">nelikumīgs komercdarbības atbalsts”. Minētais ir attiecināms arī tad, ja netiek izpildīts MK noteikumu 3.4.apakšpunkts par </w:t>
            </w:r>
            <w:r w:rsidRPr="007A5BEC">
              <w:rPr>
                <w:rFonts w:ascii="Times New Roman" w:hAnsi="Times New Roman" w:cs="Times New Roman"/>
                <w:sz w:val="28"/>
                <w:szCs w:val="28"/>
                <w:shd w:val="clear" w:color="auto" w:fill="FFFFFF"/>
              </w:rPr>
              <w:t xml:space="preserve">saimnieciskas darbības nesaistīta projekta īstenošanu, jo minētais termins nosaka, ka par nelikumīgu komercdarbības atbalstu uzskata arī nepamatoti izlietotu komercdarbības atbalstu, tas ir, tādu komercdarbības atbalstu, kuru tā saņēmējs izmanto, pārkāpjot tā tiesību akta nosacījumus, ar kuru komercdarbības atbalsta saņēmējam saskaņā ar tiesību aktos noteikto tika piešķirtas tiesības saņemt komercdarbības atbalstu, vai pārkāpjot tāda Eiropas Komisijas </w:t>
            </w:r>
            <w:r w:rsidRPr="007A5BEC">
              <w:rPr>
                <w:rFonts w:ascii="Times New Roman" w:hAnsi="Times New Roman" w:cs="Times New Roman"/>
                <w:sz w:val="28"/>
                <w:szCs w:val="28"/>
                <w:shd w:val="clear" w:color="auto" w:fill="FFFFFF"/>
              </w:rPr>
              <w:lastRenderedPageBreak/>
              <w:t>lēmuma nosacījumus, kurš pieņemts atbilstoši Padomes regulas Nr. </w:t>
            </w:r>
            <w:hyperlink r:id="rId8" w:tgtFrame="_blank" w:history="1">
              <w:r w:rsidRPr="007A5BEC">
                <w:rPr>
                  <w:rFonts w:ascii="Times New Roman" w:hAnsi="Times New Roman" w:cs="Times New Roman"/>
                  <w:sz w:val="28"/>
                  <w:szCs w:val="28"/>
                  <w:shd w:val="clear" w:color="auto" w:fill="FFFFFF"/>
                </w:rPr>
                <w:t>2015/1589</w:t>
              </w:r>
            </w:hyperlink>
            <w:r w:rsidRPr="007A5BEC">
              <w:rPr>
                <w:rFonts w:ascii="Times New Roman" w:hAnsi="Times New Roman" w:cs="Times New Roman"/>
                <w:sz w:val="28"/>
                <w:szCs w:val="28"/>
                <w:shd w:val="clear" w:color="auto" w:fill="FFFFFF"/>
              </w:rPr>
              <w:t> 4. panta 2. un 3. punktam vai 9. panta 2., 3. vai 4. punktam.</w:t>
            </w:r>
          </w:p>
          <w:p w14:paraId="7AA2DBAA" w14:textId="77777777" w:rsidR="000D1BD6" w:rsidRPr="007A5BEC" w:rsidRDefault="000D1BD6" w:rsidP="007512BC">
            <w:pPr>
              <w:spacing w:after="0" w:line="240" w:lineRule="auto"/>
              <w:jc w:val="both"/>
              <w:rPr>
                <w:rFonts w:ascii="Times New Roman" w:hAnsi="Times New Roman" w:cs="Times New Roman"/>
                <w:sz w:val="28"/>
                <w:szCs w:val="28"/>
                <w:shd w:val="clear" w:color="auto" w:fill="FFFFFF"/>
              </w:rPr>
            </w:pPr>
            <w:r w:rsidRPr="007A5BEC">
              <w:rPr>
                <w:rFonts w:ascii="Times New Roman" w:hAnsi="Times New Roman" w:cs="Times New Roman"/>
                <w:sz w:val="28"/>
                <w:szCs w:val="28"/>
                <w:shd w:val="clear" w:color="auto" w:fill="FFFFFF"/>
              </w:rPr>
              <w:t>Atbilstoši pašreizējai Eiropas Savienības tiesu judikatūrai, gadījumā, ja ir pārkāptas regulas Nr.651/2014, prasības, atbalsta sniedzējs pats pēc savas iniciatīvas veic visa nelikumīgā komercdarbības atbalsta atgūšanu un tam ir jāpieprasa no atbalsta saņēmēja procenti par visu laikposmu, kurā tas ir guvis labumu no šī atbalsta, pēc likmes, kas vienāda ar likmi, kura būtu tikusi piemērota, ja šim atbalsta saņēmējam minētajā laikposmā attiecīgā atbalsta summa būtu bijusi jāaizņemas tirgū</w:t>
            </w:r>
            <w:r w:rsidRPr="007A5BEC">
              <w:rPr>
                <w:rStyle w:val="FootnoteReference"/>
                <w:rFonts w:ascii="Times New Roman" w:hAnsi="Times New Roman" w:cs="Times New Roman"/>
                <w:sz w:val="28"/>
                <w:szCs w:val="28"/>
                <w:shd w:val="clear" w:color="auto" w:fill="FFFFFF"/>
              </w:rPr>
              <w:footnoteReference w:id="4"/>
            </w:r>
            <w:r w:rsidRPr="007A5BEC">
              <w:rPr>
                <w:rFonts w:ascii="Times New Roman" w:hAnsi="Times New Roman" w:cs="Times New Roman"/>
                <w:sz w:val="28"/>
                <w:szCs w:val="28"/>
                <w:shd w:val="clear" w:color="auto" w:fill="FFFFFF"/>
              </w:rPr>
              <w:t>.</w:t>
            </w:r>
          </w:p>
          <w:p w14:paraId="54D20750" w14:textId="77777777" w:rsidR="000D1BD6" w:rsidRPr="007A5BEC" w:rsidRDefault="000D1BD6" w:rsidP="007512BC">
            <w:pPr>
              <w:spacing w:after="0" w:line="240" w:lineRule="auto"/>
              <w:jc w:val="both"/>
              <w:rPr>
                <w:rFonts w:ascii="Times New Roman" w:hAnsi="Times New Roman" w:cs="Times New Roman"/>
                <w:sz w:val="28"/>
                <w:szCs w:val="28"/>
              </w:rPr>
            </w:pPr>
            <w:r w:rsidRPr="007A5BEC">
              <w:rPr>
                <w:rFonts w:ascii="Times New Roman" w:hAnsi="Times New Roman" w:cs="Times New Roman"/>
                <w:sz w:val="28"/>
                <w:szCs w:val="28"/>
              </w:rPr>
              <w:t>Nelikumīga valsts atbalsta atgūšana tiks veikta gan gadījumos, kad tiek konstatēti regulas Nr. 651/2014 pārkāpumi, gan arī tad, ja ar saimniecisko darbību nesaistīts projekts tā īstenošanas laikā kļūst par ar saimniecisko darbību saistītu projektu un nav piemērots komercdarbības atbalsta kontroles normatīvais regulējums. Ievērojot minēto, arī attiecībā uz piešķirto valsts līdzfinansējumu, gadījumā, ja tas projekta realizācijas gaitā kļūst par valsts atbalstu, arī attiecībā uz to tiks veikta nelikumīgā komercdarbības atbalsta atgūšana, kur projekta īstenotājam būs pienākums atmaksāt aģentūrai projekta ietvaros saņemto nelikumīgo komercdarbības atbalstu;</w:t>
            </w:r>
          </w:p>
          <w:p w14:paraId="186F59F6" w14:textId="77777777" w:rsidR="000D1BD6" w:rsidRPr="007A5BEC" w:rsidRDefault="000D1BD6" w:rsidP="007512BC">
            <w:pPr>
              <w:spacing w:after="0" w:line="240" w:lineRule="auto"/>
              <w:jc w:val="both"/>
              <w:rPr>
                <w:rFonts w:ascii="Times New Roman" w:hAnsi="Times New Roman" w:cs="Times New Roman"/>
                <w:sz w:val="28"/>
                <w:szCs w:val="28"/>
                <w:shd w:val="clear" w:color="auto" w:fill="FFFFFF"/>
              </w:rPr>
            </w:pPr>
          </w:p>
          <w:p w14:paraId="02DAFA4D" w14:textId="77777777" w:rsidR="000D1BD6" w:rsidRPr="007A5BEC" w:rsidRDefault="000D1BD6" w:rsidP="007512BC">
            <w:pPr>
              <w:spacing w:after="0" w:line="240" w:lineRule="auto"/>
              <w:jc w:val="both"/>
              <w:rPr>
                <w:rFonts w:ascii="Times New Roman" w:hAnsi="Times New Roman" w:cs="Times New Roman"/>
                <w:iCs/>
                <w:sz w:val="28"/>
                <w:szCs w:val="28"/>
              </w:rPr>
            </w:pPr>
            <w:r w:rsidRPr="007A5BEC">
              <w:rPr>
                <w:rFonts w:ascii="Times New Roman" w:hAnsi="Times New Roman" w:cs="Times New Roman"/>
                <w:sz w:val="28"/>
                <w:szCs w:val="28"/>
                <w:shd w:val="clear" w:color="auto" w:fill="FFFFFF"/>
              </w:rPr>
              <w:t xml:space="preserve">4) izteikt jauna redakcijā </w:t>
            </w:r>
            <w:r w:rsidRPr="007A5BEC">
              <w:rPr>
                <w:rFonts w:ascii="Times New Roman" w:eastAsia="Times New Roman" w:hAnsi="Times New Roman" w:cs="Times New Roman"/>
                <w:sz w:val="28"/>
                <w:szCs w:val="28"/>
                <w:lang w:eastAsia="lv-LV"/>
              </w:rPr>
              <w:t xml:space="preserve">MK noteikumu 13.1.1.1.1. apakšpunktu par </w:t>
            </w:r>
            <w:r w:rsidRPr="007A5BEC">
              <w:rPr>
                <w:rFonts w:ascii="Times New Roman" w:hAnsi="Times New Roman" w:cs="Times New Roman"/>
                <w:sz w:val="28"/>
                <w:szCs w:val="28"/>
                <w:shd w:val="clear" w:color="auto" w:fill="FFFFFF"/>
              </w:rPr>
              <w:t>projekta izpildē nodarbinātā personāla izmaksas</w:t>
            </w:r>
            <w:r w:rsidRPr="007A5BEC">
              <w:rPr>
                <w:rFonts w:ascii="Times New Roman" w:hAnsi="Times New Roman" w:cs="Times New Roman"/>
                <w:sz w:val="28"/>
                <w:szCs w:val="28"/>
              </w:rPr>
              <w:t>, lai atrisinātu problēmu, kas ir saistīta ar projekta izpildē nodarbinātā personāla nekonkurētspējīgo atalgojumu. Projektu</w:t>
            </w:r>
            <w:r w:rsidRPr="007A5BEC">
              <w:rPr>
                <w:rFonts w:ascii="Times New Roman" w:hAnsi="Times New Roman" w:cs="Times New Roman"/>
                <w:iCs/>
                <w:sz w:val="28"/>
                <w:szCs w:val="28"/>
              </w:rPr>
              <w:t xml:space="preserve"> izpildē nodarbinātā personāla atalgojuma izmaksas nav pārskatītas kopš MK noteikumu stāšanās spēkā, tas ir 2015. gada 17. jūnijā. Saskaņā ar Centrālās statistikas pārvaldes datiem</w:t>
            </w:r>
            <w:r w:rsidRPr="007A5BEC">
              <w:rPr>
                <w:rStyle w:val="FootnoteReference"/>
                <w:rFonts w:ascii="Times New Roman" w:hAnsi="Times New Roman" w:cs="Times New Roman"/>
                <w:iCs/>
                <w:sz w:val="28"/>
                <w:szCs w:val="28"/>
              </w:rPr>
              <w:footnoteReference w:id="5"/>
            </w:r>
            <w:r w:rsidRPr="007A5BEC">
              <w:rPr>
                <w:rFonts w:ascii="Times New Roman" w:hAnsi="Times New Roman" w:cs="Times New Roman"/>
                <w:iCs/>
                <w:sz w:val="28"/>
                <w:szCs w:val="28"/>
              </w:rPr>
              <w:t xml:space="preserve">, laika posmā no 2015. gada 2. </w:t>
            </w:r>
            <w:r w:rsidRPr="007A5BEC">
              <w:rPr>
                <w:rFonts w:ascii="Times New Roman" w:hAnsi="Times New Roman" w:cs="Times New Roman"/>
                <w:iCs/>
                <w:sz w:val="28"/>
                <w:szCs w:val="28"/>
              </w:rPr>
              <w:lastRenderedPageBreak/>
              <w:t xml:space="preserve">ceturkšņa līdz 2020. gada 4. ceturksnim strādājošo mēneša vidējā darba samaksa Latvijā ir augusi par 43%. MK noteikumu </w:t>
            </w:r>
            <w:r w:rsidRPr="007A5BEC">
              <w:rPr>
                <w:rFonts w:ascii="Times New Roman" w:eastAsia="Times New Roman" w:hAnsi="Times New Roman" w:cs="Times New Roman"/>
                <w:sz w:val="28"/>
                <w:szCs w:val="28"/>
                <w:lang w:eastAsia="lv-LV"/>
              </w:rPr>
              <w:t xml:space="preserve">13.1.1.1. apakšpunktā </w:t>
            </w:r>
            <w:r w:rsidRPr="007A5BEC">
              <w:rPr>
                <w:rFonts w:ascii="Times New Roman" w:hAnsi="Times New Roman" w:cs="Times New Roman"/>
                <w:iCs/>
                <w:sz w:val="28"/>
                <w:szCs w:val="28"/>
              </w:rPr>
              <w:t xml:space="preserve">noteiktie atalgojuma griesti kavē pētniecības organizāciju spēju projektu izpildei piesaistīt atbilstošas kvalifikācijas speciālistus, jo nemotivē pētniecības organizācijas un komersantus vairāk iesaistīties ES un starptautiskos pētniecības, inovāciju, tehnoloģiju attīstības un demonstrācijas programmu projektos, tādējādi neradot iespēju piesaistīt Latvijai lielāku ES un starptautisko organizāciju finansējumu. Saskaņā ar Centrālās statistikas pārvaldes datiem par darba vietām atbilstoši profesiju klasifikatoram, 2015. gada februārī vidējā stundas tarifa likme vadošajam pētniekam bija 10,71 </w:t>
            </w:r>
            <w:r w:rsidRPr="007A5BEC">
              <w:rPr>
                <w:rFonts w:ascii="Times New Roman" w:hAnsi="Times New Roman" w:cs="Times New Roman"/>
                <w:i/>
                <w:sz w:val="28"/>
                <w:szCs w:val="28"/>
              </w:rPr>
              <w:t>euro</w:t>
            </w:r>
            <w:r w:rsidRPr="007A5BEC">
              <w:rPr>
                <w:rFonts w:ascii="Times New Roman" w:hAnsi="Times New Roman" w:cs="Times New Roman"/>
                <w:iCs/>
                <w:sz w:val="28"/>
                <w:szCs w:val="28"/>
              </w:rPr>
              <w:t xml:space="preserve"> un pētniekam – 8,99 </w:t>
            </w:r>
            <w:r w:rsidRPr="007A5BEC">
              <w:rPr>
                <w:rFonts w:ascii="Times New Roman" w:hAnsi="Times New Roman" w:cs="Times New Roman"/>
                <w:i/>
                <w:sz w:val="28"/>
                <w:szCs w:val="28"/>
              </w:rPr>
              <w:t>euro</w:t>
            </w:r>
            <w:r w:rsidRPr="007A5BEC">
              <w:rPr>
                <w:rStyle w:val="FootnoteReference"/>
                <w:rFonts w:ascii="Times New Roman" w:hAnsi="Times New Roman" w:cs="Times New Roman"/>
                <w:i/>
                <w:sz w:val="28"/>
                <w:szCs w:val="28"/>
              </w:rPr>
              <w:footnoteReference w:id="6"/>
            </w:r>
            <w:r w:rsidRPr="007A5BEC">
              <w:rPr>
                <w:rFonts w:ascii="Times New Roman" w:hAnsi="Times New Roman" w:cs="Times New Roman"/>
                <w:iCs/>
                <w:sz w:val="28"/>
                <w:szCs w:val="28"/>
              </w:rPr>
              <w:t xml:space="preserve">. 2021. gada februāra vidējā stundas tarifa likme vadošajam pētniekam bija 16,01 </w:t>
            </w:r>
            <w:r w:rsidRPr="007A5BEC">
              <w:rPr>
                <w:rFonts w:ascii="Times New Roman" w:hAnsi="Times New Roman" w:cs="Times New Roman"/>
                <w:i/>
                <w:sz w:val="28"/>
                <w:szCs w:val="28"/>
              </w:rPr>
              <w:t>euro</w:t>
            </w:r>
            <w:r w:rsidRPr="007A5BEC">
              <w:rPr>
                <w:rFonts w:ascii="Times New Roman" w:hAnsi="Times New Roman" w:cs="Times New Roman"/>
                <w:iCs/>
                <w:sz w:val="28"/>
                <w:szCs w:val="28"/>
              </w:rPr>
              <w:t xml:space="preserve"> un pētniekam – 12,27 </w:t>
            </w:r>
            <w:r w:rsidRPr="007A5BEC">
              <w:rPr>
                <w:rFonts w:ascii="Times New Roman" w:hAnsi="Times New Roman" w:cs="Times New Roman"/>
                <w:i/>
                <w:sz w:val="28"/>
                <w:szCs w:val="28"/>
              </w:rPr>
              <w:t>euro</w:t>
            </w:r>
            <w:r w:rsidRPr="007A5BEC">
              <w:rPr>
                <w:rStyle w:val="FootnoteReference"/>
                <w:rFonts w:ascii="Times New Roman" w:hAnsi="Times New Roman" w:cs="Times New Roman"/>
                <w:i/>
                <w:sz w:val="28"/>
                <w:szCs w:val="28"/>
              </w:rPr>
              <w:footnoteReference w:id="7"/>
            </w:r>
            <w:r w:rsidRPr="007A5BEC">
              <w:rPr>
                <w:rFonts w:ascii="Times New Roman" w:hAnsi="Times New Roman" w:cs="Times New Roman"/>
                <w:iCs/>
                <w:sz w:val="28"/>
                <w:szCs w:val="28"/>
              </w:rPr>
              <w:t xml:space="preserve">. </w:t>
            </w:r>
          </w:p>
          <w:p w14:paraId="25C11DD6" w14:textId="77777777" w:rsidR="000D1BD6" w:rsidRPr="007A5BEC" w:rsidRDefault="000D1BD6" w:rsidP="007512BC">
            <w:pPr>
              <w:spacing w:after="0" w:line="240" w:lineRule="auto"/>
              <w:jc w:val="both"/>
              <w:rPr>
                <w:rFonts w:ascii="Times New Roman" w:hAnsi="Times New Roman" w:cs="Times New Roman"/>
                <w:iCs/>
                <w:sz w:val="28"/>
                <w:szCs w:val="28"/>
              </w:rPr>
            </w:pPr>
            <w:r w:rsidRPr="007A5BEC">
              <w:rPr>
                <w:rFonts w:ascii="Times New Roman" w:eastAsia="Times New Roman" w:hAnsi="Times New Roman" w:cs="Times New Roman"/>
                <w:sz w:val="28"/>
                <w:szCs w:val="28"/>
                <w:lang w:eastAsia="lv-LV"/>
              </w:rPr>
              <w:t xml:space="preserve">Projektā, grozot MK noteikumu 13.1.1.1.1. apakšpunktā noteiktās </w:t>
            </w:r>
            <w:r w:rsidRPr="007A5BEC">
              <w:rPr>
                <w:rFonts w:ascii="Times New Roman" w:hAnsi="Times New Roman" w:cs="Times New Roman"/>
                <w:sz w:val="28"/>
                <w:szCs w:val="28"/>
                <w:shd w:val="clear" w:color="auto" w:fill="FFFFFF"/>
              </w:rPr>
              <w:t>projekta izpildē nodarbinātā personāla izmaksu likmes,   aprēķins</w:t>
            </w:r>
            <w:r w:rsidRPr="007A5BEC">
              <w:rPr>
                <w:rFonts w:ascii="Times New Roman" w:hAnsi="Times New Roman" w:cs="Times New Roman"/>
                <w:iCs/>
                <w:sz w:val="28"/>
                <w:szCs w:val="28"/>
              </w:rPr>
              <w:t xml:space="preserve"> veikts šādi:</w:t>
            </w:r>
          </w:p>
          <w:p w14:paraId="7CA2679E" w14:textId="77777777" w:rsidR="000D1BD6" w:rsidRPr="007A5BEC" w:rsidRDefault="000D1BD6" w:rsidP="007512BC">
            <w:pPr>
              <w:spacing w:after="0" w:line="240" w:lineRule="auto"/>
              <w:jc w:val="both"/>
              <w:rPr>
                <w:rFonts w:ascii="Times New Roman" w:hAnsi="Times New Roman" w:cs="Times New Roman"/>
                <w:iCs/>
                <w:sz w:val="28"/>
                <w:szCs w:val="28"/>
              </w:rPr>
            </w:pPr>
            <w:r w:rsidRPr="007A5BEC">
              <w:rPr>
                <w:rFonts w:ascii="Times New Roman" w:hAnsi="Times New Roman" w:cs="Times New Roman"/>
                <w:iCs/>
                <w:sz w:val="28"/>
                <w:szCs w:val="28"/>
                <w:u w:val="single"/>
                <w:shd w:val="clear" w:color="auto" w:fill="FFFFFF"/>
              </w:rPr>
              <w:t xml:space="preserve">Zinātniskā vadītāja </w:t>
            </w:r>
            <w:r w:rsidRPr="007A5BEC">
              <w:rPr>
                <w:rFonts w:ascii="Times New Roman" w:hAnsi="Times New Roman" w:cs="Times New Roman"/>
                <w:iCs/>
                <w:sz w:val="28"/>
                <w:szCs w:val="28"/>
                <w:shd w:val="clear" w:color="auto" w:fill="FFFFFF"/>
              </w:rPr>
              <w:t xml:space="preserve">izmaksu griesti (30 </w:t>
            </w:r>
            <w:r w:rsidRPr="007A5BEC">
              <w:rPr>
                <w:rFonts w:ascii="Times New Roman" w:hAnsi="Times New Roman" w:cs="Times New Roman"/>
                <w:i/>
                <w:sz w:val="28"/>
                <w:szCs w:val="28"/>
                <w:shd w:val="clear" w:color="auto" w:fill="FFFFFF"/>
              </w:rPr>
              <w:t>euro</w:t>
            </w:r>
            <w:r w:rsidRPr="007A5BEC">
              <w:rPr>
                <w:rFonts w:ascii="Times New Roman" w:hAnsi="Times New Roman" w:cs="Times New Roman"/>
                <w:iCs/>
                <w:sz w:val="28"/>
                <w:szCs w:val="28"/>
                <w:shd w:val="clear" w:color="auto" w:fill="FFFFFF"/>
              </w:rPr>
              <w:t xml:space="preserve">/tundā (noapaļoti līdz veselam </w:t>
            </w:r>
            <w:r w:rsidRPr="007A5BEC">
              <w:rPr>
                <w:rFonts w:ascii="Times New Roman" w:hAnsi="Times New Roman" w:cs="Times New Roman"/>
                <w:i/>
                <w:sz w:val="28"/>
                <w:szCs w:val="28"/>
                <w:shd w:val="clear" w:color="auto" w:fill="FFFFFF"/>
              </w:rPr>
              <w:t>euro</w:t>
            </w:r>
            <w:r w:rsidRPr="007A5BEC">
              <w:rPr>
                <w:rFonts w:ascii="Times New Roman" w:hAnsi="Times New Roman" w:cs="Times New Roman"/>
                <w:iCs/>
                <w:sz w:val="28"/>
                <w:szCs w:val="28"/>
                <w:shd w:val="clear" w:color="auto" w:fill="FFFFFF"/>
              </w:rPr>
              <w:t xml:space="preserve">) = (2015. gadā pieņemtie izmaksu griesti (20 </w:t>
            </w:r>
            <w:r w:rsidRPr="007A5BEC">
              <w:rPr>
                <w:rFonts w:ascii="Times New Roman" w:hAnsi="Times New Roman" w:cs="Times New Roman"/>
                <w:i/>
                <w:sz w:val="28"/>
                <w:szCs w:val="28"/>
                <w:shd w:val="clear" w:color="auto" w:fill="FFFFFF"/>
              </w:rPr>
              <w:t>euro</w:t>
            </w:r>
            <w:r w:rsidRPr="007A5BEC">
              <w:rPr>
                <w:rFonts w:ascii="Times New Roman" w:hAnsi="Times New Roman" w:cs="Times New Roman"/>
                <w:iCs/>
                <w:sz w:val="28"/>
                <w:szCs w:val="28"/>
                <w:shd w:val="clear" w:color="auto" w:fill="FFFFFF"/>
              </w:rPr>
              <w:t xml:space="preserve">/stundā) x 2015. gada  februāra vidējā stundas tarifa likme vadošajam pētniekam (10,71 </w:t>
            </w:r>
            <w:r w:rsidRPr="007A5BEC">
              <w:rPr>
                <w:rFonts w:ascii="Times New Roman" w:hAnsi="Times New Roman" w:cs="Times New Roman"/>
                <w:i/>
                <w:sz w:val="28"/>
                <w:szCs w:val="28"/>
                <w:shd w:val="clear" w:color="auto" w:fill="FFFFFF"/>
              </w:rPr>
              <w:t>euro</w:t>
            </w:r>
            <w:r w:rsidRPr="007A5BEC">
              <w:rPr>
                <w:rFonts w:ascii="Times New Roman" w:hAnsi="Times New Roman" w:cs="Times New Roman"/>
                <w:iCs/>
                <w:sz w:val="28"/>
                <w:szCs w:val="28"/>
                <w:shd w:val="clear" w:color="auto" w:fill="FFFFFF"/>
              </w:rPr>
              <w:t xml:space="preserve">/stundā))/2021. gada  februāra vidējā stundas tarifa likme vadošajam pētniekam (16,01 </w:t>
            </w:r>
            <w:r w:rsidRPr="007A5BEC">
              <w:rPr>
                <w:rFonts w:ascii="Times New Roman" w:hAnsi="Times New Roman" w:cs="Times New Roman"/>
                <w:i/>
                <w:sz w:val="28"/>
                <w:szCs w:val="28"/>
                <w:shd w:val="clear" w:color="auto" w:fill="FFFFFF"/>
              </w:rPr>
              <w:t>euro</w:t>
            </w:r>
            <w:r w:rsidRPr="007A5BEC">
              <w:rPr>
                <w:rFonts w:ascii="Times New Roman" w:hAnsi="Times New Roman" w:cs="Times New Roman"/>
                <w:iCs/>
                <w:sz w:val="28"/>
                <w:szCs w:val="28"/>
                <w:shd w:val="clear" w:color="auto" w:fill="FFFFFF"/>
              </w:rPr>
              <w:t>/stundā).</w:t>
            </w:r>
          </w:p>
          <w:p w14:paraId="7D6E172C" w14:textId="77777777" w:rsidR="000D1BD6" w:rsidRPr="007A5BEC" w:rsidRDefault="000D1BD6" w:rsidP="007512BC">
            <w:pPr>
              <w:spacing w:after="0" w:line="240" w:lineRule="auto"/>
              <w:jc w:val="both"/>
              <w:rPr>
                <w:rFonts w:ascii="Times New Roman" w:hAnsi="Times New Roman" w:cs="Times New Roman"/>
                <w:iCs/>
                <w:sz w:val="28"/>
                <w:szCs w:val="28"/>
                <w:shd w:val="clear" w:color="auto" w:fill="FFFFFF"/>
              </w:rPr>
            </w:pPr>
            <w:r w:rsidRPr="007A5BEC">
              <w:rPr>
                <w:rFonts w:ascii="Times New Roman" w:hAnsi="Times New Roman" w:cs="Times New Roman"/>
                <w:iCs/>
                <w:sz w:val="28"/>
                <w:szCs w:val="28"/>
                <w:u w:val="single"/>
                <w:shd w:val="clear" w:color="auto" w:fill="FFFFFF"/>
              </w:rPr>
              <w:t xml:space="preserve">Galvenā izpildītāja </w:t>
            </w:r>
            <w:r w:rsidRPr="007A5BEC">
              <w:rPr>
                <w:rFonts w:ascii="Times New Roman" w:hAnsi="Times New Roman" w:cs="Times New Roman"/>
                <w:iCs/>
                <w:sz w:val="28"/>
                <w:szCs w:val="28"/>
                <w:shd w:val="clear" w:color="auto" w:fill="FFFFFF"/>
              </w:rPr>
              <w:t xml:space="preserve">izmaksu griesti (24 </w:t>
            </w:r>
            <w:r w:rsidRPr="007A5BEC">
              <w:rPr>
                <w:rFonts w:ascii="Times New Roman" w:hAnsi="Times New Roman" w:cs="Times New Roman"/>
                <w:i/>
                <w:sz w:val="28"/>
                <w:szCs w:val="28"/>
                <w:shd w:val="clear" w:color="auto" w:fill="FFFFFF"/>
              </w:rPr>
              <w:t>euro</w:t>
            </w:r>
            <w:r w:rsidRPr="007A5BEC">
              <w:rPr>
                <w:rFonts w:ascii="Times New Roman" w:hAnsi="Times New Roman" w:cs="Times New Roman"/>
                <w:iCs/>
                <w:sz w:val="28"/>
                <w:szCs w:val="28"/>
                <w:shd w:val="clear" w:color="auto" w:fill="FFFFFF"/>
              </w:rPr>
              <w:t xml:space="preserve">/stundā (noapaļoti līdz veselam </w:t>
            </w:r>
            <w:r w:rsidRPr="007A5BEC">
              <w:rPr>
                <w:rFonts w:ascii="Times New Roman" w:hAnsi="Times New Roman" w:cs="Times New Roman"/>
                <w:i/>
                <w:sz w:val="28"/>
                <w:szCs w:val="28"/>
                <w:shd w:val="clear" w:color="auto" w:fill="FFFFFF"/>
              </w:rPr>
              <w:t>euro</w:t>
            </w:r>
            <w:r w:rsidRPr="007A5BEC">
              <w:rPr>
                <w:rFonts w:ascii="Times New Roman" w:hAnsi="Times New Roman" w:cs="Times New Roman"/>
                <w:iCs/>
                <w:sz w:val="28"/>
                <w:szCs w:val="28"/>
                <w:shd w:val="clear" w:color="auto" w:fill="FFFFFF"/>
              </w:rPr>
              <w:t xml:space="preserve">) = (2015. gadā pieņemtie izmaksu griesti (16 </w:t>
            </w:r>
            <w:r w:rsidRPr="007A5BEC">
              <w:rPr>
                <w:rFonts w:ascii="Times New Roman" w:hAnsi="Times New Roman" w:cs="Times New Roman"/>
                <w:i/>
                <w:sz w:val="28"/>
                <w:szCs w:val="28"/>
                <w:shd w:val="clear" w:color="auto" w:fill="FFFFFF"/>
              </w:rPr>
              <w:t>euro</w:t>
            </w:r>
            <w:r w:rsidRPr="007A5BEC">
              <w:rPr>
                <w:rFonts w:ascii="Times New Roman" w:hAnsi="Times New Roman" w:cs="Times New Roman"/>
                <w:iCs/>
                <w:sz w:val="28"/>
                <w:szCs w:val="28"/>
                <w:shd w:val="clear" w:color="auto" w:fill="FFFFFF"/>
              </w:rPr>
              <w:t xml:space="preserve">/stundā) x 2015. gada  februāra vidējā stundas tarifa likme vadošajam pētniekam (10,71 </w:t>
            </w:r>
            <w:r w:rsidRPr="007A5BEC">
              <w:rPr>
                <w:rFonts w:ascii="Times New Roman" w:hAnsi="Times New Roman" w:cs="Times New Roman"/>
                <w:i/>
                <w:sz w:val="28"/>
                <w:szCs w:val="28"/>
                <w:shd w:val="clear" w:color="auto" w:fill="FFFFFF"/>
              </w:rPr>
              <w:t>euro</w:t>
            </w:r>
            <w:r w:rsidRPr="007A5BEC">
              <w:rPr>
                <w:rFonts w:ascii="Times New Roman" w:hAnsi="Times New Roman" w:cs="Times New Roman"/>
                <w:iCs/>
                <w:sz w:val="28"/>
                <w:szCs w:val="28"/>
                <w:shd w:val="clear" w:color="auto" w:fill="FFFFFF"/>
              </w:rPr>
              <w:t xml:space="preserve">/stundā)) / 2021. gada  februāra vidējā stundas tarifa likme vadošajam pētniekam (16.01 </w:t>
            </w:r>
            <w:r w:rsidRPr="007A5BEC">
              <w:rPr>
                <w:rFonts w:ascii="Times New Roman" w:hAnsi="Times New Roman" w:cs="Times New Roman"/>
                <w:i/>
                <w:sz w:val="28"/>
                <w:szCs w:val="28"/>
                <w:shd w:val="clear" w:color="auto" w:fill="FFFFFF"/>
              </w:rPr>
              <w:t>euro</w:t>
            </w:r>
            <w:r w:rsidRPr="007A5BEC">
              <w:rPr>
                <w:rFonts w:ascii="Times New Roman" w:hAnsi="Times New Roman" w:cs="Times New Roman"/>
                <w:iCs/>
                <w:sz w:val="28"/>
                <w:szCs w:val="28"/>
                <w:shd w:val="clear" w:color="auto" w:fill="FFFFFF"/>
              </w:rPr>
              <w:t>/stundā).</w:t>
            </w:r>
          </w:p>
          <w:p w14:paraId="037C0014" w14:textId="77777777" w:rsidR="000D1BD6" w:rsidRPr="007A5BEC" w:rsidRDefault="000D1BD6" w:rsidP="007512BC">
            <w:pPr>
              <w:spacing w:after="0" w:line="240" w:lineRule="auto"/>
              <w:jc w:val="both"/>
              <w:rPr>
                <w:rFonts w:ascii="Times New Roman" w:hAnsi="Times New Roman" w:cs="Times New Roman"/>
                <w:iCs/>
                <w:sz w:val="28"/>
                <w:szCs w:val="28"/>
                <w:shd w:val="clear" w:color="auto" w:fill="FFFFFF"/>
              </w:rPr>
            </w:pPr>
            <w:r w:rsidRPr="007A5BEC">
              <w:rPr>
                <w:rFonts w:ascii="Times New Roman" w:hAnsi="Times New Roman" w:cs="Times New Roman"/>
                <w:iCs/>
                <w:sz w:val="28"/>
                <w:szCs w:val="28"/>
                <w:u w:val="single"/>
                <w:shd w:val="clear" w:color="auto" w:fill="FFFFFF"/>
              </w:rPr>
              <w:t xml:space="preserve">Projekta izpildītāja </w:t>
            </w:r>
            <w:r w:rsidRPr="007A5BEC">
              <w:rPr>
                <w:rFonts w:ascii="Times New Roman" w:hAnsi="Times New Roman" w:cs="Times New Roman"/>
                <w:iCs/>
                <w:sz w:val="28"/>
                <w:szCs w:val="28"/>
                <w:shd w:val="clear" w:color="auto" w:fill="FFFFFF"/>
              </w:rPr>
              <w:t xml:space="preserve">izmaksu griesti (19 </w:t>
            </w:r>
            <w:r w:rsidRPr="007A5BEC">
              <w:rPr>
                <w:rFonts w:ascii="Times New Roman" w:hAnsi="Times New Roman" w:cs="Times New Roman"/>
                <w:i/>
                <w:sz w:val="28"/>
                <w:szCs w:val="28"/>
                <w:shd w:val="clear" w:color="auto" w:fill="FFFFFF"/>
              </w:rPr>
              <w:t>euro</w:t>
            </w:r>
            <w:r w:rsidRPr="007A5BEC">
              <w:rPr>
                <w:rFonts w:ascii="Times New Roman" w:hAnsi="Times New Roman" w:cs="Times New Roman"/>
                <w:iCs/>
                <w:sz w:val="28"/>
                <w:szCs w:val="28"/>
                <w:shd w:val="clear" w:color="auto" w:fill="FFFFFF"/>
              </w:rPr>
              <w:t xml:space="preserve">/stundā (noapaļoti līdz veselam </w:t>
            </w:r>
            <w:r w:rsidRPr="007A5BEC">
              <w:rPr>
                <w:rFonts w:ascii="Times New Roman" w:hAnsi="Times New Roman" w:cs="Times New Roman"/>
                <w:i/>
                <w:sz w:val="28"/>
                <w:szCs w:val="28"/>
                <w:shd w:val="clear" w:color="auto" w:fill="FFFFFF"/>
              </w:rPr>
              <w:t>euro</w:t>
            </w:r>
            <w:r w:rsidRPr="007A5BEC">
              <w:rPr>
                <w:rFonts w:ascii="Times New Roman" w:hAnsi="Times New Roman" w:cs="Times New Roman"/>
                <w:iCs/>
                <w:sz w:val="28"/>
                <w:szCs w:val="28"/>
                <w:shd w:val="clear" w:color="auto" w:fill="FFFFFF"/>
              </w:rPr>
              <w:t xml:space="preserve">) = (2015. gadā pieņemtie izmaksu griesti (14 </w:t>
            </w:r>
            <w:r w:rsidRPr="007A5BEC">
              <w:rPr>
                <w:rFonts w:ascii="Times New Roman" w:hAnsi="Times New Roman" w:cs="Times New Roman"/>
                <w:i/>
                <w:sz w:val="28"/>
                <w:szCs w:val="28"/>
                <w:shd w:val="clear" w:color="auto" w:fill="FFFFFF"/>
              </w:rPr>
              <w:t>euro</w:t>
            </w:r>
            <w:r w:rsidRPr="007A5BEC">
              <w:rPr>
                <w:rFonts w:ascii="Times New Roman" w:hAnsi="Times New Roman" w:cs="Times New Roman"/>
                <w:iCs/>
                <w:sz w:val="28"/>
                <w:szCs w:val="28"/>
                <w:shd w:val="clear" w:color="auto" w:fill="FFFFFF"/>
              </w:rPr>
              <w:t xml:space="preserve">/stundā) x 2015. </w:t>
            </w:r>
            <w:r w:rsidRPr="007A5BEC">
              <w:rPr>
                <w:rFonts w:ascii="Times New Roman" w:hAnsi="Times New Roman" w:cs="Times New Roman"/>
                <w:iCs/>
                <w:sz w:val="28"/>
                <w:szCs w:val="28"/>
                <w:shd w:val="clear" w:color="auto" w:fill="FFFFFF"/>
              </w:rPr>
              <w:lastRenderedPageBreak/>
              <w:t xml:space="preserve">gada  februāra vidējā stundas tarifa likme pētniekam (8,99 </w:t>
            </w:r>
            <w:r w:rsidRPr="007A5BEC">
              <w:rPr>
                <w:rFonts w:ascii="Times New Roman" w:hAnsi="Times New Roman" w:cs="Times New Roman"/>
                <w:i/>
                <w:sz w:val="28"/>
                <w:szCs w:val="28"/>
                <w:shd w:val="clear" w:color="auto" w:fill="FFFFFF"/>
              </w:rPr>
              <w:t>euro</w:t>
            </w:r>
            <w:r w:rsidRPr="007A5BEC">
              <w:rPr>
                <w:rFonts w:ascii="Times New Roman" w:hAnsi="Times New Roman" w:cs="Times New Roman"/>
                <w:iCs/>
                <w:sz w:val="28"/>
                <w:szCs w:val="28"/>
                <w:shd w:val="clear" w:color="auto" w:fill="FFFFFF"/>
              </w:rPr>
              <w:t xml:space="preserve"> /stundā))/ 2021. gada  februāra vidējā stundas tarifa likme pētniekam (12,27 </w:t>
            </w:r>
            <w:r w:rsidRPr="007A5BEC">
              <w:rPr>
                <w:rFonts w:ascii="Times New Roman" w:hAnsi="Times New Roman" w:cs="Times New Roman"/>
                <w:i/>
                <w:sz w:val="28"/>
                <w:szCs w:val="28"/>
                <w:shd w:val="clear" w:color="auto" w:fill="FFFFFF"/>
              </w:rPr>
              <w:t>euro</w:t>
            </w:r>
            <w:r w:rsidRPr="007A5BEC">
              <w:rPr>
                <w:rFonts w:ascii="Times New Roman" w:hAnsi="Times New Roman" w:cs="Times New Roman"/>
                <w:iCs/>
                <w:sz w:val="28"/>
                <w:szCs w:val="28"/>
                <w:shd w:val="clear" w:color="auto" w:fill="FFFFFF"/>
              </w:rPr>
              <w:t>/stundā).</w:t>
            </w:r>
          </w:p>
          <w:p w14:paraId="471BB3F1" w14:textId="77777777" w:rsidR="000D1BD6" w:rsidRPr="007A5BEC" w:rsidRDefault="000D1BD6" w:rsidP="007512BC">
            <w:pPr>
              <w:spacing w:after="0" w:line="240" w:lineRule="auto"/>
              <w:jc w:val="both"/>
              <w:rPr>
                <w:rFonts w:ascii="Times New Roman" w:eastAsiaTheme="minorEastAsia" w:hAnsi="Times New Roman" w:cs="Times New Roman"/>
                <w:sz w:val="28"/>
                <w:szCs w:val="28"/>
                <w:lang w:eastAsia="lv-LV"/>
              </w:rPr>
            </w:pPr>
            <w:r w:rsidRPr="007A5BEC">
              <w:rPr>
                <w:rFonts w:ascii="Times New Roman" w:eastAsiaTheme="minorEastAsia" w:hAnsi="Times New Roman" w:cs="Times New Roman"/>
                <w:sz w:val="28"/>
                <w:szCs w:val="28"/>
                <w:lang w:eastAsia="lv-LV"/>
              </w:rPr>
              <w:t xml:space="preserve">Ievērojot minēto, ar projektu tiek paaugstinātas maksimālās projekta izpildē nodarbinātā personāla izmaksu likmes  no 20 </w:t>
            </w:r>
            <w:r w:rsidRPr="007A5BEC">
              <w:rPr>
                <w:rFonts w:ascii="Times New Roman" w:eastAsiaTheme="minorEastAsia" w:hAnsi="Times New Roman" w:cs="Times New Roman"/>
                <w:i/>
                <w:iCs/>
                <w:sz w:val="28"/>
                <w:szCs w:val="28"/>
                <w:lang w:eastAsia="lv-LV"/>
              </w:rPr>
              <w:t>euro</w:t>
            </w:r>
            <w:r w:rsidRPr="007A5BEC">
              <w:rPr>
                <w:rFonts w:ascii="Times New Roman" w:eastAsiaTheme="minorEastAsia" w:hAnsi="Times New Roman" w:cs="Times New Roman"/>
                <w:sz w:val="28"/>
                <w:szCs w:val="28"/>
                <w:lang w:eastAsia="lv-LV"/>
              </w:rPr>
              <w:t xml:space="preserve"> stundā līdz 30 </w:t>
            </w:r>
            <w:r w:rsidRPr="007A5BEC">
              <w:rPr>
                <w:rFonts w:ascii="Times New Roman" w:eastAsiaTheme="minorEastAsia" w:hAnsi="Times New Roman" w:cs="Times New Roman"/>
                <w:i/>
                <w:iCs/>
                <w:sz w:val="28"/>
                <w:szCs w:val="28"/>
                <w:lang w:eastAsia="lv-LV"/>
              </w:rPr>
              <w:t>euro</w:t>
            </w:r>
            <w:r w:rsidRPr="007A5BEC">
              <w:rPr>
                <w:rFonts w:ascii="Times New Roman" w:eastAsiaTheme="minorEastAsia" w:hAnsi="Times New Roman" w:cs="Times New Roman"/>
                <w:sz w:val="28"/>
                <w:szCs w:val="28"/>
                <w:lang w:eastAsia="lv-LV"/>
              </w:rPr>
              <w:t xml:space="preserve"> stundā projekta zinātniskajam vadītājam, no 16 </w:t>
            </w:r>
            <w:r w:rsidRPr="007A5BEC">
              <w:rPr>
                <w:rFonts w:ascii="Times New Roman" w:eastAsiaTheme="minorEastAsia" w:hAnsi="Times New Roman" w:cs="Times New Roman"/>
                <w:i/>
                <w:iCs/>
                <w:sz w:val="28"/>
                <w:szCs w:val="28"/>
                <w:lang w:eastAsia="lv-LV"/>
              </w:rPr>
              <w:t>euro</w:t>
            </w:r>
            <w:r w:rsidRPr="007A5BEC">
              <w:rPr>
                <w:rFonts w:ascii="Times New Roman" w:eastAsiaTheme="minorEastAsia" w:hAnsi="Times New Roman" w:cs="Times New Roman"/>
                <w:sz w:val="28"/>
                <w:szCs w:val="28"/>
                <w:lang w:eastAsia="lv-LV"/>
              </w:rPr>
              <w:t xml:space="preserve"> stundā līdz 24 </w:t>
            </w:r>
            <w:r w:rsidRPr="007A5BEC">
              <w:rPr>
                <w:rFonts w:ascii="Times New Roman" w:eastAsiaTheme="minorEastAsia" w:hAnsi="Times New Roman" w:cs="Times New Roman"/>
                <w:i/>
                <w:iCs/>
                <w:sz w:val="28"/>
                <w:szCs w:val="28"/>
                <w:lang w:eastAsia="lv-LV"/>
              </w:rPr>
              <w:t>euro</w:t>
            </w:r>
            <w:r w:rsidRPr="007A5BEC">
              <w:rPr>
                <w:rFonts w:ascii="Times New Roman" w:eastAsiaTheme="minorEastAsia" w:hAnsi="Times New Roman" w:cs="Times New Roman"/>
                <w:sz w:val="28"/>
                <w:szCs w:val="28"/>
                <w:lang w:eastAsia="lv-LV"/>
              </w:rPr>
              <w:t xml:space="preserve"> stundā projekta galvenajam izpildītājam, no 14 </w:t>
            </w:r>
            <w:r w:rsidRPr="007A5BEC">
              <w:rPr>
                <w:rFonts w:ascii="Times New Roman" w:eastAsiaTheme="minorEastAsia" w:hAnsi="Times New Roman" w:cs="Times New Roman"/>
                <w:i/>
                <w:iCs/>
                <w:sz w:val="28"/>
                <w:szCs w:val="28"/>
                <w:lang w:eastAsia="lv-LV"/>
              </w:rPr>
              <w:t>euro</w:t>
            </w:r>
            <w:r w:rsidRPr="007A5BEC">
              <w:rPr>
                <w:rFonts w:ascii="Times New Roman" w:eastAsiaTheme="minorEastAsia" w:hAnsi="Times New Roman" w:cs="Times New Roman"/>
                <w:sz w:val="28"/>
                <w:szCs w:val="28"/>
                <w:lang w:eastAsia="lv-LV"/>
              </w:rPr>
              <w:t xml:space="preserve"> stundā līdz 19 </w:t>
            </w:r>
            <w:r w:rsidRPr="007A5BEC">
              <w:rPr>
                <w:rFonts w:ascii="Times New Roman" w:eastAsiaTheme="minorEastAsia" w:hAnsi="Times New Roman" w:cs="Times New Roman"/>
                <w:i/>
                <w:iCs/>
                <w:sz w:val="28"/>
                <w:szCs w:val="28"/>
                <w:lang w:eastAsia="lv-LV"/>
              </w:rPr>
              <w:t>euro</w:t>
            </w:r>
            <w:r w:rsidRPr="007A5BEC">
              <w:rPr>
                <w:rFonts w:ascii="Times New Roman" w:eastAsiaTheme="minorEastAsia" w:hAnsi="Times New Roman" w:cs="Times New Roman"/>
                <w:sz w:val="28"/>
                <w:szCs w:val="28"/>
                <w:lang w:eastAsia="lv-LV"/>
              </w:rPr>
              <w:t xml:space="preserve"> stundā projekta izpildītājam. Šis atlīdzību likmju paaugstinājums nemaina pētniecības projekta kopējo finansējumu;</w:t>
            </w:r>
          </w:p>
          <w:p w14:paraId="0CD2F2A1" w14:textId="77777777" w:rsidR="000D1BD6" w:rsidRPr="007A5BEC" w:rsidRDefault="000D1BD6" w:rsidP="007512BC">
            <w:pPr>
              <w:spacing w:after="0" w:line="240" w:lineRule="auto"/>
              <w:jc w:val="both"/>
              <w:rPr>
                <w:rFonts w:ascii="Times New Roman" w:eastAsiaTheme="minorEastAsia" w:hAnsi="Times New Roman" w:cs="Times New Roman"/>
                <w:sz w:val="28"/>
                <w:szCs w:val="28"/>
                <w:lang w:eastAsia="lv-LV"/>
              </w:rPr>
            </w:pPr>
          </w:p>
          <w:p w14:paraId="13B2C84F" w14:textId="77777777" w:rsidR="000D1BD6" w:rsidRPr="007A5BEC" w:rsidRDefault="000D1BD6" w:rsidP="007512BC">
            <w:pPr>
              <w:spacing w:after="0" w:line="240" w:lineRule="auto"/>
              <w:jc w:val="both"/>
              <w:rPr>
                <w:rFonts w:ascii="Times New Roman" w:eastAsiaTheme="minorEastAsia" w:hAnsi="Times New Roman" w:cs="Times New Roman"/>
                <w:sz w:val="28"/>
                <w:szCs w:val="28"/>
                <w:lang w:eastAsia="lv-LV"/>
              </w:rPr>
            </w:pPr>
            <w:r w:rsidRPr="007A5BEC">
              <w:rPr>
                <w:rFonts w:ascii="Times New Roman" w:eastAsiaTheme="minorEastAsia" w:hAnsi="Times New Roman" w:cs="Times New Roman"/>
                <w:sz w:val="28"/>
                <w:szCs w:val="28"/>
                <w:lang w:eastAsia="lv-LV"/>
              </w:rPr>
              <w:t xml:space="preserve">5) paredz izteikt jaunā redakcijā MK noteikumu </w:t>
            </w:r>
            <w:r w:rsidRPr="007A5BEC">
              <w:rPr>
                <w:rFonts w:ascii="Times New Roman" w:eastAsia="Times New Roman" w:hAnsi="Times New Roman" w:cs="Times New Roman"/>
                <w:sz w:val="28"/>
                <w:szCs w:val="28"/>
                <w:lang w:eastAsia="lv-LV"/>
              </w:rPr>
              <w:t>22.</w:t>
            </w:r>
            <w:r w:rsidRPr="007A5BEC">
              <w:rPr>
                <w:rFonts w:ascii="Times New Roman" w:eastAsia="Times New Roman" w:hAnsi="Times New Roman" w:cs="Times New Roman"/>
                <w:sz w:val="28"/>
                <w:szCs w:val="28"/>
                <w:vertAlign w:val="superscript"/>
                <w:lang w:eastAsia="lv-LV"/>
              </w:rPr>
              <w:t xml:space="preserve">1  </w:t>
            </w:r>
            <w:r w:rsidRPr="007A5BEC">
              <w:rPr>
                <w:rFonts w:ascii="Times New Roman" w:eastAsia="Times New Roman" w:hAnsi="Times New Roman" w:cs="Times New Roman"/>
                <w:sz w:val="28"/>
                <w:szCs w:val="28"/>
                <w:lang w:eastAsia="lv-LV"/>
              </w:rPr>
              <w:t xml:space="preserve">punktu, paredzot, ka </w:t>
            </w:r>
            <w:r w:rsidRPr="007A5BEC">
              <w:rPr>
                <w:rFonts w:ascii="Times New Roman" w:hAnsi="Times New Roman" w:cs="Times New Roman"/>
                <w:sz w:val="28"/>
                <w:szCs w:val="28"/>
                <w:shd w:val="clear" w:color="auto" w:fill="FFFFFF"/>
              </w:rPr>
              <w:t>lēmumu par valsts atbalsta piešķiršanu šo noteikumu ietvaros pieņem līdz 2023. gada 30. jūnijam (tagad tas ir līdz   2021.gada 31.decembrim) atbilstoši</w:t>
            </w:r>
            <w:r w:rsidRPr="007A5BEC">
              <w:rPr>
                <w:rFonts w:ascii="Times New Roman" w:eastAsia="Times New Roman" w:hAnsi="Times New Roman" w:cs="Times New Roman"/>
                <w:sz w:val="28"/>
                <w:szCs w:val="28"/>
                <w:lang w:eastAsia="lv-LV"/>
              </w:rPr>
              <w:t xml:space="preserve"> </w:t>
            </w:r>
            <w:r w:rsidRPr="007A5BEC">
              <w:rPr>
                <w:rFonts w:ascii="Times New Roman" w:eastAsia="Calibri" w:hAnsi="Times New Roman" w:cs="Times New Roman"/>
                <w:sz w:val="28"/>
                <w:szCs w:val="28"/>
                <w:lang w:eastAsia="lv-LV"/>
              </w:rPr>
              <w:t>Komisijas regulas (ES) 2020/972</w:t>
            </w:r>
            <w:r w:rsidRPr="007A5BEC">
              <w:rPr>
                <w:rStyle w:val="FootnoteReference"/>
                <w:rFonts w:ascii="Times New Roman" w:eastAsia="Calibri" w:hAnsi="Times New Roman" w:cs="Times New Roman"/>
                <w:sz w:val="28"/>
                <w:szCs w:val="28"/>
                <w:lang w:eastAsia="lv-LV"/>
              </w:rPr>
              <w:footnoteReference w:id="8"/>
            </w:r>
            <w:r w:rsidRPr="007A5BEC">
              <w:rPr>
                <w:rFonts w:ascii="Times New Roman" w:eastAsia="Calibri" w:hAnsi="Times New Roman" w:cs="Times New Roman"/>
                <w:sz w:val="28"/>
                <w:szCs w:val="28"/>
                <w:lang w:eastAsia="lv-LV"/>
              </w:rPr>
              <w:t xml:space="preserve"> 2.panta 5.punktam, ka lēmumu par valsts atbalsta piešķiršanu  šo noteikumu ietvaros pieņem līdz 2023.gada 31.decembrim;</w:t>
            </w:r>
          </w:p>
          <w:p w14:paraId="4CBB2C8E" w14:textId="77777777" w:rsidR="000D1BD6" w:rsidRPr="007A5BEC" w:rsidRDefault="000D1BD6" w:rsidP="007512BC">
            <w:pPr>
              <w:spacing w:after="0" w:line="240" w:lineRule="auto"/>
              <w:jc w:val="both"/>
              <w:rPr>
                <w:rFonts w:ascii="Times New Roman" w:eastAsiaTheme="minorEastAsia" w:hAnsi="Times New Roman" w:cs="Times New Roman"/>
                <w:sz w:val="28"/>
                <w:szCs w:val="28"/>
                <w:lang w:eastAsia="lv-LV"/>
              </w:rPr>
            </w:pPr>
          </w:p>
          <w:p w14:paraId="43A923B8" w14:textId="77777777" w:rsidR="000D1BD6" w:rsidRPr="007A5BEC" w:rsidRDefault="000D1BD6" w:rsidP="007512BC">
            <w:pPr>
              <w:spacing w:after="0" w:line="240" w:lineRule="auto"/>
              <w:jc w:val="both"/>
              <w:rPr>
                <w:rFonts w:ascii="Times New Roman" w:eastAsia="Times New Roman" w:hAnsi="Times New Roman" w:cs="Times New Roman"/>
                <w:iCs/>
                <w:sz w:val="28"/>
                <w:szCs w:val="28"/>
                <w:lang w:eastAsia="lv-LV"/>
              </w:rPr>
            </w:pPr>
            <w:r w:rsidRPr="007A5BEC">
              <w:rPr>
                <w:rFonts w:ascii="Times New Roman" w:eastAsiaTheme="minorEastAsia" w:hAnsi="Times New Roman" w:cs="Times New Roman"/>
                <w:sz w:val="28"/>
                <w:szCs w:val="28"/>
                <w:lang w:eastAsia="lv-LV"/>
              </w:rPr>
              <w:t xml:space="preserve">7) paredz jaunu noslēguma noteikumu, ka grozījumi </w:t>
            </w:r>
            <w:r w:rsidRPr="007A5BEC">
              <w:rPr>
                <w:rFonts w:ascii="Times New Roman" w:eastAsia="Times New Roman" w:hAnsi="Times New Roman" w:cs="Times New Roman"/>
                <w:iCs/>
                <w:sz w:val="28"/>
                <w:szCs w:val="28"/>
                <w:lang w:eastAsia="lv-LV"/>
              </w:rPr>
              <w:t>MK noteikumu 13.1.1.1.1.1., 13.1.1.1.1.2. un 13.1.1.1.1.3. apakšpunktā piemēro ar 2021. gada 1. augustu, un tie nav attiecināmi uz atbalsta līgumiem, kurus slēdz līdz 2021.gada 31.jūlijam.</w:t>
            </w:r>
          </w:p>
          <w:p w14:paraId="4ACC2568" w14:textId="77777777" w:rsidR="000D1BD6" w:rsidRPr="007A5BEC" w:rsidRDefault="000D1BD6" w:rsidP="007512BC">
            <w:pPr>
              <w:spacing w:after="0" w:line="240" w:lineRule="auto"/>
              <w:jc w:val="both"/>
              <w:rPr>
                <w:rFonts w:ascii="Times New Roman" w:eastAsiaTheme="minorEastAsia" w:hAnsi="Times New Roman" w:cs="Times New Roman"/>
                <w:sz w:val="28"/>
                <w:szCs w:val="28"/>
                <w:lang w:eastAsia="lv-LV"/>
              </w:rPr>
            </w:pPr>
          </w:p>
        </w:tc>
      </w:tr>
      <w:tr w:rsidR="000D1BD6" w:rsidRPr="007A5BEC" w14:paraId="37AF84DE" w14:textId="77777777" w:rsidTr="007512BC">
        <w:trPr>
          <w:tblCellSpacing w:w="15" w:type="dxa"/>
        </w:trPr>
        <w:tc>
          <w:tcPr>
            <w:tcW w:w="304" w:type="pct"/>
            <w:tcBorders>
              <w:top w:val="outset" w:sz="6" w:space="0" w:color="auto"/>
              <w:left w:val="outset" w:sz="6" w:space="0" w:color="auto"/>
              <w:bottom w:val="outset" w:sz="6" w:space="0" w:color="auto"/>
              <w:right w:val="outset" w:sz="6" w:space="0" w:color="auto"/>
            </w:tcBorders>
            <w:hideMark/>
          </w:tcPr>
          <w:p w14:paraId="395947C3" w14:textId="77777777" w:rsidR="000D1BD6" w:rsidRPr="007A5BEC" w:rsidRDefault="000D1BD6" w:rsidP="007512BC">
            <w:pPr>
              <w:spacing w:after="0" w:line="240" w:lineRule="auto"/>
              <w:rPr>
                <w:rFonts w:ascii="Times New Roman" w:eastAsia="Times New Roman" w:hAnsi="Times New Roman" w:cs="Times New Roman"/>
                <w:iCs/>
                <w:sz w:val="24"/>
                <w:szCs w:val="24"/>
                <w:lang w:eastAsia="lv-LV"/>
              </w:rPr>
            </w:pPr>
            <w:r w:rsidRPr="007A5BEC">
              <w:rPr>
                <w:rFonts w:ascii="Times New Roman" w:eastAsia="Times New Roman" w:hAnsi="Times New Roman" w:cs="Times New Roman"/>
                <w:iCs/>
                <w:sz w:val="24"/>
                <w:szCs w:val="24"/>
                <w:lang w:eastAsia="lv-LV"/>
              </w:rPr>
              <w:lastRenderedPageBreak/>
              <w:t>3.</w:t>
            </w:r>
          </w:p>
        </w:tc>
        <w:tc>
          <w:tcPr>
            <w:tcW w:w="1344" w:type="pct"/>
            <w:tcBorders>
              <w:top w:val="outset" w:sz="6" w:space="0" w:color="auto"/>
              <w:left w:val="outset" w:sz="6" w:space="0" w:color="auto"/>
              <w:bottom w:val="outset" w:sz="6" w:space="0" w:color="auto"/>
              <w:right w:val="outset" w:sz="6" w:space="0" w:color="auto"/>
            </w:tcBorders>
            <w:hideMark/>
          </w:tcPr>
          <w:p w14:paraId="3122DAAF" w14:textId="77777777" w:rsidR="000D1BD6" w:rsidRPr="007A5BEC" w:rsidRDefault="000D1BD6" w:rsidP="007512BC">
            <w:pPr>
              <w:spacing w:after="0" w:line="240" w:lineRule="auto"/>
              <w:rPr>
                <w:rFonts w:ascii="Times New Roman" w:eastAsia="Times New Roman" w:hAnsi="Times New Roman" w:cs="Times New Roman"/>
                <w:iCs/>
                <w:sz w:val="28"/>
                <w:szCs w:val="28"/>
                <w:lang w:eastAsia="lv-LV"/>
              </w:rPr>
            </w:pPr>
            <w:r w:rsidRPr="007A5BEC">
              <w:rPr>
                <w:rFonts w:ascii="Times New Roman" w:eastAsia="Times New Roman" w:hAnsi="Times New Roman" w:cs="Times New Roman"/>
                <w:iCs/>
                <w:sz w:val="28"/>
                <w:szCs w:val="28"/>
                <w:lang w:eastAsia="lv-LV"/>
              </w:rPr>
              <w:t>Projekta izstrādē iesaistītās institūcijas un publiskas personas kapitālsabiedrības</w:t>
            </w:r>
          </w:p>
        </w:tc>
        <w:tc>
          <w:tcPr>
            <w:tcW w:w="3286" w:type="pct"/>
            <w:tcBorders>
              <w:top w:val="outset" w:sz="6" w:space="0" w:color="auto"/>
              <w:left w:val="outset" w:sz="6" w:space="0" w:color="auto"/>
              <w:bottom w:val="outset" w:sz="6" w:space="0" w:color="auto"/>
              <w:right w:val="outset" w:sz="6" w:space="0" w:color="auto"/>
            </w:tcBorders>
            <w:hideMark/>
          </w:tcPr>
          <w:p w14:paraId="212C330F" w14:textId="77777777" w:rsidR="000D1BD6" w:rsidRPr="007A5BEC" w:rsidRDefault="000D1BD6" w:rsidP="007512BC">
            <w:pPr>
              <w:spacing w:after="0" w:line="240" w:lineRule="auto"/>
              <w:rPr>
                <w:rFonts w:ascii="Times New Roman" w:eastAsia="Times New Roman" w:hAnsi="Times New Roman" w:cs="Times New Roman"/>
                <w:iCs/>
                <w:sz w:val="28"/>
                <w:szCs w:val="28"/>
                <w:lang w:eastAsia="lv-LV"/>
              </w:rPr>
            </w:pPr>
            <w:r w:rsidRPr="007A5BEC">
              <w:rPr>
                <w:rFonts w:ascii="Times New Roman" w:hAnsi="Times New Roman" w:cs="Times New Roman"/>
                <w:sz w:val="28"/>
                <w:szCs w:val="28"/>
                <w:lang w:eastAsia="lv-LV"/>
              </w:rPr>
              <w:t>Ministrija</w:t>
            </w:r>
            <w:r w:rsidRPr="007A5BEC">
              <w:rPr>
                <w:rFonts w:ascii="Times New Roman" w:hAnsi="Times New Roman" w:cs="Times New Roman"/>
                <w:sz w:val="28"/>
                <w:szCs w:val="28"/>
              </w:rPr>
              <w:t>, Valsts izglītības un attīstības aģentūra</w:t>
            </w:r>
          </w:p>
        </w:tc>
      </w:tr>
      <w:tr w:rsidR="000D1BD6" w:rsidRPr="007A5BEC" w14:paraId="6480080F" w14:textId="77777777" w:rsidTr="007512BC">
        <w:trPr>
          <w:tblCellSpacing w:w="15" w:type="dxa"/>
        </w:trPr>
        <w:tc>
          <w:tcPr>
            <w:tcW w:w="304" w:type="pct"/>
            <w:tcBorders>
              <w:top w:val="outset" w:sz="6" w:space="0" w:color="auto"/>
              <w:left w:val="outset" w:sz="6" w:space="0" w:color="auto"/>
              <w:bottom w:val="outset" w:sz="6" w:space="0" w:color="auto"/>
              <w:right w:val="outset" w:sz="6" w:space="0" w:color="auto"/>
            </w:tcBorders>
            <w:hideMark/>
          </w:tcPr>
          <w:p w14:paraId="6388F7E3" w14:textId="77777777" w:rsidR="000D1BD6" w:rsidRPr="007A5BEC" w:rsidRDefault="000D1BD6" w:rsidP="007512BC">
            <w:pPr>
              <w:spacing w:after="0" w:line="240" w:lineRule="auto"/>
              <w:rPr>
                <w:rFonts w:ascii="Times New Roman" w:eastAsia="Times New Roman" w:hAnsi="Times New Roman" w:cs="Times New Roman"/>
                <w:iCs/>
                <w:sz w:val="24"/>
                <w:szCs w:val="24"/>
                <w:lang w:eastAsia="lv-LV"/>
              </w:rPr>
            </w:pPr>
            <w:r w:rsidRPr="007A5BEC">
              <w:rPr>
                <w:rFonts w:ascii="Times New Roman" w:eastAsia="Times New Roman" w:hAnsi="Times New Roman" w:cs="Times New Roman"/>
                <w:iCs/>
                <w:sz w:val="24"/>
                <w:szCs w:val="24"/>
                <w:lang w:eastAsia="lv-LV"/>
              </w:rPr>
              <w:t>4.</w:t>
            </w:r>
          </w:p>
        </w:tc>
        <w:tc>
          <w:tcPr>
            <w:tcW w:w="1344" w:type="pct"/>
            <w:tcBorders>
              <w:top w:val="outset" w:sz="6" w:space="0" w:color="auto"/>
              <w:left w:val="outset" w:sz="6" w:space="0" w:color="auto"/>
              <w:bottom w:val="outset" w:sz="6" w:space="0" w:color="auto"/>
              <w:right w:val="outset" w:sz="6" w:space="0" w:color="auto"/>
            </w:tcBorders>
            <w:hideMark/>
          </w:tcPr>
          <w:p w14:paraId="189AA4FF" w14:textId="77777777" w:rsidR="000D1BD6" w:rsidRPr="007A5BEC" w:rsidRDefault="000D1BD6" w:rsidP="007512BC">
            <w:pPr>
              <w:spacing w:after="0" w:line="240" w:lineRule="auto"/>
              <w:rPr>
                <w:rFonts w:ascii="Times New Roman" w:eastAsia="Times New Roman" w:hAnsi="Times New Roman" w:cs="Times New Roman"/>
                <w:iCs/>
                <w:sz w:val="28"/>
                <w:szCs w:val="28"/>
                <w:lang w:eastAsia="lv-LV"/>
              </w:rPr>
            </w:pPr>
            <w:r w:rsidRPr="007A5BEC">
              <w:rPr>
                <w:rFonts w:ascii="Times New Roman" w:eastAsia="Times New Roman" w:hAnsi="Times New Roman" w:cs="Times New Roman"/>
                <w:iCs/>
                <w:sz w:val="28"/>
                <w:szCs w:val="28"/>
                <w:lang w:eastAsia="lv-LV"/>
              </w:rPr>
              <w:t>Cita informācija</w:t>
            </w:r>
          </w:p>
        </w:tc>
        <w:tc>
          <w:tcPr>
            <w:tcW w:w="3286" w:type="pct"/>
            <w:tcBorders>
              <w:top w:val="outset" w:sz="6" w:space="0" w:color="auto"/>
              <w:left w:val="outset" w:sz="6" w:space="0" w:color="auto"/>
              <w:bottom w:val="outset" w:sz="6" w:space="0" w:color="auto"/>
              <w:right w:val="outset" w:sz="6" w:space="0" w:color="auto"/>
            </w:tcBorders>
            <w:hideMark/>
          </w:tcPr>
          <w:p w14:paraId="7FB882D4" w14:textId="77777777" w:rsidR="000D1BD6" w:rsidRPr="007A5BEC" w:rsidRDefault="000D1BD6" w:rsidP="007512BC">
            <w:pPr>
              <w:spacing w:after="0" w:line="240" w:lineRule="auto"/>
              <w:rPr>
                <w:rFonts w:ascii="Times New Roman" w:eastAsia="Times New Roman" w:hAnsi="Times New Roman" w:cs="Times New Roman"/>
                <w:iCs/>
                <w:sz w:val="28"/>
                <w:szCs w:val="28"/>
                <w:lang w:eastAsia="lv-LV"/>
              </w:rPr>
            </w:pPr>
            <w:r w:rsidRPr="007A5BEC">
              <w:rPr>
                <w:rFonts w:ascii="Times New Roman" w:eastAsia="Times New Roman" w:hAnsi="Times New Roman" w:cs="Times New Roman"/>
                <w:iCs/>
                <w:sz w:val="28"/>
                <w:szCs w:val="28"/>
                <w:lang w:eastAsia="lv-LV"/>
              </w:rPr>
              <w:t>Nav</w:t>
            </w:r>
          </w:p>
        </w:tc>
      </w:tr>
    </w:tbl>
    <w:p w14:paraId="1EC209D5" w14:textId="77777777" w:rsidR="000D1BD6" w:rsidRPr="007A5BEC" w:rsidRDefault="000D1BD6" w:rsidP="000D1BD6">
      <w:pPr>
        <w:spacing w:after="0" w:line="240" w:lineRule="auto"/>
        <w:rPr>
          <w:rFonts w:ascii="Times New Roman" w:eastAsia="Times New Roman" w:hAnsi="Times New Roman" w:cs="Times New Roman"/>
          <w:iCs/>
          <w:sz w:val="24"/>
          <w:szCs w:val="24"/>
          <w:lang w:eastAsia="lv-LV"/>
        </w:rPr>
      </w:pPr>
      <w:r w:rsidRPr="007A5BE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774"/>
        <w:gridCol w:w="6393"/>
      </w:tblGrid>
      <w:tr w:rsidR="000D1BD6" w:rsidRPr="007A5BEC" w14:paraId="3AAC5983" w14:textId="77777777" w:rsidTr="007512B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4FFF6D1" w14:textId="77777777" w:rsidR="000D1BD6" w:rsidRPr="007A5BEC" w:rsidRDefault="000D1BD6" w:rsidP="007512BC">
            <w:pPr>
              <w:spacing w:after="0" w:line="240" w:lineRule="auto"/>
              <w:rPr>
                <w:rFonts w:ascii="Times New Roman" w:eastAsia="Times New Roman" w:hAnsi="Times New Roman" w:cs="Times New Roman"/>
                <w:b/>
                <w:bCs/>
                <w:iCs/>
                <w:sz w:val="28"/>
                <w:szCs w:val="28"/>
                <w:lang w:eastAsia="lv-LV"/>
              </w:rPr>
            </w:pPr>
            <w:r w:rsidRPr="007A5BEC">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0D1BD6" w:rsidRPr="007A5BEC" w14:paraId="5714333B" w14:textId="77777777" w:rsidTr="007512B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F2C92A" w14:textId="77777777" w:rsidR="000D1BD6" w:rsidRPr="007A5BEC" w:rsidRDefault="000D1BD6" w:rsidP="007512BC">
            <w:pPr>
              <w:spacing w:after="0" w:line="240" w:lineRule="auto"/>
              <w:rPr>
                <w:rFonts w:ascii="Times New Roman" w:eastAsia="Times New Roman" w:hAnsi="Times New Roman" w:cs="Times New Roman"/>
                <w:iCs/>
                <w:sz w:val="24"/>
                <w:szCs w:val="24"/>
                <w:lang w:eastAsia="lv-LV"/>
              </w:rPr>
            </w:pPr>
            <w:r w:rsidRPr="007A5BEC">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7D1C0A2D" w14:textId="77777777" w:rsidR="000D1BD6" w:rsidRPr="007A5BEC" w:rsidRDefault="000D1BD6" w:rsidP="007512BC">
            <w:pPr>
              <w:spacing w:after="0" w:line="240" w:lineRule="auto"/>
              <w:rPr>
                <w:rFonts w:ascii="Times New Roman" w:eastAsia="Times New Roman" w:hAnsi="Times New Roman" w:cs="Times New Roman"/>
                <w:iCs/>
                <w:sz w:val="28"/>
                <w:szCs w:val="28"/>
                <w:lang w:eastAsia="lv-LV"/>
              </w:rPr>
            </w:pPr>
            <w:r w:rsidRPr="007A5BEC">
              <w:rPr>
                <w:rFonts w:ascii="Times New Roman" w:eastAsia="Times New Roman" w:hAnsi="Times New Roman" w:cs="Times New Roman"/>
                <w:iCs/>
                <w:sz w:val="28"/>
                <w:szCs w:val="28"/>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7BF49D9" w14:textId="77777777" w:rsidR="000D1BD6" w:rsidRPr="007A5BEC" w:rsidRDefault="000D1BD6" w:rsidP="007512BC">
            <w:pPr>
              <w:pStyle w:val="ListParagraph"/>
              <w:numPr>
                <w:ilvl w:val="0"/>
                <w:numId w:val="3"/>
              </w:numPr>
              <w:spacing w:after="0" w:line="240" w:lineRule="auto"/>
              <w:ind w:left="44" w:firstLine="0"/>
              <w:jc w:val="both"/>
              <w:rPr>
                <w:rFonts w:ascii="Times New Roman" w:eastAsia="Times New Roman" w:hAnsi="Times New Roman" w:cs="Times New Roman"/>
                <w:sz w:val="28"/>
                <w:szCs w:val="28"/>
                <w:lang w:eastAsia="lv-LV"/>
              </w:rPr>
            </w:pPr>
            <w:r w:rsidRPr="007A5BEC">
              <w:rPr>
                <w:rFonts w:ascii="Times New Roman" w:eastAsia="Times New Roman" w:hAnsi="Times New Roman" w:cs="Times New Roman"/>
                <w:sz w:val="28"/>
                <w:szCs w:val="28"/>
                <w:lang w:eastAsia="lv-LV"/>
              </w:rPr>
              <w:t>Zinātnisko institūciju reģistrā reģistrētās zinātniskās institūcijas (</w:t>
            </w:r>
            <w:hyperlink r:id="rId9" w:anchor="/pub/scientific_institution/list" w:history="1">
              <w:r w:rsidRPr="007A5BEC">
                <w:rPr>
                  <w:rStyle w:val="Hyperlink"/>
                  <w:rFonts w:ascii="Times New Roman" w:eastAsia="Times New Roman" w:hAnsi="Times New Roman" w:cs="Times New Roman"/>
                  <w:color w:val="auto"/>
                  <w:sz w:val="28"/>
                  <w:szCs w:val="28"/>
                  <w:lang w:eastAsia="lv-LV"/>
                </w:rPr>
                <w:t>https://sciencelatvia.lv/#/pub/scientific_institution/list</w:t>
              </w:r>
            </w:hyperlink>
            <w:r w:rsidRPr="007A5BEC">
              <w:rPr>
                <w:rFonts w:ascii="Times New Roman" w:eastAsia="Times New Roman" w:hAnsi="Times New Roman" w:cs="Times New Roman"/>
                <w:sz w:val="28"/>
                <w:szCs w:val="28"/>
                <w:lang w:eastAsia="lv-LV"/>
              </w:rPr>
              <w:t>)  un tajās nodarbinātie un studējošie;</w:t>
            </w:r>
          </w:p>
          <w:p w14:paraId="4080E59F" w14:textId="77777777" w:rsidR="000D1BD6" w:rsidRPr="007A5BEC" w:rsidRDefault="000D1BD6" w:rsidP="007512BC">
            <w:pPr>
              <w:pStyle w:val="ListParagraph"/>
              <w:numPr>
                <w:ilvl w:val="0"/>
                <w:numId w:val="3"/>
              </w:numPr>
              <w:spacing w:after="0" w:line="240" w:lineRule="auto"/>
              <w:ind w:left="252" w:hanging="283"/>
              <w:jc w:val="both"/>
              <w:rPr>
                <w:rFonts w:ascii="Times New Roman" w:eastAsia="Times New Roman" w:hAnsi="Times New Roman" w:cs="Times New Roman"/>
                <w:sz w:val="28"/>
                <w:szCs w:val="28"/>
                <w:lang w:eastAsia="lv-LV"/>
              </w:rPr>
            </w:pPr>
            <w:r w:rsidRPr="007A5BEC">
              <w:rPr>
                <w:rFonts w:ascii="Times New Roman" w:eastAsia="Times New Roman" w:hAnsi="Times New Roman" w:cs="Times New Roman"/>
                <w:sz w:val="28"/>
                <w:szCs w:val="28"/>
                <w:lang w:eastAsia="lv-LV"/>
              </w:rPr>
              <w:t>Komercreģistrā reģistrētās komercsabiedrības un tajā nodarbinātie;</w:t>
            </w:r>
          </w:p>
          <w:p w14:paraId="2BF5CBCC" w14:textId="77777777" w:rsidR="000D1BD6" w:rsidRPr="007A5BEC" w:rsidRDefault="000D1BD6" w:rsidP="007512BC">
            <w:pPr>
              <w:spacing w:after="0" w:line="240" w:lineRule="auto"/>
              <w:jc w:val="both"/>
              <w:rPr>
                <w:rFonts w:ascii="Times New Roman" w:hAnsi="Times New Roman" w:cs="Times New Roman"/>
                <w:sz w:val="28"/>
                <w:szCs w:val="28"/>
              </w:rPr>
            </w:pPr>
            <w:r w:rsidRPr="007A5BEC">
              <w:rPr>
                <w:rFonts w:ascii="Times New Roman" w:hAnsi="Times New Roman" w:cs="Times New Roman"/>
                <w:sz w:val="28"/>
                <w:szCs w:val="28"/>
              </w:rPr>
              <w:t>3) Valsts izglītības attīstības aģentūra un tajā nodarbinātie.</w:t>
            </w:r>
          </w:p>
          <w:p w14:paraId="0F980C15" w14:textId="77777777" w:rsidR="000D1BD6" w:rsidRPr="007A5BEC" w:rsidRDefault="000D1BD6" w:rsidP="007512BC">
            <w:pPr>
              <w:spacing w:after="0" w:line="240" w:lineRule="auto"/>
              <w:jc w:val="both"/>
              <w:rPr>
                <w:sz w:val="28"/>
                <w:szCs w:val="28"/>
              </w:rPr>
            </w:pPr>
          </w:p>
        </w:tc>
      </w:tr>
      <w:tr w:rsidR="000D1BD6" w:rsidRPr="007A5BEC" w14:paraId="2FABA048" w14:textId="77777777" w:rsidTr="007512B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FE41B7" w14:textId="77777777" w:rsidR="000D1BD6" w:rsidRPr="007A5BEC" w:rsidRDefault="000D1BD6" w:rsidP="007512BC">
            <w:pPr>
              <w:spacing w:after="0" w:line="240" w:lineRule="auto"/>
              <w:rPr>
                <w:rFonts w:ascii="Times New Roman" w:eastAsia="Times New Roman" w:hAnsi="Times New Roman" w:cs="Times New Roman"/>
                <w:iCs/>
                <w:sz w:val="24"/>
                <w:szCs w:val="24"/>
                <w:lang w:eastAsia="lv-LV"/>
              </w:rPr>
            </w:pPr>
            <w:r w:rsidRPr="007A5BE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12BD6D0" w14:textId="77777777" w:rsidR="000D1BD6" w:rsidRPr="007A5BEC" w:rsidRDefault="000D1BD6" w:rsidP="007512BC">
            <w:pPr>
              <w:spacing w:after="0" w:line="240" w:lineRule="auto"/>
              <w:rPr>
                <w:rFonts w:ascii="Times New Roman" w:eastAsia="Times New Roman" w:hAnsi="Times New Roman" w:cs="Times New Roman"/>
                <w:iCs/>
                <w:sz w:val="28"/>
                <w:szCs w:val="28"/>
                <w:lang w:eastAsia="lv-LV"/>
              </w:rPr>
            </w:pPr>
            <w:r w:rsidRPr="007A5BEC">
              <w:rPr>
                <w:rFonts w:ascii="Times New Roman" w:eastAsia="Times New Roman" w:hAnsi="Times New Roman" w:cs="Times New Roman"/>
                <w:iCs/>
                <w:sz w:val="28"/>
                <w:szCs w:val="28"/>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9DC8810" w14:textId="77777777" w:rsidR="000D1BD6" w:rsidRPr="007A5BEC" w:rsidRDefault="000D1BD6" w:rsidP="007512BC">
            <w:pPr>
              <w:spacing w:after="0" w:line="240" w:lineRule="auto"/>
              <w:jc w:val="both"/>
              <w:rPr>
                <w:rFonts w:ascii="Times New Roman" w:eastAsia="Times New Roman" w:hAnsi="Times New Roman" w:cs="Times New Roman"/>
                <w:iCs/>
                <w:sz w:val="28"/>
                <w:szCs w:val="28"/>
                <w:lang w:eastAsia="lv-LV"/>
              </w:rPr>
            </w:pPr>
            <w:r w:rsidRPr="007A5BEC">
              <w:rPr>
                <w:rFonts w:ascii="Times New Roman" w:eastAsia="Times New Roman" w:hAnsi="Times New Roman" w:cs="Times New Roman"/>
                <w:sz w:val="28"/>
                <w:szCs w:val="28"/>
                <w:lang w:eastAsia="lv-LV"/>
              </w:rPr>
              <w:t xml:space="preserve">Tiesiskajam regulējumam būs pozitīva ietekme uz tautsaimniecību, sekmējot uzņēmumu konkurētspēju caur publiskajām investīcijām pētniecībā un attīstībā. </w:t>
            </w:r>
            <w:r w:rsidRPr="007A5BEC">
              <w:rPr>
                <w:rFonts w:ascii="Times New Roman" w:eastAsia="Times New Roman" w:hAnsi="Times New Roman" w:cs="Times New Roman"/>
                <w:iCs/>
                <w:sz w:val="28"/>
                <w:szCs w:val="28"/>
                <w:lang w:eastAsia="lv-LV"/>
              </w:rPr>
              <w:t>Tiks labvēlīgi ietekmēts zinātnisko institūciju finansiālais stāvoklis un nodarbinātība, saņemot finansiālu atbalstu projektu īstenošanai no Eiropas Savienības institūcijām un valsts budžeta līdzfinansējuma veidā.</w:t>
            </w:r>
          </w:p>
          <w:p w14:paraId="6C5C7E84" w14:textId="77777777" w:rsidR="000D1BD6" w:rsidRPr="007A5BEC" w:rsidRDefault="000D1BD6" w:rsidP="007512BC">
            <w:pPr>
              <w:spacing w:after="0" w:line="240" w:lineRule="auto"/>
              <w:jc w:val="both"/>
              <w:rPr>
                <w:rFonts w:ascii="Times New Roman" w:eastAsia="Times New Roman" w:hAnsi="Times New Roman" w:cs="Times New Roman"/>
                <w:iCs/>
                <w:sz w:val="28"/>
                <w:szCs w:val="28"/>
                <w:lang w:eastAsia="lv-LV"/>
              </w:rPr>
            </w:pPr>
            <w:r w:rsidRPr="007A5BEC">
              <w:rPr>
                <w:rFonts w:ascii="Times New Roman" w:eastAsia="Times New Roman" w:hAnsi="Times New Roman" w:cs="Times New Roman"/>
                <w:iCs/>
                <w:sz w:val="28"/>
                <w:szCs w:val="28"/>
                <w:lang w:eastAsia="lv-LV"/>
              </w:rPr>
              <w:t>Tautsaimniecībā tiks piesaistīts ES finansējums.</w:t>
            </w:r>
          </w:p>
          <w:p w14:paraId="336E75D8" w14:textId="77777777" w:rsidR="000D1BD6" w:rsidRPr="007A5BEC" w:rsidRDefault="000D1BD6" w:rsidP="007512BC">
            <w:pPr>
              <w:spacing w:after="0" w:line="240" w:lineRule="auto"/>
              <w:jc w:val="both"/>
              <w:rPr>
                <w:rFonts w:ascii="Times New Roman" w:hAnsi="Times New Roman" w:cs="Times New Roman"/>
                <w:sz w:val="28"/>
                <w:szCs w:val="28"/>
              </w:rPr>
            </w:pPr>
            <w:r w:rsidRPr="007A5BEC">
              <w:rPr>
                <w:rFonts w:ascii="Times New Roman" w:hAnsi="Times New Roman" w:cs="Times New Roman"/>
                <w:sz w:val="28"/>
                <w:szCs w:val="28"/>
              </w:rPr>
              <w:t>Administratīvais slogs minētajām sabiedrības mērķgrupām, institūcijām un Valsts izglītības attīstības aģentūrai nemainās, jo nemaina to tiesības un pienākumus, kā arī veicamās darbības atbilstoši MK noteikumiem.</w:t>
            </w:r>
          </w:p>
        </w:tc>
      </w:tr>
      <w:tr w:rsidR="000D1BD6" w:rsidRPr="007A5BEC" w14:paraId="369C641A" w14:textId="77777777" w:rsidTr="007512B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30C890" w14:textId="77777777" w:rsidR="000D1BD6" w:rsidRPr="007A5BEC" w:rsidRDefault="000D1BD6" w:rsidP="007512BC">
            <w:pPr>
              <w:spacing w:after="0" w:line="240" w:lineRule="auto"/>
              <w:rPr>
                <w:rFonts w:ascii="Times New Roman" w:eastAsia="Times New Roman" w:hAnsi="Times New Roman" w:cs="Times New Roman"/>
                <w:iCs/>
                <w:sz w:val="24"/>
                <w:szCs w:val="24"/>
                <w:lang w:eastAsia="lv-LV"/>
              </w:rPr>
            </w:pPr>
            <w:r w:rsidRPr="007A5BE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88B376B" w14:textId="77777777" w:rsidR="000D1BD6" w:rsidRPr="007A5BEC" w:rsidRDefault="000D1BD6" w:rsidP="007512BC">
            <w:pPr>
              <w:spacing w:after="0" w:line="240" w:lineRule="auto"/>
              <w:rPr>
                <w:rFonts w:ascii="Times New Roman" w:eastAsia="Times New Roman" w:hAnsi="Times New Roman" w:cs="Times New Roman"/>
                <w:iCs/>
                <w:sz w:val="28"/>
                <w:szCs w:val="28"/>
                <w:lang w:eastAsia="lv-LV"/>
              </w:rPr>
            </w:pPr>
            <w:r w:rsidRPr="007A5BEC">
              <w:rPr>
                <w:rFonts w:ascii="Times New Roman" w:eastAsia="Times New Roman" w:hAnsi="Times New Roman" w:cs="Times New Roman"/>
                <w:iCs/>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FD9EE6C" w14:textId="77777777" w:rsidR="000D1BD6" w:rsidRPr="007A5BEC" w:rsidRDefault="000D1BD6" w:rsidP="007512BC">
            <w:pPr>
              <w:spacing w:after="0" w:line="240" w:lineRule="auto"/>
              <w:rPr>
                <w:rFonts w:ascii="Times New Roman" w:eastAsia="Times New Roman" w:hAnsi="Times New Roman" w:cs="Times New Roman"/>
                <w:iCs/>
                <w:sz w:val="28"/>
                <w:szCs w:val="28"/>
                <w:lang w:eastAsia="lv-LV"/>
              </w:rPr>
            </w:pPr>
            <w:r w:rsidRPr="007A5BEC">
              <w:rPr>
                <w:rFonts w:ascii="Times New Roman" w:eastAsia="Times New Roman" w:hAnsi="Times New Roman" w:cs="Times New Roman"/>
                <w:iCs/>
                <w:sz w:val="28"/>
                <w:szCs w:val="28"/>
                <w:lang w:eastAsia="lv-LV"/>
              </w:rPr>
              <w:t>Projekts šo jomu neskar.</w:t>
            </w:r>
          </w:p>
        </w:tc>
      </w:tr>
      <w:tr w:rsidR="000D1BD6" w:rsidRPr="007A5BEC" w14:paraId="0EE9D560" w14:textId="77777777" w:rsidTr="007512B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B8FC22" w14:textId="77777777" w:rsidR="000D1BD6" w:rsidRPr="007A5BEC" w:rsidRDefault="000D1BD6" w:rsidP="007512BC">
            <w:pPr>
              <w:spacing w:after="0" w:line="240" w:lineRule="auto"/>
              <w:rPr>
                <w:rFonts w:ascii="Times New Roman" w:eastAsia="Times New Roman" w:hAnsi="Times New Roman" w:cs="Times New Roman"/>
                <w:iCs/>
                <w:sz w:val="24"/>
                <w:szCs w:val="24"/>
                <w:lang w:eastAsia="lv-LV"/>
              </w:rPr>
            </w:pPr>
            <w:r w:rsidRPr="007A5BE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BAD7127" w14:textId="77777777" w:rsidR="000D1BD6" w:rsidRPr="007A5BEC" w:rsidRDefault="000D1BD6" w:rsidP="007512BC">
            <w:pPr>
              <w:spacing w:after="0" w:line="240" w:lineRule="auto"/>
              <w:rPr>
                <w:rFonts w:ascii="Times New Roman" w:eastAsia="Times New Roman" w:hAnsi="Times New Roman" w:cs="Times New Roman"/>
                <w:iCs/>
                <w:sz w:val="28"/>
                <w:szCs w:val="28"/>
                <w:lang w:eastAsia="lv-LV"/>
              </w:rPr>
            </w:pPr>
            <w:r w:rsidRPr="007A5BEC">
              <w:rPr>
                <w:rFonts w:ascii="Times New Roman" w:eastAsia="Times New Roman" w:hAnsi="Times New Roman" w:cs="Times New Roman"/>
                <w:iCs/>
                <w:sz w:val="28"/>
                <w:szCs w:val="28"/>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7DAC5FA" w14:textId="77777777" w:rsidR="000D1BD6" w:rsidRPr="007A5BEC" w:rsidRDefault="000D1BD6" w:rsidP="007512BC">
            <w:pPr>
              <w:spacing w:after="0" w:line="240" w:lineRule="auto"/>
              <w:rPr>
                <w:rFonts w:ascii="Times New Roman" w:eastAsia="Times New Roman" w:hAnsi="Times New Roman" w:cs="Times New Roman"/>
                <w:iCs/>
                <w:sz w:val="28"/>
                <w:szCs w:val="28"/>
                <w:lang w:eastAsia="lv-LV"/>
              </w:rPr>
            </w:pPr>
            <w:r w:rsidRPr="007A5BEC">
              <w:rPr>
                <w:rFonts w:ascii="Times New Roman" w:eastAsia="Times New Roman" w:hAnsi="Times New Roman" w:cs="Times New Roman"/>
                <w:iCs/>
                <w:sz w:val="28"/>
                <w:szCs w:val="28"/>
                <w:lang w:eastAsia="lv-LV"/>
              </w:rPr>
              <w:t>Projekts šo jomu neskar.</w:t>
            </w:r>
          </w:p>
        </w:tc>
      </w:tr>
      <w:tr w:rsidR="000D1BD6" w:rsidRPr="007A5BEC" w14:paraId="09A69029" w14:textId="77777777" w:rsidTr="007512B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AB7747" w14:textId="77777777" w:rsidR="000D1BD6" w:rsidRPr="007A5BEC" w:rsidRDefault="000D1BD6" w:rsidP="007512BC">
            <w:pPr>
              <w:spacing w:after="0" w:line="240" w:lineRule="auto"/>
              <w:rPr>
                <w:rFonts w:ascii="Times New Roman" w:eastAsia="Times New Roman" w:hAnsi="Times New Roman" w:cs="Times New Roman"/>
                <w:iCs/>
                <w:sz w:val="24"/>
                <w:szCs w:val="24"/>
                <w:lang w:eastAsia="lv-LV"/>
              </w:rPr>
            </w:pPr>
            <w:r w:rsidRPr="007A5BEC">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C0BA97F" w14:textId="77777777" w:rsidR="000D1BD6" w:rsidRPr="007A5BEC" w:rsidRDefault="000D1BD6" w:rsidP="007512BC">
            <w:pPr>
              <w:spacing w:after="0" w:line="240" w:lineRule="auto"/>
              <w:rPr>
                <w:rFonts w:ascii="Times New Roman" w:eastAsia="Times New Roman" w:hAnsi="Times New Roman" w:cs="Times New Roman"/>
                <w:iCs/>
                <w:sz w:val="28"/>
                <w:szCs w:val="28"/>
                <w:lang w:eastAsia="lv-LV"/>
              </w:rPr>
            </w:pPr>
            <w:r w:rsidRPr="007A5BEC">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6724AA6" w14:textId="77777777" w:rsidR="000D1BD6" w:rsidRPr="007A5BEC" w:rsidRDefault="000D1BD6" w:rsidP="007512BC">
            <w:pPr>
              <w:spacing w:after="0" w:line="240" w:lineRule="auto"/>
              <w:rPr>
                <w:rFonts w:ascii="Times New Roman" w:eastAsia="Times New Roman" w:hAnsi="Times New Roman" w:cs="Times New Roman"/>
                <w:iCs/>
                <w:sz w:val="28"/>
                <w:szCs w:val="28"/>
                <w:lang w:eastAsia="lv-LV"/>
              </w:rPr>
            </w:pPr>
            <w:r w:rsidRPr="007A5BEC">
              <w:rPr>
                <w:rFonts w:ascii="Times New Roman" w:eastAsia="Times New Roman" w:hAnsi="Times New Roman" w:cs="Times New Roman"/>
                <w:iCs/>
                <w:sz w:val="28"/>
                <w:szCs w:val="28"/>
                <w:lang w:eastAsia="lv-LV"/>
              </w:rPr>
              <w:t>Nav.</w:t>
            </w:r>
          </w:p>
        </w:tc>
      </w:tr>
    </w:tbl>
    <w:p w14:paraId="55F51DCE" w14:textId="77777777" w:rsidR="000D1BD6" w:rsidRPr="007A5BEC" w:rsidRDefault="000D1BD6" w:rsidP="000D1BD6">
      <w:pPr>
        <w:spacing w:after="0" w:line="240" w:lineRule="auto"/>
        <w:rPr>
          <w:rFonts w:ascii="Times New Roman" w:eastAsia="Times New Roman" w:hAnsi="Times New Roman" w:cs="Times New Roman"/>
          <w:iCs/>
          <w:sz w:val="24"/>
          <w:szCs w:val="24"/>
          <w:lang w:eastAsia="lv-LV"/>
        </w:rPr>
      </w:pPr>
      <w:r w:rsidRPr="007A5BEC">
        <w:rPr>
          <w:rFonts w:ascii="Times New Roman" w:eastAsia="Times New Roman" w:hAnsi="Times New Roman" w:cs="Times New Roman"/>
          <w:iCs/>
          <w:sz w:val="24"/>
          <w:szCs w:val="24"/>
          <w:lang w:eastAsia="lv-LV"/>
        </w:rPr>
        <w:t xml:space="preserve">  </w:t>
      </w:r>
    </w:p>
    <w:p w14:paraId="3785486B" w14:textId="77777777" w:rsidR="000D1BD6" w:rsidRPr="007A5BEC" w:rsidRDefault="000D1BD6" w:rsidP="000D1BD6">
      <w:pPr>
        <w:spacing w:after="0" w:line="240" w:lineRule="auto"/>
        <w:rPr>
          <w:rFonts w:ascii="Times New Roman" w:eastAsia="Times New Roman" w:hAnsi="Times New Roman" w:cs="Times New Roman"/>
          <w:iCs/>
          <w:sz w:val="28"/>
          <w:szCs w:val="28"/>
          <w:lang w:eastAsia="lv-LV"/>
        </w:rPr>
      </w:pPr>
      <w:r w:rsidRPr="007A5BEC">
        <w:rPr>
          <w:rFonts w:ascii="Times New Roman" w:eastAsia="Times New Roman" w:hAnsi="Times New Roman" w:cs="Times New Roman"/>
          <w:iCs/>
          <w:sz w:val="28"/>
          <w:szCs w:val="28"/>
          <w:lang w:eastAsia="lv-LV"/>
        </w:rPr>
        <w:t xml:space="preserve">  </w:t>
      </w:r>
    </w:p>
    <w:tbl>
      <w:tblPr>
        <w:tblW w:w="5307" w:type="pct"/>
        <w:tblCellSpacing w:w="15" w:type="dxa"/>
        <w:tblInd w:w="-434"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42"/>
        <w:gridCol w:w="1131"/>
        <w:gridCol w:w="1136"/>
        <w:gridCol w:w="1276"/>
        <w:gridCol w:w="997"/>
        <w:gridCol w:w="1553"/>
        <w:gridCol w:w="992"/>
        <w:gridCol w:w="798"/>
        <w:gridCol w:w="339"/>
      </w:tblGrid>
      <w:tr w:rsidR="000D1BD6" w:rsidRPr="007A5BEC" w14:paraId="74C610DD" w14:textId="77777777" w:rsidTr="007512BC">
        <w:trPr>
          <w:gridAfter w:val="1"/>
          <w:wAfter w:w="294" w:type="dxa"/>
          <w:tblCellSpacing w:w="15" w:type="dxa"/>
        </w:trPr>
        <w:tc>
          <w:tcPr>
            <w:tcW w:w="9683" w:type="dxa"/>
            <w:gridSpan w:val="8"/>
            <w:tcBorders>
              <w:top w:val="outset" w:sz="6" w:space="0" w:color="auto"/>
              <w:left w:val="outset" w:sz="6" w:space="0" w:color="auto"/>
              <w:bottom w:val="outset" w:sz="6" w:space="0" w:color="auto"/>
              <w:right w:val="outset" w:sz="6" w:space="0" w:color="auto"/>
            </w:tcBorders>
            <w:vAlign w:val="center"/>
          </w:tcPr>
          <w:p w14:paraId="0F380FE2" w14:textId="77777777" w:rsidR="000D1BD6" w:rsidRPr="007A5BEC" w:rsidRDefault="000D1BD6" w:rsidP="007512BC">
            <w:pPr>
              <w:spacing w:after="0" w:line="240" w:lineRule="auto"/>
              <w:rPr>
                <w:rFonts w:ascii="Times New Roman" w:eastAsia="Times New Roman" w:hAnsi="Times New Roman" w:cs="Times New Roman"/>
                <w:b/>
                <w:bCs/>
                <w:iCs/>
                <w:sz w:val="28"/>
                <w:szCs w:val="28"/>
                <w:lang w:eastAsia="lv-LV"/>
              </w:rPr>
            </w:pPr>
            <w:r w:rsidRPr="007A5BEC">
              <w:rPr>
                <w:rFonts w:ascii="Times New Roman" w:eastAsia="Times New Roman" w:hAnsi="Times New Roman" w:cs="Times New Roman"/>
                <w:b/>
                <w:bCs/>
                <w:iCs/>
                <w:sz w:val="28"/>
                <w:szCs w:val="28"/>
                <w:lang w:eastAsia="lv-LV"/>
              </w:rPr>
              <w:t>III. Tiesību akta projekta ietekme uz valsts budžetu un pašvaldību budžetiem</w:t>
            </w:r>
          </w:p>
        </w:tc>
      </w:tr>
      <w:tr w:rsidR="000D1BD6" w:rsidRPr="007A5BEC" w14:paraId="2A373F4C" w14:textId="77777777" w:rsidTr="007512BC">
        <w:trPr>
          <w:gridAfter w:val="1"/>
          <w:wAfter w:w="294" w:type="dxa"/>
          <w:tblCellSpacing w:w="15" w:type="dxa"/>
        </w:trPr>
        <w:tc>
          <w:tcPr>
            <w:tcW w:w="9683" w:type="dxa"/>
            <w:gridSpan w:val="8"/>
            <w:tcBorders>
              <w:top w:val="outset" w:sz="6" w:space="0" w:color="auto"/>
              <w:left w:val="outset" w:sz="6" w:space="0" w:color="auto"/>
              <w:bottom w:val="outset" w:sz="6" w:space="0" w:color="auto"/>
              <w:right w:val="outset" w:sz="6" w:space="0" w:color="auto"/>
            </w:tcBorders>
            <w:vAlign w:val="center"/>
          </w:tcPr>
          <w:p w14:paraId="6D81DE3A" w14:textId="77777777" w:rsidR="000D1BD6" w:rsidRPr="007A5BEC" w:rsidRDefault="000D1BD6" w:rsidP="007512BC">
            <w:pPr>
              <w:spacing w:after="0" w:line="240" w:lineRule="auto"/>
              <w:rPr>
                <w:rFonts w:ascii="Times New Roman" w:eastAsia="Times New Roman" w:hAnsi="Times New Roman" w:cs="Times New Roman"/>
                <w:b/>
                <w:bCs/>
                <w:iCs/>
                <w:lang w:eastAsia="lv-LV"/>
              </w:rPr>
            </w:pPr>
          </w:p>
        </w:tc>
      </w:tr>
      <w:tr w:rsidR="000D1BD6" w:rsidRPr="007A5BEC" w14:paraId="319ED30C" w14:textId="77777777" w:rsidTr="007512BC">
        <w:trPr>
          <w:tblCellSpacing w:w="15" w:type="dxa"/>
        </w:trPr>
        <w:tc>
          <w:tcPr>
            <w:tcW w:w="1799" w:type="dxa"/>
            <w:vMerge w:val="restart"/>
            <w:tcBorders>
              <w:top w:val="outset" w:sz="6" w:space="0" w:color="auto"/>
              <w:left w:val="outset" w:sz="6" w:space="0" w:color="auto"/>
              <w:bottom w:val="outset" w:sz="6" w:space="0" w:color="auto"/>
              <w:right w:val="outset" w:sz="6" w:space="0" w:color="auto"/>
            </w:tcBorders>
            <w:vAlign w:val="center"/>
            <w:hideMark/>
          </w:tcPr>
          <w:p w14:paraId="24841390" w14:textId="77777777" w:rsidR="000D1BD6" w:rsidRPr="007A5BEC" w:rsidRDefault="000D1BD6" w:rsidP="007512BC">
            <w:pPr>
              <w:spacing w:after="0" w:line="240" w:lineRule="auto"/>
              <w:ind w:left="-925" w:firstLine="925"/>
              <w:rPr>
                <w:rFonts w:ascii="Times New Roman" w:eastAsia="Times New Roman" w:hAnsi="Times New Roman" w:cs="Times New Roman"/>
                <w:iCs/>
                <w:sz w:val="24"/>
                <w:szCs w:val="24"/>
                <w:lang w:eastAsia="lv-LV"/>
              </w:rPr>
            </w:pPr>
            <w:r w:rsidRPr="007A5BEC">
              <w:rPr>
                <w:rFonts w:ascii="Times New Roman" w:eastAsia="Times New Roman" w:hAnsi="Times New Roman" w:cs="Times New Roman"/>
                <w:iCs/>
                <w:sz w:val="24"/>
                <w:szCs w:val="24"/>
                <w:lang w:eastAsia="lv-LV"/>
              </w:rPr>
              <w:t>Rādītāji</w:t>
            </w:r>
          </w:p>
        </w:tc>
        <w:tc>
          <w:tcPr>
            <w:tcW w:w="2238"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79EF43B1"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2021.gads</w:t>
            </w:r>
          </w:p>
        </w:tc>
        <w:tc>
          <w:tcPr>
            <w:tcW w:w="5907" w:type="dxa"/>
            <w:gridSpan w:val="6"/>
            <w:tcBorders>
              <w:top w:val="outset" w:sz="6" w:space="0" w:color="auto"/>
              <w:left w:val="outset" w:sz="6" w:space="0" w:color="auto"/>
              <w:bottom w:val="outset" w:sz="6" w:space="0" w:color="auto"/>
              <w:right w:val="outset" w:sz="6" w:space="0" w:color="auto"/>
            </w:tcBorders>
            <w:vAlign w:val="center"/>
            <w:hideMark/>
          </w:tcPr>
          <w:p w14:paraId="6B04C8F8"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Turpmākie trīs gadi (</w:t>
            </w:r>
            <w:r w:rsidRPr="007A5BEC">
              <w:rPr>
                <w:rFonts w:ascii="Times New Roman" w:eastAsia="Times New Roman" w:hAnsi="Times New Roman" w:cs="Times New Roman"/>
                <w:i/>
                <w:iCs/>
                <w:lang w:eastAsia="lv-LV"/>
              </w:rPr>
              <w:t>euro</w:t>
            </w:r>
            <w:r w:rsidRPr="007A5BEC">
              <w:rPr>
                <w:rFonts w:ascii="Times New Roman" w:eastAsia="Times New Roman" w:hAnsi="Times New Roman" w:cs="Times New Roman"/>
                <w:iCs/>
                <w:lang w:eastAsia="lv-LV"/>
              </w:rPr>
              <w:t>)</w:t>
            </w:r>
          </w:p>
        </w:tc>
      </w:tr>
      <w:tr w:rsidR="000D1BD6" w:rsidRPr="007A5BEC" w14:paraId="77E5161E" w14:textId="77777777" w:rsidTr="007512BC">
        <w:trPr>
          <w:tblCellSpacing w:w="15" w:type="dxa"/>
        </w:trPr>
        <w:tc>
          <w:tcPr>
            <w:tcW w:w="1799" w:type="dxa"/>
            <w:vMerge/>
            <w:tcBorders>
              <w:top w:val="outset" w:sz="6" w:space="0" w:color="auto"/>
              <w:left w:val="outset" w:sz="6" w:space="0" w:color="auto"/>
              <w:bottom w:val="outset" w:sz="6" w:space="0" w:color="auto"/>
              <w:right w:val="outset" w:sz="6" w:space="0" w:color="auto"/>
            </w:tcBorders>
            <w:vAlign w:val="center"/>
            <w:hideMark/>
          </w:tcPr>
          <w:p w14:paraId="35133E10" w14:textId="77777777" w:rsidR="000D1BD6" w:rsidRPr="007A5BEC" w:rsidRDefault="000D1BD6" w:rsidP="007512BC">
            <w:pPr>
              <w:spacing w:after="0" w:line="240" w:lineRule="auto"/>
              <w:rPr>
                <w:rFonts w:ascii="Times New Roman" w:eastAsia="Times New Roman" w:hAnsi="Times New Roman" w:cs="Times New Roman"/>
                <w:iCs/>
                <w:sz w:val="24"/>
                <w:szCs w:val="24"/>
                <w:lang w:eastAsia="lv-LV"/>
              </w:rPr>
            </w:pPr>
          </w:p>
        </w:tc>
        <w:tc>
          <w:tcPr>
            <w:tcW w:w="2238" w:type="dxa"/>
            <w:gridSpan w:val="2"/>
            <w:vMerge/>
            <w:tcBorders>
              <w:top w:val="outset" w:sz="6" w:space="0" w:color="auto"/>
              <w:left w:val="outset" w:sz="6" w:space="0" w:color="auto"/>
              <w:bottom w:val="outset" w:sz="6" w:space="0" w:color="auto"/>
              <w:right w:val="outset" w:sz="6" w:space="0" w:color="auto"/>
            </w:tcBorders>
            <w:vAlign w:val="center"/>
            <w:hideMark/>
          </w:tcPr>
          <w:p w14:paraId="3E40C953" w14:textId="77777777" w:rsidR="000D1BD6" w:rsidRPr="007A5BEC" w:rsidRDefault="000D1BD6" w:rsidP="007512BC">
            <w:pPr>
              <w:spacing w:after="0" w:line="240" w:lineRule="auto"/>
              <w:rPr>
                <w:rFonts w:ascii="Times New Roman" w:eastAsia="Times New Roman" w:hAnsi="Times New Roman" w:cs="Times New Roman"/>
                <w:iCs/>
                <w:lang w:eastAsia="lv-LV"/>
              </w:rPr>
            </w:pPr>
          </w:p>
        </w:tc>
        <w:tc>
          <w:tcPr>
            <w:tcW w:w="2243" w:type="dxa"/>
            <w:gridSpan w:val="2"/>
            <w:tcBorders>
              <w:top w:val="outset" w:sz="6" w:space="0" w:color="auto"/>
              <w:left w:val="outset" w:sz="6" w:space="0" w:color="auto"/>
              <w:bottom w:val="outset" w:sz="6" w:space="0" w:color="auto"/>
              <w:right w:val="outset" w:sz="6" w:space="0" w:color="auto"/>
            </w:tcBorders>
            <w:vAlign w:val="center"/>
            <w:hideMark/>
          </w:tcPr>
          <w:p w14:paraId="56784300"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2022.g.</w:t>
            </w:r>
          </w:p>
        </w:tc>
        <w:tc>
          <w:tcPr>
            <w:tcW w:w="2515" w:type="dxa"/>
            <w:gridSpan w:val="2"/>
            <w:tcBorders>
              <w:top w:val="outset" w:sz="6" w:space="0" w:color="auto"/>
              <w:left w:val="outset" w:sz="6" w:space="0" w:color="auto"/>
              <w:bottom w:val="outset" w:sz="6" w:space="0" w:color="auto"/>
              <w:right w:val="outset" w:sz="6" w:space="0" w:color="auto"/>
            </w:tcBorders>
            <w:vAlign w:val="center"/>
            <w:hideMark/>
          </w:tcPr>
          <w:p w14:paraId="5EAF4CA3"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2023.g.</w:t>
            </w:r>
          </w:p>
        </w:tc>
        <w:tc>
          <w:tcPr>
            <w:tcW w:w="1089" w:type="dxa"/>
            <w:gridSpan w:val="2"/>
            <w:tcBorders>
              <w:top w:val="outset" w:sz="6" w:space="0" w:color="auto"/>
              <w:left w:val="outset" w:sz="6" w:space="0" w:color="auto"/>
              <w:bottom w:val="outset" w:sz="6" w:space="0" w:color="auto"/>
              <w:right w:val="outset" w:sz="6" w:space="0" w:color="auto"/>
            </w:tcBorders>
            <w:vAlign w:val="center"/>
            <w:hideMark/>
          </w:tcPr>
          <w:p w14:paraId="061BE9CD"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2024.g.</w:t>
            </w:r>
          </w:p>
        </w:tc>
      </w:tr>
      <w:tr w:rsidR="000D1BD6" w:rsidRPr="007A5BEC" w14:paraId="6729CAB9" w14:textId="77777777" w:rsidTr="007512BC">
        <w:trPr>
          <w:tblCellSpacing w:w="15" w:type="dxa"/>
        </w:trPr>
        <w:tc>
          <w:tcPr>
            <w:tcW w:w="1799" w:type="dxa"/>
            <w:vMerge/>
            <w:tcBorders>
              <w:top w:val="outset" w:sz="6" w:space="0" w:color="auto"/>
              <w:left w:val="outset" w:sz="6" w:space="0" w:color="auto"/>
              <w:bottom w:val="outset" w:sz="6" w:space="0" w:color="auto"/>
              <w:right w:val="outset" w:sz="6" w:space="0" w:color="auto"/>
            </w:tcBorders>
            <w:vAlign w:val="center"/>
            <w:hideMark/>
          </w:tcPr>
          <w:p w14:paraId="2A8E6307" w14:textId="77777777" w:rsidR="000D1BD6" w:rsidRPr="007A5BEC" w:rsidRDefault="000D1BD6" w:rsidP="007512BC">
            <w:pPr>
              <w:spacing w:after="0" w:line="240" w:lineRule="auto"/>
              <w:rPr>
                <w:rFonts w:ascii="Times New Roman" w:eastAsia="Times New Roman" w:hAnsi="Times New Roman" w:cs="Times New Roman"/>
                <w:iCs/>
                <w:sz w:val="24"/>
                <w:szCs w:val="24"/>
                <w:lang w:eastAsia="lv-LV"/>
              </w:rPr>
            </w:pPr>
          </w:p>
        </w:tc>
        <w:tc>
          <w:tcPr>
            <w:tcW w:w="1102" w:type="dxa"/>
            <w:tcBorders>
              <w:top w:val="outset" w:sz="6" w:space="0" w:color="auto"/>
              <w:left w:val="outset" w:sz="6" w:space="0" w:color="auto"/>
              <w:bottom w:val="outset" w:sz="6" w:space="0" w:color="auto"/>
              <w:right w:val="outset" w:sz="6" w:space="0" w:color="auto"/>
            </w:tcBorders>
            <w:vAlign w:val="center"/>
            <w:hideMark/>
          </w:tcPr>
          <w:p w14:paraId="3379CD33"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saskaņā 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14:paraId="62C1E635"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xml:space="preserve">izmaiņas kārtējā gadā, salīdzinot ar valsts budžetu </w:t>
            </w:r>
            <w:r w:rsidRPr="007A5BEC">
              <w:rPr>
                <w:rFonts w:ascii="Times New Roman" w:eastAsia="Times New Roman" w:hAnsi="Times New Roman" w:cs="Times New Roman"/>
                <w:iCs/>
                <w:lang w:eastAsia="lv-LV"/>
              </w:rPr>
              <w:lastRenderedPageBreak/>
              <w:t>kārtējam gadam</w:t>
            </w:r>
          </w:p>
        </w:tc>
        <w:tc>
          <w:tcPr>
            <w:tcW w:w="1246" w:type="dxa"/>
            <w:tcBorders>
              <w:top w:val="outset" w:sz="6" w:space="0" w:color="auto"/>
              <w:left w:val="outset" w:sz="6" w:space="0" w:color="auto"/>
              <w:bottom w:val="outset" w:sz="6" w:space="0" w:color="auto"/>
              <w:right w:val="outset" w:sz="6" w:space="0" w:color="auto"/>
            </w:tcBorders>
            <w:vAlign w:val="center"/>
            <w:hideMark/>
          </w:tcPr>
          <w:p w14:paraId="43A96070"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lastRenderedPageBreak/>
              <w:t>saskaņā ar vidēja termiņa budžeta ietvaru</w:t>
            </w:r>
          </w:p>
        </w:tc>
        <w:tc>
          <w:tcPr>
            <w:tcW w:w="967" w:type="dxa"/>
            <w:tcBorders>
              <w:top w:val="outset" w:sz="6" w:space="0" w:color="auto"/>
              <w:left w:val="outset" w:sz="6" w:space="0" w:color="auto"/>
              <w:bottom w:val="outset" w:sz="6" w:space="0" w:color="auto"/>
              <w:right w:val="outset" w:sz="6" w:space="0" w:color="auto"/>
            </w:tcBorders>
            <w:vAlign w:val="center"/>
            <w:hideMark/>
          </w:tcPr>
          <w:p w14:paraId="53E572B7"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xml:space="preserve">izmaiņas, salīdzinot ar vidēja termiņa budžeta ietvaru </w:t>
            </w:r>
            <w:r w:rsidRPr="007A5BEC">
              <w:rPr>
                <w:rFonts w:ascii="Times New Roman" w:eastAsia="Times New Roman" w:hAnsi="Times New Roman" w:cs="Times New Roman"/>
                <w:iCs/>
                <w:lang w:eastAsia="lv-LV"/>
              </w:rPr>
              <w:lastRenderedPageBreak/>
              <w:t>2022. gadam</w:t>
            </w:r>
          </w:p>
        </w:tc>
        <w:tc>
          <w:tcPr>
            <w:tcW w:w="1523" w:type="dxa"/>
            <w:tcBorders>
              <w:top w:val="outset" w:sz="6" w:space="0" w:color="auto"/>
              <w:left w:val="outset" w:sz="6" w:space="0" w:color="auto"/>
              <w:bottom w:val="outset" w:sz="6" w:space="0" w:color="auto"/>
              <w:right w:val="outset" w:sz="6" w:space="0" w:color="auto"/>
            </w:tcBorders>
            <w:vAlign w:val="center"/>
            <w:hideMark/>
          </w:tcPr>
          <w:p w14:paraId="246EC201"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lastRenderedPageBreak/>
              <w:t>saskaņā ar vidēja termiņa budžeta ietvaru</w:t>
            </w:r>
          </w:p>
        </w:tc>
        <w:tc>
          <w:tcPr>
            <w:tcW w:w="962" w:type="dxa"/>
            <w:tcBorders>
              <w:top w:val="outset" w:sz="6" w:space="0" w:color="auto"/>
              <w:left w:val="outset" w:sz="6" w:space="0" w:color="auto"/>
              <w:bottom w:val="outset" w:sz="6" w:space="0" w:color="auto"/>
              <w:right w:val="outset" w:sz="6" w:space="0" w:color="auto"/>
            </w:tcBorders>
            <w:vAlign w:val="center"/>
            <w:hideMark/>
          </w:tcPr>
          <w:p w14:paraId="48156CF1"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xml:space="preserve">izmaiņas, salīdzinot ar vidēja termiņa budžeta ietvaru </w:t>
            </w:r>
            <w:r w:rsidRPr="007A5BEC">
              <w:rPr>
                <w:rFonts w:ascii="Times New Roman" w:eastAsia="Times New Roman" w:hAnsi="Times New Roman" w:cs="Times New Roman"/>
                <w:iCs/>
                <w:lang w:eastAsia="lv-LV"/>
              </w:rPr>
              <w:lastRenderedPageBreak/>
              <w:t>2023. gadam</w:t>
            </w:r>
          </w:p>
        </w:tc>
        <w:tc>
          <w:tcPr>
            <w:tcW w:w="1089" w:type="dxa"/>
            <w:gridSpan w:val="2"/>
            <w:tcBorders>
              <w:top w:val="outset" w:sz="6" w:space="0" w:color="auto"/>
              <w:left w:val="outset" w:sz="6" w:space="0" w:color="auto"/>
              <w:bottom w:val="outset" w:sz="6" w:space="0" w:color="auto"/>
              <w:right w:val="outset" w:sz="6" w:space="0" w:color="auto"/>
            </w:tcBorders>
            <w:vAlign w:val="center"/>
            <w:hideMark/>
          </w:tcPr>
          <w:p w14:paraId="79012573"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lastRenderedPageBreak/>
              <w:t xml:space="preserve">izmaiņas, salīdzinot ar vidēja termiņa budžeta </w:t>
            </w:r>
            <w:r w:rsidRPr="007A5BEC">
              <w:rPr>
                <w:rFonts w:ascii="Times New Roman" w:eastAsia="Times New Roman" w:hAnsi="Times New Roman" w:cs="Times New Roman"/>
                <w:iCs/>
                <w:lang w:eastAsia="lv-LV"/>
              </w:rPr>
              <w:lastRenderedPageBreak/>
              <w:t>ietvaru 2023.</w:t>
            </w:r>
          </w:p>
          <w:p w14:paraId="3C06AD0E"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gadam</w:t>
            </w:r>
          </w:p>
        </w:tc>
      </w:tr>
      <w:tr w:rsidR="000D1BD6" w:rsidRPr="007A5BEC" w14:paraId="24BAFF5E" w14:textId="77777777" w:rsidTr="007512BC">
        <w:trPr>
          <w:tblCellSpacing w:w="15" w:type="dxa"/>
        </w:trPr>
        <w:tc>
          <w:tcPr>
            <w:tcW w:w="1799" w:type="dxa"/>
            <w:tcBorders>
              <w:top w:val="outset" w:sz="6" w:space="0" w:color="auto"/>
              <w:left w:val="outset" w:sz="6" w:space="0" w:color="auto"/>
              <w:bottom w:val="outset" w:sz="6" w:space="0" w:color="auto"/>
              <w:right w:val="outset" w:sz="6" w:space="0" w:color="auto"/>
            </w:tcBorders>
            <w:vAlign w:val="center"/>
            <w:hideMark/>
          </w:tcPr>
          <w:p w14:paraId="495316D7" w14:textId="77777777" w:rsidR="000D1BD6" w:rsidRPr="007A5BEC" w:rsidRDefault="000D1BD6" w:rsidP="007512BC">
            <w:pPr>
              <w:spacing w:after="0" w:line="240" w:lineRule="auto"/>
              <w:rPr>
                <w:rFonts w:ascii="Times New Roman" w:eastAsia="Times New Roman" w:hAnsi="Times New Roman" w:cs="Times New Roman"/>
                <w:iCs/>
                <w:sz w:val="24"/>
                <w:szCs w:val="24"/>
                <w:lang w:eastAsia="lv-LV"/>
              </w:rPr>
            </w:pPr>
            <w:r w:rsidRPr="007A5BEC">
              <w:rPr>
                <w:rFonts w:ascii="Times New Roman" w:eastAsia="Times New Roman" w:hAnsi="Times New Roman" w:cs="Times New Roman"/>
                <w:iCs/>
                <w:sz w:val="24"/>
                <w:szCs w:val="24"/>
                <w:lang w:eastAsia="lv-LV"/>
              </w:rPr>
              <w:lastRenderedPageBreak/>
              <w:t>1</w:t>
            </w:r>
          </w:p>
        </w:tc>
        <w:tc>
          <w:tcPr>
            <w:tcW w:w="1102" w:type="dxa"/>
            <w:tcBorders>
              <w:top w:val="outset" w:sz="6" w:space="0" w:color="auto"/>
              <w:left w:val="outset" w:sz="6" w:space="0" w:color="auto"/>
              <w:bottom w:val="outset" w:sz="6" w:space="0" w:color="auto"/>
              <w:right w:val="outset" w:sz="6" w:space="0" w:color="auto"/>
            </w:tcBorders>
            <w:vAlign w:val="center"/>
            <w:hideMark/>
          </w:tcPr>
          <w:p w14:paraId="13A004B5"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14:paraId="7CE15BFB"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3</w:t>
            </w:r>
          </w:p>
        </w:tc>
        <w:tc>
          <w:tcPr>
            <w:tcW w:w="1246" w:type="dxa"/>
            <w:tcBorders>
              <w:top w:val="outset" w:sz="6" w:space="0" w:color="auto"/>
              <w:left w:val="outset" w:sz="6" w:space="0" w:color="auto"/>
              <w:bottom w:val="outset" w:sz="6" w:space="0" w:color="auto"/>
              <w:right w:val="outset" w:sz="6" w:space="0" w:color="auto"/>
            </w:tcBorders>
            <w:vAlign w:val="center"/>
            <w:hideMark/>
          </w:tcPr>
          <w:p w14:paraId="6C92B048"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4</w:t>
            </w:r>
          </w:p>
        </w:tc>
        <w:tc>
          <w:tcPr>
            <w:tcW w:w="967" w:type="dxa"/>
            <w:tcBorders>
              <w:top w:val="outset" w:sz="6" w:space="0" w:color="auto"/>
              <w:left w:val="outset" w:sz="6" w:space="0" w:color="auto"/>
              <w:bottom w:val="outset" w:sz="6" w:space="0" w:color="auto"/>
              <w:right w:val="outset" w:sz="6" w:space="0" w:color="auto"/>
            </w:tcBorders>
            <w:vAlign w:val="center"/>
            <w:hideMark/>
          </w:tcPr>
          <w:p w14:paraId="52819CFC"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5</w:t>
            </w:r>
          </w:p>
        </w:tc>
        <w:tc>
          <w:tcPr>
            <w:tcW w:w="1523" w:type="dxa"/>
            <w:tcBorders>
              <w:top w:val="outset" w:sz="6" w:space="0" w:color="auto"/>
              <w:left w:val="outset" w:sz="6" w:space="0" w:color="auto"/>
              <w:bottom w:val="outset" w:sz="6" w:space="0" w:color="auto"/>
              <w:right w:val="outset" w:sz="6" w:space="0" w:color="auto"/>
            </w:tcBorders>
            <w:vAlign w:val="center"/>
            <w:hideMark/>
          </w:tcPr>
          <w:p w14:paraId="51705FDD"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6</w:t>
            </w:r>
          </w:p>
        </w:tc>
        <w:tc>
          <w:tcPr>
            <w:tcW w:w="962" w:type="dxa"/>
            <w:tcBorders>
              <w:top w:val="outset" w:sz="6" w:space="0" w:color="auto"/>
              <w:left w:val="outset" w:sz="6" w:space="0" w:color="auto"/>
              <w:bottom w:val="outset" w:sz="6" w:space="0" w:color="auto"/>
              <w:right w:val="outset" w:sz="6" w:space="0" w:color="auto"/>
            </w:tcBorders>
            <w:vAlign w:val="center"/>
            <w:hideMark/>
          </w:tcPr>
          <w:p w14:paraId="5F1A85D6"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7</w:t>
            </w:r>
          </w:p>
        </w:tc>
        <w:tc>
          <w:tcPr>
            <w:tcW w:w="1089" w:type="dxa"/>
            <w:gridSpan w:val="2"/>
            <w:tcBorders>
              <w:top w:val="outset" w:sz="6" w:space="0" w:color="auto"/>
              <w:left w:val="outset" w:sz="6" w:space="0" w:color="auto"/>
              <w:bottom w:val="outset" w:sz="6" w:space="0" w:color="auto"/>
              <w:right w:val="outset" w:sz="6" w:space="0" w:color="auto"/>
            </w:tcBorders>
            <w:vAlign w:val="center"/>
            <w:hideMark/>
          </w:tcPr>
          <w:p w14:paraId="178D59CE"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8</w:t>
            </w:r>
          </w:p>
        </w:tc>
      </w:tr>
      <w:tr w:rsidR="000D1BD6" w:rsidRPr="007A5BEC" w14:paraId="2650FF21" w14:textId="77777777" w:rsidTr="007512BC">
        <w:trPr>
          <w:tblCellSpacing w:w="15" w:type="dxa"/>
        </w:trPr>
        <w:tc>
          <w:tcPr>
            <w:tcW w:w="1799" w:type="dxa"/>
            <w:tcBorders>
              <w:top w:val="outset" w:sz="6" w:space="0" w:color="auto"/>
              <w:left w:val="outset" w:sz="6" w:space="0" w:color="auto"/>
              <w:bottom w:val="outset" w:sz="6" w:space="0" w:color="auto"/>
              <w:right w:val="outset" w:sz="6" w:space="0" w:color="auto"/>
            </w:tcBorders>
            <w:hideMark/>
          </w:tcPr>
          <w:p w14:paraId="34E37039" w14:textId="77777777" w:rsidR="000D1BD6" w:rsidRPr="007A5BEC" w:rsidRDefault="000D1BD6" w:rsidP="007512BC">
            <w:pPr>
              <w:spacing w:after="0" w:line="240" w:lineRule="auto"/>
              <w:rPr>
                <w:rFonts w:ascii="Times New Roman" w:eastAsia="Times New Roman" w:hAnsi="Times New Roman" w:cs="Times New Roman"/>
                <w:iCs/>
                <w:sz w:val="24"/>
                <w:szCs w:val="24"/>
                <w:lang w:eastAsia="lv-LV"/>
              </w:rPr>
            </w:pPr>
            <w:r w:rsidRPr="007A5BEC">
              <w:rPr>
                <w:rFonts w:ascii="Times New Roman" w:eastAsia="Times New Roman" w:hAnsi="Times New Roman" w:cs="Times New Roman"/>
                <w:iCs/>
                <w:sz w:val="24"/>
                <w:szCs w:val="24"/>
                <w:lang w:eastAsia="lv-LV"/>
              </w:rPr>
              <w:t>1. Budžeta ieņēmumi</w:t>
            </w:r>
          </w:p>
        </w:tc>
        <w:tc>
          <w:tcPr>
            <w:tcW w:w="1102" w:type="dxa"/>
            <w:tcBorders>
              <w:top w:val="outset" w:sz="6" w:space="0" w:color="auto"/>
              <w:left w:val="outset" w:sz="6" w:space="0" w:color="auto"/>
              <w:bottom w:val="outset" w:sz="6" w:space="0" w:color="auto"/>
              <w:right w:val="outset" w:sz="6" w:space="0" w:color="auto"/>
            </w:tcBorders>
            <w:vAlign w:val="center"/>
            <w:hideMark/>
          </w:tcPr>
          <w:p w14:paraId="14550198"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5 544 515</w:t>
            </w:r>
          </w:p>
        </w:tc>
        <w:tc>
          <w:tcPr>
            <w:tcW w:w="1106" w:type="dxa"/>
            <w:tcBorders>
              <w:top w:val="outset" w:sz="6" w:space="0" w:color="auto"/>
              <w:left w:val="outset" w:sz="6" w:space="0" w:color="auto"/>
              <w:bottom w:val="outset" w:sz="6" w:space="0" w:color="auto"/>
              <w:right w:val="outset" w:sz="6" w:space="0" w:color="auto"/>
            </w:tcBorders>
            <w:vAlign w:val="center"/>
            <w:hideMark/>
          </w:tcPr>
          <w:p w14:paraId="1C2AD141"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31AA6476"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t xml:space="preserve"> </w:t>
            </w:r>
            <w:r w:rsidRPr="007A5BEC">
              <w:rPr>
                <w:rFonts w:ascii="Times New Roman" w:eastAsia="Times New Roman" w:hAnsi="Times New Roman" w:cs="Times New Roman"/>
                <w:iCs/>
                <w:lang w:eastAsia="lv-LV"/>
              </w:rPr>
              <w:t>3 099 525</w:t>
            </w:r>
          </w:p>
        </w:tc>
        <w:tc>
          <w:tcPr>
            <w:tcW w:w="967" w:type="dxa"/>
            <w:tcBorders>
              <w:top w:val="outset" w:sz="6" w:space="0" w:color="auto"/>
              <w:left w:val="outset" w:sz="6" w:space="0" w:color="auto"/>
              <w:bottom w:val="outset" w:sz="6" w:space="0" w:color="auto"/>
              <w:right w:val="outset" w:sz="6" w:space="0" w:color="auto"/>
            </w:tcBorders>
            <w:vAlign w:val="center"/>
            <w:hideMark/>
          </w:tcPr>
          <w:p w14:paraId="70DCBF08"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0</w:t>
            </w:r>
          </w:p>
        </w:tc>
        <w:tc>
          <w:tcPr>
            <w:tcW w:w="1523" w:type="dxa"/>
            <w:tcBorders>
              <w:top w:val="outset" w:sz="6" w:space="0" w:color="auto"/>
              <w:left w:val="outset" w:sz="6" w:space="0" w:color="auto"/>
              <w:bottom w:val="outset" w:sz="6" w:space="0" w:color="auto"/>
              <w:right w:val="outset" w:sz="6" w:space="0" w:color="auto"/>
            </w:tcBorders>
            <w:vAlign w:val="center"/>
            <w:hideMark/>
          </w:tcPr>
          <w:p w14:paraId="5F9990A3"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w:t>
            </w:r>
            <w:r w:rsidRPr="007A5BEC">
              <w:t xml:space="preserve"> </w:t>
            </w:r>
            <w:r w:rsidRPr="007A5BEC">
              <w:rPr>
                <w:rFonts w:ascii="Times New Roman" w:eastAsia="Times New Roman" w:hAnsi="Times New Roman" w:cs="Times New Roman"/>
                <w:iCs/>
                <w:lang w:eastAsia="lv-LV"/>
              </w:rPr>
              <w:t>2 905 004</w:t>
            </w:r>
          </w:p>
        </w:tc>
        <w:tc>
          <w:tcPr>
            <w:tcW w:w="962" w:type="dxa"/>
            <w:tcBorders>
              <w:top w:val="outset" w:sz="6" w:space="0" w:color="auto"/>
              <w:left w:val="outset" w:sz="6" w:space="0" w:color="auto"/>
              <w:bottom w:val="outset" w:sz="6" w:space="0" w:color="auto"/>
              <w:right w:val="outset" w:sz="6" w:space="0" w:color="auto"/>
            </w:tcBorders>
            <w:vAlign w:val="center"/>
            <w:hideMark/>
          </w:tcPr>
          <w:p w14:paraId="214EAB70"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0</w:t>
            </w:r>
          </w:p>
        </w:tc>
        <w:tc>
          <w:tcPr>
            <w:tcW w:w="1089" w:type="dxa"/>
            <w:gridSpan w:val="2"/>
            <w:tcBorders>
              <w:top w:val="outset" w:sz="6" w:space="0" w:color="auto"/>
              <w:left w:val="outset" w:sz="6" w:space="0" w:color="auto"/>
              <w:bottom w:val="outset" w:sz="6" w:space="0" w:color="auto"/>
              <w:right w:val="outset" w:sz="6" w:space="0" w:color="auto"/>
            </w:tcBorders>
            <w:vAlign w:val="center"/>
            <w:hideMark/>
          </w:tcPr>
          <w:p w14:paraId="6213A294"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0</w:t>
            </w:r>
          </w:p>
        </w:tc>
      </w:tr>
      <w:tr w:rsidR="000D1BD6" w:rsidRPr="007A5BEC" w14:paraId="7004F0D4" w14:textId="77777777" w:rsidTr="007512BC">
        <w:trPr>
          <w:tblCellSpacing w:w="15" w:type="dxa"/>
        </w:trPr>
        <w:tc>
          <w:tcPr>
            <w:tcW w:w="1799" w:type="dxa"/>
            <w:tcBorders>
              <w:top w:val="outset" w:sz="6" w:space="0" w:color="auto"/>
              <w:left w:val="outset" w:sz="6" w:space="0" w:color="auto"/>
              <w:bottom w:val="outset" w:sz="6" w:space="0" w:color="auto"/>
              <w:right w:val="outset" w:sz="6" w:space="0" w:color="auto"/>
            </w:tcBorders>
            <w:hideMark/>
          </w:tcPr>
          <w:p w14:paraId="0C585608" w14:textId="77777777" w:rsidR="000D1BD6" w:rsidRPr="007A5BEC" w:rsidRDefault="000D1BD6" w:rsidP="007512BC">
            <w:pPr>
              <w:spacing w:after="0" w:line="240" w:lineRule="auto"/>
              <w:rPr>
                <w:rFonts w:ascii="Times New Roman" w:eastAsia="Times New Roman" w:hAnsi="Times New Roman" w:cs="Times New Roman"/>
                <w:iCs/>
                <w:sz w:val="24"/>
                <w:szCs w:val="24"/>
                <w:lang w:eastAsia="lv-LV"/>
              </w:rPr>
            </w:pPr>
            <w:r w:rsidRPr="007A5BEC">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1102" w:type="dxa"/>
            <w:tcBorders>
              <w:top w:val="outset" w:sz="6" w:space="0" w:color="auto"/>
              <w:left w:val="outset" w:sz="6" w:space="0" w:color="auto"/>
              <w:bottom w:val="outset" w:sz="6" w:space="0" w:color="auto"/>
              <w:right w:val="outset" w:sz="6" w:space="0" w:color="auto"/>
            </w:tcBorders>
            <w:vAlign w:val="center"/>
            <w:hideMark/>
          </w:tcPr>
          <w:p w14:paraId="33E9177F"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5 544 515</w:t>
            </w:r>
          </w:p>
        </w:tc>
        <w:tc>
          <w:tcPr>
            <w:tcW w:w="1106" w:type="dxa"/>
            <w:tcBorders>
              <w:top w:val="outset" w:sz="6" w:space="0" w:color="auto"/>
              <w:left w:val="outset" w:sz="6" w:space="0" w:color="auto"/>
              <w:bottom w:val="outset" w:sz="6" w:space="0" w:color="auto"/>
              <w:right w:val="outset" w:sz="6" w:space="0" w:color="auto"/>
            </w:tcBorders>
            <w:vAlign w:val="center"/>
            <w:hideMark/>
          </w:tcPr>
          <w:p w14:paraId="10372B85"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2F8D52A0"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3 099 525</w:t>
            </w:r>
          </w:p>
          <w:p w14:paraId="5BA79EA3" w14:textId="77777777" w:rsidR="000D1BD6" w:rsidRPr="007A5BEC" w:rsidRDefault="000D1BD6" w:rsidP="007512BC">
            <w:pPr>
              <w:rPr>
                <w:rFonts w:ascii="Times New Roman" w:eastAsia="Times New Roman" w:hAnsi="Times New Roman" w:cs="Times New Roman"/>
                <w:lang w:eastAsia="lv-LV"/>
              </w:rPr>
            </w:pPr>
          </w:p>
        </w:tc>
        <w:tc>
          <w:tcPr>
            <w:tcW w:w="967" w:type="dxa"/>
            <w:tcBorders>
              <w:top w:val="outset" w:sz="6" w:space="0" w:color="auto"/>
              <w:left w:val="outset" w:sz="6" w:space="0" w:color="auto"/>
              <w:bottom w:val="outset" w:sz="6" w:space="0" w:color="auto"/>
              <w:right w:val="outset" w:sz="6" w:space="0" w:color="auto"/>
            </w:tcBorders>
            <w:vAlign w:val="center"/>
            <w:hideMark/>
          </w:tcPr>
          <w:p w14:paraId="487DBD3D"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0</w:t>
            </w:r>
          </w:p>
        </w:tc>
        <w:tc>
          <w:tcPr>
            <w:tcW w:w="1523" w:type="dxa"/>
            <w:tcBorders>
              <w:top w:val="outset" w:sz="6" w:space="0" w:color="auto"/>
              <w:left w:val="outset" w:sz="6" w:space="0" w:color="auto"/>
              <w:bottom w:val="outset" w:sz="6" w:space="0" w:color="auto"/>
              <w:right w:val="outset" w:sz="6" w:space="0" w:color="auto"/>
            </w:tcBorders>
            <w:vAlign w:val="center"/>
            <w:hideMark/>
          </w:tcPr>
          <w:p w14:paraId="1AD1A7D3"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2 905 004</w:t>
            </w:r>
          </w:p>
        </w:tc>
        <w:tc>
          <w:tcPr>
            <w:tcW w:w="962" w:type="dxa"/>
            <w:tcBorders>
              <w:top w:val="outset" w:sz="6" w:space="0" w:color="auto"/>
              <w:left w:val="outset" w:sz="6" w:space="0" w:color="auto"/>
              <w:bottom w:val="outset" w:sz="6" w:space="0" w:color="auto"/>
              <w:right w:val="outset" w:sz="6" w:space="0" w:color="auto"/>
            </w:tcBorders>
            <w:vAlign w:val="center"/>
            <w:hideMark/>
          </w:tcPr>
          <w:p w14:paraId="78201B3F"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0</w:t>
            </w:r>
          </w:p>
        </w:tc>
        <w:tc>
          <w:tcPr>
            <w:tcW w:w="1089" w:type="dxa"/>
            <w:gridSpan w:val="2"/>
            <w:tcBorders>
              <w:top w:val="outset" w:sz="6" w:space="0" w:color="auto"/>
              <w:left w:val="outset" w:sz="6" w:space="0" w:color="auto"/>
              <w:bottom w:val="outset" w:sz="6" w:space="0" w:color="auto"/>
              <w:right w:val="outset" w:sz="6" w:space="0" w:color="auto"/>
            </w:tcBorders>
            <w:vAlign w:val="center"/>
            <w:hideMark/>
          </w:tcPr>
          <w:p w14:paraId="02C238AD"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0</w:t>
            </w:r>
          </w:p>
        </w:tc>
      </w:tr>
      <w:tr w:rsidR="000D1BD6" w:rsidRPr="007A5BEC" w14:paraId="05CE09FB" w14:textId="77777777" w:rsidTr="007512BC">
        <w:trPr>
          <w:tblCellSpacing w:w="15" w:type="dxa"/>
        </w:trPr>
        <w:tc>
          <w:tcPr>
            <w:tcW w:w="1799" w:type="dxa"/>
            <w:tcBorders>
              <w:top w:val="outset" w:sz="6" w:space="0" w:color="auto"/>
              <w:left w:val="outset" w:sz="6" w:space="0" w:color="auto"/>
              <w:bottom w:val="outset" w:sz="6" w:space="0" w:color="auto"/>
              <w:right w:val="outset" w:sz="6" w:space="0" w:color="auto"/>
            </w:tcBorders>
            <w:hideMark/>
          </w:tcPr>
          <w:p w14:paraId="0897E6C3" w14:textId="77777777" w:rsidR="000D1BD6" w:rsidRPr="007A5BEC" w:rsidRDefault="000D1BD6" w:rsidP="007512BC">
            <w:pPr>
              <w:spacing w:after="0" w:line="240" w:lineRule="auto"/>
              <w:rPr>
                <w:rFonts w:ascii="Times New Roman" w:eastAsia="Times New Roman" w:hAnsi="Times New Roman" w:cs="Times New Roman"/>
                <w:iCs/>
                <w:sz w:val="24"/>
                <w:szCs w:val="24"/>
                <w:lang w:eastAsia="lv-LV"/>
              </w:rPr>
            </w:pPr>
            <w:r w:rsidRPr="007A5BEC">
              <w:rPr>
                <w:rFonts w:ascii="Times New Roman" w:eastAsia="Times New Roman" w:hAnsi="Times New Roman" w:cs="Times New Roman"/>
                <w:iCs/>
                <w:sz w:val="24"/>
                <w:szCs w:val="24"/>
                <w:lang w:eastAsia="lv-LV"/>
              </w:rPr>
              <w:t>1.2. valsts speciālais budžets</w:t>
            </w:r>
          </w:p>
        </w:tc>
        <w:tc>
          <w:tcPr>
            <w:tcW w:w="1102" w:type="dxa"/>
            <w:tcBorders>
              <w:top w:val="outset" w:sz="6" w:space="0" w:color="auto"/>
              <w:left w:val="outset" w:sz="6" w:space="0" w:color="auto"/>
              <w:bottom w:val="outset" w:sz="6" w:space="0" w:color="auto"/>
              <w:right w:val="outset" w:sz="6" w:space="0" w:color="auto"/>
            </w:tcBorders>
            <w:vAlign w:val="center"/>
            <w:hideMark/>
          </w:tcPr>
          <w:p w14:paraId="467C870E"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0</w:t>
            </w:r>
          </w:p>
        </w:tc>
        <w:tc>
          <w:tcPr>
            <w:tcW w:w="1106" w:type="dxa"/>
            <w:tcBorders>
              <w:top w:val="outset" w:sz="6" w:space="0" w:color="auto"/>
              <w:left w:val="outset" w:sz="6" w:space="0" w:color="auto"/>
              <w:bottom w:val="outset" w:sz="6" w:space="0" w:color="auto"/>
              <w:right w:val="outset" w:sz="6" w:space="0" w:color="auto"/>
            </w:tcBorders>
            <w:vAlign w:val="center"/>
            <w:hideMark/>
          </w:tcPr>
          <w:p w14:paraId="3255F11D"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260FB4E3"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0</w:t>
            </w:r>
          </w:p>
        </w:tc>
        <w:tc>
          <w:tcPr>
            <w:tcW w:w="967" w:type="dxa"/>
            <w:tcBorders>
              <w:top w:val="outset" w:sz="6" w:space="0" w:color="auto"/>
              <w:left w:val="outset" w:sz="6" w:space="0" w:color="auto"/>
              <w:bottom w:val="outset" w:sz="6" w:space="0" w:color="auto"/>
              <w:right w:val="outset" w:sz="6" w:space="0" w:color="auto"/>
            </w:tcBorders>
            <w:vAlign w:val="center"/>
            <w:hideMark/>
          </w:tcPr>
          <w:p w14:paraId="439B29A7"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0</w:t>
            </w:r>
          </w:p>
        </w:tc>
        <w:tc>
          <w:tcPr>
            <w:tcW w:w="1523" w:type="dxa"/>
            <w:tcBorders>
              <w:top w:val="outset" w:sz="6" w:space="0" w:color="auto"/>
              <w:left w:val="outset" w:sz="6" w:space="0" w:color="auto"/>
              <w:bottom w:val="outset" w:sz="6" w:space="0" w:color="auto"/>
              <w:right w:val="outset" w:sz="6" w:space="0" w:color="auto"/>
            </w:tcBorders>
            <w:vAlign w:val="center"/>
            <w:hideMark/>
          </w:tcPr>
          <w:p w14:paraId="3299C68F"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0631C16"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0</w:t>
            </w:r>
          </w:p>
        </w:tc>
        <w:tc>
          <w:tcPr>
            <w:tcW w:w="1089" w:type="dxa"/>
            <w:gridSpan w:val="2"/>
            <w:tcBorders>
              <w:top w:val="outset" w:sz="6" w:space="0" w:color="auto"/>
              <w:left w:val="outset" w:sz="6" w:space="0" w:color="auto"/>
              <w:bottom w:val="outset" w:sz="6" w:space="0" w:color="auto"/>
              <w:right w:val="outset" w:sz="6" w:space="0" w:color="auto"/>
            </w:tcBorders>
            <w:vAlign w:val="center"/>
            <w:hideMark/>
          </w:tcPr>
          <w:p w14:paraId="0539646B"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0</w:t>
            </w:r>
          </w:p>
        </w:tc>
      </w:tr>
      <w:tr w:rsidR="000D1BD6" w:rsidRPr="007A5BEC" w14:paraId="4A4AF276" w14:textId="77777777" w:rsidTr="007512BC">
        <w:trPr>
          <w:tblCellSpacing w:w="15" w:type="dxa"/>
        </w:trPr>
        <w:tc>
          <w:tcPr>
            <w:tcW w:w="1799" w:type="dxa"/>
            <w:tcBorders>
              <w:top w:val="outset" w:sz="6" w:space="0" w:color="auto"/>
              <w:left w:val="outset" w:sz="6" w:space="0" w:color="auto"/>
              <w:bottom w:val="outset" w:sz="6" w:space="0" w:color="auto"/>
              <w:right w:val="outset" w:sz="6" w:space="0" w:color="auto"/>
            </w:tcBorders>
            <w:hideMark/>
          </w:tcPr>
          <w:p w14:paraId="4C61A2FF" w14:textId="77777777" w:rsidR="000D1BD6" w:rsidRPr="007A5BEC" w:rsidRDefault="000D1BD6" w:rsidP="007512BC">
            <w:pPr>
              <w:spacing w:after="0" w:line="240" w:lineRule="auto"/>
              <w:rPr>
                <w:rFonts w:ascii="Times New Roman" w:eastAsia="Times New Roman" w:hAnsi="Times New Roman" w:cs="Times New Roman"/>
                <w:iCs/>
                <w:sz w:val="24"/>
                <w:szCs w:val="24"/>
                <w:lang w:eastAsia="lv-LV"/>
              </w:rPr>
            </w:pPr>
            <w:r w:rsidRPr="007A5BEC">
              <w:rPr>
                <w:rFonts w:ascii="Times New Roman" w:eastAsia="Times New Roman" w:hAnsi="Times New Roman" w:cs="Times New Roman"/>
                <w:iCs/>
                <w:sz w:val="24"/>
                <w:szCs w:val="24"/>
                <w:lang w:eastAsia="lv-LV"/>
              </w:rPr>
              <w:t>1.3. pašvaldību budžets</w:t>
            </w:r>
          </w:p>
        </w:tc>
        <w:tc>
          <w:tcPr>
            <w:tcW w:w="1102" w:type="dxa"/>
            <w:tcBorders>
              <w:top w:val="outset" w:sz="6" w:space="0" w:color="auto"/>
              <w:left w:val="outset" w:sz="6" w:space="0" w:color="auto"/>
              <w:bottom w:val="outset" w:sz="6" w:space="0" w:color="auto"/>
              <w:right w:val="outset" w:sz="6" w:space="0" w:color="auto"/>
            </w:tcBorders>
            <w:vAlign w:val="center"/>
            <w:hideMark/>
          </w:tcPr>
          <w:p w14:paraId="58B6EF0C"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0</w:t>
            </w:r>
          </w:p>
        </w:tc>
        <w:tc>
          <w:tcPr>
            <w:tcW w:w="1106" w:type="dxa"/>
            <w:tcBorders>
              <w:top w:val="outset" w:sz="6" w:space="0" w:color="auto"/>
              <w:left w:val="outset" w:sz="6" w:space="0" w:color="auto"/>
              <w:bottom w:val="outset" w:sz="6" w:space="0" w:color="auto"/>
              <w:right w:val="outset" w:sz="6" w:space="0" w:color="auto"/>
            </w:tcBorders>
            <w:vAlign w:val="center"/>
            <w:hideMark/>
          </w:tcPr>
          <w:p w14:paraId="7CFD741A"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225BF3FF"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0</w:t>
            </w:r>
          </w:p>
        </w:tc>
        <w:tc>
          <w:tcPr>
            <w:tcW w:w="967" w:type="dxa"/>
            <w:tcBorders>
              <w:top w:val="outset" w:sz="6" w:space="0" w:color="auto"/>
              <w:left w:val="outset" w:sz="6" w:space="0" w:color="auto"/>
              <w:bottom w:val="outset" w:sz="6" w:space="0" w:color="auto"/>
              <w:right w:val="outset" w:sz="6" w:space="0" w:color="auto"/>
            </w:tcBorders>
            <w:vAlign w:val="center"/>
            <w:hideMark/>
          </w:tcPr>
          <w:p w14:paraId="3CAC3C81"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0</w:t>
            </w:r>
          </w:p>
        </w:tc>
        <w:tc>
          <w:tcPr>
            <w:tcW w:w="1523" w:type="dxa"/>
            <w:tcBorders>
              <w:top w:val="outset" w:sz="6" w:space="0" w:color="auto"/>
              <w:left w:val="outset" w:sz="6" w:space="0" w:color="auto"/>
              <w:bottom w:val="outset" w:sz="6" w:space="0" w:color="auto"/>
              <w:right w:val="outset" w:sz="6" w:space="0" w:color="auto"/>
            </w:tcBorders>
            <w:vAlign w:val="center"/>
            <w:hideMark/>
          </w:tcPr>
          <w:p w14:paraId="3699E38D"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8BB6506"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0</w:t>
            </w:r>
          </w:p>
        </w:tc>
        <w:tc>
          <w:tcPr>
            <w:tcW w:w="1089" w:type="dxa"/>
            <w:gridSpan w:val="2"/>
            <w:tcBorders>
              <w:top w:val="outset" w:sz="6" w:space="0" w:color="auto"/>
              <w:left w:val="outset" w:sz="6" w:space="0" w:color="auto"/>
              <w:bottom w:val="outset" w:sz="6" w:space="0" w:color="auto"/>
              <w:right w:val="outset" w:sz="6" w:space="0" w:color="auto"/>
            </w:tcBorders>
            <w:vAlign w:val="center"/>
            <w:hideMark/>
          </w:tcPr>
          <w:p w14:paraId="581F77FC"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0</w:t>
            </w:r>
          </w:p>
        </w:tc>
      </w:tr>
      <w:tr w:rsidR="000D1BD6" w:rsidRPr="007A5BEC" w14:paraId="4C085ADD" w14:textId="77777777" w:rsidTr="007512BC">
        <w:trPr>
          <w:tblCellSpacing w:w="15" w:type="dxa"/>
        </w:trPr>
        <w:tc>
          <w:tcPr>
            <w:tcW w:w="1799" w:type="dxa"/>
            <w:tcBorders>
              <w:top w:val="outset" w:sz="6" w:space="0" w:color="auto"/>
              <w:left w:val="outset" w:sz="6" w:space="0" w:color="auto"/>
              <w:bottom w:val="outset" w:sz="6" w:space="0" w:color="auto"/>
              <w:right w:val="outset" w:sz="6" w:space="0" w:color="auto"/>
            </w:tcBorders>
            <w:hideMark/>
          </w:tcPr>
          <w:p w14:paraId="384472A2" w14:textId="77777777" w:rsidR="000D1BD6" w:rsidRPr="007A5BEC" w:rsidRDefault="000D1BD6" w:rsidP="007512BC">
            <w:pPr>
              <w:spacing w:after="0" w:line="240" w:lineRule="auto"/>
              <w:rPr>
                <w:rFonts w:ascii="Times New Roman" w:eastAsia="Times New Roman" w:hAnsi="Times New Roman" w:cs="Times New Roman"/>
                <w:iCs/>
                <w:sz w:val="24"/>
                <w:szCs w:val="24"/>
                <w:lang w:eastAsia="lv-LV"/>
              </w:rPr>
            </w:pPr>
            <w:r w:rsidRPr="007A5BEC">
              <w:rPr>
                <w:rFonts w:ascii="Times New Roman" w:eastAsia="Times New Roman" w:hAnsi="Times New Roman" w:cs="Times New Roman"/>
                <w:iCs/>
                <w:sz w:val="24"/>
                <w:szCs w:val="24"/>
                <w:lang w:eastAsia="lv-LV"/>
              </w:rPr>
              <w:t>2. Budžeta izdevumi</w:t>
            </w:r>
          </w:p>
        </w:tc>
        <w:tc>
          <w:tcPr>
            <w:tcW w:w="1102" w:type="dxa"/>
            <w:tcBorders>
              <w:top w:val="outset" w:sz="6" w:space="0" w:color="auto"/>
              <w:left w:val="outset" w:sz="6" w:space="0" w:color="auto"/>
              <w:bottom w:val="outset" w:sz="6" w:space="0" w:color="auto"/>
              <w:right w:val="outset" w:sz="6" w:space="0" w:color="auto"/>
            </w:tcBorders>
            <w:vAlign w:val="center"/>
            <w:hideMark/>
          </w:tcPr>
          <w:p w14:paraId="34EE7B8E"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w:t>
            </w:r>
            <w:r w:rsidRPr="007A5BEC">
              <w:t xml:space="preserve"> </w:t>
            </w:r>
            <w:r w:rsidRPr="007A5BEC">
              <w:rPr>
                <w:rFonts w:ascii="Times New Roman" w:eastAsia="Times New Roman" w:hAnsi="Times New Roman" w:cs="Times New Roman"/>
                <w:iCs/>
                <w:lang w:eastAsia="lv-LV"/>
              </w:rPr>
              <w:t>5 640 265</w:t>
            </w:r>
          </w:p>
        </w:tc>
        <w:tc>
          <w:tcPr>
            <w:tcW w:w="1106" w:type="dxa"/>
            <w:tcBorders>
              <w:top w:val="outset" w:sz="6" w:space="0" w:color="auto"/>
              <w:left w:val="outset" w:sz="6" w:space="0" w:color="auto"/>
              <w:bottom w:val="outset" w:sz="6" w:space="0" w:color="auto"/>
              <w:right w:val="outset" w:sz="6" w:space="0" w:color="auto"/>
            </w:tcBorders>
            <w:hideMark/>
          </w:tcPr>
          <w:p w14:paraId="3C06D419"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317 500</w:t>
            </w:r>
          </w:p>
        </w:tc>
        <w:tc>
          <w:tcPr>
            <w:tcW w:w="1246" w:type="dxa"/>
            <w:tcBorders>
              <w:top w:val="outset" w:sz="6" w:space="0" w:color="auto"/>
              <w:left w:val="outset" w:sz="6" w:space="0" w:color="auto"/>
              <w:bottom w:val="outset" w:sz="6" w:space="0" w:color="auto"/>
              <w:right w:val="outset" w:sz="6" w:space="0" w:color="auto"/>
            </w:tcBorders>
            <w:hideMark/>
          </w:tcPr>
          <w:p w14:paraId="6D0390EE"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w:t>
            </w:r>
            <w:r w:rsidRPr="007A5BEC">
              <w:t xml:space="preserve"> </w:t>
            </w:r>
            <w:r w:rsidRPr="007A5BEC">
              <w:rPr>
                <w:rFonts w:ascii="Times New Roman" w:eastAsia="Times New Roman" w:hAnsi="Times New Roman" w:cs="Times New Roman"/>
                <w:iCs/>
                <w:lang w:eastAsia="lv-LV"/>
              </w:rPr>
              <w:t>3 099 525</w:t>
            </w:r>
          </w:p>
        </w:tc>
        <w:tc>
          <w:tcPr>
            <w:tcW w:w="967" w:type="dxa"/>
            <w:tcBorders>
              <w:top w:val="outset" w:sz="6" w:space="0" w:color="auto"/>
              <w:left w:val="outset" w:sz="6" w:space="0" w:color="auto"/>
              <w:bottom w:val="outset" w:sz="6" w:space="0" w:color="auto"/>
              <w:right w:val="outset" w:sz="6" w:space="0" w:color="auto"/>
            </w:tcBorders>
            <w:hideMark/>
          </w:tcPr>
          <w:p w14:paraId="3CDBF019"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363 000</w:t>
            </w:r>
          </w:p>
        </w:tc>
        <w:tc>
          <w:tcPr>
            <w:tcW w:w="1523" w:type="dxa"/>
            <w:tcBorders>
              <w:top w:val="outset" w:sz="6" w:space="0" w:color="auto"/>
              <w:left w:val="outset" w:sz="6" w:space="0" w:color="auto"/>
              <w:bottom w:val="outset" w:sz="6" w:space="0" w:color="auto"/>
              <w:right w:val="outset" w:sz="6" w:space="0" w:color="auto"/>
            </w:tcBorders>
            <w:hideMark/>
          </w:tcPr>
          <w:p w14:paraId="5C96CFD0"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w:t>
            </w:r>
            <w:r w:rsidRPr="007A5BEC">
              <w:t xml:space="preserve"> </w:t>
            </w:r>
            <w:r w:rsidRPr="007A5BEC">
              <w:rPr>
                <w:rFonts w:ascii="Times New Roman" w:eastAsia="Times New Roman" w:hAnsi="Times New Roman" w:cs="Times New Roman"/>
                <w:iCs/>
                <w:lang w:eastAsia="lv-LV"/>
              </w:rPr>
              <w:t>2 905 004</w:t>
            </w:r>
          </w:p>
        </w:tc>
        <w:tc>
          <w:tcPr>
            <w:tcW w:w="962" w:type="dxa"/>
            <w:tcBorders>
              <w:top w:val="outset" w:sz="6" w:space="0" w:color="auto"/>
              <w:left w:val="outset" w:sz="6" w:space="0" w:color="auto"/>
              <w:bottom w:val="outset" w:sz="6" w:space="0" w:color="auto"/>
              <w:right w:val="outset" w:sz="6" w:space="0" w:color="auto"/>
            </w:tcBorders>
            <w:hideMark/>
          </w:tcPr>
          <w:p w14:paraId="20AF4B83"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60 000</w:t>
            </w:r>
          </w:p>
        </w:tc>
        <w:tc>
          <w:tcPr>
            <w:tcW w:w="1089" w:type="dxa"/>
            <w:gridSpan w:val="2"/>
            <w:tcBorders>
              <w:top w:val="outset" w:sz="6" w:space="0" w:color="auto"/>
              <w:left w:val="outset" w:sz="6" w:space="0" w:color="auto"/>
              <w:bottom w:val="outset" w:sz="6" w:space="0" w:color="auto"/>
              <w:right w:val="outset" w:sz="6" w:space="0" w:color="auto"/>
            </w:tcBorders>
            <w:hideMark/>
          </w:tcPr>
          <w:p w14:paraId="7FF0981C"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121 000</w:t>
            </w:r>
          </w:p>
        </w:tc>
      </w:tr>
      <w:tr w:rsidR="000D1BD6" w:rsidRPr="007A5BEC" w14:paraId="7EF26F72" w14:textId="77777777" w:rsidTr="007512BC">
        <w:trPr>
          <w:tblCellSpacing w:w="15" w:type="dxa"/>
        </w:trPr>
        <w:tc>
          <w:tcPr>
            <w:tcW w:w="1799" w:type="dxa"/>
            <w:tcBorders>
              <w:top w:val="outset" w:sz="6" w:space="0" w:color="auto"/>
              <w:left w:val="outset" w:sz="6" w:space="0" w:color="auto"/>
              <w:bottom w:val="outset" w:sz="6" w:space="0" w:color="auto"/>
              <w:right w:val="outset" w:sz="6" w:space="0" w:color="auto"/>
            </w:tcBorders>
            <w:hideMark/>
          </w:tcPr>
          <w:p w14:paraId="7792B150" w14:textId="77777777" w:rsidR="000D1BD6" w:rsidRPr="007A5BEC" w:rsidRDefault="000D1BD6" w:rsidP="007512BC">
            <w:pPr>
              <w:spacing w:after="0" w:line="240" w:lineRule="auto"/>
              <w:rPr>
                <w:rFonts w:ascii="Times New Roman" w:eastAsia="Times New Roman" w:hAnsi="Times New Roman" w:cs="Times New Roman"/>
                <w:iCs/>
                <w:sz w:val="24"/>
                <w:szCs w:val="24"/>
                <w:lang w:eastAsia="lv-LV"/>
              </w:rPr>
            </w:pPr>
            <w:r w:rsidRPr="007A5BEC">
              <w:rPr>
                <w:rFonts w:ascii="Times New Roman" w:eastAsia="Times New Roman" w:hAnsi="Times New Roman" w:cs="Times New Roman"/>
                <w:iCs/>
                <w:sz w:val="24"/>
                <w:szCs w:val="24"/>
                <w:lang w:eastAsia="lv-LV"/>
              </w:rPr>
              <w:t>2.1. valsts pamatbudžets</w:t>
            </w:r>
          </w:p>
        </w:tc>
        <w:tc>
          <w:tcPr>
            <w:tcW w:w="1102" w:type="dxa"/>
            <w:tcBorders>
              <w:top w:val="outset" w:sz="6" w:space="0" w:color="auto"/>
              <w:left w:val="outset" w:sz="6" w:space="0" w:color="auto"/>
              <w:bottom w:val="outset" w:sz="6" w:space="0" w:color="auto"/>
              <w:right w:val="outset" w:sz="6" w:space="0" w:color="auto"/>
            </w:tcBorders>
            <w:vAlign w:val="center"/>
            <w:hideMark/>
          </w:tcPr>
          <w:p w14:paraId="51A952E1"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5 640 265</w:t>
            </w:r>
          </w:p>
        </w:tc>
        <w:tc>
          <w:tcPr>
            <w:tcW w:w="1106" w:type="dxa"/>
            <w:tcBorders>
              <w:top w:val="outset" w:sz="6" w:space="0" w:color="auto"/>
              <w:left w:val="outset" w:sz="6" w:space="0" w:color="auto"/>
              <w:bottom w:val="outset" w:sz="6" w:space="0" w:color="auto"/>
              <w:right w:val="outset" w:sz="6" w:space="0" w:color="auto"/>
            </w:tcBorders>
            <w:vAlign w:val="center"/>
            <w:hideMark/>
          </w:tcPr>
          <w:p w14:paraId="67DD75A6"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317 500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35F7616F"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3 099 525</w:t>
            </w:r>
          </w:p>
        </w:tc>
        <w:tc>
          <w:tcPr>
            <w:tcW w:w="967" w:type="dxa"/>
            <w:tcBorders>
              <w:top w:val="outset" w:sz="6" w:space="0" w:color="auto"/>
              <w:left w:val="outset" w:sz="6" w:space="0" w:color="auto"/>
              <w:bottom w:val="outset" w:sz="6" w:space="0" w:color="auto"/>
              <w:right w:val="outset" w:sz="6" w:space="0" w:color="auto"/>
            </w:tcBorders>
            <w:vAlign w:val="center"/>
            <w:hideMark/>
          </w:tcPr>
          <w:p w14:paraId="6E61AA06"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363 000</w:t>
            </w:r>
          </w:p>
        </w:tc>
        <w:tc>
          <w:tcPr>
            <w:tcW w:w="1523" w:type="dxa"/>
            <w:tcBorders>
              <w:top w:val="outset" w:sz="6" w:space="0" w:color="auto"/>
              <w:left w:val="outset" w:sz="6" w:space="0" w:color="auto"/>
              <w:bottom w:val="outset" w:sz="6" w:space="0" w:color="auto"/>
              <w:right w:val="outset" w:sz="6" w:space="0" w:color="auto"/>
            </w:tcBorders>
            <w:vAlign w:val="center"/>
            <w:hideMark/>
          </w:tcPr>
          <w:p w14:paraId="33C4AC0E"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2 905 004</w:t>
            </w:r>
          </w:p>
        </w:tc>
        <w:tc>
          <w:tcPr>
            <w:tcW w:w="962" w:type="dxa"/>
            <w:tcBorders>
              <w:top w:val="outset" w:sz="6" w:space="0" w:color="auto"/>
              <w:left w:val="outset" w:sz="6" w:space="0" w:color="auto"/>
              <w:bottom w:val="outset" w:sz="6" w:space="0" w:color="auto"/>
              <w:right w:val="outset" w:sz="6" w:space="0" w:color="auto"/>
            </w:tcBorders>
            <w:vAlign w:val="center"/>
            <w:hideMark/>
          </w:tcPr>
          <w:p w14:paraId="1B0962F0"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60 000</w:t>
            </w:r>
          </w:p>
        </w:tc>
        <w:tc>
          <w:tcPr>
            <w:tcW w:w="1089" w:type="dxa"/>
            <w:gridSpan w:val="2"/>
            <w:tcBorders>
              <w:top w:val="outset" w:sz="6" w:space="0" w:color="auto"/>
              <w:left w:val="outset" w:sz="6" w:space="0" w:color="auto"/>
              <w:bottom w:val="outset" w:sz="6" w:space="0" w:color="auto"/>
              <w:right w:val="outset" w:sz="6" w:space="0" w:color="auto"/>
            </w:tcBorders>
            <w:vAlign w:val="center"/>
            <w:hideMark/>
          </w:tcPr>
          <w:p w14:paraId="52256076"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121 000</w:t>
            </w:r>
          </w:p>
        </w:tc>
      </w:tr>
      <w:tr w:rsidR="000D1BD6" w:rsidRPr="007A5BEC" w14:paraId="76BD199A" w14:textId="77777777" w:rsidTr="007512BC">
        <w:trPr>
          <w:tblCellSpacing w:w="15" w:type="dxa"/>
        </w:trPr>
        <w:tc>
          <w:tcPr>
            <w:tcW w:w="1799" w:type="dxa"/>
            <w:tcBorders>
              <w:top w:val="outset" w:sz="6" w:space="0" w:color="auto"/>
              <w:left w:val="outset" w:sz="6" w:space="0" w:color="auto"/>
              <w:bottom w:val="outset" w:sz="6" w:space="0" w:color="auto"/>
              <w:right w:val="outset" w:sz="6" w:space="0" w:color="auto"/>
            </w:tcBorders>
            <w:hideMark/>
          </w:tcPr>
          <w:p w14:paraId="35AA6DCA" w14:textId="77777777" w:rsidR="000D1BD6" w:rsidRPr="007A5BEC" w:rsidRDefault="000D1BD6" w:rsidP="007512BC">
            <w:pPr>
              <w:spacing w:after="0" w:line="240" w:lineRule="auto"/>
              <w:rPr>
                <w:rFonts w:ascii="Times New Roman" w:eastAsia="Times New Roman" w:hAnsi="Times New Roman" w:cs="Times New Roman"/>
                <w:iCs/>
                <w:sz w:val="24"/>
                <w:szCs w:val="24"/>
                <w:lang w:eastAsia="lv-LV"/>
              </w:rPr>
            </w:pPr>
            <w:r w:rsidRPr="007A5BEC">
              <w:rPr>
                <w:rFonts w:ascii="Times New Roman" w:eastAsia="Times New Roman" w:hAnsi="Times New Roman" w:cs="Times New Roman"/>
                <w:iCs/>
                <w:sz w:val="24"/>
                <w:szCs w:val="24"/>
                <w:lang w:eastAsia="lv-LV"/>
              </w:rPr>
              <w:t>2.2. valsts speciālais budžets</w:t>
            </w:r>
          </w:p>
        </w:tc>
        <w:tc>
          <w:tcPr>
            <w:tcW w:w="1102" w:type="dxa"/>
            <w:tcBorders>
              <w:top w:val="outset" w:sz="6" w:space="0" w:color="auto"/>
              <w:left w:val="outset" w:sz="6" w:space="0" w:color="auto"/>
              <w:bottom w:val="outset" w:sz="6" w:space="0" w:color="auto"/>
              <w:right w:val="outset" w:sz="6" w:space="0" w:color="auto"/>
            </w:tcBorders>
            <w:vAlign w:val="center"/>
            <w:hideMark/>
          </w:tcPr>
          <w:p w14:paraId="66429E25"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0</w:t>
            </w:r>
          </w:p>
        </w:tc>
        <w:tc>
          <w:tcPr>
            <w:tcW w:w="1106" w:type="dxa"/>
            <w:tcBorders>
              <w:top w:val="outset" w:sz="6" w:space="0" w:color="auto"/>
              <w:left w:val="outset" w:sz="6" w:space="0" w:color="auto"/>
              <w:bottom w:val="outset" w:sz="6" w:space="0" w:color="auto"/>
              <w:right w:val="outset" w:sz="6" w:space="0" w:color="auto"/>
            </w:tcBorders>
            <w:vAlign w:val="center"/>
            <w:hideMark/>
          </w:tcPr>
          <w:p w14:paraId="24B9E163"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0A0854AE"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0</w:t>
            </w:r>
          </w:p>
        </w:tc>
        <w:tc>
          <w:tcPr>
            <w:tcW w:w="967" w:type="dxa"/>
            <w:tcBorders>
              <w:top w:val="outset" w:sz="6" w:space="0" w:color="auto"/>
              <w:left w:val="outset" w:sz="6" w:space="0" w:color="auto"/>
              <w:bottom w:val="outset" w:sz="6" w:space="0" w:color="auto"/>
              <w:right w:val="outset" w:sz="6" w:space="0" w:color="auto"/>
            </w:tcBorders>
            <w:vAlign w:val="center"/>
            <w:hideMark/>
          </w:tcPr>
          <w:p w14:paraId="7CA55626"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0</w:t>
            </w:r>
          </w:p>
        </w:tc>
        <w:tc>
          <w:tcPr>
            <w:tcW w:w="1523" w:type="dxa"/>
            <w:tcBorders>
              <w:top w:val="outset" w:sz="6" w:space="0" w:color="auto"/>
              <w:left w:val="outset" w:sz="6" w:space="0" w:color="auto"/>
              <w:bottom w:val="outset" w:sz="6" w:space="0" w:color="auto"/>
              <w:right w:val="outset" w:sz="6" w:space="0" w:color="auto"/>
            </w:tcBorders>
            <w:vAlign w:val="center"/>
            <w:hideMark/>
          </w:tcPr>
          <w:p w14:paraId="6DE6DFD2"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D256A68"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0</w:t>
            </w:r>
          </w:p>
        </w:tc>
        <w:tc>
          <w:tcPr>
            <w:tcW w:w="1089" w:type="dxa"/>
            <w:gridSpan w:val="2"/>
            <w:tcBorders>
              <w:top w:val="outset" w:sz="6" w:space="0" w:color="auto"/>
              <w:left w:val="outset" w:sz="6" w:space="0" w:color="auto"/>
              <w:bottom w:val="outset" w:sz="6" w:space="0" w:color="auto"/>
              <w:right w:val="outset" w:sz="6" w:space="0" w:color="auto"/>
            </w:tcBorders>
            <w:vAlign w:val="center"/>
            <w:hideMark/>
          </w:tcPr>
          <w:p w14:paraId="2F700002"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0</w:t>
            </w:r>
          </w:p>
        </w:tc>
      </w:tr>
      <w:tr w:rsidR="000D1BD6" w:rsidRPr="007A5BEC" w14:paraId="64E1C027" w14:textId="77777777" w:rsidTr="007512BC">
        <w:trPr>
          <w:tblCellSpacing w:w="15" w:type="dxa"/>
        </w:trPr>
        <w:tc>
          <w:tcPr>
            <w:tcW w:w="1799" w:type="dxa"/>
            <w:tcBorders>
              <w:top w:val="outset" w:sz="6" w:space="0" w:color="auto"/>
              <w:left w:val="outset" w:sz="6" w:space="0" w:color="auto"/>
              <w:bottom w:val="outset" w:sz="6" w:space="0" w:color="auto"/>
              <w:right w:val="outset" w:sz="6" w:space="0" w:color="auto"/>
            </w:tcBorders>
            <w:hideMark/>
          </w:tcPr>
          <w:p w14:paraId="4F8C10B8" w14:textId="77777777" w:rsidR="000D1BD6" w:rsidRPr="007A5BEC" w:rsidRDefault="000D1BD6" w:rsidP="007512BC">
            <w:pPr>
              <w:spacing w:after="0" w:line="240" w:lineRule="auto"/>
              <w:rPr>
                <w:rFonts w:ascii="Times New Roman" w:eastAsia="Times New Roman" w:hAnsi="Times New Roman" w:cs="Times New Roman"/>
                <w:iCs/>
                <w:sz w:val="24"/>
                <w:szCs w:val="24"/>
                <w:lang w:eastAsia="lv-LV"/>
              </w:rPr>
            </w:pPr>
            <w:r w:rsidRPr="007A5BEC">
              <w:rPr>
                <w:rFonts w:ascii="Times New Roman" w:eastAsia="Times New Roman" w:hAnsi="Times New Roman" w:cs="Times New Roman"/>
                <w:iCs/>
                <w:sz w:val="24"/>
                <w:szCs w:val="24"/>
                <w:lang w:eastAsia="lv-LV"/>
              </w:rPr>
              <w:t>2.3. pašvaldību budžets</w:t>
            </w:r>
          </w:p>
        </w:tc>
        <w:tc>
          <w:tcPr>
            <w:tcW w:w="1102" w:type="dxa"/>
            <w:tcBorders>
              <w:top w:val="outset" w:sz="6" w:space="0" w:color="auto"/>
              <w:left w:val="outset" w:sz="6" w:space="0" w:color="auto"/>
              <w:bottom w:val="outset" w:sz="6" w:space="0" w:color="auto"/>
              <w:right w:val="outset" w:sz="6" w:space="0" w:color="auto"/>
            </w:tcBorders>
            <w:vAlign w:val="center"/>
            <w:hideMark/>
          </w:tcPr>
          <w:p w14:paraId="4B6A52B6"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0</w:t>
            </w:r>
          </w:p>
        </w:tc>
        <w:tc>
          <w:tcPr>
            <w:tcW w:w="1106" w:type="dxa"/>
            <w:tcBorders>
              <w:top w:val="outset" w:sz="6" w:space="0" w:color="auto"/>
              <w:left w:val="outset" w:sz="6" w:space="0" w:color="auto"/>
              <w:bottom w:val="outset" w:sz="6" w:space="0" w:color="auto"/>
              <w:right w:val="outset" w:sz="6" w:space="0" w:color="auto"/>
            </w:tcBorders>
            <w:vAlign w:val="center"/>
            <w:hideMark/>
          </w:tcPr>
          <w:p w14:paraId="48F3F139"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517A0121"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0</w:t>
            </w:r>
          </w:p>
        </w:tc>
        <w:tc>
          <w:tcPr>
            <w:tcW w:w="967" w:type="dxa"/>
            <w:tcBorders>
              <w:top w:val="outset" w:sz="6" w:space="0" w:color="auto"/>
              <w:left w:val="outset" w:sz="6" w:space="0" w:color="auto"/>
              <w:bottom w:val="outset" w:sz="6" w:space="0" w:color="auto"/>
              <w:right w:val="outset" w:sz="6" w:space="0" w:color="auto"/>
            </w:tcBorders>
            <w:vAlign w:val="center"/>
            <w:hideMark/>
          </w:tcPr>
          <w:p w14:paraId="508A3EA1"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0</w:t>
            </w:r>
          </w:p>
        </w:tc>
        <w:tc>
          <w:tcPr>
            <w:tcW w:w="1523" w:type="dxa"/>
            <w:tcBorders>
              <w:top w:val="outset" w:sz="6" w:space="0" w:color="auto"/>
              <w:left w:val="outset" w:sz="6" w:space="0" w:color="auto"/>
              <w:bottom w:val="outset" w:sz="6" w:space="0" w:color="auto"/>
              <w:right w:val="outset" w:sz="6" w:space="0" w:color="auto"/>
            </w:tcBorders>
            <w:vAlign w:val="center"/>
            <w:hideMark/>
          </w:tcPr>
          <w:p w14:paraId="6291990D"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6A97D84"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0</w:t>
            </w:r>
          </w:p>
        </w:tc>
        <w:tc>
          <w:tcPr>
            <w:tcW w:w="1089" w:type="dxa"/>
            <w:gridSpan w:val="2"/>
            <w:tcBorders>
              <w:top w:val="outset" w:sz="6" w:space="0" w:color="auto"/>
              <w:left w:val="outset" w:sz="6" w:space="0" w:color="auto"/>
              <w:bottom w:val="outset" w:sz="6" w:space="0" w:color="auto"/>
              <w:right w:val="outset" w:sz="6" w:space="0" w:color="auto"/>
            </w:tcBorders>
            <w:vAlign w:val="center"/>
            <w:hideMark/>
          </w:tcPr>
          <w:p w14:paraId="2F40D2BF"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0</w:t>
            </w:r>
          </w:p>
        </w:tc>
      </w:tr>
      <w:tr w:rsidR="000D1BD6" w:rsidRPr="007A5BEC" w14:paraId="770F5880" w14:textId="77777777" w:rsidTr="007512BC">
        <w:trPr>
          <w:tblCellSpacing w:w="15" w:type="dxa"/>
        </w:trPr>
        <w:tc>
          <w:tcPr>
            <w:tcW w:w="1799" w:type="dxa"/>
            <w:tcBorders>
              <w:top w:val="outset" w:sz="6" w:space="0" w:color="auto"/>
              <w:left w:val="outset" w:sz="6" w:space="0" w:color="auto"/>
              <w:bottom w:val="outset" w:sz="6" w:space="0" w:color="auto"/>
              <w:right w:val="outset" w:sz="6" w:space="0" w:color="auto"/>
            </w:tcBorders>
            <w:hideMark/>
          </w:tcPr>
          <w:p w14:paraId="43957F0B" w14:textId="77777777" w:rsidR="000D1BD6" w:rsidRPr="007A5BEC" w:rsidRDefault="000D1BD6" w:rsidP="007512BC">
            <w:pPr>
              <w:spacing w:after="0" w:line="240" w:lineRule="auto"/>
              <w:rPr>
                <w:rFonts w:ascii="Times New Roman" w:eastAsia="Times New Roman" w:hAnsi="Times New Roman" w:cs="Times New Roman"/>
                <w:iCs/>
                <w:sz w:val="24"/>
                <w:szCs w:val="24"/>
                <w:lang w:eastAsia="lv-LV"/>
              </w:rPr>
            </w:pPr>
            <w:r w:rsidRPr="007A5BEC">
              <w:rPr>
                <w:rFonts w:ascii="Times New Roman" w:eastAsia="Times New Roman" w:hAnsi="Times New Roman" w:cs="Times New Roman"/>
                <w:iCs/>
                <w:sz w:val="24"/>
                <w:szCs w:val="24"/>
                <w:lang w:eastAsia="lv-LV"/>
              </w:rPr>
              <w:t>3. Finansiālā ietekme</w:t>
            </w:r>
          </w:p>
        </w:tc>
        <w:tc>
          <w:tcPr>
            <w:tcW w:w="1102" w:type="dxa"/>
            <w:tcBorders>
              <w:top w:val="outset" w:sz="6" w:space="0" w:color="auto"/>
              <w:left w:val="outset" w:sz="6" w:space="0" w:color="auto"/>
              <w:bottom w:val="outset" w:sz="6" w:space="0" w:color="auto"/>
              <w:right w:val="outset" w:sz="6" w:space="0" w:color="auto"/>
            </w:tcBorders>
            <w:vAlign w:val="center"/>
            <w:hideMark/>
          </w:tcPr>
          <w:p w14:paraId="5937B1E5"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w:t>
            </w:r>
            <w:r w:rsidRPr="007A5BEC">
              <w:t xml:space="preserve"> </w:t>
            </w:r>
            <w:r w:rsidRPr="007A5BEC">
              <w:rPr>
                <w:rFonts w:ascii="Times New Roman" w:eastAsia="Times New Roman" w:hAnsi="Times New Roman" w:cs="Times New Roman"/>
                <w:iCs/>
                <w:lang w:eastAsia="lv-LV"/>
              </w:rPr>
              <w:t>-95 750</w:t>
            </w:r>
          </w:p>
        </w:tc>
        <w:tc>
          <w:tcPr>
            <w:tcW w:w="1106" w:type="dxa"/>
            <w:tcBorders>
              <w:top w:val="outset" w:sz="6" w:space="0" w:color="auto"/>
              <w:left w:val="outset" w:sz="6" w:space="0" w:color="auto"/>
              <w:bottom w:val="outset" w:sz="6" w:space="0" w:color="auto"/>
              <w:right w:val="outset" w:sz="6" w:space="0" w:color="auto"/>
            </w:tcBorders>
            <w:hideMark/>
          </w:tcPr>
          <w:p w14:paraId="48B0836B"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-317 500</w:t>
            </w:r>
          </w:p>
        </w:tc>
        <w:tc>
          <w:tcPr>
            <w:tcW w:w="1246" w:type="dxa"/>
            <w:tcBorders>
              <w:top w:val="outset" w:sz="6" w:space="0" w:color="auto"/>
              <w:left w:val="outset" w:sz="6" w:space="0" w:color="auto"/>
              <w:bottom w:val="outset" w:sz="6" w:space="0" w:color="auto"/>
              <w:right w:val="outset" w:sz="6" w:space="0" w:color="auto"/>
            </w:tcBorders>
            <w:hideMark/>
          </w:tcPr>
          <w:p w14:paraId="36AE88EC"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0</w:t>
            </w:r>
          </w:p>
        </w:tc>
        <w:tc>
          <w:tcPr>
            <w:tcW w:w="967" w:type="dxa"/>
            <w:tcBorders>
              <w:top w:val="outset" w:sz="6" w:space="0" w:color="auto"/>
              <w:left w:val="outset" w:sz="6" w:space="0" w:color="auto"/>
              <w:bottom w:val="outset" w:sz="6" w:space="0" w:color="auto"/>
              <w:right w:val="outset" w:sz="6" w:space="0" w:color="auto"/>
            </w:tcBorders>
            <w:hideMark/>
          </w:tcPr>
          <w:p w14:paraId="60C79289"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-363 000</w:t>
            </w:r>
          </w:p>
        </w:tc>
        <w:tc>
          <w:tcPr>
            <w:tcW w:w="1523" w:type="dxa"/>
            <w:tcBorders>
              <w:top w:val="outset" w:sz="6" w:space="0" w:color="auto"/>
              <w:left w:val="outset" w:sz="6" w:space="0" w:color="auto"/>
              <w:bottom w:val="outset" w:sz="6" w:space="0" w:color="auto"/>
              <w:right w:val="outset" w:sz="6" w:space="0" w:color="auto"/>
            </w:tcBorders>
            <w:hideMark/>
          </w:tcPr>
          <w:p w14:paraId="634D7293"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0</w:t>
            </w:r>
          </w:p>
        </w:tc>
        <w:tc>
          <w:tcPr>
            <w:tcW w:w="962" w:type="dxa"/>
            <w:tcBorders>
              <w:top w:val="outset" w:sz="6" w:space="0" w:color="auto"/>
              <w:left w:val="outset" w:sz="6" w:space="0" w:color="auto"/>
              <w:bottom w:val="outset" w:sz="6" w:space="0" w:color="auto"/>
              <w:right w:val="outset" w:sz="6" w:space="0" w:color="auto"/>
            </w:tcBorders>
            <w:hideMark/>
          </w:tcPr>
          <w:p w14:paraId="2D316551"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-60 000</w:t>
            </w:r>
          </w:p>
        </w:tc>
        <w:tc>
          <w:tcPr>
            <w:tcW w:w="1089" w:type="dxa"/>
            <w:gridSpan w:val="2"/>
            <w:tcBorders>
              <w:top w:val="outset" w:sz="6" w:space="0" w:color="auto"/>
              <w:left w:val="outset" w:sz="6" w:space="0" w:color="auto"/>
              <w:bottom w:val="outset" w:sz="6" w:space="0" w:color="auto"/>
              <w:right w:val="outset" w:sz="6" w:space="0" w:color="auto"/>
            </w:tcBorders>
            <w:hideMark/>
          </w:tcPr>
          <w:p w14:paraId="5B08AE30"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-121 000</w:t>
            </w:r>
          </w:p>
        </w:tc>
      </w:tr>
      <w:tr w:rsidR="000D1BD6" w:rsidRPr="007A5BEC" w14:paraId="5DC9F7B8" w14:textId="77777777" w:rsidTr="007512BC">
        <w:trPr>
          <w:tblCellSpacing w:w="15" w:type="dxa"/>
        </w:trPr>
        <w:tc>
          <w:tcPr>
            <w:tcW w:w="1799" w:type="dxa"/>
            <w:tcBorders>
              <w:top w:val="outset" w:sz="6" w:space="0" w:color="auto"/>
              <w:left w:val="outset" w:sz="6" w:space="0" w:color="auto"/>
              <w:bottom w:val="outset" w:sz="6" w:space="0" w:color="auto"/>
              <w:right w:val="outset" w:sz="6" w:space="0" w:color="auto"/>
            </w:tcBorders>
            <w:hideMark/>
          </w:tcPr>
          <w:p w14:paraId="22C32A60" w14:textId="77777777" w:rsidR="000D1BD6" w:rsidRPr="007A5BEC" w:rsidRDefault="000D1BD6" w:rsidP="007512BC">
            <w:pPr>
              <w:spacing w:after="0" w:line="240" w:lineRule="auto"/>
              <w:rPr>
                <w:rFonts w:ascii="Times New Roman" w:eastAsia="Times New Roman" w:hAnsi="Times New Roman" w:cs="Times New Roman"/>
                <w:iCs/>
                <w:sz w:val="24"/>
                <w:szCs w:val="24"/>
                <w:lang w:eastAsia="lv-LV"/>
              </w:rPr>
            </w:pPr>
            <w:r w:rsidRPr="007A5BEC">
              <w:rPr>
                <w:rFonts w:ascii="Times New Roman" w:eastAsia="Times New Roman" w:hAnsi="Times New Roman" w:cs="Times New Roman"/>
                <w:iCs/>
                <w:sz w:val="24"/>
                <w:szCs w:val="24"/>
                <w:lang w:eastAsia="lv-LV"/>
              </w:rPr>
              <w:t>3.1. valsts pamatbudžets</w:t>
            </w:r>
          </w:p>
        </w:tc>
        <w:tc>
          <w:tcPr>
            <w:tcW w:w="1102" w:type="dxa"/>
            <w:tcBorders>
              <w:top w:val="outset" w:sz="6" w:space="0" w:color="auto"/>
              <w:left w:val="outset" w:sz="6" w:space="0" w:color="auto"/>
              <w:bottom w:val="outset" w:sz="6" w:space="0" w:color="auto"/>
              <w:right w:val="outset" w:sz="6" w:space="0" w:color="auto"/>
            </w:tcBorders>
            <w:vAlign w:val="center"/>
            <w:hideMark/>
          </w:tcPr>
          <w:p w14:paraId="343D72BA"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-95 750</w:t>
            </w:r>
          </w:p>
        </w:tc>
        <w:tc>
          <w:tcPr>
            <w:tcW w:w="1106" w:type="dxa"/>
            <w:tcBorders>
              <w:top w:val="outset" w:sz="6" w:space="0" w:color="auto"/>
              <w:left w:val="outset" w:sz="6" w:space="0" w:color="auto"/>
              <w:bottom w:val="outset" w:sz="6" w:space="0" w:color="auto"/>
              <w:right w:val="outset" w:sz="6" w:space="0" w:color="auto"/>
            </w:tcBorders>
            <w:vAlign w:val="center"/>
            <w:hideMark/>
          </w:tcPr>
          <w:p w14:paraId="346718D8"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-317 500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7230F70C"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0</w:t>
            </w:r>
          </w:p>
        </w:tc>
        <w:tc>
          <w:tcPr>
            <w:tcW w:w="967" w:type="dxa"/>
            <w:tcBorders>
              <w:top w:val="outset" w:sz="6" w:space="0" w:color="auto"/>
              <w:left w:val="outset" w:sz="6" w:space="0" w:color="auto"/>
              <w:bottom w:val="outset" w:sz="6" w:space="0" w:color="auto"/>
              <w:right w:val="outset" w:sz="6" w:space="0" w:color="auto"/>
            </w:tcBorders>
            <w:vAlign w:val="center"/>
            <w:hideMark/>
          </w:tcPr>
          <w:p w14:paraId="5B828CBB"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-363 000</w:t>
            </w:r>
          </w:p>
        </w:tc>
        <w:tc>
          <w:tcPr>
            <w:tcW w:w="1523" w:type="dxa"/>
            <w:tcBorders>
              <w:top w:val="outset" w:sz="6" w:space="0" w:color="auto"/>
              <w:left w:val="outset" w:sz="6" w:space="0" w:color="auto"/>
              <w:bottom w:val="outset" w:sz="6" w:space="0" w:color="auto"/>
              <w:right w:val="outset" w:sz="6" w:space="0" w:color="auto"/>
            </w:tcBorders>
            <w:vAlign w:val="center"/>
            <w:hideMark/>
          </w:tcPr>
          <w:p w14:paraId="3A5DC810"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AD0D765"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-60 000</w:t>
            </w:r>
          </w:p>
        </w:tc>
        <w:tc>
          <w:tcPr>
            <w:tcW w:w="1089" w:type="dxa"/>
            <w:gridSpan w:val="2"/>
            <w:tcBorders>
              <w:top w:val="outset" w:sz="6" w:space="0" w:color="auto"/>
              <w:left w:val="outset" w:sz="6" w:space="0" w:color="auto"/>
              <w:bottom w:val="outset" w:sz="6" w:space="0" w:color="auto"/>
              <w:right w:val="outset" w:sz="6" w:space="0" w:color="auto"/>
            </w:tcBorders>
            <w:vAlign w:val="center"/>
            <w:hideMark/>
          </w:tcPr>
          <w:p w14:paraId="78E3FF66"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-121 000</w:t>
            </w:r>
          </w:p>
        </w:tc>
      </w:tr>
      <w:tr w:rsidR="000D1BD6" w:rsidRPr="007A5BEC" w14:paraId="56B115A4" w14:textId="77777777" w:rsidTr="007512BC">
        <w:trPr>
          <w:tblCellSpacing w:w="15" w:type="dxa"/>
        </w:trPr>
        <w:tc>
          <w:tcPr>
            <w:tcW w:w="1799" w:type="dxa"/>
            <w:tcBorders>
              <w:top w:val="outset" w:sz="6" w:space="0" w:color="auto"/>
              <w:left w:val="outset" w:sz="6" w:space="0" w:color="auto"/>
              <w:bottom w:val="outset" w:sz="6" w:space="0" w:color="auto"/>
              <w:right w:val="outset" w:sz="6" w:space="0" w:color="auto"/>
            </w:tcBorders>
            <w:hideMark/>
          </w:tcPr>
          <w:p w14:paraId="28313DDD" w14:textId="77777777" w:rsidR="000D1BD6" w:rsidRPr="007A5BEC" w:rsidRDefault="000D1BD6" w:rsidP="007512BC">
            <w:pPr>
              <w:spacing w:after="0" w:line="240" w:lineRule="auto"/>
              <w:rPr>
                <w:rFonts w:ascii="Times New Roman" w:eastAsia="Times New Roman" w:hAnsi="Times New Roman" w:cs="Times New Roman"/>
                <w:iCs/>
                <w:sz w:val="24"/>
                <w:szCs w:val="24"/>
                <w:lang w:eastAsia="lv-LV"/>
              </w:rPr>
            </w:pPr>
            <w:r w:rsidRPr="007A5BEC">
              <w:rPr>
                <w:rFonts w:ascii="Times New Roman" w:eastAsia="Times New Roman" w:hAnsi="Times New Roman" w:cs="Times New Roman"/>
                <w:iCs/>
                <w:sz w:val="24"/>
                <w:szCs w:val="24"/>
                <w:lang w:eastAsia="lv-LV"/>
              </w:rPr>
              <w:t>3.2. speciālais budžets</w:t>
            </w:r>
          </w:p>
        </w:tc>
        <w:tc>
          <w:tcPr>
            <w:tcW w:w="1102" w:type="dxa"/>
            <w:tcBorders>
              <w:top w:val="outset" w:sz="6" w:space="0" w:color="auto"/>
              <w:left w:val="outset" w:sz="6" w:space="0" w:color="auto"/>
              <w:bottom w:val="outset" w:sz="6" w:space="0" w:color="auto"/>
              <w:right w:val="outset" w:sz="6" w:space="0" w:color="auto"/>
            </w:tcBorders>
            <w:vAlign w:val="center"/>
            <w:hideMark/>
          </w:tcPr>
          <w:p w14:paraId="041F0FF8"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0</w:t>
            </w:r>
          </w:p>
        </w:tc>
        <w:tc>
          <w:tcPr>
            <w:tcW w:w="1106" w:type="dxa"/>
            <w:tcBorders>
              <w:top w:val="outset" w:sz="6" w:space="0" w:color="auto"/>
              <w:left w:val="outset" w:sz="6" w:space="0" w:color="auto"/>
              <w:bottom w:val="outset" w:sz="6" w:space="0" w:color="auto"/>
              <w:right w:val="outset" w:sz="6" w:space="0" w:color="auto"/>
            </w:tcBorders>
            <w:vAlign w:val="center"/>
            <w:hideMark/>
          </w:tcPr>
          <w:p w14:paraId="36B457EA"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3F9D760A"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0</w:t>
            </w:r>
          </w:p>
        </w:tc>
        <w:tc>
          <w:tcPr>
            <w:tcW w:w="967" w:type="dxa"/>
            <w:tcBorders>
              <w:top w:val="outset" w:sz="6" w:space="0" w:color="auto"/>
              <w:left w:val="outset" w:sz="6" w:space="0" w:color="auto"/>
              <w:bottom w:val="outset" w:sz="6" w:space="0" w:color="auto"/>
              <w:right w:val="outset" w:sz="6" w:space="0" w:color="auto"/>
            </w:tcBorders>
            <w:vAlign w:val="center"/>
            <w:hideMark/>
          </w:tcPr>
          <w:p w14:paraId="16C622CB"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0</w:t>
            </w:r>
          </w:p>
        </w:tc>
        <w:tc>
          <w:tcPr>
            <w:tcW w:w="1523" w:type="dxa"/>
            <w:tcBorders>
              <w:top w:val="outset" w:sz="6" w:space="0" w:color="auto"/>
              <w:left w:val="outset" w:sz="6" w:space="0" w:color="auto"/>
              <w:bottom w:val="outset" w:sz="6" w:space="0" w:color="auto"/>
              <w:right w:val="outset" w:sz="6" w:space="0" w:color="auto"/>
            </w:tcBorders>
            <w:vAlign w:val="center"/>
            <w:hideMark/>
          </w:tcPr>
          <w:p w14:paraId="4A319253"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6AC7460D"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0</w:t>
            </w:r>
          </w:p>
        </w:tc>
        <w:tc>
          <w:tcPr>
            <w:tcW w:w="1089" w:type="dxa"/>
            <w:gridSpan w:val="2"/>
            <w:tcBorders>
              <w:top w:val="outset" w:sz="6" w:space="0" w:color="auto"/>
              <w:left w:val="outset" w:sz="6" w:space="0" w:color="auto"/>
              <w:bottom w:val="outset" w:sz="6" w:space="0" w:color="auto"/>
              <w:right w:val="outset" w:sz="6" w:space="0" w:color="auto"/>
            </w:tcBorders>
            <w:vAlign w:val="center"/>
            <w:hideMark/>
          </w:tcPr>
          <w:p w14:paraId="79D760FF"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0</w:t>
            </w:r>
          </w:p>
        </w:tc>
      </w:tr>
      <w:tr w:rsidR="000D1BD6" w:rsidRPr="007A5BEC" w14:paraId="3B2DB301" w14:textId="77777777" w:rsidTr="007512BC">
        <w:trPr>
          <w:tblCellSpacing w:w="15" w:type="dxa"/>
        </w:trPr>
        <w:tc>
          <w:tcPr>
            <w:tcW w:w="1799" w:type="dxa"/>
            <w:tcBorders>
              <w:top w:val="outset" w:sz="6" w:space="0" w:color="auto"/>
              <w:left w:val="outset" w:sz="6" w:space="0" w:color="auto"/>
              <w:bottom w:val="outset" w:sz="6" w:space="0" w:color="auto"/>
              <w:right w:val="outset" w:sz="6" w:space="0" w:color="auto"/>
            </w:tcBorders>
            <w:hideMark/>
          </w:tcPr>
          <w:p w14:paraId="629809EB" w14:textId="77777777" w:rsidR="000D1BD6" w:rsidRPr="007A5BEC" w:rsidRDefault="000D1BD6" w:rsidP="007512BC">
            <w:pPr>
              <w:spacing w:after="0" w:line="240" w:lineRule="auto"/>
              <w:rPr>
                <w:rFonts w:ascii="Times New Roman" w:eastAsia="Times New Roman" w:hAnsi="Times New Roman" w:cs="Times New Roman"/>
                <w:iCs/>
                <w:sz w:val="24"/>
                <w:szCs w:val="24"/>
                <w:lang w:eastAsia="lv-LV"/>
              </w:rPr>
            </w:pPr>
            <w:r w:rsidRPr="007A5BEC">
              <w:rPr>
                <w:rFonts w:ascii="Times New Roman" w:eastAsia="Times New Roman" w:hAnsi="Times New Roman" w:cs="Times New Roman"/>
                <w:iCs/>
                <w:sz w:val="24"/>
                <w:szCs w:val="24"/>
                <w:lang w:eastAsia="lv-LV"/>
              </w:rPr>
              <w:t>3.3. pašvaldību budžets</w:t>
            </w:r>
          </w:p>
        </w:tc>
        <w:tc>
          <w:tcPr>
            <w:tcW w:w="1102" w:type="dxa"/>
            <w:tcBorders>
              <w:top w:val="outset" w:sz="6" w:space="0" w:color="auto"/>
              <w:left w:val="outset" w:sz="6" w:space="0" w:color="auto"/>
              <w:bottom w:val="outset" w:sz="6" w:space="0" w:color="auto"/>
              <w:right w:val="outset" w:sz="6" w:space="0" w:color="auto"/>
            </w:tcBorders>
            <w:vAlign w:val="center"/>
            <w:hideMark/>
          </w:tcPr>
          <w:p w14:paraId="7DC1784D"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0</w:t>
            </w:r>
          </w:p>
        </w:tc>
        <w:tc>
          <w:tcPr>
            <w:tcW w:w="1106" w:type="dxa"/>
            <w:tcBorders>
              <w:top w:val="outset" w:sz="6" w:space="0" w:color="auto"/>
              <w:left w:val="outset" w:sz="6" w:space="0" w:color="auto"/>
              <w:bottom w:val="outset" w:sz="6" w:space="0" w:color="auto"/>
              <w:right w:val="outset" w:sz="6" w:space="0" w:color="auto"/>
            </w:tcBorders>
            <w:vAlign w:val="center"/>
            <w:hideMark/>
          </w:tcPr>
          <w:p w14:paraId="02310C73"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2EB74F9A"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0</w:t>
            </w:r>
          </w:p>
        </w:tc>
        <w:tc>
          <w:tcPr>
            <w:tcW w:w="967" w:type="dxa"/>
            <w:tcBorders>
              <w:top w:val="outset" w:sz="6" w:space="0" w:color="auto"/>
              <w:left w:val="outset" w:sz="6" w:space="0" w:color="auto"/>
              <w:bottom w:val="outset" w:sz="6" w:space="0" w:color="auto"/>
              <w:right w:val="outset" w:sz="6" w:space="0" w:color="auto"/>
            </w:tcBorders>
            <w:vAlign w:val="center"/>
            <w:hideMark/>
          </w:tcPr>
          <w:p w14:paraId="497586C9"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0</w:t>
            </w:r>
          </w:p>
        </w:tc>
        <w:tc>
          <w:tcPr>
            <w:tcW w:w="1523" w:type="dxa"/>
            <w:tcBorders>
              <w:top w:val="outset" w:sz="6" w:space="0" w:color="auto"/>
              <w:left w:val="outset" w:sz="6" w:space="0" w:color="auto"/>
              <w:bottom w:val="outset" w:sz="6" w:space="0" w:color="auto"/>
              <w:right w:val="outset" w:sz="6" w:space="0" w:color="auto"/>
            </w:tcBorders>
            <w:vAlign w:val="center"/>
            <w:hideMark/>
          </w:tcPr>
          <w:p w14:paraId="3CC0B492"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7DC1FED"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0</w:t>
            </w:r>
          </w:p>
        </w:tc>
        <w:tc>
          <w:tcPr>
            <w:tcW w:w="1089" w:type="dxa"/>
            <w:gridSpan w:val="2"/>
            <w:tcBorders>
              <w:top w:val="outset" w:sz="6" w:space="0" w:color="auto"/>
              <w:left w:val="outset" w:sz="6" w:space="0" w:color="auto"/>
              <w:bottom w:val="outset" w:sz="6" w:space="0" w:color="auto"/>
              <w:right w:val="outset" w:sz="6" w:space="0" w:color="auto"/>
            </w:tcBorders>
            <w:vAlign w:val="center"/>
            <w:hideMark/>
          </w:tcPr>
          <w:p w14:paraId="62C1AD99"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0</w:t>
            </w:r>
          </w:p>
        </w:tc>
      </w:tr>
      <w:tr w:rsidR="000D1BD6" w:rsidRPr="007A5BEC" w14:paraId="2937DF51" w14:textId="77777777" w:rsidTr="007512BC">
        <w:trPr>
          <w:tblCellSpacing w:w="15" w:type="dxa"/>
        </w:trPr>
        <w:tc>
          <w:tcPr>
            <w:tcW w:w="1799" w:type="dxa"/>
            <w:tcBorders>
              <w:top w:val="outset" w:sz="6" w:space="0" w:color="auto"/>
              <w:left w:val="outset" w:sz="6" w:space="0" w:color="auto"/>
              <w:bottom w:val="outset" w:sz="6" w:space="0" w:color="auto"/>
              <w:right w:val="outset" w:sz="6" w:space="0" w:color="auto"/>
            </w:tcBorders>
            <w:hideMark/>
          </w:tcPr>
          <w:p w14:paraId="633900D5" w14:textId="77777777" w:rsidR="000D1BD6" w:rsidRPr="007A5BEC" w:rsidRDefault="000D1BD6" w:rsidP="007512BC">
            <w:pPr>
              <w:spacing w:after="0" w:line="240" w:lineRule="auto"/>
              <w:rPr>
                <w:rFonts w:ascii="Times New Roman" w:eastAsia="Times New Roman" w:hAnsi="Times New Roman" w:cs="Times New Roman"/>
                <w:iCs/>
                <w:sz w:val="24"/>
                <w:szCs w:val="24"/>
                <w:lang w:eastAsia="lv-LV"/>
              </w:rPr>
            </w:pPr>
            <w:r w:rsidRPr="007A5BEC">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1102" w:type="dxa"/>
            <w:tcBorders>
              <w:top w:val="outset" w:sz="6" w:space="0" w:color="auto"/>
              <w:left w:val="outset" w:sz="6" w:space="0" w:color="auto"/>
              <w:bottom w:val="outset" w:sz="6" w:space="0" w:color="auto"/>
              <w:right w:val="outset" w:sz="6" w:space="0" w:color="auto"/>
            </w:tcBorders>
            <w:vAlign w:val="center"/>
            <w:hideMark/>
          </w:tcPr>
          <w:p w14:paraId="1CE1D28F" w14:textId="77777777" w:rsidR="000D1BD6" w:rsidRPr="007A5BEC" w:rsidRDefault="000D1BD6" w:rsidP="007512BC">
            <w:pPr>
              <w:spacing w:after="0" w:line="240" w:lineRule="auto"/>
              <w:jc w:val="center"/>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X</w:t>
            </w:r>
          </w:p>
        </w:tc>
        <w:tc>
          <w:tcPr>
            <w:tcW w:w="1106" w:type="dxa"/>
            <w:tcBorders>
              <w:top w:val="outset" w:sz="6" w:space="0" w:color="auto"/>
              <w:left w:val="outset" w:sz="6" w:space="0" w:color="auto"/>
              <w:bottom w:val="outset" w:sz="6" w:space="0" w:color="auto"/>
              <w:right w:val="outset" w:sz="6" w:space="0" w:color="auto"/>
            </w:tcBorders>
            <w:vAlign w:val="center"/>
            <w:hideMark/>
          </w:tcPr>
          <w:p w14:paraId="1E576FFF" w14:textId="77777777" w:rsidR="000D1BD6" w:rsidRPr="007A5BEC" w:rsidRDefault="000D1BD6" w:rsidP="007512BC">
            <w:pPr>
              <w:spacing w:after="0" w:line="240" w:lineRule="auto"/>
              <w:jc w:val="center"/>
              <w:rPr>
                <w:rFonts w:ascii="Times New Roman" w:eastAsia="Times New Roman" w:hAnsi="Times New Roman" w:cs="Times New Roman"/>
                <w:iCs/>
                <w:lang w:eastAsia="lv-LV"/>
              </w:rPr>
            </w:pPr>
            <w:r w:rsidRPr="007A5BEC">
              <w:rPr>
                <w:rFonts w:ascii="Times New Roman" w:hAnsi="Times New Roman"/>
              </w:rPr>
              <w:t>+307 000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1B705E62" w14:textId="77777777" w:rsidR="000D1BD6" w:rsidRPr="007A5BEC" w:rsidRDefault="000D1BD6" w:rsidP="007512BC">
            <w:pPr>
              <w:spacing w:after="0" w:line="240" w:lineRule="auto"/>
              <w:jc w:val="center"/>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X</w:t>
            </w:r>
          </w:p>
        </w:tc>
        <w:tc>
          <w:tcPr>
            <w:tcW w:w="967" w:type="dxa"/>
            <w:tcBorders>
              <w:top w:val="outset" w:sz="6" w:space="0" w:color="auto"/>
              <w:left w:val="outset" w:sz="6" w:space="0" w:color="auto"/>
              <w:bottom w:val="outset" w:sz="6" w:space="0" w:color="auto"/>
              <w:right w:val="outset" w:sz="6" w:space="0" w:color="auto"/>
            </w:tcBorders>
            <w:vAlign w:val="center"/>
            <w:hideMark/>
          </w:tcPr>
          <w:p w14:paraId="40E199C9" w14:textId="77777777" w:rsidR="000D1BD6" w:rsidRPr="007A5BEC" w:rsidRDefault="000D1BD6" w:rsidP="007512BC">
            <w:pPr>
              <w:spacing w:after="0" w:line="240" w:lineRule="auto"/>
              <w:jc w:val="center"/>
              <w:rPr>
                <w:rFonts w:ascii="Times New Roman" w:eastAsia="Times New Roman" w:hAnsi="Times New Roman" w:cs="Times New Roman"/>
                <w:iCs/>
                <w:lang w:eastAsia="lv-LV"/>
              </w:rPr>
            </w:pPr>
            <w:r w:rsidRPr="007A5BEC">
              <w:rPr>
                <w:rFonts w:ascii="Times New Roman" w:hAnsi="Times New Roman"/>
              </w:rPr>
              <w:t>+363 000</w:t>
            </w:r>
          </w:p>
        </w:tc>
        <w:tc>
          <w:tcPr>
            <w:tcW w:w="1523" w:type="dxa"/>
            <w:tcBorders>
              <w:top w:val="outset" w:sz="6" w:space="0" w:color="auto"/>
              <w:left w:val="outset" w:sz="6" w:space="0" w:color="auto"/>
              <w:bottom w:val="outset" w:sz="6" w:space="0" w:color="auto"/>
              <w:right w:val="outset" w:sz="6" w:space="0" w:color="auto"/>
            </w:tcBorders>
            <w:vAlign w:val="center"/>
            <w:hideMark/>
          </w:tcPr>
          <w:p w14:paraId="29D59919" w14:textId="77777777" w:rsidR="000D1BD6" w:rsidRPr="007A5BEC" w:rsidRDefault="000D1BD6" w:rsidP="007512BC">
            <w:pPr>
              <w:spacing w:after="0" w:line="240" w:lineRule="auto"/>
              <w:jc w:val="center"/>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X</w:t>
            </w:r>
          </w:p>
        </w:tc>
        <w:tc>
          <w:tcPr>
            <w:tcW w:w="962" w:type="dxa"/>
            <w:tcBorders>
              <w:top w:val="outset" w:sz="6" w:space="0" w:color="auto"/>
              <w:left w:val="outset" w:sz="6" w:space="0" w:color="auto"/>
              <w:bottom w:val="outset" w:sz="6" w:space="0" w:color="auto"/>
              <w:right w:val="outset" w:sz="6" w:space="0" w:color="auto"/>
            </w:tcBorders>
            <w:vAlign w:val="center"/>
            <w:hideMark/>
          </w:tcPr>
          <w:p w14:paraId="025F2F33" w14:textId="77777777" w:rsidR="000D1BD6" w:rsidRPr="007A5BEC" w:rsidRDefault="000D1BD6" w:rsidP="007512BC">
            <w:pPr>
              <w:spacing w:after="0" w:line="240" w:lineRule="auto"/>
              <w:jc w:val="center"/>
              <w:rPr>
                <w:rFonts w:ascii="Times New Roman" w:eastAsia="Times New Roman" w:hAnsi="Times New Roman" w:cs="Times New Roman"/>
                <w:iCs/>
                <w:lang w:eastAsia="lv-LV"/>
              </w:rPr>
            </w:pPr>
            <w:r w:rsidRPr="007A5BEC">
              <w:rPr>
                <w:rFonts w:ascii="Times New Roman" w:hAnsi="Times New Roman"/>
              </w:rPr>
              <w:t>+60 000</w:t>
            </w:r>
          </w:p>
        </w:tc>
        <w:tc>
          <w:tcPr>
            <w:tcW w:w="1089" w:type="dxa"/>
            <w:gridSpan w:val="2"/>
            <w:tcBorders>
              <w:top w:val="outset" w:sz="6" w:space="0" w:color="auto"/>
              <w:left w:val="outset" w:sz="6" w:space="0" w:color="auto"/>
              <w:bottom w:val="outset" w:sz="6" w:space="0" w:color="auto"/>
              <w:right w:val="outset" w:sz="6" w:space="0" w:color="auto"/>
            </w:tcBorders>
            <w:vAlign w:val="center"/>
            <w:hideMark/>
          </w:tcPr>
          <w:p w14:paraId="18A26636" w14:textId="77777777" w:rsidR="000D1BD6" w:rsidRPr="007A5BEC" w:rsidRDefault="000D1BD6" w:rsidP="007512BC">
            <w:pPr>
              <w:spacing w:after="0" w:line="240" w:lineRule="auto"/>
              <w:jc w:val="center"/>
              <w:rPr>
                <w:rFonts w:ascii="Times New Roman" w:eastAsia="Times New Roman" w:hAnsi="Times New Roman" w:cs="Times New Roman"/>
                <w:iCs/>
                <w:lang w:eastAsia="lv-LV"/>
              </w:rPr>
            </w:pPr>
            <w:r w:rsidRPr="007A5BEC">
              <w:rPr>
                <w:rFonts w:ascii="Times New Roman" w:hAnsi="Times New Roman"/>
              </w:rPr>
              <w:t>+121 000</w:t>
            </w:r>
          </w:p>
        </w:tc>
      </w:tr>
      <w:tr w:rsidR="000D1BD6" w:rsidRPr="007A5BEC" w14:paraId="3D32560A" w14:textId="77777777" w:rsidTr="007512BC">
        <w:trPr>
          <w:tblCellSpacing w:w="15" w:type="dxa"/>
        </w:trPr>
        <w:tc>
          <w:tcPr>
            <w:tcW w:w="1799" w:type="dxa"/>
            <w:tcBorders>
              <w:top w:val="outset" w:sz="6" w:space="0" w:color="auto"/>
              <w:left w:val="outset" w:sz="6" w:space="0" w:color="auto"/>
              <w:bottom w:val="outset" w:sz="6" w:space="0" w:color="auto"/>
              <w:right w:val="outset" w:sz="6" w:space="0" w:color="auto"/>
            </w:tcBorders>
            <w:hideMark/>
          </w:tcPr>
          <w:p w14:paraId="5F7EEBA8" w14:textId="77777777" w:rsidR="000D1BD6" w:rsidRPr="007A5BEC" w:rsidRDefault="000D1BD6" w:rsidP="007512BC">
            <w:pPr>
              <w:spacing w:after="0" w:line="240" w:lineRule="auto"/>
              <w:rPr>
                <w:rFonts w:ascii="Times New Roman" w:eastAsia="Times New Roman" w:hAnsi="Times New Roman" w:cs="Times New Roman"/>
                <w:iCs/>
                <w:sz w:val="24"/>
                <w:szCs w:val="24"/>
                <w:lang w:eastAsia="lv-LV"/>
              </w:rPr>
            </w:pPr>
            <w:r w:rsidRPr="007A5BEC">
              <w:rPr>
                <w:rFonts w:ascii="Times New Roman" w:eastAsia="Times New Roman" w:hAnsi="Times New Roman" w:cs="Times New Roman"/>
                <w:iCs/>
                <w:sz w:val="24"/>
                <w:szCs w:val="24"/>
                <w:lang w:eastAsia="lv-LV"/>
              </w:rPr>
              <w:lastRenderedPageBreak/>
              <w:t>5. Precizēta finansiālā ietekme</w:t>
            </w:r>
          </w:p>
        </w:tc>
        <w:tc>
          <w:tcPr>
            <w:tcW w:w="1102" w:type="dxa"/>
            <w:vMerge w:val="restart"/>
            <w:tcBorders>
              <w:top w:val="outset" w:sz="6" w:space="0" w:color="auto"/>
              <w:left w:val="outset" w:sz="6" w:space="0" w:color="auto"/>
              <w:bottom w:val="outset" w:sz="6" w:space="0" w:color="auto"/>
              <w:right w:val="outset" w:sz="6" w:space="0" w:color="auto"/>
            </w:tcBorders>
            <w:vAlign w:val="center"/>
            <w:hideMark/>
          </w:tcPr>
          <w:p w14:paraId="232385F1" w14:textId="77777777" w:rsidR="000D1BD6" w:rsidRPr="007A5BEC" w:rsidRDefault="000D1BD6" w:rsidP="007512BC">
            <w:pPr>
              <w:spacing w:after="0" w:line="240" w:lineRule="auto"/>
              <w:rPr>
                <w:rFonts w:ascii="Times New Roman" w:eastAsia="Times New Roman" w:hAnsi="Times New Roman" w:cs="Times New Roman"/>
                <w:iCs/>
                <w:lang w:eastAsia="lv-LV"/>
              </w:rPr>
            </w:pPr>
          </w:p>
          <w:p w14:paraId="24D63656" w14:textId="77777777" w:rsidR="000D1BD6" w:rsidRPr="007A5BEC" w:rsidRDefault="000D1BD6" w:rsidP="007512BC">
            <w:pPr>
              <w:spacing w:after="0" w:line="240" w:lineRule="auto"/>
              <w:jc w:val="center"/>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X</w:t>
            </w:r>
          </w:p>
        </w:tc>
        <w:tc>
          <w:tcPr>
            <w:tcW w:w="1106" w:type="dxa"/>
            <w:tcBorders>
              <w:top w:val="outset" w:sz="6" w:space="0" w:color="auto"/>
              <w:left w:val="outset" w:sz="6" w:space="0" w:color="auto"/>
              <w:bottom w:val="outset" w:sz="6" w:space="0" w:color="auto"/>
              <w:right w:val="outset" w:sz="6" w:space="0" w:color="auto"/>
            </w:tcBorders>
            <w:vAlign w:val="center"/>
            <w:hideMark/>
          </w:tcPr>
          <w:p w14:paraId="48EF352B"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10 500</w:t>
            </w:r>
          </w:p>
        </w:tc>
        <w:tc>
          <w:tcPr>
            <w:tcW w:w="1246" w:type="dxa"/>
            <w:vMerge w:val="restart"/>
            <w:tcBorders>
              <w:top w:val="outset" w:sz="6" w:space="0" w:color="auto"/>
              <w:left w:val="outset" w:sz="6" w:space="0" w:color="auto"/>
              <w:bottom w:val="outset" w:sz="6" w:space="0" w:color="auto"/>
              <w:right w:val="outset" w:sz="6" w:space="0" w:color="auto"/>
            </w:tcBorders>
            <w:vAlign w:val="center"/>
          </w:tcPr>
          <w:p w14:paraId="1BD787BE" w14:textId="77777777" w:rsidR="000D1BD6" w:rsidRPr="007A5BEC" w:rsidRDefault="000D1BD6" w:rsidP="007512BC">
            <w:pPr>
              <w:spacing w:after="0" w:line="240" w:lineRule="auto"/>
              <w:jc w:val="center"/>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X</w:t>
            </w:r>
          </w:p>
        </w:tc>
        <w:tc>
          <w:tcPr>
            <w:tcW w:w="967" w:type="dxa"/>
            <w:tcBorders>
              <w:top w:val="outset" w:sz="6" w:space="0" w:color="auto"/>
              <w:left w:val="outset" w:sz="6" w:space="0" w:color="auto"/>
              <w:bottom w:val="outset" w:sz="6" w:space="0" w:color="auto"/>
              <w:right w:val="outset" w:sz="6" w:space="0" w:color="auto"/>
            </w:tcBorders>
            <w:vAlign w:val="center"/>
          </w:tcPr>
          <w:p w14:paraId="367F44B0"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0</w:t>
            </w:r>
          </w:p>
        </w:tc>
        <w:tc>
          <w:tcPr>
            <w:tcW w:w="1523" w:type="dxa"/>
            <w:vMerge w:val="restart"/>
            <w:tcBorders>
              <w:top w:val="outset" w:sz="6" w:space="0" w:color="auto"/>
              <w:left w:val="outset" w:sz="6" w:space="0" w:color="auto"/>
              <w:bottom w:val="outset" w:sz="6" w:space="0" w:color="auto"/>
              <w:right w:val="outset" w:sz="6" w:space="0" w:color="auto"/>
            </w:tcBorders>
            <w:vAlign w:val="center"/>
            <w:hideMark/>
          </w:tcPr>
          <w:p w14:paraId="4B7AE469" w14:textId="77777777" w:rsidR="000D1BD6" w:rsidRPr="007A5BEC" w:rsidRDefault="000D1BD6" w:rsidP="007512BC">
            <w:pPr>
              <w:spacing w:after="0" w:line="240" w:lineRule="auto"/>
              <w:rPr>
                <w:rFonts w:ascii="Times New Roman" w:eastAsia="Times New Roman" w:hAnsi="Times New Roman" w:cs="Times New Roman"/>
                <w:iCs/>
                <w:lang w:eastAsia="lv-LV"/>
              </w:rPr>
            </w:pPr>
          </w:p>
          <w:p w14:paraId="44996D21" w14:textId="77777777" w:rsidR="000D1BD6" w:rsidRPr="007A5BEC" w:rsidRDefault="000D1BD6" w:rsidP="007512BC">
            <w:pPr>
              <w:spacing w:after="0" w:line="240" w:lineRule="auto"/>
              <w:jc w:val="center"/>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X</w:t>
            </w:r>
          </w:p>
        </w:tc>
        <w:tc>
          <w:tcPr>
            <w:tcW w:w="962" w:type="dxa"/>
            <w:tcBorders>
              <w:top w:val="outset" w:sz="6" w:space="0" w:color="auto"/>
              <w:left w:val="outset" w:sz="6" w:space="0" w:color="auto"/>
              <w:bottom w:val="outset" w:sz="6" w:space="0" w:color="auto"/>
              <w:right w:val="outset" w:sz="6" w:space="0" w:color="auto"/>
            </w:tcBorders>
            <w:vAlign w:val="center"/>
            <w:hideMark/>
          </w:tcPr>
          <w:p w14:paraId="4CFC74C9"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0</w:t>
            </w:r>
          </w:p>
        </w:tc>
        <w:tc>
          <w:tcPr>
            <w:tcW w:w="1089" w:type="dxa"/>
            <w:gridSpan w:val="2"/>
            <w:tcBorders>
              <w:top w:val="outset" w:sz="6" w:space="0" w:color="auto"/>
              <w:left w:val="outset" w:sz="6" w:space="0" w:color="auto"/>
              <w:bottom w:val="outset" w:sz="6" w:space="0" w:color="auto"/>
              <w:right w:val="outset" w:sz="6" w:space="0" w:color="auto"/>
            </w:tcBorders>
            <w:vAlign w:val="center"/>
            <w:hideMark/>
          </w:tcPr>
          <w:p w14:paraId="0C192F25"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0</w:t>
            </w:r>
          </w:p>
        </w:tc>
      </w:tr>
      <w:tr w:rsidR="000D1BD6" w:rsidRPr="007A5BEC" w14:paraId="3BE4ADE2" w14:textId="77777777" w:rsidTr="007512BC">
        <w:trPr>
          <w:tblCellSpacing w:w="15" w:type="dxa"/>
        </w:trPr>
        <w:tc>
          <w:tcPr>
            <w:tcW w:w="1799" w:type="dxa"/>
            <w:tcBorders>
              <w:top w:val="outset" w:sz="6" w:space="0" w:color="auto"/>
              <w:left w:val="outset" w:sz="6" w:space="0" w:color="auto"/>
              <w:bottom w:val="outset" w:sz="6" w:space="0" w:color="auto"/>
              <w:right w:val="outset" w:sz="6" w:space="0" w:color="auto"/>
            </w:tcBorders>
            <w:hideMark/>
          </w:tcPr>
          <w:p w14:paraId="4F1B8EEE" w14:textId="77777777" w:rsidR="000D1BD6" w:rsidRPr="007A5BEC" w:rsidRDefault="000D1BD6" w:rsidP="007512BC">
            <w:pPr>
              <w:spacing w:after="0" w:line="240" w:lineRule="auto"/>
              <w:rPr>
                <w:rFonts w:ascii="Times New Roman" w:eastAsia="Times New Roman" w:hAnsi="Times New Roman" w:cs="Times New Roman"/>
                <w:iCs/>
                <w:sz w:val="24"/>
                <w:szCs w:val="24"/>
                <w:lang w:eastAsia="lv-LV"/>
              </w:rPr>
            </w:pPr>
            <w:r w:rsidRPr="007A5BEC">
              <w:rPr>
                <w:rFonts w:ascii="Times New Roman" w:eastAsia="Times New Roman" w:hAnsi="Times New Roman" w:cs="Times New Roman"/>
                <w:iCs/>
                <w:sz w:val="24"/>
                <w:szCs w:val="24"/>
                <w:lang w:eastAsia="lv-LV"/>
              </w:rPr>
              <w:t>5.1. valsts pamatbudžets</w:t>
            </w:r>
          </w:p>
        </w:tc>
        <w:tc>
          <w:tcPr>
            <w:tcW w:w="1102" w:type="dxa"/>
            <w:vMerge/>
            <w:tcBorders>
              <w:top w:val="outset" w:sz="6" w:space="0" w:color="auto"/>
              <w:left w:val="outset" w:sz="6" w:space="0" w:color="auto"/>
              <w:bottom w:val="outset" w:sz="6" w:space="0" w:color="auto"/>
              <w:right w:val="outset" w:sz="6" w:space="0" w:color="auto"/>
            </w:tcBorders>
            <w:vAlign w:val="center"/>
            <w:hideMark/>
          </w:tcPr>
          <w:p w14:paraId="6F471D5F" w14:textId="77777777" w:rsidR="000D1BD6" w:rsidRPr="007A5BEC" w:rsidRDefault="000D1BD6" w:rsidP="007512BC">
            <w:pPr>
              <w:spacing w:after="0" w:line="240" w:lineRule="auto"/>
              <w:rPr>
                <w:rFonts w:ascii="Times New Roman" w:eastAsia="Times New Roman" w:hAnsi="Times New Roman" w:cs="Times New Roman"/>
                <w:iCs/>
                <w:lang w:eastAsia="lv-LV"/>
              </w:rPr>
            </w:pPr>
          </w:p>
        </w:tc>
        <w:tc>
          <w:tcPr>
            <w:tcW w:w="1106" w:type="dxa"/>
            <w:tcBorders>
              <w:top w:val="outset" w:sz="6" w:space="0" w:color="auto"/>
              <w:left w:val="outset" w:sz="6" w:space="0" w:color="auto"/>
              <w:bottom w:val="outset" w:sz="6" w:space="0" w:color="auto"/>
              <w:right w:val="outset" w:sz="6" w:space="0" w:color="auto"/>
            </w:tcBorders>
            <w:vAlign w:val="center"/>
            <w:hideMark/>
          </w:tcPr>
          <w:p w14:paraId="163EA858"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10 500</w:t>
            </w:r>
          </w:p>
        </w:tc>
        <w:tc>
          <w:tcPr>
            <w:tcW w:w="1246" w:type="dxa"/>
            <w:vMerge/>
            <w:tcBorders>
              <w:top w:val="outset" w:sz="6" w:space="0" w:color="auto"/>
              <w:left w:val="outset" w:sz="6" w:space="0" w:color="auto"/>
              <w:bottom w:val="outset" w:sz="6" w:space="0" w:color="auto"/>
              <w:right w:val="outset" w:sz="6" w:space="0" w:color="auto"/>
            </w:tcBorders>
            <w:vAlign w:val="center"/>
            <w:hideMark/>
          </w:tcPr>
          <w:p w14:paraId="7CCD01EB" w14:textId="77777777" w:rsidR="000D1BD6" w:rsidRPr="007A5BEC" w:rsidRDefault="000D1BD6" w:rsidP="007512BC">
            <w:pPr>
              <w:spacing w:after="0" w:line="240" w:lineRule="auto"/>
              <w:rPr>
                <w:rFonts w:ascii="Times New Roman" w:eastAsia="Times New Roman" w:hAnsi="Times New Roman" w:cs="Times New Roman"/>
                <w:iCs/>
                <w:lang w:eastAsia="lv-LV"/>
              </w:rPr>
            </w:pPr>
          </w:p>
        </w:tc>
        <w:tc>
          <w:tcPr>
            <w:tcW w:w="967" w:type="dxa"/>
            <w:tcBorders>
              <w:top w:val="outset" w:sz="6" w:space="0" w:color="auto"/>
              <w:left w:val="outset" w:sz="6" w:space="0" w:color="auto"/>
              <w:bottom w:val="outset" w:sz="6" w:space="0" w:color="auto"/>
              <w:right w:val="outset" w:sz="6" w:space="0" w:color="auto"/>
            </w:tcBorders>
            <w:vAlign w:val="center"/>
            <w:hideMark/>
          </w:tcPr>
          <w:p w14:paraId="5FCF9F49"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0</w:t>
            </w:r>
          </w:p>
        </w:tc>
        <w:tc>
          <w:tcPr>
            <w:tcW w:w="1523" w:type="dxa"/>
            <w:vMerge/>
            <w:tcBorders>
              <w:top w:val="outset" w:sz="6" w:space="0" w:color="auto"/>
              <w:left w:val="outset" w:sz="6" w:space="0" w:color="auto"/>
              <w:bottom w:val="outset" w:sz="6" w:space="0" w:color="auto"/>
              <w:right w:val="outset" w:sz="6" w:space="0" w:color="auto"/>
            </w:tcBorders>
            <w:vAlign w:val="center"/>
            <w:hideMark/>
          </w:tcPr>
          <w:p w14:paraId="3B1EAABB" w14:textId="77777777" w:rsidR="000D1BD6" w:rsidRPr="007A5BEC" w:rsidRDefault="000D1BD6" w:rsidP="007512BC">
            <w:pPr>
              <w:spacing w:after="0" w:line="240" w:lineRule="auto"/>
              <w:rPr>
                <w:rFonts w:ascii="Times New Roman" w:eastAsia="Times New Roman" w:hAnsi="Times New Roman" w:cs="Times New Roman"/>
                <w:iCs/>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2288A166"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0</w:t>
            </w:r>
          </w:p>
        </w:tc>
        <w:tc>
          <w:tcPr>
            <w:tcW w:w="1089" w:type="dxa"/>
            <w:gridSpan w:val="2"/>
            <w:tcBorders>
              <w:top w:val="outset" w:sz="6" w:space="0" w:color="auto"/>
              <w:left w:val="outset" w:sz="6" w:space="0" w:color="auto"/>
              <w:bottom w:val="outset" w:sz="6" w:space="0" w:color="auto"/>
              <w:right w:val="outset" w:sz="6" w:space="0" w:color="auto"/>
            </w:tcBorders>
            <w:vAlign w:val="center"/>
            <w:hideMark/>
          </w:tcPr>
          <w:p w14:paraId="6EA49B3F"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0</w:t>
            </w:r>
          </w:p>
        </w:tc>
      </w:tr>
      <w:tr w:rsidR="000D1BD6" w:rsidRPr="007A5BEC" w14:paraId="180A6A7A" w14:textId="77777777" w:rsidTr="007512BC">
        <w:trPr>
          <w:tblCellSpacing w:w="15" w:type="dxa"/>
        </w:trPr>
        <w:tc>
          <w:tcPr>
            <w:tcW w:w="1799" w:type="dxa"/>
            <w:tcBorders>
              <w:top w:val="outset" w:sz="6" w:space="0" w:color="auto"/>
              <w:left w:val="outset" w:sz="6" w:space="0" w:color="auto"/>
              <w:bottom w:val="outset" w:sz="6" w:space="0" w:color="auto"/>
              <w:right w:val="outset" w:sz="6" w:space="0" w:color="auto"/>
            </w:tcBorders>
            <w:hideMark/>
          </w:tcPr>
          <w:p w14:paraId="4EEF8374" w14:textId="77777777" w:rsidR="000D1BD6" w:rsidRPr="007A5BEC" w:rsidRDefault="000D1BD6" w:rsidP="007512BC">
            <w:pPr>
              <w:spacing w:after="0" w:line="240" w:lineRule="auto"/>
              <w:rPr>
                <w:rFonts w:ascii="Times New Roman" w:eastAsia="Times New Roman" w:hAnsi="Times New Roman" w:cs="Times New Roman"/>
                <w:iCs/>
                <w:sz w:val="24"/>
                <w:szCs w:val="24"/>
                <w:lang w:eastAsia="lv-LV"/>
              </w:rPr>
            </w:pPr>
            <w:r w:rsidRPr="007A5BEC">
              <w:rPr>
                <w:rFonts w:ascii="Times New Roman" w:eastAsia="Times New Roman" w:hAnsi="Times New Roman" w:cs="Times New Roman"/>
                <w:iCs/>
                <w:sz w:val="24"/>
                <w:szCs w:val="24"/>
                <w:lang w:eastAsia="lv-LV"/>
              </w:rPr>
              <w:t>5.2. speciālais budžets</w:t>
            </w:r>
          </w:p>
        </w:tc>
        <w:tc>
          <w:tcPr>
            <w:tcW w:w="1102" w:type="dxa"/>
            <w:vMerge/>
            <w:tcBorders>
              <w:top w:val="outset" w:sz="6" w:space="0" w:color="auto"/>
              <w:left w:val="outset" w:sz="6" w:space="0" w:color="auto"/>
              <w:bottom w:val="outset" w:sz="6" w:space="0" w:color="auto"/>
              <w:right w:val="outset" w:sz="6" w:space="0" w:color="auto"/>
            </w:tcBorders>
            <w:vAlign w:val="center"/>
            <w:hideMark/>
          </w:tcPr>
          <w:p w14:paraId="5592D680" w14:textId="77777777" w:rsidR="000D1BD6" w:rsidRPr="007A5BEC" w:rsidRDefault="000D1BD6" w:rsidP="007512BC">
            <w:pPr>
              <w:spacing w:after="0" w:line="240" w:lineRule="auto"/>
              <w:rPr>
                <w:rFonts w:ascii="Times New Roman" w:eastAsia="Times New Roman" w:hAnsi="Times New Roman" w:cs="Times New Roman"/>
                <w:iCs/>
                <w:lang w:eastAsia="lv-LV"/>
              </w:rPr>
            </w:pPr>
          </w:p>
        </w:tc>
        <w:tc>
          <w:tcPr>
            <w:tcW w:w="1106" w:type="dxa"/>
            <w:tcBorders>
              <w:top w:val="outset" w:sz="6" w:space="0" w:color="auto"/>
              <w:left w:val="outset" w:sz="6" w:space="0" w:color="auto"/>
              <w:bottom w:val="outset" w:sz="6" w:space="0" w:color="auto"/>
              <w:right w:val="outset" w:sz="6" w:space="0" w:color="auto"/>
            </w:tcBorders>
            <w:vAlign w:val="center"/>
            <w:hideMark/>
          </w:tcPr>
          <w:p w14:paraId="7D3BD2C6"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0</w:t>
            </w:r>
          </w:p>
        </w:tc>
        <w:tc>
          <w:tcPr>
            <w:tcW w:w="1246" w:type="dxa"/>
            <w:vMerge/>
            <w:tcBorders>
              <w:top w:val="outset" w:sz="6" w:space="0" w:color="auto"/>
              <w:left w:val="outset" w:sz="6" w:space="0" w:color="auto"/>
              <w:bottom w:val="outset" w:sz="6" w:space="0" w:color="auto"/>
              <w:right w:val="outset" w:sz="6" w:space="0" w:color="auto"/>
            </w:tcBorders>
            <w:vAlign w:val="center"/>
            <w:hideMark/>
          </w:tcPr>
          <w:p w14:paraId="7B11F3CE" w14:textId="77777777" w:rsidR="000D1BD6" w:rsidRPr="007A5BEC" w:rsidRDefault="000D1BD6" w:rsidP="007512BC">
            <w:pPr>
              <w:spacing w:after="0" w:line="240" w:lineRule="auto"/>
              <w:rPr>
                <w:rFonts w:ascii="Times New Roman" w:eastAsia="Times New Roman" w:hAnsi="Times New Roman" w:cs="Times New Roman"/>
                <w:iCs/>
                <w:lang w:eastAsia="lv-LV"/>
              </w:rPr>
            </w:pPr>
          </w:p>
        </w:tc>
        <w:tc>
          <w:tcPr>
            <w:tcW w:w="967" w:type="dxa"/>
            <w:tcBorders>
              <w:top w:val="outset" w:sz="6" w:space="0" w:color="auto"/>
              <w:left w:val="outset" w:sz="6" w:space="0" w:color="auto"/>
              <w:bottom w:val="outset" w:sz="6" w:space="0" w:color="auto"/>
              <w:right w:val="outset" w:sz="6" w:space="0" w:color="auto"/>
            </w:tcBorders>
            <w:vAlign w:val="center"/>
            <w:hideMark/>
          </w:tcPr>
          <w:p w14:paraId="7AC32C07"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0</w:t>
            </w:r>
          </w:p>
        </w:tc>
        <w:tc>
          <w:tcPr>
            <w:tcW w:w="1523" w:type="dxa"/>
            <w:vMerge/>
            <w:tcBorders>
              <w:top w:val="outset" w:sz="6" w:space="0" w:color="auto"/>
              <w:left w:val="outset" w:sz="6" w:space="0" w:color="auto"/>
              <w:bottom w:val="outset" w:sz="6" w:space="0" w:color="auto"/>
              <w:right w:val="outset" w:sz="6" w:space="0" w:color="auto"/>
            </w:tcBorders>
            <w:vAlign w:val="center"/>
            <w:hideMark/>
          </w:tcPr>
          <w:p w14:paraId="2C7D1509" w14:textId="77777777" w:rsidR="000D1BD6" w:rsidRPr="007A5BEC" w:rsidRDefault="000D1BD6" w:rsidP="007512BC">
            <w:pPr>
              <w:spacing w:after="0" w:line="240" w:lineRule="auto"/>
              <w:rPr>
                <w:rFonts w:ascii="Times New Roman" w:eastAsia="Times New Roman" w:hAnsi="Times New Roman" w:cs="Times New Roman"/>
                <w:iCs/>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559CC3EC"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0</w:t>
            </w:r>
          </w:p>
        </w:tc>
        <w:tc>
          <w:tcPr>
            <w:tcW w:w="1089" w:type="dxa"/>
            <w:gridSpan w:val="2"/>
            <w:tcBorders>
              <w:top w:val="outset" w:sz="6" w:space="0" w:color="auto"/>
              <w:left w:val="outset" w:sz="6" w:space="0" w:color="auto"/>
              <w:bottom w:val="outset" w:sz="6" w:space="0" w:color="auto"/>
              <w:right w:val="outset" w:sz="6" w:space="0" w:color="auto"/>
            </w:tcBorders>
            <w:vAlign w:val="center"/>
            <w:hideMark/>
          </w:tcPr>
          <w:p w14:paraId="7A1523C6"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0</w:t>
            </w:r>
          </w:p>
        </w:tc>
      </w:tr>
      <w:tr w:rsidR="000D1BD6" w:rsidRPr="007A5BEC" w14:paraId="1841A49F" w14:textId="77777777" w:rsidTr="007512BC">
        <w:trPr>
          <w:tblCellSpacing w:w="15" w:type="dxa"/>
        </w:trPr>
        <w:tc>
          <w:tcPr>
            <w:tcW w:w="1799" w:type="dxa"/>
            <w:tcBorders>
              <w:top w:val="outset" w:sz="6" w:space="0" w:color="auto"/>
              <w:left w:val="outset" w:sz="6" w:space="0" w:color="auto"/>
              <w:bottom w:val="outset" w:sz="6" w:space="0" w:color="auto"/>
              <w:right w:val="outset" w:sz="6" w:space="0" w:color="auto"/>
            </w:tcBorders>
            <w:hideMark/>
          </w:tcPr>
          <w:p w14:paraId="62A3946C" w14:textId="77777777" w:rsidR="000D1BD6" w:rsidRPr="007A5BEC" w:rsidRDefault="000D1BD6" w:rsidP="007512BC">
            <w:pPr>
              <w:spacing w:after="0" w:line="240" w:lineRule="auto"/>
              <w:rPr>
                <w:rFonts w:ascii="Times New Roman" w:eastAsia="Times New Roman" w:hAnsi="Times New Roman" w:cs="Times New Roman"/>
                <w:iCs/>
                <w:sz w:val="24"/>
                <w:szCs w:val="24"/>
                <w:lang w:eastAsia="lv-LV"/>
              </w:rPr>
            </w:pPr>
            <w:r w:rsidRPr="007A5BEC">
              <w:rPr>
                <w:rFonts w:ascii="Times New Roman" w:eastAsia="Times New Roman" w:hAnsi="Times New Roman" w:cs="Times New Roman"/>
                <w:iCs/>
                <w:sz w:val="24"/>
                <w:szCs w:val="24"/>
                <w:lang w:eastAsia="lv-LV"/>
              </w:rPr>
              <w:t>5.3. pašvaldību budžets</w:t>
            </w:r>
          </w:p>
        </w:tc>
        <w:tc>
          <w:tcPr>
            <w:tcW w:w="1102" w:type="dxa"/>
            <w:vMerge/>
            <w:tcBorders>
              <w:top w:val="outset" w:sz="6" w:space="0" w:color="auto"/>
              <w:left w:val="outset" w:sz="6" w:space="0" w:color="auto"/>
              <w:bottom w:val="outset" w:sz="6" w:space="0" w:color="auto"/>
              <w:right w:val="outset" w:sz="6" w:space="0" w:color="auto"/>
            </w:tcBorders>
            <w:vAlign w:val="center"/>
            <w:hideMark/>
          </w:tcPr>
          <w:p w14:paraId="3881E5BA" w14:textId="77777777" w:rsidR="000D1BD6" w:rsidRPr="007A5BEC" w:rsidRDefault="000D1BD6" w:rsidP="007512BC">
            <w:pPr>
              <w:spacing w:after="0" w:line="240" w:lineRule="auto"/>
              <w:rPr>
                <w:rFonts w:ascii="Times New Roman" w:eastAsia="Times New Roman" w:hAnsi="Times New Roman" w:cs="Times New Roman"/>
                <w:iCs/>
                <w:lang w:eastAsia="lv-LV"/>
              </w:rPr>
            </w:pPr>
          </w:p>
        </w:tc>
        <w:tc>
          <w:tcPr>
            <w:tcW w:w="1106" w:type="dxa"/>
            <w:tcBorders>
              <w:top w:val="outset" w:sz="6" w:space="0" w:color="auto"/>
              <w:left w:val="outset" w:sz="6" w:space="0" w:color="auto"/>
              <w:bottom w:val="outset" w:sz="6" w:space="0" w:color="auto"/>
              <w:right w:val="outset" w:sz="6" w:space="0" w:color="auto"/>
            </w:tcBorders>
            <w:vAlign w:val="center"/>
            <w:hideMark/>
          </w:tcPr>
          <w:p w14:paraId="6A56D906"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0</w:t>
            </w:r>
          </w:p>
        </w:tc>
        <w:tc>
          <w:tcPr>
            <w:tcW w:w="1246" w:type="dxa"/>
            <w:vMerge/>
            <w:tcBorders>
              <w:top w:val="outset" w:sz="6" w:space="0" w:color="auto"/>
              <w:left w:val="outset" w:sz="6" w:space="0" w:color="auto"/>
              <w:bottom w:val="outset" w:sz="6" w:space="0" w:color="auto"/>
              <w:right w:val="outset" w:sz="6" w:space="0" w:color="auto"/>
            </w:tcBorders>
            <w:vAlign w:val="center"/>
            <w:hideMark/>
          </w:tcPr>
          <w:p w14:paraId="20D0ADD2" w14:textId="77777777" w:rsidR="000D1BD6" w:rsidRPr="007A5BEC" w:rsidRDefault="000D1BD6" w:rsidP="007512BC">
            <w:pPr>
              <w:spacing w:after="0" w:line="240" w:lineRule="auto"/>
              <w:rPr>
                <w:rFonts w:ascii="Times New Roman" w:eastAsia="Times New Roman" w:hAnsi="Times New Roman" w:cs="Times New Roman"/>
                <w:iCs/>
                <w:lang w:eastAsia="lv-LV"/>
              </w:rPr>
            </w:pPr>
          </w:p>
        </w:tc>
        <w:tc>
          <w:tcPr>
            <w:tcW w:w="967" w:type="dxa"/>
            <w:tcBorders>
              <w:top w:val="outset" w:sz="6" w:space="0" w:color="auto"/>
              <w:left w:val="outset" w:sz="6" w:space="0" w:color="auto"/>
              <w:bottom w:val="outset" w:sz="6" w:space="0" w:color="auto"/>
              <w:right w:val="outset" w:sz="6" w:space="0" w:color="auto"/>
            </w:tcBorders>
            <w:vAlign w:val="center"/>
            <w:hideMark/>
          </w:tcPr>
          <w:p w14:paraId="00A927B0"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0</w:t>
            </w:r>
          </w:p>
        </w:tc>
        <w:tc>
          <w:tcPr>
            <w:tcW w:w="1523" w:type="dxa"/>
            <w:vMerge/>
            <w:tcBorders>
              <w:top w:val="outset" w:sz="6" w:space="0" w:color="auto"/>
              <w:left w:val="outset" w:sz="6" w:space="0" w:color="auto"/>
              <w:bottom w:val="outset" w:sz="6" w:space="0" w:color="auto"/>
              <w:right w:val="outset" w:sz="6" w:space="0" w:color="auto"/>
            </w:tcBorders>
            <w:vAlign w:val="center"/>
            <w:hideMark/>
          </w:tcPr>
          <w:p w14:paraId="7464289B" w14:textId="77777777" w:rsidR="000D1BD6" w:rsidRPr="007A5BEC" w:rsidRDefault="000D1BD6" w:rsidP="007512BC">
            <w:pPr>
              <w:spacing w:after="0" w:line="240" w:lineRule="auto"/>
              <w:rPr>
                <w:rFonts w:ascii="Times New Roman" w:eastAsia="Times New Roman" w:hAnsi="Times New Roman" w:cs="Times New Roman"/>
                <w:iCs/>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4176BFD1"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0</w:t>
            </w:r>
          </w:p>
        </w:tc>
        <w:tc>
          <w:tcPr>
            <w:tcW w:w="1089" w:type="dxa"/>
            <w:gridSpan w:val="2"/>
            <w:tcBorders>
              <w:top w:val="outset" w:sz="6" w:space="0" w:color="auto"/>
              <w:left w:val="outset" w:sz="6" w:space="0" w:color="auto"/>
              <w:bottom w:val="outset" w:sz="6" w:space="0" w:color="auto"/>
              <w:right w:val="outset" w:sz="6" w:space="0" w:color="auto"/>
            </w:tcBorders>
            <w:vAlign w:val="center"/>
            <w:hideMark/>
          </w:tcPr>
          <w:p w14:paraId="03A97D89" w14:textId="77777777" w:rsidR="000D1BD6" w:rsidRPr="007A5BEC" w:rsidRDefault="000D1BD6" w:rsidP="007512BC">
            <w:pPr>
              <w:spacing w:after="0" w:line="240" w:lineRule="auto"/>
              <w:rPr>
                <w:rFonts w:ascii="Times New Roman" w:eastAsia="Times New Roman" w:hAnsi="Times New Roman" w:cs="Times New Roman"/>
                <w:iCs/>
                <w:lang w:eastAsia="lv-LV"/>
              </w:rPr>
            </w:pPr>
            <w:r w:rsidRPr="007A5BEC">
              <w:rPr>
                <w:rFonts w:ascii="Times New Roman" w:eastAsia="Times New Roman" w:hAnsi="Times New Roman" w:cs="Times New Roman"/>
                <w:iCs/>
                <w:lang w:eastAsia="lv-LV"/>
              </w:rPr>
              <w:t> 0</w:t>
            </w:r>
          </w:p>
        </w:tc>
      </w:tr>
      <w:tr w:rsidR="000D1BD6" w:rsidRPr="007A5BEC" w14:paraId="5F8BE636" w14:textId="77777777" w:rsidTr="007512BC">
        <w:trPr>
          <w:tblCellSpacing w:w="15" w:type="dxa"/>
        </w:trPr>
        <w:tc>
          <w:tcPr>
            <w:tcW w:w="1799" w:type="dxa"/>
            <w:tcBorders>
              <w:top w:val="outset" w:sz="6" w:space="0" w:color="auto"/>
              <w:left w:val="outset" w:sz="6" w:space="0" w:color="auto"/>
              <w:bottom w:val="outset" w:sz="6" w:space="0" w:color="auto"/>
              <w:right w:val="outset" w:sz="6" w:space="0" w:color="auto"/>
            </w:tcBorders>
            <w:hideMark/>
          </w:tcPr>
          <w:p w14:paraId="295535EA" w14:textId="77777777" w:rsidR="000D1BD6" w:rsidRPr="007A5BEC" w:rsidRDefault="000D1BD6" w:rsidP="007512BC">
            <w:pPr>
              <w:spacing w:after="0" w:line="240" w:lineRule="auto"/>
              <w:rPr>
                <w:rFonts w:ascii="Times New Roman" w:eastAsia="Times New Roman" w:hAnsi="Times New Roman" w:cs="Times New Roman"/>
                <w:iCs/>
                <w:sz w:val="28"/>
                <w:szCs w:val="28"/>
                <w:lang w:eastAsia="lv-LV"/>
              </w:rPr>
            </w:pPr>
            <w:r w:rsidRPr="007A5BEC">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8175" w:type="dxa"/>
            <w:gridSpan w:val="8"/>
            <w:vMerge w:val="restart"/>
            <w:tcBorders>
              <w:top w:val="outset" w:sz="6" w:space="0" w:color="auto"/>
              <w:left w:val="outset" w:sz="6" w:space="0" w:color="auto"/>
              <w:bottom w:val="outset" w:sz="6" w:space="0" w:color="auto"/>
              <w:right w:val="outset" w:sz="6" w:space="0" w:color="auto"/>
            </w:tcBorders>
            <w:vAlign w:val="center"/>
            <w:hideMark/>
          </w:tcPr>
          <w:p w14:paraId="450216CB" w14:textId="77777777" w:rsidR="000D1BD6" w:rsidRPr="007A5BEC" w:rsidRDefault="000D1BD6" w:rsidP="007512BC">
            <w:pPr>
              <w:spacing w:after="0" w:line="240" w:lineRule="auto"/>
              <w:jc w:val="both"/>
              <w:rPr>
                <w:rFonts w:ascii="Times New Roman" w:eastAsia="Times New Roman" w:hAnsi="Times New Roman" w:cs="Times New Roman"/>
                <w:sz w:val="28"/>
                <w:szCs w:val="28"/>
                <w:lang w:eastAsia="lv-LV"/>
              </w:rPr>
            </w:pPr>
            <w:r w:rsidRPr="007A5BEC">
              <w:rPr>
                <w:rFonts w:ascii="Times New Roman" w:eastAsia="Times New Roman" w:hAnsi="Times New Roman" w:cs="Times New Roman"/>
                <w:iCs/>
                <w:sz w:val="28"/>
                <w:szCs w:val="28"/>
                <w:lang w:eastAsia="lv-LV"/>
              </w:rPr>
              <w:t>Projektā plānotās</w:t>
            </w:r>
            <w:r w:rsidRPr="007A5BEC">
              <w:rPr>
                <w:rFonts w:ascii="Times New Roman" w:hAnsi="Times New Roman" w:cs="Times New Roman"/>
                <w:sz w:val="28"/>
                <w:szCs w:val="28"/>
                <w:shd w:val="clear" w:color="auto" w:fill="FFFFFF"/>
              </w:rPr>
              <w:t xml:space="preserve"> nodarbinātā personāla </w:t>
            </w:r>
            <w:r w:rsidRPr="007A5BEC">
              <w:rPr>
                <w:rFonts w:ascii="Times New Roman" w:eastAsia="Times New Roman" w:hAnsi="Times New Roman" w:cs="Times New Roman"/>
                <w:iCs/>
                <w:sz w:val="28"/>
                <w:szCs w:val="28"/>
                <w:lang w:eastAsia="lv-LV"/>
              </w:rPr>
              <w:t xml:space="preserve">atalgojuma likmes izmaiņas projektu finansējuma ietvaros tiks piemērotas ar 2021.gada </w:t>
            </w:r>
            <w:r w:rsidRPr="007A5BEC">
              <w:rPr>
                <w:rFonts w:ascii="Times New Roman" w:eastAsia="Times New Roman" w:hAnsi="Times New Roman" w:cs="Times New Roman"/>
                <w:sz w:val="28"/>
                <w:szCs w:val="28"/>
                <w:lang w:eastAsia="lv-LV"/>
              </w:rPr>
              <w:t>1. augustu, un nav attiecināmas uz atbalsta līgumiem, kurus slēdz līdz 2021.gada 31.jūlijam. Veicot grozījumus atbalsta līgumiem, kuri noslēgti līdz 2021.gada 31.jūlijam, nav piemērojami projektā noteiktie</w:t>
            </w:r>
            <w:r w:rsidRPr="007A5BEC">
              <w:rPr>
                <w:rFonts w:ascii="Times New Roman" w:hAnsi="Times New Roman" w:cs="Times New Roman"/>
                <w:sz w:val="28"/>
                <w:szCs w:val="28"/>
                <w:shd w:val="clear" w:color="auto" w:fill="FFFFFF"/>
              </w:rPr>
              <w:t xml:space="preserve"> nodarbinātā personāla </w:t>
            </w:r>
            <w:r w:rsidRPr="007A5BEC">
              <w:rPr>
                <w:rFonts w:ascii="Times New Roman" w:eastAsia="Times New Roman" w:hAnsi="Times New Roman" w:cs="Times New Roman"/>
                <w:iCs/>
                <w:sz w:val="28"/>
                <w:szCs w:val="28"/>
                <w:lang w:eastAsia="lv-LV"/>
              </w:rPr>
              <w:t>atalgojuma likmes izmaiņas projektu finansējuma ietvaros.</w:t>
            </w:r>
          </w:p>
          <w:p w14:paraId="7C3139D7" w14:textId="77777777" w:rsidR="000D1BD6" w:rsidRPr="007A5BEC" w:rsidRDefault="000D1BD6" w:rsidP="007512BC">
            <w:pPr>
              <w:spacing w:after="0" w:line="240" w:lineRule="auto"/>
              <w:jc w:val="both"/>
              <w:rPr>
                <w:rFonts w:ascii="Times New Roman" w:eastAsia="Times New Roman" w:hAnsi="Times New Roman" w:cs="Times New Roman"/>
                <w:iCs/>
                <w:sz w:val="28"/>
                <w:szCs w:val="28"/>
                <w:lang w:eastAsia="lv-LV"/>
              </w:rPr>
            </w:pPr>
          </w:p>
          <w:p w14:paraId="0784F3FB" w14:textId="77777777" w:rsidR="000D1BD6" w:rsidRPr="007A5BEC" w:rsidRDefault="000D1BD6" w:rsidP="007512BC">
            <w:pPr>
              <w:spacing w:after="0" w:line="240" w:lineRule="auto"/>
              <w:jc w:val="both"/>
              <w:rPr>
                <w:rFonts w:ascii="Times New Roman" w:eastAsia="Times New Roman" w:hAnsi="Times New Roman" w:cs="Times New Roman"/>
                <w:iCs/>
                <w:sz w:val="28"/>
                <w:szCs w:val="28"/>
                <w:lang w:eastAsia="lv-LV"/>
              </w:rPr>
            </w:pPr>
            <w:r w:rsidRPr="007A5BEC">
              <w:rPr>
                <w:rFonts w:ascii="Times New Roman" w:eastAsia="Times New Roman" w:hAnsi="Times New Roman" w:cs="Times New Roman"/>
                <w:iCs/>
                <w:sz w:val="28"/>
                <w:szCs w:val="28"/>
                <w:lang w:eastAsia="lv-LV"/>
              </w:rPr>
              <w:t xml:space="preserve">Dalības maksa par 2021. gadu SHARE ERIC 9. vilnī 10 500 </w:t>
            </w:r>
            <w:r w:rsidRPr="007A5BEC">
              <w:rPr>
                <w:rFonts w:ascii="Times New Roman" w:eastAsia="Times New Roman" w:hAnsi="Times New Roman" w:cs="Times New Roman"/>
                <w:i/>
                <w:sz w:val="28"/>
                <w:szCs w:val="28"/>
                <w:lang w:eastAsia="lv-LV"/>
              </w:rPr>
              <w:t>euro</w:t>
            </w:r>
            <w:r w:rsidRPr="007A5BEC">
              <w:rPr>
                <w:rFonts w:ascii="Times New Roman" w:eastAsia="Times New Roman" w:hAnsi="Times New Roman" w:cs="Times New Roman"/>
                <w:iCs/>
                <w:sz w:val="28"/>
                <w:szCs w:val="28"/>
                <w:lang w:eastAsia="lv-LV"/>
              </w:rPr>
              <w:t xml:space="preserve"> apmērā tiks segta no Izglītības un zinātnes ministrijas apakšprogrammas 70.06.00 „</w:t>
            </w:r>
            <w:r w:rsidRPr="007A5BEC">
              <w:rPr>
                <w:rFonts w:ascii="Times New Roman" w:hAnsi="Times New Roman" w:cs="Times New Roman"/>
                <w:sz w:val="28"/>
                <w:szCs w:val="28"/>
              </w:rPr>
              <w:t>Dalība Eiropas Savienības pētniecības un tehnoloģiju attīstības programmās</w:t>
            </w:r>
            <w:r w:rsidRPr="007A5BEC">
              <w:rPr>
                <w:rFonts w:ascii="Times New Roman" w:eastAsia="Times New Roman" w:hAnsi="Times New Roman" w:cs="Times New Roman"/>
                <w:iCs/>
                <w:sz w:val="28"/>
                <w:szCs w:val="28"/>
                <w:lang w:eastAsia="lv-LV"/>
              </w:rPr>
              <w:t>” pieejamajiem finanšu līdzekļiem.</w:t>
            </w:r>
          </w:p>
          <w:p w14:paraId="129095DD" w14:textId="77777777" w:rsidR="000D1BD6" w:rsidRPr="007A5BEC" w:rsidRDefault="000D1BD6" w:rsidP="007512BC">
            <w:pPr>
              <w:spacing w:after="0" w:line="240" w:lineRule="auto"/>
              <w:rPr>
                <w:rFonts w:ascii="Times New Roman" w:hAnsi="Times New Roman"/>
                <w:sz w:val="20"/>
                <w:szCs w:val="24"/>
              </w:rPr>
            </w:pPr>
          </w:p>
          <w:p w14:paraId="4FD2032B" w14:textId="77777777" w:rsidR="000D1BD6" w:rsidRPr="007A5BEC" w:rsidRDefault="000D1BD6" w:rsidP="007512BC">
            <w:pPr>
              <w:spacing w:after="0" w:line="240" w:lineRule="auto"/>
              <w:rPr>
                <w:rFonts w:ascii="Times New Roman" w:hAnsi="Times New Roman"/>
                <w:sz w:val="20"/>
                <w:szCs w:val="24"/>
              </w:rPr>
            </w:pPr>
          </w:p>
          <w:p w14:paraId="46D07830" w14:textId="77777777" w:rsidR="000D1BD6" w:rsidRPr="007A5BEC" w:rsidRDefault="000D1BD6" w:rsidP="007512BC">
            <w:pPr>
              <w:spacing w:after="0" w:line="240" w:lineRule="auto"/>
              <w:rPr>
                <w:rFonts w:ascii="Times New Roman" w:hAnsi="Times New Roman"/>
                <w:sz w:val="20"/>
                <w:szCs w:val="24"/>
              </w:rPr>
            </w:pPr>
          </w:p>
          <w:p w14:paraId="469FB509" w14:textId="77777777" w:rsidR="000D1BD6" w:rsidRPr="007A5BEC" w:rsidRDefault="000D1BD6" w:rsidP="007512BC">
            <w:pPr>
              <w:spacing w:after="0" w:line="240" w:lineRule="auto"/>
              <w:rPr>
                <w:rFonts w:ascii="Times New Roman" w:hAnsi="Times New Roman"/>
                <w:sz w:val="20"/>
                <w:szCs w:val="24"/>
              </w:rPr>
            </w:pPr>
          </w:p>
          <w:p w14:paraId="77F0EDD0" w14:textId="77777777" w:rsidR="000D1BD6" w:rsidRPr="007A5BEC" w:rsidRDefault="000D1BD6" w:rsidP="007512BC">
            <w:pPr>
              <w:spacing w:after="0" w:line="240" w:lineRule="auto"/>
              <w:rPr>
                <w:rFonts w:ascii="Times New Roman" w:hAnsi="Times New Roman"/>
                <w:sz w:val="20"/>
                <w:szCs w:val="24"/>
              </w:rPr>
            </w:pPr>
          </w:p>
          <w:p w14:paraId="70E032B4" w14:textId="77777777" w:rsidR="000D1BD6" w:rsidRPr="007A5BEC" w:rsidRDefault="000D1BD6" w:rsidP="007512BC">
            <w:pPr>
              <w:spacing w:after="0" w:line="240" w:lineRule="auto"/>
              <w:rPr>
                <w:rFonts w:ascii="Times New Roman" w:hAnsi="Times New Roman"/>
                <w:sz w:val="20"/>
                <w:szCs w:val="24"/>
              </w:rPr>
            </w:pPr>
          </w:p>
          <w:p w14:paraId="64062431" w14:textId="77777777" w:rsidR="000D1BD6" w:rsidRPr="007A5BEC" w:rsidRDefault="000D1BD6" w:rsidP="007512BC">
            <w:pPr>
              <w:spacing w:after="0" w:line="240" w:lineRule="auto"/>
              <w:rPr>
                <w:rFonts w:ascii="Times New Roman" w:hAnsi="Times New Roman"/>
                <w:sz w:val="20"/>
                <w:szCs w:val="24"/>
              </w:rPr>
            </w:pPr>
          </w:p>
          <w:p w14:paraId="5AA74EEE" w14:textId="77777777" w:rsidR="000D1BD6" w:rsidRPr="007A5BEC" w:rsidRDefault="000D1BD6" w:rsidP="007512BC">
            <w:pPr>
              <w:spacing w:after="0" w:line="240" w:lineRule="auto"/>
              <w:rPr>
                <w:rFonts w:ascii="Times New Roman" w:eastAsia="Times New Roman" w:hAnsi="Times New Roman" w:cs="Times New Roman"/>
                <w:iCs/>
                <w:sz w:val="28"/>
                <w:szCs w:val="28"/>
                <w:lang w:eastAsia="lv-LV"/>
              </w:rPr>
            </w:pPr>
          </w:p>
        </w:tc>
      </w:tr>
      <w:tr w:rsidR="000D1BD6" w:rsidRPr="007A5BEC" w14:paraId="0C517759" w14:textId="77777777" w:rsidTr="007512BC">
        <w:trPr>
          <w:tblCellSpacing w:w="15" w:type="dxa"/>
        </w:trPr>
        <w:tc>
          <w:tcPr>
            <w:tcW w:w="1799" w:type="dxa"/>
            <w:tcBorders>
              <w:top w:val="outset" w:sz="6" w:space="0" w:color="auto"/>
              <w:left w:val="outset" w:sz="6" w:space="0" w:color="auto"/>
              <w:bottom w:val="outset" w:sz="6" w:space="0" w:color="auto"/>
              <w:right w:val="outset" w:sz="6" w:space="0" w:color="auto"/>
            </w:tcBorders>
            <w:hideMark/>
          </w:tcPr>
          <w:p w14:paraId="150B9916" w14:textId="77777777" w:rsidR="000D1BD6" w:rsidRPr="007A5BEC" w:rsidRDefault="000D1BD6" w:rsidP="007512BC">
            <w:pPr>
              <w:spacing w:after="0" w:line="240" w:lineRule="auto"/>
              <w:rPr>
                <w:rFonts w:ascii="Times New Roman" w:eastAsia="Times New Roman" w:hAnsi="Times New Roman" w:cs="Times New Roman"/>
                <w:iCs/>
                <w:sz w:val="28"/>
                <w:szCs w:val="28"/>
                <w:lang w:eastAsia="lv-LV"/>
              </w:rPr>
            </w:pPr>
            <w:r w:rsidRPr="007A5BEC">
              <w:rPr>
                <w:rFonts w:ascii="Times New Roman" w:eastAsia="Times New Roman" w:hAnsi="Times New Roman" w:cs="Times New Roman"/>
                <w:iCs/>
                <w:sz w:val="28"/>
                <w:szCs w:val="28"/>
                <w:lang w:eastAsia="lv-LV"/>
              </w:rPr>
              <w:t>6.1. detalizēts ieņēmumu aprēķins</w:t>
            </w:r>
          </w:p>
        </w:tc>
        <w:tc>
          <w:tcPr>
            <w:tcW w:w="8175" w:type="dxa"/>
            <w:gridSpan w:val="8"/>
            <w:vMerge/>
            <w:tcBorders>
              <w:top w:val="outset" w:sz="6" w:space="0" w:color="auto"/>
              <w:left w:val="outset" w:sz="6" w:space="0" w:color="auto"/>
              <w:bottom w:val="outset" w:sz="6" w:space="0" w:color="auto"/>
              <w:right w:val="outset" w:sz="6" w:space="0" w:color="auto"/>
            </w:tcBorders>
            <w:vAlign w:val="center"/>
            <w:hideMark/>
          </w:tcPr>
          <w:p w14:paraId="78FC90F1" w14:textId="77777777" w:rsidR="000D1BD6" w:rsidRPr="007A5BEC" w:rsidRDefault="000D1BD6" w:rsidP="007512BC">
            <w:pPr>
              <w:spacing w:after="0" w:line="240" w:lineRule="auto"/>
              <w:rPr>
                <w:rFonts w:ascii="Times New Roman" w:eastAsia="Times New Roman" w:hAnsi="Times New Roman" w:cs="Times New Roman"/>
                <w:iCs/>
                <w:sz w:val="28"/>
                <w:szCs w:val="28"/>
                <w:lang w:eastAsia="lv-LV"/>
              </w:rPr>
            </w:pPr>
          </w:p>
        </w:tc>
      </w:tr>
      <w:tr w:rsidR="000D1BD6" w:rsidRPr="007A5BEC" w14:paraId="4804AC37" w14:textId="77777777" w:rsidTr="007512BC">
        <w:trPr>
          <w:tblCellSpacing w:w="15" w:type="dxa"/>
        </w:trPr>
        <w:tc>
          <w:tcPr>
            <w:tcW w:w="1799" w:type="dxa"/>
            <w:tcBorders>
              <w:top w:val="outset" w:sz="6" w:space="0" w:color="auto"/>
              <w:left w:val="outset" w:sz="6" w:space="0" w:color="auto"/>
              <w:bottom w:val="outset" w:sz="6" w:space="0" w:color="auto"/>
              <w:right w:val="outset" w:sz="6" w:space="0" w:color="auto"/>
            </w:tcBorders>
            <w:hideMark/>
          </w:tcPr>
          <w:p w14:paraId="2C5C464F" w14:textId="77777777" w:rsidR="000D1BD6" w:rsidRPr="007A5BEC" w:rsidRDefault="000D1BD6" w:rsidP="007512BC">
            <w:pPr>
              <w:spacing w:after="0" w:line="240" w:lineRule="auto"/>
              <w:rPr>
                <w:rFonts w:ascii="Times New Roman" w:eastAsia="Times New Roman" w:hAnsi="Times New Roman" w:cs="Times New Roman"/>
                <w:iCs/>
                <w:sz w:val="28"/>
                <w:szCs w:val="28"/>
                <w:lang w:eastAsia="lv-LV"/>
              </w:rPr>
            </w:pPr>
            <w:r w:rsidRPr="007A5BEC">
              <w:rPr>
                <w:rFonts w:ascii="Times New Roman" w:eastAsia="Times New Roman" w:hAnsi="Times New Roman" w:cs="Times New Roman"/>
                <w:iCs/>
                <w:sz w:val="28"/>
                <w:szCs w:val="28"/>
                <w:lang w:eastAsia="lv-LV"/>
              </w:rPr>
              <w:t>6.2. detalizēts izdevumu aprēķins</w:t>
            </w:r>
          </w:p>
        </w:tc>
        <w:tc>
          <w:tcPr>
            <w:tcW w:w="8175" w:type="dxa"/>
            <w:gridSpan w:val="8"/>
            <w:vMerge/>
            <w:tcBorders>
              <w:top w:val="outset" w:sz="6" w:space="0" w:color="auto"/>
              <w:left w:val="outset" w:sz="6" w:space="0" w:color="auto"/>
              <w:bottom w:val="outset" w:sz="6" w:space="0" w:color="auto"/>
              <w:right w:val="outset" w:sz="6" w:space="0" w:color="auto"/>
            </w:tcBorders>
            <w:vAlign w:val="center"/>
            <w:hideMark/>
          </w:tcPr>
          <w:p w14:paraId="6B020848" w14:textId="77777777" w:rsidR="000D1BD6" w:rsidRPr="007A5BEC" w:rsidRDefault="000D1BD6" w:rsidP="007512BC">
            <w:pPr>
              <w:spacing w:after="0" w:line="240" w:lineRule="auto"/>
              <w:rPr>
                <w:rFonts w:ascii="Times New Roman" w:eastAsia="Times New Roman" w:hAnsi="Times New Roman" w:cs="Times New Roman"/>
                <w:iCs/>
                <w:sz w:val="28"/>
                <w:szCs w:val="28"/>
                <w:lang w:eastAsia="lv-LV"/>
              </w:rPr>
            </w:pPr>
          </w:p>
        </w:tc>
      </w:tr>
      <w:tr w:rsidR="000D1BD6" w:rsidRPr="007A5BEC" w14:paraId="1B4550AA" w14:textId="77777777" w:rsidTr="007512BC">
        <w:trPr>
          <w:tblCellSpacing w:w="15" w:type="dxa"/>
        </w:trPr>
        <w:tc>
          <w:tcPr>
            <w:tcW w:w="1799" w:type="dxa"/>
            <w:tcBorders>
              <w:top w:val="outset" w:sz="6" w:space="0" w:color="auto"/>
              <w:left w:val="outset" w:sz="6" w:space="0" w:color="auto"/>
              <w:bottom w:val="outset" w:sz="6" w:space="0" w:color="auto"/>
              <w:right w:val="outset" w:sz="6" w:space="0" w:color="auto"/>
            </w:tcBorders>
            <w:hideMark/>
          </w:tcPr>
          <w:p w14:paraId="764F8FC5" w14:textId="77777777" w:rsidR="000D1BD6" w:rsidRPr="007A5BEC" w:rsidRDefault="000D1BD6" w:rsidP="007512BC">
            <w:pPr>
              <w:spacing w:after="0" w:line="240" w:lineRule="auto"/>
              <w:rPr>
                <w:rFonts w:ascii="Times New Roman" w:eastAsia="Times New Roman" w:hAnsi="Times New Roman" w:cs="Times New Roman"/>
                <w:iCs/>
                <w:sz w:val="28"/>
                <w:szCs w:val="28"/>
                <w:lang w:eastAsia="lv-LV"/>
              </w:rPr>
            </w:pPr>
            <w:r w:rsidRPr="007A5BEC">
              <w:rPr>
                <w:rFonts w:ascii="Times New Roman" w:eastAsia="Times New Roman" w:hAnsi="Times New Roman" w:cs="Times New Roman"/>
                <w:iCs/>
                <w:sz w:val="28"/>
                <w:szCs w:val="28"/>
                <w:lang w:eastAsia="lv-LV"/>
              </w:rPr>
              <w:t>7. Amata vietu skaita izmaiņas</w:t>
            </w:r>
          </w:p>
        </w:tc>
        <w:tc>
          <w:tcPr>
            <w:tcW w:w="8175" w:type="dxa"/>
            <w:gridSpan w:val="8"/>
            <w:tcBorders>
              <w:top w:val="outset" w:sz="6" w:space="0" w:color="auto"/>
              <w:left w:val="outset" w:sz="6" w:space="0" w:color="auto"/>
              <w:bottom w:val="outset" w:sz="6" w:space="0" w:color="auto"/>
              <w:right w:val="outset" w:sz="6" w:space="0" w:color="auto"/>
            </w:tcBorders>
            <w:hideMark/>
          </w:tcPr>
          <w:p w14:paraId="654B77F1" w14:textId="77777777" w:rsidR="000D1BD6" w:rsidRPr="007A5BEC" w:rsidRDefault="000D1BD6" w:rsidP="007512BC">
            <w:pPr>
              <w:spacing w:after="0" w:line="240" w:lineRule="auto"/>
              <w:rPr>
                <w:rFonts w:ascii="Times New Roman" w:eastAsia="Times New Roman" w:hAnsi="Times New Roman" w:cs="Times New Roman"/>
                <w:iCs/>
                <w:sz w:val="28"/>
                <w:szCs w:val="28"/>
                <w:lang w:eastAsia="lv-LV"/>
              </w:rPr>
            </w:pPr>
            <w:r w:rsidRPr="007A5BEC">
              <w:rPr>
                <w:rFonts w:ascii="Times New Roman" w:eastAsia="Times New Roman" w:hAnsi="Times New Roman" w:cs="Times New Roman"/>
                <w:iCs/>
                <w:sz w:val="28"/>
                <w:szCs w:val="28"/>
                <w:lang w:eastAsia="lv-LV"/>
              </w:rPr>
              <w:t>Projekts šo jomu neskar.</w:t>
            </w:r>
          </w:p>
        </w:tc>
      </w:tr>
      <w:tr w:rsidR="000D1BD6" w:rsidRPr="007A5BEC" w14:paraId="2F439BFB" w14:textId="77777777" w:rsidTr="007512BC">
        <w:trPr>
          <w:tblCellSpacing w:w="15" w:type="dxa"/>
        </w:trPr>
        <w:tc>
          <w:tcPr>
            <w:tcW w:w="1799" w:type="dxa"/>
            <w:tcBorders>
              <w:top w:val="outset" w:sz="6" w:space="0" w:color="auto"/>
              <w:left w:val="outset" w:sz="6" w:space="0" w:color="auto"/>
              <w:bottom w:val="outset" w:sz="6" w:space="0" w:color="auto"/>
              <w:right w:val="outset" w:sz="6" w:space="0" w:color="auto"/>
            </w:tcBorders>
            <w:hideMark/>
          </w:tcPr>
          <w:p w14:paraId="4D3443C0" w14:textId="77777777" w:rsidR="000D1BD6" w:rsidRPr="007A5BEC" w:rsidRDefault="000D1BD6" w:rsidP="007512BC">
            <w:pPr>
              <w:spacing w:after="0" w:line="240" w:lineRule="auto"/>
              <w:rPr>
                <w:rFonts w:ascii="Times New Roman" w:eastAsia="Times New Roman" w:hAnsi="Times New Roman" w:cs="Times New Roman"/>
                <w:iCs/>
                <w:sz w:val="28"/>
                <w:szCs w:val="28"/>
                <w:lang w:eastAsia="lv-LV"/>
              </w:rPr>
            </w:pPr>
            <w:r w:rsidRPr="007A5BEC">
              <w:rPr>
                <w:rFonts w:ascii="Times New Roman" w:eastAsia="Times New Roman" w:hAnsi="Times New Roman" w:cs="Times New Roman"/>
                <w:iCs/>
                <w:sz w:val="28"/>
                <w:szCs w:val="28"/>
                <w:lang w:eastAsia="lv-LV"/>
              </w:rPr>
              <w:t>8. Cita informācija</w:t>
            </w:r>
          </w:p>
        </w:tc>
        <w:tc>
          <w:tcPr>
            <w:tcW w:w="8175" w:type="dxa"/>
            <w:gridSpan w:val="8"/>
            <w:tcBorders>
              <w:top w:val="outset" w:sz="6" w:space="0" w:color="auto"/>
              <w:left w:val="outset" w:sz="6" w:space="0" w:color="auto"/>
              <w:bottom w:val="outset" w:sz="6" w:space="0" w:color="auto"/>
              <w:right w:val="outset" w:sz="6" w:space="0" w:color="auto"/>
            </w:tcBorders>
            <w:hideMark/>
          </w:tcPr>
          <w:p w14:paraId="69180D37" w14:textId="77777777" w:rsidR="000D1BD6" w:rsidRPr="007A5BEC" w:rsidRDefault="000D1BD6" w:rsidP="007512BC">
            <w:pPr>
              <w:shd w:val="clear" w:color="auto" w:fill="FFFFFF"/>
              <w:spacing w:after="0" w:line="240" w:lineRule="auto"/>
              <w:jc w:val="both"/>
              <w:rPr>
                <w:rFonts w:ascii="Times New Roman" w:hAnsi="Times New Roman" w:cs="Times New Roman"/>
                <w:sz w:val="28"/>
                <w:szCs w:val="28"/>
              </w:rPr>
            </w:pPr>
            <w:r w:rsidRPr="007A5BEC">
              <w:rPr>
                <w:rFonts w:ascii="Times New Roman" w:hAnsi="Times New Roman" w:cs="Times New Roman"/>
                <w:sz w:val="28"/>
                <w:szCs w:val="28"/>
              </w:rPr>
              <w:t xml:space="preserve">Ar Ministru kabineta 2021.gada 25.februāra sēdes lēmumu (prot. Nr.20 33.§) atbalstīta Latvijas dalība kopuzņēmumā </w:t>
            </w:r>
            <w:r w:rsidRPr="007A5BEC">
              <w:rPr>
                <w:rFonts w:ascii="Times New Roman" w:hAnsi="Times New Roman" w:cs="Times New Roman"/>
                <w:i/>
                <w:sz w:val="28"/>
                <w:szCs w:val="28"/>
              </w:rPr>
              <w:t xml:space="preserve">EuroHPC </w:t>
            </w:r>
            <w:r w:rsidRPr="007A5BEC">
              <w:rPr>
                <w:rFonts w:ascii="Times New Roman" w:hAnsi="Times New Roman" w:cs="Times New Roman"/>
                <w:sz w:val="28"/>
                <w:szCs w:val="28"/>
              </w:rPr>
              <w:t>un tā projektā EuroCC (National Competence Centres in the framework of EuroHPC)</w:t>
            </w:r>
            <w:r w:rsidRPr="007A5BEC">
              <w:rPr>
                <w:rStyle w:val="FootnoteReference"/>
                <w:rFonts w:ascii="Times New Roman" w:hAnsi="Times New Roman" w:cs="Times New Roman"/>
                <w:i/>
                <w:sz w:val="28"/>
                <w:szCs w:val="28"/>
              </w:rPr>
              <w:footnoteReference w:id="9"/>
            </w:r>
            <w:r w:rsidRPr="007A5BEC">
              <w:rPr>
                <w:rFonts w:ascii="Times New Roman" w:hAnsi="Times New Roman" w:cs="Times New Roman"/>
                <w:sz w:val="28"/>
                <w:szCs w:val="28"/>
              </w:rPr>
              <w:t xml:space="preserve">, atbilstoši noslēgtajam līgumam par kopuzņēmuma </w:t>
            </w:r>
            <w:r w:rsidRPr="007A5BEC">
              <w:rPr>
                <w:rFonts w:ascii="Times New Roman" w:hAnsi="Times New Roman" w:cs="Times New Roman"/>
                <w:i/>
                <w:sz w:val="28"/>
                <w:szCs w:val="28"/>
              </w:rPr>
              <w:t>EuroHPC</w:t>
            </w:r>
            <w:r w:rsidRPr="007A5BEC">
              <w:rPr>
                <w:rFonts w:ascii="Times New Roman" w:hAnsi="Times New Roman" w:cs="Times New Roman"/>
                <w:sz w:val="28"/>
                <w:szCs w:val="28"/>
              </w:rPr>
              <w:t xml:space="preserve"> projekta </w:t>
            </w:r>
            <w:r w:rsidRPr="007A5BEC">
              <w:rPr>
                <w:rFonts w:ascii="Times New Roman" w:hAnsi="Times New Roman" w:cs="Times New Roman"/>
                <w:i/>
                <w:sz w:val="28"/>
                <w:szCs w:val="28"/>
              </w:rPr>
              <w:t>EuroCC</w:t>
            </w:r>
            <w:r w:rsidRPr="007A5BEC">
              <w:rPr>
                <w:rFonts w:ascii="Times New Roman" w:hAnsi="Times New Roman" w:cs="Times New Roman"/>
                <w:sz w:val="28"/>
                <w:szCs w:val="28"/>
              </w:rPr>
              <w:t xml:space="preserve"> īstenošanu.</w:t>
            </w:r>
          </w:p>
          <w:p w14:paraId="5ABFE978" w14:textId="77777777" w:rsidR="000D1BD6" w:rsidRPr="007A5BEC" w:rsidRDefault="000D1BD6" w:rsidP="007512BC">
            <w:pPr>
              <w:spacing w:after="0" w:line="240" w:lineRule="auto"/>
              <w:jc w:val="both"/>
              <w:rPr>
                <w:rFonts w:ascii="Times New Roman" w:hAnsi="Times New Roman" w:cs="Times New Roman"/>
                <w:sz w:val="28"/>
                <w:szCs w:val="28"/>
              </w:rPr>
            </w:pPr>
            <w:r w:rsidRPr="007A5BEC">
              <w:rPr>
                <w:rFonts w:ascii="Times New Roman" w:hAnsi="Times New Roman" w:cs="Times New Roman"/>
                <w:sz w:val="28"/>
                <w:szCs w:val="28"/>
              </w:rPr>
              <w:t xml:space="preserve">Projekta EuroCC īstenošanas laikā izveidoto nacionālo HPC kompetences centru uzdevums ir veidot vienotu atbalsta struktūru, lai veicinātu augstas veiktspējas datošanas iespēju izmantošanu augstākajā izglītībā, pētniecībā, publiskajā administrācijā un industrijā (īpaši mazos </w:t>
            </w:r>
            <w:r w:rsidRPr="007A5BEC">
              <w:rPr>
                <w:rFonts w:ascii="Times New Roman" w:hAnsi="Times New Roman" w:cs="Times New Roman"/>
                <w:sz w:val="28"/>
                <w:szCs w:val="28"/>
              </w:rPr>
              <w:lastRenderedPageBreak/>
              <w:t>un vidējos uzņēmumos), kā arī izveidotie nacionālie kompetences centri apkopos visās ES valstīs pieejamās kompetences, pieredzi un datošanas resursus. EuroHPC atbalstītā projekta EuroCC īstenošanai 2 gadiem Latvijas partneru īstenošanas izmaksas  ir 500 000 EUR apmērā: 2021. gadam – 250 000 euro, 2022. gadam – 250 000 euro, un piesaistīts EuroHPC finansējums 500 000 EUR apmērā.</w:t>
            </w:r>
          </w:p>
          <w:p w14:paraId="0F6C8F6A" w14:textId="77777777" w:rsidR="000D1BD6" w:rsidRPr="007A5BEC" w:rsidRDefault="000D1BD6" w:rsidP="007512BC">
            <w:pPr>
              <w:shd w:val="clear" w:color="auto" w:fill="FFFFFF"/>
              <w:spacing w:after="0" w:line="240" w:lineRule="auto"/>
              <w:ind w:left="14" w:firstLine="481"/>
              <w:jc w:val="both"/>
              <w:rPr>
                <w:rFonts w:ascii="Times New Roman" w:hAnsi="Times New Roman" w:cs="Times New Roman"/>
                <w:sz w:val="28"/>
                <w:szCs w:val="28"/>
              </w:rPr>
            </w:pPr>
          </w:p>
          <w:p w14:paraId="52C6A1C9" w14:textId="77777777" w:rsidR="000D1BD6" w:rsidRPr="007A5BEC" w:rsidRDefault="000D1BD6" w:rsidP="007512BC">
            <w:pPr>
              <w:shd w:val="clear" w:color="auto" w:fill="FFFFFF"/>
              <w:spacing w:after="0" w:line="240" w:lineRule="auto"/>
              <w:ind w:left="14"/>
              <w:jc w:val="both"/>
              <w:rPr>
                <w:rFonts w:ascii="Times New Roman" w:hAnsi="Times New Roman" w:cs="Times New Roman"/>
                <w:sz w:val="28"/>
                <w:szCs w:val="28"/>
              </w:rPr>
            </w:pPr>
            <w:r w:rsidRPr="007A5BEC">
              <w:rPr>
                <w:rFonts w:ascii="Times New Roman" w:hAnsi="Times New Roman" w:cs="Times New Roman"/>
                <w:sz w:val="28"/>
                <w:szCs w:val="28"/>
              </w:rPr>
              <w:t xml:space="preserve">Ar Ministru kabineta 2021.gada 21.janvāra sēdes lēmumu (prot. Nr.8 28.§) atbalstīts ministrijas priekšlikums nodrošināt Latvijas dalību SHARE ERIC 9. un 10. posmos (viļņos) no 2021.gada un atļaut uzņemties jaunas valsts budžeta ilgtermiņa saistības Izglītības un zinātnes ministrijas valsts budžeta programmas 70.00.00 "Citu Eiropas Savienības politiku instrumentu projektu un pasākumu īstenošana" apakšprogrammas 70.06.00 "Dalība Eiropas Savienības pētniecības un tehnoloģiju attīstības programmās" Eiropas Savienības politiku instrumentam “Atbalsts Eiropas Savienības pētniecības un tehnoloģiju attīstības projektu īstenošanai” 2021. - 2024.gadam kopā 351 000 </w:t>
            </w:r>
            <w:r w:rsidRPr="007A5BEC">
              <w:rPr>
                <w:rFonts w:ascii="Times New Roman" w:hAnsi="Times New Roman" w:cs="Times New Roman"/>
                <w:i/>
                <w:iCs/>
                <w:sz w:val="28"/>
                <w:szCs w:val="28"/>
              </w:rPr>
              <w:t>euro</w:t>
            </w:r>
            <w:r w:rsidRPr="007A5BEC">
              <w:rPr>
                <w:rFonts w:ascii="Times New Roman" w:hAnsi="Times New Roman" w:cs="Times New Roman"/>
                <w:sz w:val="28"/>
                <w:szCs w:val="28"/>
              </w:rPr>
              <w:t xml:space="preserve">, tajā skaitā 2021.gadam – 57 000 </w:t>
            </w:r>
            <w:r w:rsidRPr="007A5BEC">
              <w:rPr>
                <w:rFonts w:ascii="Times New Roman" w:hAnsi="Times New Roman" w:cs="Times New Roman"/>
                <w:i/>
                <w:iCs/>
                <w:sz w:val="28"/>
                <w:szCs w:val="28"/>
              </w:rPr>
              <w:t>euro</w:t>
            </w:r>
            <w:r w:rsidRPr="007A5BEC">
              <w:rPr>
                <w:rFonts w:ascii="Times New Roman" w:hAnsi="Times New Roman" w:cs="Times New Roman"/>
                <w:sz w:val="28"/>
                <w:szCs w:val="28"/>
              </w:rPr>
              <w:t xml:space="preserve">, 2022.gadam – 113 000 </w:t>
            </w:r>
            <w:r w:rsidRPr="007A5BEC">
              <w:rPr>
                <w:rFonts w:ascii="Times New Roman" w:hAnsi="Times New Roman" w:cs="Times New Roman"/>
                <w:i/>
                <w:iCs/>
                <w:sz w:val="28"/>
                <w:szCs w:val="28"/>
              </w:rPr>
              <w:t>euro</w:t>
            </w:r>
            <w:r w:rsidRPr="007A5BEC">
              <w:rPr>
                <w:rFonts w:ascii="Times New Roman" w:hAnsi="Times New Roman" w:cs="Times New Roman"/>
                <w:sz w:val="28"/>
                <w:szCs w:val="28"/>
              </w:rPr>
              <w:t xml:space="preserve">, 2023.gadam – 60 000 </w:t>
            </w:r>
            <w:r w:rsidRPr="007A5BEC">
              <w:rPr>
                <w:rFonts w:ascii="Times New Roman" w:hAnsi="Times New Roman" w:cs="Times New Roman"/>
                <w:i/>
                <w:iCs/>
                <w:sz w:val="28"/>
                <w:szCs w:val="28"/>
              </w:rPr>
              <w:t>euro</w:t>
            </w:r>
            <w:r w:rsidRPr="007A5BEC">
              <w:rPr>
                <w:rFonts w:ascii="Times New Roman" w:hAnsi="Times New Roman" w:cs="Times New Roman"/>
                <w:sz w:val="28"/>
                <w:szCs w:val="28"/>
              </w:rPr>
              <w:t xml:space="preserve">, 2024.gadam – 121 000 </w:t>
            </w:r>
            <w:r w:rsidRPr="007A5BEC">
              <w:rPr>
                <w:rFonts w:ascii="Times New Roman" w:hAnsi="Times New Roman" w:cs="Times New Roman"/>
                <w:i/>
                <w:iCs/>
                <w:sz w:val="28"/>
                <w:szCs w:val="28"/>
              </w:rPr>
              <w:t>euro</w:t>
            </w:r>
            <w:r w:rsidRPr="007A5BEC">
              <w:rPr>
                <w:rFonts w:ascii="Times New Roman" w:hAnsi="Times New Roman" w:cs="Times New Roman"/>
                <w:sz w:val="28"/>
                <w:szCs w:val="28"/>
              </w:rPr>
              <w:t xml:space="preserve"> ”.</w:t>
            </w:r>
          </w:p>
          <w:p w14:paraId="2939726A" w14:textId="77777777" w:rsidR="000D1BD6" w:rsidRPr="007A5BEC" w:rsidRDefault="000D1BD6" w:rsidP="007512BC">
            <w:pPr>
              <w:shd w:val="clear" w:color="auto" w:fill="FFFFFF"/>
              <w:spacing w:after="0" w:line="240" w:lineRule="auto"/>
              <w:ind w:left="14"/>
              <w:jc w:val="both"/>
              <w:rPr>
                <w:rFonts w:ascii="Times New Roman" w:hAnsi="Times New Roman" w:cs="Times New Roman"/>
                <w:sz w:val="28"/>
                <w:szCs w:val="28"/>
              </w:rPr>
            </w:pPr>
            <w:r w:rsidRPr="007A5BEC">
              <w:rPr>
                <w:rFonts w:ascii="Times New Roman" w:hAnsi="Times New Roman" w:cs="Times New Roman"/>
                <w:sz w:val="28"/>
                <w:szCs w:val="28"/>
              </w:rPr>
              <w:t>Minēto projektu finansējumu nodrošināšanai Izglītības un zinātnes ministrija normatīvajos aktos noteiktā kārtībā iesniedza Finanšu ministrijā valsts budžeta līdzekļu pārdales pieprasījumu no 74.resora "Gadskārtējā valsts budžeta izpildes procesā pārdalāmais finansējums" 80.00.00 programmas "Nesadalītais finansējums Eiropas Savienības politiku instrumentu un pārējās ārvalstu finanšu palīdzības līdzfinansēto projektu un pasākumu īstenošanai" uz Izglītības un zinātnes ministrijas valsts budžeta programmas 70.00.00 "Citu Eiropas Savienības politiku instrumentu projektu un pasākumu īstenošana" apakšprogrammu 70.06.00. "Dalība Eiropas Savienības pētniecības un tehnoloģiju attīstības programmās".</w:t>
            </w:r>
          </w:p>
          <w:p w14:paraId="1BE7108C" w14:textId="77777777" w:rsidR="000D1BD6" w:rsidRPr="007A5BEC" w:rsidRDefault="000D1BD6" w:rsidP="007512BC">
            <w:pPr>
              <w:shd w:val="clear" w:color="auto" w:fill="FFFFFF"/>
              <w:spacing w:after="0" w:line="240" w:lineRule="auto"/>
              <w:ind w:left="14" w:firstLine="481"/>
              <w:jc w:val="both"/>
              <w:rPr>
                <w:rFonts w:ascii="Times New Roman" w:hAnsi="Times New Roman" w:cs="Times New Roman"/>
                <w:sz w:val="28"/>
                <w:szCs w:val="28"/>
              </w:rPr>
            </w:pPr>
          </w:p>
          <w:p w14:paraId="0A727BA4" w14:textId="77777777" w:rsidR="000D1BD6" w:rsidRPr="007A5BEC" w:rsidRDefault="000D1BD6" w:rsidP="007512BC">
            <w:pPr>
              <w:shd w:val="clear" w:color="auto" w:fill="FFFFFF"/>
              <w:spacing w:after="0" w:line="240" w:lineRule="auto"/>
              <w:ind w:left="14"/>
              <w:jc w:val="both"/>
              <w:rPr>
                <w:rFonts w:ascii="Times New Roman" w:hAnsi="Times New Roman" w:cs="Times New Roman"/>
                <w:sz w:val="28"/>
                <w:szCs w:val="28"/>
              </w:rPr>
            </w:pPr>
            <w:r w:rsidRPr="007A5BEC">
              <w:rPr>
                <w:rFonts w:ascii="Times New Roman" w:hAnsi="Times New Roman" w:cs="Times New Roman"/>
                <w:sz w:val="28"/>
                <w:szCs w:val="28"/>
              </w:rPr>
              <w:t>2021.gadā norādītā finansiālā ietekme ir ārvalstu finanšu palīdzības atlikumi, saskaņā ar likumu „Par valsts budžetu 2021.gadam”.</w:t>
            </w:r>
          </w:p>
          <w:p w14:paraId="64FDFF91" w14:textId="77777777" w:rsidR="000D1BD6" w:rsidRPr="007A5BEC" w:rsidRDefault="000D1BD6" w:rsidP="007512BC">
            <w:pPr>
              <w:shd w:val="clear" w:color="auto" w:fill="FFFFFF"/>
              <w:spacing w:after="0" w:line="240" w:lineRule="auto"/>
              <w:ind w:left="14"/>
              <w:jc w:val="both"/>
              <w:rPr>
                <w:rFonts w:ascii="Times New Roman" w:hAnsi="Times New Roman" w:cs="Times New Roman"/>
                <w:sz w:val="28"/>
                <w:szCs w:val="28"/>
              </w:rPr>
            </w:pPr>
          </w:p>
          <w:p w14:paraId="7F425854" w14:textId="77777777" w:rsidR="000D1BD6" w:rsidRPr="007A5BEC" w:rsidRDefault="000D1BD6" w:rsidP="007512BC">
            <w:pPr>
              <w:spacing w:after="0" w:line="240" w:lineRule="auto"/>
              <w:jc w:val="both"/>
              <w:rPr>
                <w:rFonts w:ascii="Times New Roman" w:hAnsi="Times New Roman"/>
                <w:sz w:val="28"/>
              </w:rPr>
            </w:pPr>
            <w:r w:rsidRPr="007A5BEC">
              <w:rPr>
                <w:rFonts w:ascii="Times New Roman" w:hAnsi="Times New Roman" w:cs="Times New Roman"/>
                <w:sz w:val="28"/>
                <w:szCs w:val="28"/>
              </w:rPr>
              <w:t xml:space="preserve">Latvijas kā dalībvalsts statusa iegūšanu </w:t>
            </w:r>
            <w:r w:rsidRPr="007A5BEC">
              <w:rPr>
                <w:rFonts w:ascii="Times New Roman" w:hAnsi="Times New Roman" w:cs="Times New Roman"/>
                <w:iCs/>
                <w:sz w:val="28"/>
                <w:szCs w:val="28"/>
              </w:rPr>
              <w:t xml:space="preserve">Eiropas pētniecības infrastruktūras konsorcijā “Veselības, novecošanas un pensionēšanās apsekojums Eiropā” (SHARE ERIC) </w:t>
            </w:r>
            <w:r w:rsidRPr="007A5BEC">
              <w:rPr>
                <w:rFonts w:ascii="Times New Roman" w:hAnsi="Times New Roman" w:cs="Times New Roman"/>
                <w:sz w:val="28"/>
                <w:szCs w:val="28"/>
              </w:rPr>
              <w:t>ir plānots no 2022. gada, par ko ministrija ir sagatavojusi un virza izskatīšanai Ministru kabinetā informatīvā ziņojuma projektu “Par Latvijas dalības aktualizāciju Eiropas pētniecības infrastruktūru stratēģijas foruma (ESFRI) Eiropas pētniecības infrastruktūru Ceļa kartes pētniecības infrastruktūrās un Eiropas pētniecības infrastruktūru konsorcijos”.</w:t>
            </w:r>
          </w:p>
        </w:tc>
      </w:tr>
      <w:tr w:rsidR="000D1BD6" w:rsidRPr="007A5BEC" w14:paraId="136A3916" w14:textId="77777777" w:rsidTr="007512BC">
        <w:trPr>
          <w:tblCellSpacing w:w="15" w:type="dxa"/>
        </w:trPr>
        <w:tc>
          <w:tcPr>
            <w:tcW w:w="1799" w:type="dxa"/>
            <w:tcBorders>
              <w:top w:val="nil"/>
              <w:left w:val="nil"/>
              <w:bottom w:val="nil"/>
              <w:right w:val="nil"/>
            </w:tcBorders>
          </w:tcPr>
          <w:p w14:paraId="4FC3C3A0" w14:textId="77777777" w:rsidR="000D1BD6" w:rsidRPr="007A5BEC" w:rsidRDefault="000D1BD6" w:rsidP="007512BC">
            <w:pPr>
              <w:spacing w:after="0" w:line="240" w:lineRule="auto"/>
              <w:rPr>
                <w:rFonts w:ascii="Times New Roman" w:eastAsia="Times New Roman" w:hAnsi="Times New Roman" w:cs="Times New Roman"/>
                <w:iCs/>
                <w:sz w:val="28"/>
                <w:szCs w:val="28"/>
                <w:lang w:eastAsia="lv-LV"/>
              </w:rPr>
            </w:pPr>
          </w:p>
        </w:tc>
        <w:tc>
          <w:tcPr>
            <w:tcW w:w="8175" w:type="dxa"/>
            <w:gridSpan w:val="8"/>
            <w:tcBorders>
              <w:top w:val="nil"/>
              <w:left w:val="nil"/>
              <w:bottom w:val="nil"/>
              <w:right w:val="nil"/>
            </w:tcBorders>
          </w:tcPr>
          <w:p w14:paraId="2434A9FE" w14:textId="77777777" w:rsidR="000D1BD6" w:rsidRPr="007A5BEC" w:rsidRDefault="000D1BD6" w:rsidP="007512BC">
            <w:pPr>
              <w:shd w:val="clear" w:color="auto" w:fill="FFFFFF"/>
              <w:spacing w:after="0" w:line="240" w:lineRule="auto"/>
              <w:jc w:val="both"/>
              <w:rPr>
                <w:rFonts w:ascii="Times New Roman" w:hAnsi="Times New Roman" w:cs="Times New Roman"/>
                <w:sz w:val="28"/>
                <w:szCs w:val="28"/>
              </w:rPr>
            </w:pPr>
          </w:p>
        </w:tc>
      </w:tr>
      <w:tr w:rsidR="000D1BD6" w:rsidRPr="007A5BEC" w14:paraId="037A77CB" w14:textId="77777777" w:rsidTr="007512BC">
        <w:trPr>
          <w:gridAfter w:val="1"/>
          <w:wAfter w:w="294" w:type="dxa"/>
          <w:tblCellSpacing w:w="15" w:type="dxa"/>
        </w:trPr>
        <w:tc>
          <w:tcPr>
            <w:tcW w:w="9683" w:type="dxa"/>
            <w:gridSpan w:val="8"/>
            <w:tcBorders>
              <w:top w:val="outset" w:sz="6" w:space="0" w:color="auto"/>
              <w:left w:val="outset" w:sz="6" w:space="0" w:color="auto"/>
              <w:bottom w:val="outset" w:sz="6" w:space="0" w:color="auto"/>
              <w:right w:val="outset" w:sz="6" w:space="0" w:color="auto"/>
            </w:tcBorders>
            <w:vAlign w:val="center"/>
            <w:hideMark/>
          </w:tcPr>
          <w:p w14:paraId="6D1CC33A" w14:textId="77777777" w:rsidR="000D1BD6" w:rsidRPr="007A5BEC" w:rsidRDefault="000D1BD6" w:rsidP="007512BC">
            <w:pPr>
              <w:spacing w:after="0" w:line="240" w:lineRule="auto"/>
              <w:rPr>
                <w:rFonts w:ascii="Times New Roman" w:eastAsia="Times New Roman" w:hAnsi="Times New Roman" w:cs="Times New Roman"/>
                <w:b/>
                <w:bCs/>
                <w:iCs/>
                <w:sz w:val="28"/>
                <w:szCs w:val="28"/>
                <w:lang w:eastAsia="lv-LV"/>
              </w:rPr>
            </w:pPr>
            <w:r w:rsidRPr="007A5BEC">
              <w:rPr>
                <w:rFonts w:ascii="Times New Roman" w:eastAsia="Times New Roman" w:hAnsi="Times New Roman" w:cs="Times New Roman"/>
                <w:b/>
                <w:bCs/>
                <w:iCs/>
                <w:sz w:val="28"/>
                <w:szCs w:val="28"/>
                <w:lang w:eastAsia="lv-LV"/>
              </w:rPr>
              <w:t>IV. Tiesību akta projekta ietekme uz spēkā esošo tiesību normu sistēmu</w:t>
            </w:r>
          </w:p>
        </w:tc>
      </w:tr>
      <w:tr w:rsidR="000D1BD6" w:rsidRPr="007A5BEC" w14:paraId="4D5F19C2" w14:textId="77777777" w:rsidTr="007512BC">
        <w:trPr>
          <w:gridAfter w:val="1"/>
          <w:wAfter w:w="294" w:type="dxa"/>
          <w:tblCellSpacing w:w="15" w:type="dxa"/>
        </w:trPr>
        <w:tc>
          <w:tcPr>
            <w:tcW w:w="9683" w:type="dxa"/>
            <w:gridSpan w:val="8"/>
            <w:tcBorders>
              <w:top w:val="outset" w:sz="6" w:space="0" w:color="auto"/>
              <w:left w:val="outset" w:sz="6" w:space="0" w:color="auto"/>
              <w:bottom w:val="outset" w:sz="6" w:space="0" w:color="auto"/>
              <w:right w:val="outset" w:sz="6" w:space="0" w:color="auto"/>
            </w:tcBorders>
          </w:tcPr>
          <w:p w14:paraId="0C5253A2" w14:textId="77777777" w:rsidR="000D1BD6" w:rsidRPr="007A5BEC" w:rsidRDefault="000D1BD6" w:rsidP="007512BC">
            <w:pPr>
              <w:spacing w:after="0" w:line="240" w:lineRule="auto"/>
              <w:jc w:val="center"/>
              <w:rPr>
                <w:rFonts w:ascii="Times New Roman" w:eastAsia="Times New Roman" w:hAnsi="Times New Roman" w:cs="Times New Roman"/>
                <w:iCs/>
                <w:sz w:val="28"/>
                <w:szCs w:val="28"/>
                <w:lang w:eastAsia="lv-LV"/>
              </w:rPr>
            </w:pPr>
            <w:r w:rsidRPr="007A5BEC">
              <w:rPr>
                <w:rFonts w:ascii="Times New Roman" w:eastAsia="Times New Roman" w:hAnsi="Times New Roman" w:cs="Times New Roman"/>
                <w:iCs/>
                <w:sz w:val="28"/>
                <w:szCs w:val="28"/>
                <w:lang w:eastAsia="lv-LV"/>
              </w:rPr>
              <w:t>Projekts šo jomu neskar.</w:t>
            </w:r>
          </w:p>
        </w:tc>
      </w:tr>
    </w:tbl>
    <w:p w14:paraId="546C1240" w14:textId="77777777" w:rsidR="000D1BD6" w:rsidRPr="007A5BEC" w:rsidRDefault="000D1BD6" w:rsidP="000D1BD6">
      <w:pPr>
        <w:spacing w:after="0" w:line="240" w:lineRule="auto"/>
        <w:rPr>
          <w:rFonts w:ascii="Times New Roman" w:eastAsia="Times New Roman" w:hAnsi="Times New Roman" w:cs="Times New Roman"/>
          <w:iCs/>
          <w:sz w:val="28"/>
          <w:szCs w:val="28"/>
          <w:lang w:eastAsia="lv-LV"/>
        </w:rPr>
      </w:pPr>
      <w:r w:rsidRPr="007A5BE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7"/>
        <w:gridCol w:w="3213"/>
        <w:gridCol w:w="5662"/>
      </w:tblGrid>
      <w:tr w:rsidR="000D1BD6" w:rsidRPr="007A5BEC" w14:paraId="4632DDC3" w14:textId="77777777" w:rsidTr="007512B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104F4DF" w14:textId="77777777" w:rsidR="000D1BD6" w:rsidRPr="007A5BEC" w:rsidRDefault="000D1BD6" w:rsidP="007512BC">
            <w:pPr>
              <w:spacing w:after="0" w:line="240" w:lineRule="auto"/>
              <w:jc w:val="center"/>
              <w:rPr>
                <w:rFonts w:ascii="Times New Roman" w:eastAsia="Times New Roman" w:hAnsi="Times New Roman" w:cs="Times New Roman"/>
                <w:b/>
                <w:bCs/>
                <w:iCs/>
                <w:sz w:val="28"/>
                <w:szCs w:val="28"/>
                <w:lang w:eastAsia="lv-LV"/>
              </w:rPr>
            </w:pPr>
            <w:r w:rsidRPr="007A5BEC">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0D1BD6" w:rsidRPr="007A5BEC" w14:paraId="0ED79C11" w14:textId="77777777" w:rsidTr="007512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725802" w14:textId="77777777" w:rsidR="000D1BD6" w:rsidRPr="007A5BEC" w:rsidRDefault="000D1BD6" w:rsidP="007512BC">
            <w:pPr>
              <w:spacing w:after="0" w:line="240" w:lineRule="auto"/>
              <w:rPr>
                <w:rFonts w:ascii="Times New Roman" w:eastAsia="Times New Roman" w:hAnsi="Times New Roman" w:cs="Times New Roman"/>
                <w:iCs/>
                <w:sz w:val="28"/>
                <w:szCs w:val="28"/>
                <w:lang w:eastAsia="lv-LV"/>
              </w:rPr>
            </w:pPr>
            <w:r w:rsidRPr="007A5BEC">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5A71A38" w14:textId="77777777" w:rsidR="000D1BD6" w:rsidRPr="007A5BEC" w:rsidRDefault="000D1BD6" w:rsidP="007512BC">
            <w:pPr>
              <w:spacing w:after="0" w:line="240" w:lineRule="auto"/>
              <w:rPr>
                <w:rFonts w:ascii="Times New Roman" w:eastAsia="Times New Roman" w:hAnsi="Times New Roman" w:cs="Times New Roman"/>
                <w:iCs/>
                <w:sz w:val="28"/>
                <w:szCs w:val="28"/>
                <w:lang w:eastAsia="lv-LV"/>
              </w:rPr>
            </w:pPr>
            <w:r w:rsidRPr="007A5BEC">
              <w:rPr>
                <w:rFonts w:ascii="Times New Roman" w:eastAsia="Times New Roman" w:hAnsi="Times New Roman" w:cs="Times New Roman"/>
                <w:iCs/>
                <w:sz w:val="28"/>
                <w:szCs w:val="28"/>
                <w:lang w:eastAsia="lv-LV"/>
              </w:rPr>
              <w:t>Saistības pret Eiropas Savienību</w:t>
            </w:r>
          </w:p>
        </w:tc>
        <w:tc>
          <w:tcPr>
            <w:tcW w:w="2962" w:type="pct"/>
            <w:tcBorders>
              <w:top w:val="outset" w:sz="6" w:space="0" w:color="auto"/>
              <w:left w:val="outset" w:sz="6" w:space="0" w:color="auto"/>
              <w:bottom w:val="outset" w:sz="6" w:space="0" w:color="auto"/>
              <w:right w:val="outset" w:sz="6" w:space="0" w:color="auto"/>
            </w:tcBorders>
            <w:hideMark/>
          </w:tcPr>
          <w:p w14:paraId="36A5B9D9" w14:textId="77777777" w:rsidR="000D1BD6" w:rsidRPr="007A5BEC" w:rsidRDefault="000D1BD6" w:rsidP="007512BC">
            <w:pPr>
              <w:spacing w:after="0" w:line="240" w:lineRule="auto"/>
              <w:jc w:val="both"/>
              <w:rPr>
                <w:rFonts w:ascii="Times New Roman" w:eastAsia="Times New Roman" w:hAnsi="Times New Roman" w:cs="Times New Roman"/>
                <w:sz w:val="28"/>
                <w:szCs w:val="28"/>
                <w:lang w:eastAsia="lv-LV"/>
              </w:rPr>
            </w:pPr>
            <w:r w:rsidRPr="007A5BEC">
              <w:rPr>
                <w:rFonts w:ascii="Times New Roman" w:eastAsia="Times New Roman" w:hAnsi="Times New Roman" w:cs="Times New Roman"/>
                <w:iCs/>
                <w:sz w:val="28"/>
                <w:szCs w:val="28"/>
                <w:lang w:eastAsia="lv-LV"/>
              </w:rPr>
              <w:t>Projekts šo jomu neskar.</w:t>
            </w:r>
          </w:p>
        </w:tc>
      </w:tr>
      <w:tr w:rsidR="000D1BD6" w:rsidRPr="007A5BEC" w14:paraId="4C9C56FC" w14:textId="77777777" w:rsidTr="007512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8AF0AD" w14:textId="77777777" w:rsidR="000D1BD6" w:rsidRPr="007A5BEC" w:rsidRDefault="000D1BD6" w:rsidP="007512BC">
            <w:pPr>
              <w:spacing w:after="0" w:line="240" w:lineRule="auto"/>
              <w:rPr>
                <w:rFonts w:ascii="Times New Roman" w:eastAsia="Times New Roman" w:hAnsi="Times New Roman" w:cs="Times New Roman"/>
                <w:iCs/>
                <w:sz w:val="28"/>
                <w:szCs w:val="28"/>
                <w:lang w:eastAsia="lv-LV"/>
              </w:rPr>
            </w:pPr>
            <w:r w:rsidRPr="007A5BEC">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D3FCEAC" w14:textId="77777777" w:rsidR="000D1BD6" w:rsidRPr="007A5BEC" w:rsidRDefault="000D1BD6" w:rsidP="007512BC">
            <w:pPr>
              <w:spacing w:after="0" w:line="240" w:lineRule="auto"/>
              <w:rPr>
                <w:rFonts w:ascii="Times New Roman" w:eastAsia="Times New Roman" w:hAnsi="Times New Roman" w:cs="Times New Roman"/>
                <w:iCs/>
                <w:sz w:val="28"/>
                <w:szCs w:val="28"/>
                <w:lang w:eastAsia="lv-LV"/>
              </w:rPr>
            </w:pPr>
            <w:r w:rsidRPr="007A5BEC">
              <w:rPr>
                <w:rFonts w:ascii="Times New Roman" w:eastAsia="Times New Roman" w:hAnsi="Times New Roman" w:cs="Times New Roman"/>
                <w:iCs/>
                <w:sz w:val="28"/>
                <w:szCs w:val="28"/>
                <w:lang w:eastAsia="lv-LV"/>
              </w:rPr>
              <w:t>Citas starptautiskās saistības</w:t>
            </w:r>
          </w:p>
        </w:tc>
        <w:tc>
          <w:tcPr>
            <w:tcW w:w="2962" w:type="pct"/>
            <w:tcBorders>
              <w:top w:val="outset" w:sz="6" w:space="0" w:color="auto"/>
              <w:left w:val="outset" w:sz="6" w:space="0" w:color="auto"/>
              <w:bottom w:val="outset" w:sz="6" w:space="0" w:color="auto"/>
              <w:right w:val="outset" w:sz="6" w:space="0" w:color="auto"/>
            </w:tcBorders>
            <w:hideMark/>
          </w:tcPr>
          <w:p w14:paraId="43E894AC" w14:textId="77777777" w:rsidR="000D1BD6" w:rsidRPr="007A5BEC" w:rsidRDefault="000D1BD6" w:rsidP="007512BC">
            <w:pPr>
              <w:spacing w:after="0" w:line="240" w:lineRule="auto"/>
              <w:rPr>
                <w:rFonts w:ascii="Times New Roman" w:eastAsia="Times New Roman" w:hAnsi="Times New Roman" w:cs="Times New Roman"/>
                <w:iCs/>
                <w:sz w:val="28"/>
                <w:szCs w:val="28"/>
                <w:lang w:eastAsia="lv-LV"/>
              </w:rPr>
            </w:pPr>
            <w:r w:rsidRPr="007A5BEC">
              <w:rPr>
                <w:rFonts w:ascii="Times New Roman" w:eastAsia="Times New Roman" w:hAnsi="Times New Roman" w:cs="Times New Roman"/>
                <w:iCs/>
                <w:sz w:val="28"/>
                <w:szCs w:val="28"/>
                <w:lang w:eastAsia="lv-LV"/>
              </w:rPr>
              <w:t>Projekts šo jomu neskar.</w:t>
            </w:r>
          </w:p>
        </w:tc>
      </w:tr>
      <w:tr w:rsidR="000D1BD6" w:rsidRPr="007A5BEC" w14:paraId="674DA8DB" w14:textId="77777777" w:rsidTr="007512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4C1ECD9" w14:textId="77777777" w:rsidR="000D1BD6" w:rsidRPr="007A5BEC" w:rsidRDefault="000D1BD6" w:rsidP="007512BC">
            <w:pPr>
              <w:spacing w:after="0" w:line="240" w:lineRule="auto"/>
              <w:rPr>
                <w:rFonts w:ascii="Times New Roman" w:eastAsia="Times New Roman" w:hAnsi="Times New Roman" w:cs="Times New Roman"/>
                <w:iCs/>
                <w:sz w:val="28"/>
                <w:szCs w:val="28"/>
                <w:lang w:eastAsia="lv-LV"/>
              </w:rPr>
            </w:pPr>
            <w:r w:rsidRPr="007A5BEC">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EA7F881" w14:textId="77777777" w:rsidR="000D1BD6" w:rsidRPr="007A5BEC" w:rsidRDefault="000D1BD6" w:rsidP="007512BC">
            <w:pPr>
              <w:spacing w:after="0" w:line="240" w:lineRule="auto"/>
              <w:rPr>
                <w:rFonts w:ascii="Times New Roman" w:eastAsia="Times New Roman" w:hAnsi="Times New Roman" w:cs="Times New Roman"/>
                <w:iCs/>
                <w:sz w:val="28"/>
                <w:szCs w:val="28"/>
                <w:lang w:eastAsia="lv-LV"/>
              </w:rPr>
            </w:pPr>
            <w:r w:rsidRPr="007A5BEC">
              <w:rPr>
                <w:rFonts w:ascii="Times New Roman" w:eastAsia="Times New Roman" w:hAnsi="Times New Roman" w:cs="Times New Roman"/>
                <w:iCs/>
                <w:sz w:val="28"/>
                <w:szCs w:val="28"/>
                <w:lang w:eastAsia="lv-LV"/>
              </w:rPr>
              <w:t>Cita informācija</w:t>
            </w:r>
          </w:p>
        </w:tc>
        <w:tc>
          <w:tcPr>
            <w:tcW w:w="2962" w:type="pct"/>
            <w:tcBorders>
              <w:top w:val="outset" w:sz="6" w:space="0" w:color="auto"/>
              <w:left w:val="outset" w:sz="6" w:space="0" w:color="auto"/>
              <w:bottom w:val="outset" w:sz="6" w:space="0" w:color="auto"/>
              <w:right w:val="outset" w:sz="6" w:space="0" w:color="auto"/>
            </w:tcBorders>
            <w:hideMark/>
          </w:tcPr>
          <w:p w14:paraId="4CF54521" w14:textId="77777777" w:rsidR="000D1BD6" w:rsidRPr="007A5BEC" w:rsidRDefault="000D1BD6" w:rsidP="007512BC">
            <w:pPr>
              <w:spacing w:after="0" w:line="240" w:lineRule="auto"/>
              <w:jc w:val="both"/>
              <w:rPr>
                <w:rFonts w:ascii="Times New Roman" w:eastAsia="Times New Roman" w:hAnsi="Times New Roman" w:cs="Times New Roman"/>
                <w:iCs/>
                <w:sz w:val="28"/>
                <w:szCs w:val="28"/>
                <w:lang w:eastAsia="lv-LV"/>
              </w:rPr>
            </w:pPr>
            <w:r w:rsidRPr="007A5BEC">
              <w:rPr>
                <w:rFonts w:ascii="Times New Roman" w:eastAsia="Times New Roman" w:hAnsi="Times New Roman" w:cs="Times New Roman"/>
                <w:iCs/>
                <w:sz w:val="28"/>
                <w:szCs w:val="28"/>
                <w:lang w:eastAsia="lv-LV"/>
              </w:rPr>
              <w:t>Saskaņā ar Komisijas 2004. gada 21. aprīļa Regulas (EK) Nr. 794/2004, ar ko īsteno Padomes Regulu (EK) Nr. 659/1999, ar kuru nosaka sīki izstrādātus noteikumus EK līguma 93. panta piemērošanai 4. panta 2. punktu, par atbalsta shēmas pagarinājumu ir nepieciešams nosūtīt Eiropas Komisijai informāciju par izmaiņām atbalsta programmā. Paziņojums Eiropas Komisijai nosūtāms, izmantojot SANI 2 sistēmu atbilstoši kārtībai, kas noteikta Ministru kabineta 2014. gada 16. decembra noteikumos Nr. 759 “Kārtība, kādā Eiropas Komisijā iesniedz atbalsta programmu un individuālo atbalsta projektu paziņojumus un kopsavilkuma informāciju, un kārtība, kādā piešķir un anulē elektroniskās sistēmas lietošanas tiesības”.</w:t>
            </w:r>
          </w:p>
          <w:p w14:paraId="7869DBC6" w14:textId="77777777" w:rsidR="000D1BD6" w:rsidRPr="007A5BEC" w:rsidRDefault="000D1BD6" w:rsidP="007512BC">
            <w:pPr>
              <w:spacing w:after="0" w:line="240" w:lineRule="auto"/>
              <w:jc w:val="both"/>
              <w:rPr>
                <w:rFonts w:ascii="Times New Roman" w:eastAsia="Times New Roman" w:hAnsi="Times New Roman" w:cs="Times New Roman"/>
                <w:iCs/>
                <w:sz w:val="28"/>
                <w:szCs w:val="28"/>
                <w:lang w:eastAsia="lv-LV"/>
              </w:rPr>
            </w:pPr>
          </w:p>
          <w:p w14:paraId="10214480" w14:textId="77777777" w:rsidR="000D1BD6" w:rsidRPr="007A5BEC" w:rsidRDefault="000D1BD6" w:rsidP="007512BC">
            <w:pPr>
              <w:spacing w:after="0" w:line="240" w:lineRule="auto"/>
              <w:jc w:val="both"/>
              <w:rPr>
                <w:rFonts w:ascii="Times New Roman" w:eastAsia="Times New Roman" w:hAnsi="Times New Roman" w:cs="Times New Roman"/>
                <w:iCs/>
                <w:sz w:val="28"/>
                <w:szCs w:val="28"/>
                <w:lang w:eastAsia="lv-LV"/>
              </w:rPr>
            </w:pPr>
            <w:r w:rsidRPr="007A5BEC">
              <w:rPr>
                <w:rFonts w:ascii="Times New Roman" w:eastAsia="Times New Roman" w:hAnsi="Times New Roman" w:cs="Times New Roman"/>
                <w:iCs/>
                <w:sz w:val="28"/>
                <w:szCs w:val="28"/>
                <w:lang w:eastAsia="lv-LV"/>
              </w:rPr>
              <w:t xml:space="preserve">Izglītības un zinātnes ministrija 20 darbdienu laikā pēc projekta spēkā stāšanās nosūtīs kopsavilkuma informāciju par plānotajām izmaiņām (atbalsta sniegšanas perioda pagarinājumu), lai nodrošinātu noteikumu projekta atbilstību komercdarbības atbalsta kontroles regulējumam.  </w:t>
            </w:r>
          </w:p>
        </w:tc>
      </w:tr>
    </w:tbl>
    <w:p w14:paraId="2953C8E7" w14:textId="77777777" w:rsidR="000D1BD6" w:rsidRPr="007A5BEC" w:rsidRDefault="000D1BD6" w:rsidP="000D1BD6">
      <w:pPr>
        <w:spacing w:after="0" w:line="240" w:lineRule="auto"/>
        <w:rPr>
          <w:rFonts w:ascii="Times New Roman" w:eastAsia="Times New Roman" w:hAnsi="Times New Roman" w:cs="Times New Roman"/>
          <w:iCs/>
          <w:sz w:val="28"/>
          <w:szCs w:val="28"/>
          <w:lang w:eastAsia="lv-LV"/>
        </w:rPr>
      </w:pPr>
      <w:r w:rsidRPr="007A5BEC">
        <w:rPr>
          <w:rFonts w:ascii="Times New Roman" w:eastAsia="Times New Roman" w:hAnsi="Times New Roman" w:cs="Times New Roman"/>
          <w:iCs/>
          <w:sz w:val="28"/>
          <w:szCs w:val="28"/>
          <w:lang w:eastAsia="lv-LV"/>
        </w:rPr>
        <w:t xml:space="preserve">  </w:t>
      </w:r>
    </w:p>
    <w:tbl>
      <w:tblPr>
        <w:tblW w:w="5103"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64"/>
        <w:gridCol w:w="775"/>
        <w:gridCol w:w="1384"/>
        <w:gridCol w:w="1554"/>
        <w:gridCol w:w="1020"/>
        <w:gridCol w:w="3080"/>
      </w:tblGrid>
      <w:tr w:rsidR="000D1BD6" w:rsidRPr="007A5BEC" w14:paraId="0C096C95" w14:textId="77777777" w:rsidTr="007512BC">
        <w:trPr>
          <w:tblCellSpacing w:w="15" w:type="dxa"/>
          <w:jc w:val="center"/>
        </w:trPr>
        <w:tc>
          <w:tcPr>
            <w:tcW w:w="4969" w:type="pct"/>
            <w:gridSpan w:val="6"/>
            <w:tcBorders>
              <w:top w:val="outset" w:sz="6" w:space="0" w:color="auto"/>
              <w:left w:val="outset" w:sz="6" w:space="0" w:color="auto"/>
              <w:bottom w:val="outset" w:sz="6" w:space="0" w:color="auto"/>
              <w:right w:val="outset" w:sz="6" w:space="0" w:color="auto"/>
            </w:tcBorders>
            <w:vAlign w:val="center"/>
            <w:hideMark/>
          </w:tcPr>
          <w:p w14:paraId="0E4F1C9D" w14:textId="77777777" w:rsidR="000D1BD6" w:rsidRPr="007A5BEC" w:rsidRDefault="000D1BD6" w:rsidP="007512BC">
            <w:pPr>
              <w:spacing w:after="0" w:line="240" w:lineRule="auto"/>
              <w:ind w:firstLine="301"/>
              <w:jc w:val="center"/>
              <w:rPr>
                <w:rFonts w:ascii="Times New Roman" w:eastAsia="Times New Roman" w:hAnsi="Times New Roman" w:cs="Times New Roman"/>
                <w:b/>
                <w:bCs/>
                <w:sz w:val="28"/>
                <w:szCs w:val="28"/>
                <w:lang w:eastAsia="lv-LV"/>
              </w:rPr>
            </w:pPr>
            <w:r w:rsidRPr="007A5BEC">
              <w:rPr>
                <w:rFonts w:ascii="Times New Roman" w:eastAsia="Times New Roman" w:hAnsi="Times New Roman" w:cs="Times New Roman"/>
                <w:b/>
                <w:bCs/>
                <w:sz w:val="28"/>
                <w:szCs w:val="28"/>
                <w:lang w:eastAsia="lv-LV"/>
              </w:rPr>
              <w:t>1.tabula</w:t>
            </w:r>
            <w:r w:rsidRPr="007A5BEC">
              <w:rPr>
                <w:rFonts w:ascii="Times New Roman" w:eastAsia="Times New Roman" w:hAnsi="Times New Roman" w:cs="Times New Roman"/>
                <w:b/>
                <w:bCs/>
                <w:sz w:val="28"/>
                <w:szCs w:val="28"/>
                <w:lang w:eastAsia="lv-LV"/>
              </w:rPr>
              <w:br/>
              <w:t>Tiesību akta projekta atbilstība ES tiesību aktiem</w:t>
            </w:r>
          </w:p>
        </w:tc>
      </w:tr>
      <w:tr w:rsidR="000D1BD6" w:rsidRPr="007A5BEC" w14:paraId="1790F496" w14:textId="77777777" w:rsidTr="007512BC">
        <w:trPr>
          <w:tblCellSpacing w:w="15" w:type="dxa"/>
          <w:jc w:val="center"/>
        </w:trPr>
        <w:tc>
          <w:tcPr>
            <w:tcW w:w="954" w:type="pct"/>
            <w:tcBorders>
              <w:top w:val="outset" w:sz="6" w:space="0" w:color="auto"/>
              <w:left w:val="outset" w:sz="6" w:space="0" w:color="auto"/>
              <w:bottom w:val="outset" w:sz="6" w:space="0" w:color="auto"/>
              <w:right w:val="outset" w:sz="6" w:space="0" w:color="auto"/>
            </w:tcBorders>
            <w:hideMark/>
          </w:tcPr>
          <w:p w14:paraId="609756C9" w14:textId="77777777" w:rsidR="000D1BD6" w:rsidRPr="007A5BEC" w:rsidRDefault="000D1BD6" w:rsidP="007512BC">
            <w:pPr>
              <w:spacing w:after="0" w:line="240" w:lineRule="auto"/>
              <w:jc w:val="both"/>
              <w:rPr>
                <w:rFonts w:ascii="Times New Roman" w:eastAsia="Times New Roman" w:hAnsi="Times New Roman" w:cs="Times New Roman"/>
                <w:sz w:val="28"/>
                <w:szCs w:val="28"/>
                <w:lang w:eastAsia="lv-LV"/>
              </w:rPr>
            </w:pPr>
            <w:r w:rsidRPr="007A5BEC">
              <w:rPr>
                <w:rFonts w:ascii="Times New Roman" w:eastAsia="Times New Roman" w:hAnsi="Times New Roman" w:cs="Times New Roman"/>
                <w:sz w:val="28"/>
                <w:szCs w:val="28"/>
                <w:lang w:eastAsia="lv-LV"/>
              </w:rPr>
              <w:t xml:space="preserve">Attiecīgā ES tiesību akta </w:t>
            </w:r>
            <w:r w:rsidRPr="007A5BEC">
              <w:rPr>
                <w:rFonts w:ascii="Times New Roman" w:eastAsia="Times New Roman" w:hAnsi="Times New Roman" w:cs="Times New Roman"/>
                <w:sz w:val="28"/>
                <w:szCs w:val="28"/>
                <w:lang w:eastAsia="lv-LV"/>
              </w:rPr>
              <w:lastRenderedPageBreak/>
              <w:t>datums, numurs un nosaukums</w:t>
            </w:r>
          </w:p>
        </w:tc>
        <w:tc>
          <w:tcPr>
            <w:tcW w:w="3999" w:type="pct"/>
            <w:gridSpan w:val="5"/>
            <w:tcBorders>
              <w:top w:val="outset" w:sz="6" w:space="0" w:color="auto"/>
              <w:left w:val="outset" w:sz="6" w:space="0" w:color="auto"/>
              <w:bottom w:val="outset" w:sz="6" w:space="0" w:color="auto"/>
              <w:right w:val="outset" w:sz="6" w:space="0" w:color="auto"/>
            </w:tcBorders>
            <w:hideMark/>
          </w:tcPr>
          <w:p w14:paraId="28E941E0" w14:textId="77777777" w:rsidR="000D1BD6" w:rsidRPr="007A5BEC" w:rsidRDefault="000D1BD6" w:rsidP="007512BC">
            <w:pPr>
              <w:spacing w:after="0" w:line="240" w:lineRule="auto"/>
              <w:jc w:val="both"/>
              <w:rPr>
                <w:rFonts w:ascii="Times New Roman" w:eastAsia="Times New Roman" w:hAnsi="Times New Roman" w:cs="Times New Roman"/>
                <w:sz w:val="28"/>
                <w:szCs w:val="28"/>
                <w:lang w:eastAsia="lv-LV"/>
              </w:rPr>
            </w:pPr>
            <w:r w:rsidRPr="007A5BEC">
              <w:rPr>
                <w:rFonts w:ascii="Times New Roman" w:hAnsi="Times New Roman" w:cs="Times New Roman"/>
                <w:sz w:val="28"/>
                <w:szCs w:val="28"/>
              </w:rPr>
              <w:lastRenderedPageBreak/>
              <w:t xml:space="preserve">Eiropas Komisijas 2004. gada 21. aprīļa Regulas (EK) Nr. 794/2004, ar ko īsteno Padomes Regulu (EK) Nr. 659/1999, ar kuru nosaka sīki </w:t>
            </w:r>
            <w:r w:rsidRPr="007A5BEC">
              <w:rPr>
                <w:rFonts w:ascii="Times New Roman" w:hAnsi="Times New Roman" w:cs="Times New Roman"/>
                <w:sz w:val="28"/>
                <w:szCs w:val="28"/>
              </w:rPr>
              <w:lastRenderedPageBreak/>
              <w:t>izstrādātus noteikumus EK līguma 93. panta piemērošanai 4. panta 2. punktu.</w:t>
            </w:r>
          </w:p>
        </w:tc>
      </w:tr>
      <w:tr w:rsidR="000D1BD6" w:rsidRPr="007A5BEC" w14:paraId="24627A70" w14:textId="77777777" w:rsidTr="007512BC">
        <w:trPr>
          <w:tblCellSpacing w:w="15" w:type="dxa"/>
          <w:jc w:val="center"/>
        </w:trPr>
        <w:tc>
          <w:tcPr>
            <w:tcW w:w="954" w:type="pct"/>
            <w:tcBorders>
              <w:top w:val="outset" w:sz="6" w:space="0" w:color="auto"/>
              <w:left w:val="outset" w:sz="6" w:space="0" w:color="auto"/>
              <w:bottom w:val="outset" w:sz="6" w:space="0" w:color="auto"/>
              <w:right w:val="outset" w:sz="6" w:space="0" w:color="auto"/>
            </w:tcBorders>
            <w:vAlign w:val="center"/>
            <w:hideMark/>
          </w:tcPr>
          <w:p w14:paraId="2F03D989" w14:textId="77777777" w:rsidR="000D1BD6" w:rsidRPr="007A5BEC" w:rsidRDefault="000D1BD6" w:rsidP="007512BC">
            <w:pPr>
              <w:spacing w:before="100" w:beforeAutospacing="1" w:after="100" w:afterAutospacing="1" w:line="360" w:lineRule="auto"/>
              <w:ind w:firstLine="300"/>
              <w:jc w:val="both"/>
              <w:rPr>
                <w:rFonts w:ascii="Times New Roman" w:eastAsia="Times New Roman" w:hAnsi="Times New Roman" w:cs="Times New Roman"/>
                <w:sz w:val="28"/>
                <w:szCs w:val="28"/>
                <w:lang w:eastAsia="lv-LV"/>
              </w:rPr>
            </w:pPr>
            <w:r w:rsidRPr="007A5BEC">
              <w:rPr>
                <w:rFonts w:ascii="Times New Roman" w:eastAsia="Times New Roman" w:hAnsi="Times New Roman" w:cs="Times New Roman"/>
                <w:sz w:val="28"/>
                <w:szCs w:val="28"/>
                <w:lang w:eastAsia="lv-LV"/>
              </w:rPr>
              <w:lastRenderedPageBreak/>
              <w:t>A</w:t>
            </w:r>
          </w:p>
        </w:tc>
        <w:tc>
          <w:tcPr>
            <w:tcW w:w="1102" w:type="pct"/>
            <w:gridSpan w:val="2"/>
            <w:tcBorders>
              <w:top w:val="outset" w:sz="6" w:space="0" w:color="auto"/>
              <w:left w:val="outset" w:sz="6" w:space="0" w:color="auto"/>
              <w:bottom w:val="outset" w:sz="6" w:space="0" w:color="auto"/>
              <w:right w:val="outset" w:sz="6" w:space="0" w:color="auto"/>
            </w:tcBorders>
            <w:vAlign w:val="center"/>
            <w:hideMark/>
          </w:tcPr>
          <w:p w14:paraId="41BD3BB4" w14:textId="77777777" w:rsidR="000D1BD6" w:rsidRPr="007A5BEC" w:rsidRDefault="000D1BD6" w:rsidP="007512BC">
            <w:pPr>
              <w:spacing w:before="100" w:beforeAutospacing="1" w:after="100" w:afterAutospacing="1" w:line="360" w:lineRule="auto"/>
              <w:ind w:firstLine="300"/>
              <w:jc w:val="both"/>
              <w:rPr>
                <w:rFonts w:ascii="Times New Roman" w:eastAsia="Times New Roman" w:hAnsi="Times New Roman" w:cs="Times New Roman"/>
                <w:sz w:val="28"/>
                <w:szCs w:val="28"/>
                <w:lang w:eastAsia="lv-LV"/>
              </w:rPr>
            </w:pPr>
            <w:r w:rsidRPr="007A5BEC">
              <w:rPr>
                <w:rFonts w:ascii="Times New Roman" w:eastAsia="Times New Roman" w:hAnsi="Times New Roman" w:cs="Times New Roman"/>
                <w:sz w:val="28"/>
                <w:szCs w:val="28"/>
                <w:lang w:eastAsia="lv-LV"/>
              </w:rPr>
              <w:t>B</w:t>
            </w:r>
          </w:p>
        </w:tc>
        <w:tc>
          <w:tcPr>
            <w:tcW w:w="1320" w:type="pct"/>
            <w:gridSpan w:val="2"/>
            <w:tcBorders>
              <w:top w:val="outset" w:sz="6" w:space="0" w:color="auto"/>
              <w:left w:val="outset" w:sz="6" w:space="0" w:color="auto"/>
              <w:bottom w:val="outset" w:sz="6" w:space="0" w:color="auto"/>
              <w:right w:val="outset" w:sz="6" w:space="0" w:color="auto"/>
            </w:tcBorders>
            <w:vAlign w:val="center"/>
            <w:hideMark/>
          </w:tcPr>
          <w:p w14:paraId="13A8478D" w14:textId="77777777" w:rsidR="000D1BD6" w:rsidRPr="007A5BEC" w:rsidRDefault="000D1BD6" w:rsidP="007512BC">
            <w:pPr>
              <w:spacing w:before="100" w:beforeAutospacing="1" w:after="100" w:afterAutospacing="1" w:line="360" w:lineRule="auto"/>
              <w:ind w:firstLine="300"/>
              <w:jc w:val="both"/>
              <w:rPr>
                <w:rFonts w:ascii="Times New Roman" w:eastAsia="Times New Roman" w:hAnsi="Times New Roman" w:cs="Times New Roman"/>
                <w:sz w:val="28"/>
                <w:szCs w:val="28"/>
                <w:lang w:eastAsia="lv-LV"/>
              </w:rPr>
            </w:pPr>
            <w:r w:rsidRPr="007A5BEC">
              <w:rPr>
                <w:rFonts w:ascii="Times New Roman" w:eastAsia="Times New Roman" w:hAnsi="Times New Roman" w:cs="Times New Roman"/>
                <w:sz w:val="28"/>
                <w:szCs w:val="28"/>
                <w:lang w:eastAsia="lv-LV"/>
              </w:rPr>
              <w:t>C</w:t>
            </w:r>
          </w:p>
        </w:tc>
        <w:tc>
          <w:tcPr>
            <w:tcW w:w="1546" w:type="pct"/>
            <w:tcBorders>
              <w:top w:val="outset" w:sz="6" w:space="0" w:color="auto"/>
              <w:left w:val="outset" w:sz="6" w:space="0" w:color="auto"/>
              <w:bottom w:val="outset" w:sz="6" w:space="0" w:color="auto"/>
              <w:right w:val="outset" w:sz="6" w:space="0" w:color="auto"/>
            </w:tcBorders>
            <w:vAlign w:val="center"/>
            <w:hideMark/>
          </w:tcPr>
          <w:p w14:paraId="39CDB9ED" w14:textId="77777777" w:rsidR="000D1BD6" w:rsidRPr="007A5BEC" w:rsidRDefault="000D1BD6" w:rsidP="007512BC">
            <w:pPr>
              <w:spacing w:before="100" w:beforeAutospacing="1" w:after="100" w:afterAutospacing="1" w:line="360" w:lineRule="auto"/>
              <w:ind w:firstLine="300"/>
              <w:jc w:val="both"/>
              <w:rPr>
                <w:rFonts w:ascii="Times New Roman" w:eastAsia="Times New Roman" w:hAnsi="Times New Roman" w:cs="Times New Roman"/>
                <w:sz w:val="28"/>
                <w:szCs w:val="28"/>
                <w:lang w:eastAsia="lv-LV"/>
              </w:rPr>
            </w:pPr>
            <w:r w:rsidRPr="007A5BEC">
              <w:rPr>
                <w:rFonts w:ascii="Times New Roman" w:eastAsia="Times New Roman" w:hAnsi="Times New Roman" w:cs="Times New Roman"/>
                <w:sz w:val="28"/>
                <w:szCs w:val="28"/>
                <w:lang w:eastAsia="lv-LV"/>
              </w:rPr>
              <w:t>D</w:t>
            </w:r>
          </w:p>
        </w:tc>
      </w:tr>
      <w:tr w:rsidR="000D1BD6" w:rsidRPr="007A5BEC" w14:paraId="1635E4B7" w14:textId="77777777" w:rsidTr="007512BC">
        <w:trPr>
          <w:tblCellSpacing w:w="15" w:type="dxa"/>
          <w:jc w:val="center"/>
        </w:trPr>
        <w:tc>
          <w:tcPr>
            <w:tcW w:w="954" w:type="pct"/>
            <w:tcBorders>
              <w:top w:val="outset" w:sz="6" w:space="0" w:color="auto"/>
              <w:left w:val="outset" w:sz="6" w:space="0" w:color="auto"/>
              <w:bottom w:val="outset" w:sz="6" w:space="0" w:color="auto"/>
              <w:right w:val="outset" w:sz="6" w:space="0" w:color="auto"/>
            </w:tcBorders>
            <w:hideMark/>
          </w:tcPr>
          <w:p w14:paraId="70FFDD25" w14:textId="77777777" w:rsidR="000D1BD6" w:rsidRPr="007A5BEC" w:rsidRDefault="000D1BD6" w:rsidP="007512BC">
            <w:pPr>
              <w:spacing w:after="0" w:line="240" w:lineRule="auto"/>
              <w:jc w:val="both"/>
              <w:rPr>
                <w:rFonts w:ascii="Times New Roman" w:eastAsia="Times New Roman" w:hAnsi="Times New Roman" w:cs="Times New Roman"/>
                <w:sz w:val="28"/>
                <w:szCs w:val="28"/>
                <w:lang w:eastAsia="lv-LV"/>
              </w:rPr>
            </w:pPr>
            <w:r w:rsidRPr="007A5BEC">
              <w:rPr>
                <w:rFonts w:ascii="Times New Roman" w:eastAsia="Times New Roman" w:hAnsi="Times New Roman" w:cs="Times New Roman"/>
                <w:sz w:val="28"/>
                <w:szCs w:val="28"/>
                <w:lang w:eastAsia="lv-LV"/>
              </w:rPr>
              <w:t>Attiecīgā ES tiesību akta panta numurs (uzskaitot katru tiesību akta vienību – pantu, daļu, punktu, apakšpunktu)</w:t>
            </w:r>
          </w:p>
        </w:tc>
        <w:tc>
          <w:tcPr>
            <w:tcW w:w="1102" w:type="pct"/>
            <w:gridSpan w:val="2"/>
            <w:tcBorders>
              <w:top w:val="outset" w:sz="6" w:space="0" w:color="auto"/>
              <w:left w:val="outset" w:sz="6" w:space="0" w:color="auto"/>
              <w:bottom w:val="outset" w:sz="6" w:space="0" w:color="auto"/>
              <w:right w:val="outset" w:sz="6" w:space="0" w:color="auto"/>
            </w:tcBorders>
            <w:hideMark/>
          </w:tcPr>
          <w:p w14:paraId="22D3D911" w14:textId="77777777" w:rsidR="000D1BD6" w:rsidRPr="007A5BEC" w:rsidRDefault="000D1BD6" w:rsidP="007512BC">
            <w:pPr>
              <w:spacing w:after="0" w:line="240" w:lineRule="auto"/>
              <w:jc w:val="both"/>
              <w:rPr>
                <w:rFonts w:ascii="Times New Roman" w:eastAsia="Times New Roman" w:hAnsi="Times New Roman" w:cs="Times New Roman"/>
                <w:sz w:val="28"/>
                <w:szCs w:val="28"/>
                <w:lang w:eastAsia="lv-LV"/>
              </w:rPr>
            </w:pPr>
            <w:r w:rsidRPr="007A5BEC">
              <w:rPr>
                <w:rFonts w:ascii="Times New Roman" w:eastAsia="Times New Roman" w:hAnsi="Times New Roman" w:cs="Times New Roman"/>
                <w:sz w:val="28"/>
                <w:szCs w:val="28"/>
                <w:lang w:eastAsia="lv-LV"/>
              </w:rPr>
              <w:t>Projekta vienība, kas pārņem vai ievieš katru šīs tabulas A ailē minēto ES tiesību akta vienību, vai tiesību akts, kur attiecīgā ES tiesību akta vienība pārņemta vai ieviesta</w:t>
            </w:r>
          </w:p>
        </w:tc>
        <w:tc>
          <w:tcPr>
            <w:tcW w:w="1320" w:type="pct"/>
            <w:gridSpan w:val="2"/>
            <w:tcBorders>
              <w:top w:val="outset" w:sz="6" w:space="0" w:color="auto"/>
              <w:left w:val="outset" w:sz="6" w:space="0" w:color="auto"/>
              <w:bottom w:val="outset" w:sz="6" w:space="0" w:color="auto"/>
              <w:right w:val="outset" w:sz="6" w:space="0" w:color="auto"/>
            </w:tcBorders>
            <w:hideMark/>
          </w:tcPr>
          <w:p w14:paraId="343B2822" w14:textId="77777777" w:rsidR="000D1BD6" w:rsidRPr="007A5BEC" w:rsidRDefault="000D1BD6" w:rsidP="007512BC">
            <w:pPr>
              <w:spacing w:after="0" w:line="240" w:lineRule="auto"/>
              <w:jc w:val="both"/>
              <w:rPr>
                <w:rFonts w:ascii="Times New Roman" w:eastAsia="Times New Roman" w:hAnsi="Times New Roman" w:cs="Times New Roman"/>
                <w:sz w:val="28"/>
                <w:szCs w:val="28"/>
                <w:lang w:eastAsia="lv-LV"/>
              </w:rPr>
            </w:pPr>
            <w:r w:rsidRPr="007A5BEC">
              <w:rPr>
                <w:rFonts w:ascii="Times New Roman" w:eastAsia="Times New Roman" w:hAnsi="Times New Roman" w:cs="Times New Roman"/>
                <w:sz w:val="28"/>
                <w:szCs w:val="28"/>
                <w:lang w:eastAsia="lv-LV"/>
              </w:rPr>
              <w:t xml:space="preserve">Informācija par to, vai šīs tabulas A ailē (turpmāk – A aile) minētās ES tiesību akta vienības tiek pārņemtas vai ieviestas pilnībā vai daļēji. </w:t>
            </w:r>
          </w:p>
          <w:p w14:paraId="5C7F7AB7" w14:textId="77777777" w:rsidR="000D1BD6" w:rsidRPr="007A5BEC" w:rsidRDefault="000D1BD6" w:rsidP="007512BC">
            <w:pPr>
              <w:spacing w:after="0" w:line="240" w:lineRule="auto"/>
              <w:ind w:firstLine="300"/>
              <w:jc w:val="both"/>
              <w:rPr>
                <w:rFonts w:ascii="Times New Roman" w:eastAsia="Times New Roman" w:hAnsi="Times New Roman" w:cs="Times New Roman"/>
                <w:sz w:val="28"/>
                <w:szCs w:val="28"/>
                <w:lang w:eastAsia="lv-LV"/>
              </w:rPr>
            </w:pPr>
            <w:r w:rsidRPr="007A5BEC">
              <w:rPr>
                <w:rFonts w:ascii="Times New Roman" w:eastAsia="Times New Roman" w:hAnsi="Times New Roman" w:cs="Times New Roman"/>
                <w:sz w:val="28"/>
                <w:szCs w:val="28"/>
                <w:lang w:eastAsia="lv-LV"/>
              </w:rPr>
              <w:t>Ja attiecīgā ES tiesību akta vienība tiek pārņemta vai ieviesta daļēji, sniedz attiecīgu skaidrojumu, kā arī precīzi norāda, kad un kādā veidā ES tiesību akta vienība tiks pārņemta vai ieviesta pilnībā.</w:t>
            </w:r>
          </w:p>
          <w:p w14:paraId="21939A92" w14:textId="77777777" w:rsidR="000D1BD6" w:rsidRPr="007A5BEC" w:rsidRDefault="000D1BD6" w:rsidP="007512BC">
            <w:pPr>
              <w:spacing w:after="0" w:line="240" w:lineRule="auto"/>
              <w:jc w:val="both"/>
              <w:rPr>
                <w:rFonts w:ascii="Times New Roman" w:eastAsia="Times New Roman" w:hAnsi="Times New Roman" w:cs="Times New Roman"/>
                <w:sz w:val="28"/>
                <w:szCs w:val="28"/>
                <w:lang w:eastAsia="lv-LV"/>
              </w:rPr>
            </w:pPr>
            <w:r w:rsidRPr="007A5BEC">
              <w:rPr>
                <w:rFonts w:ascii="Times New Roman" w:eastAsia="Times New Roman" w:hAnsi="Times New Roman" w:cs="Times New Roman"/>
                <w:sz w:val="28"/>
                <w:szCs w:val="28"/>
                <w:lang w:eastAsia="lv-LV"/>
              </w:rPr>
              <w:t>Norāda institūciju, kas ir atbildīga par šo saistību izpildi pilnībā</w:t>
            </w:r>
          </w:p>
        </w:tc>
        <w:tc>
          <w:tcPr>
            <w:tcW w:w="1546" w:type="pct"/>
            <w:tcBorders>
              <w:top w:val="outset" w:sz="6" w:space="0" w:color="auto"/>
              <w:left w:val="outset" w:sz="6" w:space="0" w:color="auto"/>
              <w:bottom w:val="outset" w:sz="6" w:space="0" w:color="auto"/>
              <w:right w:val="outset" w:sz="6" w:space="0" w:color="auto"/>
            </w:tcBorders>
            <w:hideMark/>
          </w:tcPr>
          <w:p w14:paraId="369D8F95" w14:textId="77777777" w:rsidR="000D1BD6" w:rsidRPr="007A5BEC" w:rsidRDefault="000D1BD6" w:rsidP="007512BC">
            <w:pPr>
              <w:spacing w:after="0" w:line="240" w:lineRule="auto"/>
              <w:jc w:val="both"/>
              <w:rPr>
                <w:rFonts w:ascii="Times New Roman" w:eastAsia="Times New Roman" w:hAnsi="Times New Roman" w:cs="Times New Roman"/>
                <w:sz w:val="28"/>
                <w:szCs w:val="28"/>
                <w:lang w:eastAsia="lv-LV"/>
              </w:rPr>
            </w:pPr>
            <w:r w:rsidRPr="007A5BEC">
              <w:rPr>
                <w:rFonts w:ascii="Times New Roman" w:eastAsia="Times New Roman" w:hAnsi="Times New Roman" w:cs="Times New Roman"/>
                <w:sz w:val="28"/>
                <w:szCs w:val="28"/>
                <w:lang w:eastAsia="lv-LV"/>
              </w:rPr>
              <w:t xml:space="preserve">Informācija par to, vai šīs tabulas B ailē minētās projekta vienības paredz stingrākas prasības nekā šīs tabulas A ailē minētās ES tiesību akta vienības. </w:t>
            </w:r>
          </w:p>
          <w:p w14:paraId="559A17FA" w14:textId="77777777" w:rsidR="000D1BD6" w:rsidRPr="007A5BEC" w:rsidRDefault="000D1BD6" w:rsidP="007512BC">
            <w:pPr>
              <w:spacing w:after="0" w:line="240" w:lineRule="auto"/>
              <w:ind w:firstLine="300"/>
              <w:jc w:val="both"/>
              <w:rPr>
                <w:rFonts w:ascii="Times New Roman" w:eastAsia="Times New Roman" w:hAnsi="Times New Roman" w:cs="Times New Roman"/>
                <w:sz w:val="28"/>
                <w:szCs w:val="28"/>
                <w:lang w:eastAsia="lv-LV"/>
              </w:rPr>
            </w:pPr>
            <w:r w:rsidRPr="007A5BEC">
              <w:rPr>
                <w:rFonts w:ascii="Times New Roman" w:eastAsia="Times New Roman" w:hAnsi="Times New Roman" w:cs="Times New Roman"/>
                <w:sz w:val="28"/>
                <w:szCs w:val="28"/>
                <w:lang w:eastAsia="lv-LV"/>
              </w:rPr>
              <w:t>Ja projekts satur stingrākas prasības nekā attiecīgais ES tiesību akts, norāda pamatojumu un samērīgumu.</w:t>
            </w:r>
          </w:p>
          <w:p w14:paraId="1396AB4A" w14:textId="77777777" w:rsidR="000D1BD6" w:rsidRPr="007A5BEC" w:rsidRDefault="000D1BD6" w:rsidP="007512BC">
            <w:pPr>
              <w:spacing w:after="0" w:line="240" w:lineRule="auto"/>
              <w:ind w:firstLine="300"/>
              <w:jc w:val="both"/>
              <w:rPr>
                <w:rFonts w:ascii="Times New Roman" w:eastAsia="Times New Roman" w:hAnsi="Times New Roman" w:cs="Times New Roman"/>
                <w:sz w:val="28"/>
                <w:szCs w:val="28"/>
                <w:lang w:eastAsia="lv-LV"/>
              </w:rPr>
            </w:pPr>
            <w:r w:rsidRPr="007A5BEC">
              <w:rPr>
                <w:rFonts w:ascii="Times New Roman" w:eastAsia="Times New Roman" w:hAnsi="Times New Roman" w:cs="Times New Roman"/>
                <w:sz w:val="28"/>
                <w:szCs w:val="28"/>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0D1BD6" w:rsidRPr="007A5BEC" w14:paraId="627708A7" w14:textId="77777777" w:rsidTr="007512BC">
        <w:trPr>
          <w:tblCellSpacing w:w="15" w:type="dxa"/>
          <w:jc w:val="center"/>
        </w:trPr>
        <w:tc>
          <w:tcPr>
            <w:tcW w:w="954" w:type="pct"/>
            <w:tcBorders>
              <w:top w:val="outset" w:sz="6" w:space="0" w:color="auto"/>
              <w:left w:val="outset" w:sz="6" w:space="0" w:color="auto"/>
              <w:bottom w:val="outset" w:sz="6" w:space="0" w:color="auto"/>
              <w:right w:val="outset" w:sz="6" w:space="0" w:color="auto"/>
            </w:tcBorders>
          </w:tcPr>
          <w:p w14:paraId="2C94081D" w14:textId="77777777" w:rsidR="000D1BD6" w:rsidRPr="007A5BEC" w:rsidRDefault="000D1BD6" w:rsidP="007512BC">
            <w:pPr>
              <w:pStyle w:val="naiskr"/>
              <w:spacing w:before="0" w:after="0"/>
              <w:jc w:val="both"/>
              <w:rPr>
                <w:sz w:val="28"/>
                <w:szCs w:val="28"/>
              </w:rPr>
            </w:pPr>
            <w:r w:rsidRPr="007A5BEC">
              <w:rPr>
                <w:sz w:val="28"/>
                <w:szCs w:val="28"/>
              </w:rPr>
              <w:t>Regulas Nr. 794/2004  4.panta 2.punkts</w:t>
            </w:r>
          </w:p>
        </w:tc>
        <w:tc>
          <w:tcPr>
            <w:tcW w:w="1102" w:type="pct"/>
            <w:gridSpan w:val="2"/>
            <w:tcBorders>
              <w:top w:val="outset" w:sz="6" w:space="0" w:color="auto"/>
              <w:left w:val="outset" w:sz="6" w:space="0" w:color="auto"/>
              <w:bottom w:val="outset" w:sz="6" w:space="0" w:color="auto"/>
              <w:right w:val="outset" w:sz="6" w:space="0" w:color="auto"/>
            </w:tcBorders>
          </w:tcPr>
          <w:p w14:paraId="46080CE3" w14:textId="77777777" w:rsidR="000D1BD6" w:rsidRPr="007A5BEC" w:rsidRDefault="000D1BD6" w:rsidP="007512BC">
            <w:pPr>
              <w:spacing w:after="0" w:line="240" w:lineRule="auto"/>
              <w:jc w:val="both"/>
              <w:rPr>
                <w:rFonts w:ascii="Times New Roman" w:eastAsia="Times New Roman" w:hAnsi="Times New Roman" w:cs="Times New Roman"/>
                <w:sz w:val="28"/>
                <w:szCs w:val="28"/>
                <w:lang w:eastAsia="lv-LV"/>
              </w:rPr>
            </w:pPr>
          </w:p>
        </w:tc>
        <w:tc>
          <w:tcPr>
            <w:tcW w:w="1320" w:type="pct"/>
            <w:gridSpan w:val="2"/>
            <w:tcBorders>
              <w:top w:val="outset" w:sz="6" w:space="0" w:color="auto"/>
              <w:left w:val="outset" w:sz="6" w:space="0" w:color="auto"/>
              <w:bottom w:val="outset" w:sz="6" w:space="0" w:color="auto"/>
              <w:right w:val="outset" w:sz="6" w:space="0" w:color="auto"/>
            </w:tcBorders>
          </w:tcPr>
          <w:p w14:paraId="3DE33DD3" w14:textId="77777777" w:rsidR="000D1BD6" w:rsidRPr="007A5BEC" w:rsidRDefault="000D1BD6" w:rsidP="007512BC">
            <w:pPr>
              <w:spacing w:after="0" w:line="240" w:lineRule="auto"/>
              <w:jc w:val="both"/>
              <w:rPr>
                <w:rFonts w:ascii="Times New Roman" w:hAnsi="Times New Roman" w:cs="Times New Roman"/>
                <w:sz w:val="28"/>
                <w:szCs w:val="28"/>
              </w:rPr>
            </w:pPr>
            <w:r w:rsidRPr="007A5BEC">
              <w:rPr>
                <w:rFonts w:ascii="Times New Roman" w:hAnsi="Times New Roman" w:cs="Times New Roman"/>
                <w:sz w:val="28"/>
                <w:szCs w:val="28"/>
              </w:rPr>
              <w:t>A ailē minētā ES tiesību akta vienība ieviesta pilnībā.</w:t>
            </w:r>
          </w:p>
          <w:p w14:paraId="51C7ADEE" w14:textId="77777777" w:rsidR="000D1BD6" w:rsidRPr="007A5BEC" w:rsidRDefault="000D1BD6" w:rsidP="007512BC">
            <w:pPr>
              <w:spacing w:after="0" w:line="240" w:lineRule="auto"/>
              <w:jc w:val="both"/>
              <w:rPr>
                <w:rFonts w:ascii="Times New Roman" w:eastAsia="Times New Roman" w:hAnsi="Times New Roman" w:cs="Times New Roman"/>
                <w:sz w:val="28"/>
                <w:szCs w:val="28"/>
                <w:lang w:eastAsia="lv-LV"/>
              </w:rPr>
            </w:pPr>
            <w:r w:rsidRPr="007A5BEC">
              <w:rPr>
                <w:rFonts w:ascii="Times New Roman" w:hAnsi="Times New Roman" w:cs="Times New Roman"/>
                <w:sz w:val="28"/>
                <w:szCs w:val="28"/>
              </w:rPr>
              <w:t>Atbildīgā institūcija ir aģentūra.</w:t>
            </w:r>
          </w:p>
        </w:tc>
        <w:tc>
          <w:tcPr>
            <w:tcW w:w="1546" w:type="pct"/>
            <w:tcBorders>
              <w:top w:val="outset" w:sz="6" w:space="0" w:color="auto"/>
              <w:left w:val="outset" w:sz="6" w:space="0" w:color="auto"/>
              <w:bottom w:val="outset" w:sz="6" w:space="0" w:color="auto"/>
              <w:right w:val="outset" w:sz="6" w:space="0" w:color="auto"/>
            </w:tcBorders>
          </w:tcPr>
          <w:p w14:paraId="74685AF9" w14:textId="77777777" w:rsidR="000D1BD6" w:rsidRPr="007A5BEC" w:rsidRDefault="000D1BD6" w:rsidP="007512BC">
            <w:pPr>
              <w:spacing w:after="0" w:line="240" w:lineRule="auto"/>
              <w:jc w:val="both"/>
              <w:rPr>
                <w:rFonts w:ascii="Times New Roman" w:eastAsia="Times New Roman" w:hAnsi="Times New Roman" w:cs="Times New Roman"/>
                <w:sz w:val="28"/>
                <w:szCs w:val="28"/>
                <w:lang w:eastAsia="lv-LV"/>
              </w:rPr>
            </w:pPr>
            <w:r w:rsidRPr="007A5BEC">
              <w:rPr>
                <w:rFonts w:ascii="Times New Roman" w:hAnsi="Times New Roman" w:cs="Times New Roman"/>
                <w:sz w:val="28"/>
                <w:szCs w:val="28"/>
              </w:rPr>
              <w:t>Projekts neparedz stingrākas prasības nekā A ailē minētā ES tiesību akta vienība.</w:t>
            </w:r>
          </w:p>
        </w:tc>
      </w:tr>
      <w:tr w:rsidR="000D1BD6" w:rsidRPr="007A5BEC" w14:paraId="4FFECB03" w14:textId="77777777" w:rsidTr="007512BC">
        <w:trPr>
          <w:tblCellSpacing w:w="15" w:type="dxa"/>
          <w:jc w:val="center"/>
        </w:trPr>
        <w:tc>
          <w:tcPr>
            <w:tcW w:w="954" w:type="pct"/>
            <w:tcBorders>
              <w:top w:val="outset" w:sz="6" w:space="0" w:color="auto"/>
              <w:left w:val="outset" w:sz="6" w:space="0" w:color="auto"/>
              <w:bottom w:val="outset" w:sz="6" w:space="0" w:color="auto"/>
              <w:right w:val="outset" w:sz="6" w:space="0" w:color="auto"/>
            </w:tcBorders>
            <w:hideMark/>
          </w:tcPr>
          <w:p w14:paraId="0B93D4CC" w14:textId="77777777" w:rsidR="000D1BD6" w:rsidRPr="007A5BEC" w:rsidRDefault="000D1BD6" w:rsidP="007512BC">
            <w:pPr>
              <w:spacing w:after="0" w:line="240" w:lineRule="auto"/>
              <w:jc w:val="both"/>
              <w:rPr>
                <w:rFonts w:ascii="Times New Roman" w:eastAsia="Times New Roman" w:hAnsi="Times New Roman" w:cs="Times New Roman"/>
                <w:sz w:val="28"/>
                <w:szCs w:val="28"/>
                <w:lang w:eastAsia="lv-LV"/>
              </w:rPr>
            </w:pPr>
            <w:r w:rsidRPr="007A5BEC">
              <w:rPr>
                <w:rFonts w:ascii="Times New Roman" w:eastAsia="Times New Roman" w:hAnsi="Times New Roman" w:cs="Times New Roman"/>
                <w:sz w:val="28"/>
                <w:szCs w:val="28"/>
                <w:lang w:eastAsia="lv-LV"/>
              </w:rPr>
              <w:t xml:space="preserve">Kā ir izmantota ES tiesību aktā paredzētā rīcības brīvība dalībvalstij pārņemt vai ieviest noteiktas ES tiesību akta </w:t>
            </w:r>
            <w:r w:rsidRPr="007A5BEC">
              <w:rPr>
                <w:rFonts w:ascii="Times New Roman" w:eastAsia="Times New Roman" w:hAnsi="Times New Roman" w:cs="Times New Roman"/>
                <w:sz w:val="28"/>
                <w:szCs w:val="28"/>
                <w:lang w:eastAsia="lv-LV"/>
              </w:rPr>
              <w:lastRenderedPageBreak/>
              <w:t>normas?</w:t>
            </w:r>
            <w:r w:rsidRPr="007A5BEC">
              <w:rPr>
                <w:rFonts w:ascii="Times New Roman" w:eastAsia="Times New Roman" w:hAnsi="Times New Roman" w:cs="Times New Roman"/>
                <w:sz w:val="28"/>
                <w:szCs w:val="28"/>
                <w:lang w:eastAsia="lv-LV"/>
              </w:rPr>
              <w:br/>
              <w:t>Kādēļ?</w:t>
            </w:r>
          </w:p>
        </w:tc>
        <w:tc>
          <w:tcPr>
            <w:tcW w:w="3999" w:type="pct"/>
            <w:gridSpan w:val="5"/>
            <w:tcBorders>
              <w:top w:val="outset" w:sz="6" w:space="0" w:color="auto"/>
              <w:left w:val="outset" w:sz="6" w:space="0" w:color="auto"/>
              <w:bottom w:val="outset" w:sz="6" w:space="0" w:color="auto"/>
              <w:right w:val="outset" w:sz="6" w:space="0" w:color="auto"/>
            </w:tcBorders>
            <w:hideMark/>
          </w:tcPr>
          <w:p w14:paraId="41575FB0" w14:textId="77777777" w:rsidR="000D1BD6" w:rsidRPr="007A5BEC" w:rsidRDefault="000D1BD6" w:rsidP="007512BC">
            <w:pPr>
              <w:spacing w:after="0" w:line="240" w:lineRule="auto"/>
              <w:jc w:val="both"/>
              <w:rPr>
                <w:rFonts w:ascii="Times New Roman" w:eastAsia="Times New Roman" w:hAnsi="Times New Roman" w:cs="Times New Roman"/>
                <w:sz w:val="28"/>
                <w:szCs w:val="28"/>
                <w:lang w:eastAsia="lv-LV"/>
              </w:rPr>
            </w:pPr>
            <w:r w:rsidRPr="007A5BEC">
              <w:rPr>
                <w:rFonts w:ascii="Times New Roman" w:eastAsia="Times New Roman" w:hAnsi="Times New Roman" w:cs="Times New Roman"/>
                <w:sz w:val="28"/>
                <w:szCs w:val="28"/>
                <w:lang w:eastAsia="lv-LV"/>
              </w:rPr>
              <w:lastRenderedPageBreak/>
              <w:t>Projekts šo jomu neskar.</w:t>
            </w:r>
          </w:p>
        </w:tc>
      </w:tr>
      <w:tr w:rsidR="000D1BD6" w:rsidRPr="007A5BEC" w14:paraId="792B154D" w14:textId="77777777" w:rsidTr="007512BC">
        <w:trPr>
          <w:tblCellSpacing w:w="15" w:type="dxa"/>
          <w:jc w:val="center"/>
        </w:trPr>
        <w:tc>
          <w:tcPr>
            <w:tcW w:w="954" w:type="pct"/>
            <w:tcBorders>
              <w:top w:val="outset" w:sz="6" w:space="0" w:color="auto"/>
              <w:left w:val="outset" w:sz="6" w:space="0" w:color="auto"/>
              <w:bottom w:val="outset" w:sz="6" w:space="0" w:color="auto"/>
              <w:right w:val="outset" w:sz="6" w:space="0" w:color="auto"/>
            </w:tcBorders>
            <w:hideMark/>
          </w:tcPr>
          <w:p w14:paraId="7CBF1764" w14:textId="77777777" w:rsidR="000D1BD6" w:rsidRPr="007A5BEC" w:rsidRDefault="000D1BD6" w:rsidP="007512BC">
            <w:pPr>
              <w:spacing w:after="0" w:line="240" w:lineRule="auto"/>
              <w:jc w:val="both"/>
              <w:rPr>
                <w:rFonts w:ascii="Times New Roman" w:eastAsia="Times New Roman" w:hAnsi="Times New Roman" w:cs="Times New Roman"/>
                <w:sz w:val="28"/>
                <w:szCs w:val="28"/>
                <w:lang w:eastAsia="lv-LV"/>
              </w:rPr>
            </w:pPr>
            <w:r w:rsidRPr="007A5BEC">
              <w:rPr>
                <w:rFonts w:ascii="Times New Roman" w:eastAsia="Times New Roman" w:hAnsi="Times New Roman" w:cs="Times New Roman"/>
                <w:sz w:val="28"/>
                <w:szCs w:val="28"/>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99" w:type="pct"/>
            <w:gridSpan w:val="5"/>
            <w:tcBorders>
              <w:top w:val="outset" w:sz="6" w:space="0" w:color="auto"/>
              <w:left w:val="outset" w:sz="6" w:space="0" w:color="auto"/>
              <w:bottom w:val="outset" w:sz="6" w:space="0" w:color="auto"/>
              <w:right w:val="outset" w:sz="6" w:space="0" w:color="auto"/>
            </w:tcBorders>
            <w:hideMark/>
          </w:tcPr>
          <w:p w14:paraId="49F14758" w14:textId="77777777" w:rsidR="000D1BD6" w:rsidRPr="007A5BEC" w:rsidRDefault="000D1BD6" w:rsidP="007512BC">
            <w:pPr>
              <w:spacing w:after="0" w:line="240" w:lineRule="auto"/>
              <w:jc w:val="both"/>
              <w:rPr>
                <w:rFonts w:ascii="Times New Roman" w:hAnsi="Times New Roman" w:cs="Times New Roman"/>
                <w:sz w:val="28"/>
                <w:szCs w:val="28"/>
              </w:rPr>
            </w:pPr>
          </w:p>
          <w:p w14:paraId="484AEA16" w14:textId="77777777" w:rsidR="000D1BD6" w:rsidRPr="007A5BEC" w:rsidRDefault="000D1BD6" w:rsidP="007512BC">
            <w:pPr>
              <w:autoSpaceDE w:val="0"/>
              <w:autoSpaceDN w:val="0"/>
              <w:adjustRightInd w:val="0"/>
              <w:spacing w:after="0" w:line="240" w:lineRule="auto"/>
              <w:ind w:left="80"/>
              <w:jc w:val="both"/>
              <w:rPr>
                <w:rFonts w:ascii="Times New Roman" w:eastAsia="Times New Roman" w:hAnsi="Times New Roman" w:cs="Times New Roman"/>
                <w:sz w:val="28"/>
                <w:szCs w:val="28"/>
                <w:lang w:eastAsia="lv-LV"/>
              </w:rPr>
            </w:pPr>
            <w:r w:rsidRPr="007A5BEC">
              <w:rPr>
                <w:rFonts w:ascii="Times New Roman" w:eastAsia="Times New Roman" w:hAnsi="Times New Roman" w:cs="Times New Roman"/>
                <w:sz w:val="28"/>
                <w:szCs w:val="28"/>
                <w:lang w:eastAsia="lv-LV"/>
              </w:rPr>
              <w:t>Projekts šo jomu neskar.</w:t>
            </w:r>
          </w:p>
          <w:p w14:paraId="7D033624" w14:textId="77777777" w:rsidR="000D1BD6" w:rsidRPr="007A5BEC" w:rsidRDefault="000D1BD6" w:rsidP="007512BC">
            <w:pPr>
              <w:rPr>
                <w:rFonts w:ascii="Times New Roman" w:eastAsia="Times New Roman" w:hAnsi="Times New Roman" w:cs="Times New Roman"/>
                <w:sz w:val="28"/>
                <w:szCs w:val="28"/>
                <w:lang w:eastAsia="lv-LV"/>
              </w:rPr>
            </w:pPr>
          </w:p>
          <w:p w14:paraId="7F40EF59" w14:textId="77777777" w:rsidR="000D1BD6" w:rsidRPr="007A5BEC" w:rsidRDefault="000D1BD6" w:rsidP="007512BC">
            <w:pPr>
              <w:tabs>
                <w:tab w:val="left" w:pos="5134"/>
              </w:tabs>
              <w:rPr>
                <w:rFonts w:ascii="Times New Roman" w:eastAsia="Times New Roman" w:hAnsi="Times New Roman" w:cs="Times New Roman"/>
                <w:sz w:val="28"/>
                <w:szCs w:val="28"/>
                <w:lang w:eastAsia="lv-LV"/>
              </w:rPr>
            </w:pPr>
            <w:r w:rsidRPr="007A5BEC">
              <w:rPr>
                <w:rFonts w:ascii="Times New Roman" w:eastAsia="Times New Roman" w:hAnsi="Times New Roman" w:cs="Times New Roman"/>
                <w:sz w:val="28"/>
                <w:szCs w:val="28"/>
                <w:lang w:eastAsia="lv-LV"/>
              </w:rPr>
              <w:tab/>
            </w:r>
          </w:p>
        </w:tc>
      </w:tr>
      <w:tr w:rsidR="000D1BD6" w:rsidRPr="007A5BEC" w14:paraId="082FC64B" w14:textId="77777777" w:rsidTr="007512BC">
        <w:trPr>
          <w:tblCellSpacing w:w="15" w:type="dxa"/>
          <w:jc w:val="center"/>
        </w:trPr>
        <w:tc>
          <w:tcPr>
            <w:tcW w:w="954" w:type="pct"/>
            <w:tcBorders>
              <w:top w:val="outset" w:sz="6" w:space="0" w:color="auto"/>
              <w:left w:val="outset" w:sz="6" w:space="0" w:color="auto"/>
              <w:bottom w:val="outset" w:sz="6" w:space="0" w:color="auto"/>
              <w:right w:val="outset" w:sz="6" w:space="0" w:color="auto"/>
            </w:tcBorders>
            <w:hideMark/>
          </w:tcPr>
          <w:p w14:paraId="04DD2170" w14:textId="77777777" w:rsidR="000D1BD6" w:rsidRPr="007A5BEC" w:rsidRDefault="000D1BD6" w:rsidP="007512BC">
            <w:pPr>
              <w:spacing w:after="0" w:line="240" w:lineRule="auto"/>
              <w:rPr>
                <w:rFonts w:ascii="Times New Roman" w:eastAsia="Times New Roman" w:hAnsi="Times New Roman" w:cs="Times New Roman"/>
                <w:sz w:val="28"/>
                <w:szCs w:val="28"/>
                <w:lang w:eastAsia="lv-LV"/>
              </w:rPr>
            </w:pPr>
            <w:r w:rsidRPr="007A5BEC">
              <w:rPr>
                <w:rFonts w:ascii="Times New Roman" w:eastAsia="Times New Roman" w:hAnsi="Times New Roman" w:cs="Times New Roman"/>
                <w:sz w:val="28"/>
                <w:szCs w:val="28"/>
                <w:lang w:eastAsia="lv-LV"/>
              </w:rPr>
              <w:t>Cita informācija</w:t>
            </w:r>
          </w:p>
        </w:tc>
        <w:tc>
          <w:tcPr>
            <w:tcW w:w="3999" w:type="pct"/>
            <w:gridSpan w:val="5"/>
            <w:tcBorders>
              <w:top w:val="outset" w:sz="6" w:space="0" w:color="auto"/>
              <w:left w:val="outset" w:sz="6" w:space="0" w:color="auto"/>
              <w:bottom w:val="outset" w:sz="6" w:space="0" w:color="auto"/>
              <w:right w:val="outset" w:sz="6" w:space="0" w:color="auto"/>
            </w:tcBorders>
          </w:tcPr>
          <w:p w14:paraId="32587FE8" w14:textId="77777777" w:rsidR="000D1BD6" w:rsidRPr="007A5BEC" w:rsidRDefault="000D1BD6" w:rsidP="007512BC">
            <w:pPr>
              <w:autoSpaceDE w:val="0"/>
              <w:autoSpaceDN w:val="0"/>
              <w:adjustRightInd w:val="0"/>
              <w:spacing w:after="0" w:line="240" w:lineRule="auto"/>
              <w:jc w:val="both"/>
              <w:rPr>
                <w:rFonts w:ascii="Times New Roman" w:hAnsi="Times New Roman" w:cs="Times New Roman"/>
                <w:sz w:val="28"/>
                <w:szCs w:val="28"/>
              </w:rPr>
            </w:pPr>
            <w:r w:rsidRPr="007A5BEC">
              <w:rPr>
                <w:rFonts w:ascii="Times New Roman" w:hAnsi="Times New Roman" w:cs="Times New Roman"/>
                <w:sz w:val="28"/>
                <w:szCs w:val="28"/>
              </w:rPr>
              <w:t>Nav</w:t>
            </w:r>
          </w:p>
        </w:tc>
      </w:tr>
      <w:tr w:rsidR="000D1BD6" w:rsidRPr="007A5BEC" w14:paraId="6F029BAB" w14:textId="77777777" w:rsidTr="007512BC">
        <w:trPr>
          <w:tblCellSpacing w:w="15" w:type="dxa"/>
          <w:jc w:val="center"/>
        </w:trPr>
        <w:tc>
          <w:tcPr>
            <w:tcW w:w="4969" w:type="pct"/>
            <w:gridSpan w:val="6"/>
            <w:tcBorders>
              <w:top w:val="outset" w:sz="6" w:space="0" w:color="auto"/>
              <w:left w:val="outset" w:sz="6" w:space="0" w:color="auto"/>
              <w:bottom w:val="outset" w:sz="6" w:space="0" w:color="auto"/>
              <w:right w:val="outset" w:sz="6" w:space="0" w:color="auto"/>
            </w:tcBorders>
            <w:vAlign w:val="center"/>
            <w:hideMark/>
          </w:tcPr>
          <w:p w14:paraId="2BD6EB03" w14:textId="77777777" w:rsidR="000D1BD6" w:rsidRPr="007A5BEC" w:rsidRDefault="000D1BD6" w:rsidP="007512BC">
            <w:pPr>
              <w:spacing w:after="0" w:line="240" w:lineRule="auto"/>
              <w:ind w:firstLine="301"/>
              <w:jc w:val="center"/>
              <w:rPr>
                <w:rFonts w:ascii="Times New Roman" w:eastAsia="Times New Roman" w:hAnsi="Times New Roman" w:cs="Times New Roman"/>
                <w:b/>
                <w:bCs/>
                <w:sz w:val="28"/>
                <w:szCs w:val="28"/>
                <w:lang w:eastAsia="lv-LV"/>
              </w:rPr>
            </w:pPr>
            <w:r w:rsidRPr="007A5BEC">
              <w:rPr>
                <w:rFonts w:ascii="Times New Roman" w:eastAsia="Times New Roman" w:hAnsi="Times New Roman" w:cs="Times New Roman"/>
                <w:b/>
                <w:bCs/>
                <w:sz w:val="28"/>
                <w:szCs w:val="28"/>
                <w:lang w:eastAsia="lv-LV"/>
              </w:rPr>
              <w:t>2.tabula</w:t>
            </w:r>
            <w:r w:rsidRPr="007A5BEC">
              <w:rPr>
                <w:rFonts w:ascii="Times New Roman" w:eastAsia="Times New Roman" w:hAnsi="Times New Roman" w:cs="Times New Roman"/>
                <w:b/>
                <w:bCs/>
                <w:sz w:val="28"/>
                <w:szCs w:val="28"/>
                <w:lang w:eastAsia="lv-LV"/>
              </w:rPr>
              <w:br/>
              <w:t>Ar tiesību akta projektu izpildītās vai uzņemtās saistības, kas izriet no starptautiskajiem tiesību aktiem vai starptautiskas institūcijas vai organizācijas dokumentiem.</w:t>
            </w:r>
            <w:r w:rsidRPr="007A5BEC">
              <w:rPr>
                <w:rFonts w:ascii="Times New Roman" w:eastAsia="Times New Roman" w:hAnsi="Times New Roman" w:cs="Times New Roman"/>
                <w:b/>
                <w:bCs/>
                <w:sz w:val="28"/>
                <w:szCs w:val="28"/>
                <w:lang w:eastAsia="lv-LV"/>
              </w:rPr>
              <w:br/>
              <w:t>Pasākumi šo saistību izpildei</w:t>
            </w:r>
          </w:p>
        </w:tc>
      </w:tr>
      <w:tr w:rsidR="000D1BD6" w:rsidRPr="007A5BEC" w14:paraId="29096B1F" w14:textId="77777777" w:rsidTr="007512BC">
        <w:trPr>
          <w:tblCellSpacing w:w="15" w:type="dxa"/>
          <w:jc w:val="center"/>
        </w:trPr>
        <w:tc>
          <w:tcPr>
            <w:tcW w:w="1345" w:type="pct"/>
            <w:gridSpan w:val="2"/>
            <w:tcBorders>
              <w:top w:val="outset" w:sz="6" w:space="0" w:color="auto"/>
              <w:left w:val="outset" w:sz="6" w:space="0" w:color="auto"/>
              <w:bottom w:val="outset" w:sz="6" w:space="0" w:color="auto"/>
              <w:right w:val="outset" w:sz="6" w:space="0" w:color="auto"/>
            </w:tcBorders>
            <w:vAlign w:val="center"/>
            <w:hideMark/>
          </w:tcPr>
          <w:p w14:paraId="521AD732" w14:textId="77777777" w:rsidR="000D1BD6" w:rsidRPr="007A5BEC" w:rsidRDefault="000D1BD6" w:rsidP="007512BC">
            <w:pPr>
              <w:spacing w:after="0" w:line="240" w:lineRule="auto"/>
              <w:rPr>
                <w:rFonts w:ascii="Times New Roman" w:eastAsia="Times New Roman" w:hAnsi="Times New Roman" w:cs="Times New Roman"/>
                <w:sz w:val="28"/>
                <w:szCs w:val="28"/>
                <w:lang w:eastAsia="lv-LV"/>
              </w:rPr>
            </w:pPr>
            <w:r w:rsidRPr="007A5BEC">
              <w:rPr>
                <w:rFonts w:ascii="Times New Roman" w:eastAsia="Times New Roman" w:hAnsi="Times New Roman" w:cs="Times New Roman"/>
                <w:sz w:val="28"/>
                <w:szCs w:val="28"/>
                <w:lang w:eastAsia="lv-LV"/>
              </w:rPr>
              <w:t>Attiecīgā starptautiskā tiesību akta vai starptautiskas institūcijas vai organizācijas dokumenta (turpmāk – starptautiskais dokuments) datums, numurs un nosaukums</w:t>
            </w:r>
          </w:p>
        </w:tc>
        <w:tc>
          <w:tcPr>
            <w:tcW w:w="3609" w:type="pct"/>
            <w:gridSpan w:val="4"/>
            <w:tcBorders>
              <w:top w:val="outset" w:sz="6" w:space="0" w:color="auto"/>
              <w:left w:val="outset" w:sz="6" w:space="0" w:color="auto"/>
              <w:bottom w:val="outset" w:sz="6" w:space="0" w:color="auto"/>
              <w:right w:val="outset" w:sz="6" w:space="0" w:color="auto"/>
            </w:tcBorders>
            <w:hideMark/>
          </w:tcPr>
          <w:p w14:paraId="6ABE7E8A" w14:textId="77777777" w:rsidR="000D1BD6" w:rsidRPr="007A5BEC" w:rsidRDefault="000D1BD6" w:rsidP="007512BC">
            <w:pPr>
              <w:spacing w:after="0" w:line="240" w:lineRule="auto"/>
              <w:rPr>
                <w:rFonts w:ascii="Times New Roman" w:eastAsia="Times New Roman" w:hAnsi="Times New Roman" w:cs="Times New Roman"/>
                <w:sz w:val="28"/>
                <w:szCs w:val="28"/>
                <w:lang w:eastAsia="lv-LV"/>
              </w:rPr>
            </w:pPr>
            <w:r w:rsidRPr="007A5BEC">
              <w:rPr>
                <w:rFonts w:ascii="Times New Roman" w:eastAsia="Times New Roman" w:hAnsi="Times New Roman" w:cs="Times New Roman"/>
                <w:sz w:val="28"/>
                <w:szCs w:val="28"/>
                <w:lang w:eastAsia="lv-LV"/>
              </w:rPr>
              <w:t>Projekts šo jomu neskar.</w:t>
            </w:r>
          </w:p>
        </w:tc>
      </w:tr>
      <w:tr w:rsidR="000D1BD6" w:rsidRPr="007A5BEC" w14:paraId="05536887" w14:textId="77777777" w:rsidTr="007512BC">
        <w:trPr>
          <w:tblCellSpacing w:w="15" w:type="dxa"/>
          <w:jc w:val="center"/>
        </w:trPr>
        <w:tc>
          <w:tcPr>
            <w:tcW w:w="1345" w:type="pct"/>
            <w:gridSpan w:val="2"/>
            <w:tcBorders>
              <w:top w:val="outset" w:sz="6" w:space="0" w:color="auto"/>
              <w:left w:val="outset" w:sz="6" w:space="0" w:color="auto"/>
              <w:bottom w:val="outset" w:sz="6" w:space="0" w:color="auto"/>
              <w:right w:val="outset" w:sz="6" w:space="0" w:color="auto"/>
            </w:tcBorders>
            <w:vAlign w:val="center"/>
            <w:hideMark/>
          </w:tcPr>
          <w:p w14:paraId="695F48D2" w14:textId="77777777" w:rsidR="000D1BD6" w:rsidRPr="007A5BEC" w:rsidRDefault="000D1BD6" w:rsidP="007512BC">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7A5BEC">
              <w:rPr>
                <w:rFonts w:ascii="Times New Roman" w:eastAsia="Times New Roman" w:hAnsi="Times New Roman" w:cs="Times New Roman"/>
                <w:sz w:val="28"/>
                <w:szCs w:val="28"/>
                <w:lang w:eastAsia="lv-LV"/>
              </w:rPr>
              <w:lastRenderedPageBreak/>
              <w:t>A</w:t>
            </w:r>
          </w:p>
        </w:tc>
        <w:tc>
          <w:tcPr>
            <w:tcW w:w="1511" w:type="pct"/>
            <w:gridSpan w:val="2"/>
            <w:tcBorders>
              <w:top w:val="outset" w:sz="6" w:space="0" w:color="auto"/>
              <w:left w:val="outset" w:sz="6" w:space="0" w:color="auto"/>
              <w:bottom w:val="outset" w:sz="6" w:space="0" w:color="auto"/>
              <w:right w:val="outset" w:sz="6" w:space="0" w:color="auto"/>
            </w:tcBorders>
            <w:vAlign w:val="center"/>
            <w:hideMark/>
          </w:tcPr>
          <w:p w14:paraId="077981D9" w14:textId="77777777" w:rsidR="000D1BD6" w:rsidRPr="007A5BEC" w:rsidRDefault="000D1BD6" w:rsidP="007512BC">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7A5BEC">
              <w:rPr>
                <w:rFonts w:ascii="Times New Roman" w:eastAsia="Times New Roman" w:hAnsi="Times New Roman" w:cs="Times New Roman"/>
                <w:sz w:val="28"/>
                <w:szCs w:val="28"/>
                <w:lang w:eastAsia="lv-LV"/>
              </w:rPr>
              <w:t>B</w:t>
            </w:r>
          </w:p>
        </w:tc>
        <w:tc>
          <w:tcPr>
            <w:tcW w:w="2082" w:type="pct"/>
            <w:gridSpan w:val="2"/>
            <w:tcBorders>
              <w:top w:val="outset" w:sz="6" w:space="0" w:color="auto"/>
              <w:left w:val="outset" w:sz="6" w:space="0" w:color="auto"/>
              <w:bottom w:val="outset" w:sz="6" w:space="0" w:color="auto"/>
              <w:right w:val="outset" w:sz="6" w:space="0" w:color="auto"/>
            </w:tcBorders>
            <w:vAlign w:val="center"/>
            <w:hideMark/>
          </w:tcPr>
          <w:p w14:paraId="5B772857" w14:textId="77777777" w:rsidR="000D1BD6" w:rsidRPr="007A5BEC" w:rsidRDefault="000D1BD6" w:rsidP="007512BC">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7A5BEC">
              <w:rPr>
                <w:rFonts w:ascii="Times New Roman" w:eastAsia="Times New Roman" w:hAnsi="Times New Roman" w:cs="Times New Roman"/>
                <w:sz w:val="28"/>
                <w:szCs w:val="28"/>
                <w:lang w:eastAsia="lv-LV"/>
              </w:rPr>
              <w:t>C</w:t>
            </w:r>
          </w:p>
        </w:tc>
      </w:tr>
      <w:tr w:rsidR="000D1BD6" w:rsidRPr="007A5BEC" w14:paraId="2440FACB" w14:textId="77777777" w:rsidTr="007512BC">
        <w:trPr>
          <w:tblCellSpacing w:w="15" w:type="dxa"/>
          <w:jc w:val="center"/>
        </w:trPr>
        <w:tc>
          <w:tcPr>
            <w:tcW w:w="1345" w:type="pct"/>
            <w:gridSpan w:val="2"/>
            <w:tcBorders>
              <w:top w:val="outset" w:sz="6" w:space="0" w:color="auto"/>
              <w:left w:val="outset" w:sz="6" w:space="0" w:color="auto"/>
              <w:bottom w:val="outset" w:sz="6" w:space="0" w:color="auto"/>
              <w:right w:val="outset" w:sz="6" w:space="0" w:color="auto"/>
            </w:tcBorders>
            <w:hideMark/>
          </w:tcPr>
          <w:p w14:paraId="6BDDAB21" w14:textId="77777777" w:rsidR="000D1BD6" w:rsidRPr="007A5BEC" w:rsidRDefault="000D1BD6" w:rsidP="007512BC">
            <w:pPr>
              <w:spacing w:after="0" w:line="240" w:lineRule="auto"/>
              <w:jc w:val="both"/>
              <w:rPr>
                <w:rFonts w:ascii="Times New Roman" w:eastAsia="Times New Roman" w:hAnsi="Times New Roman" w:cs="Times New Roman"/>
                <w:sz w:val="28"/>
                <w:szCs w:val="28"/>
                <w:lang w:eastAsia="lv-LV"/>
              </w:rPr>
            </w:pPr>
            <w:r w:rsidRPr="007A5BEC">
              <w:rPr>
                <w:rFonts w:ascii="Times New Roman" w:eastAsia="Times New Roman" w:hAnsi="Times New Roman" w:cs="Times New Roman"/>
                <w:sz w:val="28"/>
                <w:szCs w:val="28"/>
                <w:lang w:eastAsia="lv-LV"/>
              </w:rPr>
              <w:t xml:space="preserve">Starptautiskās saistības (pēc būtības), kas izriet no norādītā starptautiskā dokumenta. </w:t>
            </w:r>
          </w:p>
          <w:p w14:paraId="31FAF1A6" w14:textId="77777777" w:rsidR="000D1BD6" w:rsidRPr="007A5BEC" w:rsidRDefault="000D1BD6" w:rsidP="007512BC">
            <w:pPr>
              <w:spacing w:after="0" w:line="240" w:lineRule="auto"/>
              <w:ind w:firstLine="300"/>
              <w:jc w:val="both"/>
              <w:rPr>
                <w:rFonts w:ascii="Times New Roman" w:eastAsia="Times New Roman" w:hAnsi="Times New Roman" w:cs="Times New Roman"/>
                <w:sz w:val="28"/>
                <w:szCs w:val="28"/>
                <w:lang w:eastAsia="lv-LV"/>
              </w:rPr>
            </w:pPr>
            <w:r w:rsidRPr="007A5BEC">
              <w:rPr>
                <w:rFonts w:ascii="Times New Roman" w:eastAsia="Times New Roman" w:hAnsi="Times New Roman" w:cs="Times New Roman"/>
                <w:sz w:val="28"/>
                <w:szCs w:val="28"/>
                <w:lang w:eastAsia="lv-LV"/>
              </w:rPr>
              <w:t>Konkrēti veicamie pasākumi vai uzdevumi, kas nepieciešami šo starptautisko saistību izpildei</w:t>
            </w:r>
          </w:p>
        </w:tc>
        <w:tc>
          <w:tcPr>
            <w:tcW w:w="1511" w:type="pct"/>
            <w:gridSpan w:val="2"/>
            <w:tcBorders>
              <w:top w:val="outset" w:sz="6" w:space="0" w:color="auto"/>
              <w:left w:val="outset" w:sz="6" w:space="0" w:color="auto"/>
              <w:bottom w:val="outset" w:sz="6" w:space="0" w:color="auto"/>
              <w:right w:val="outset" w:sz="6" w:space="0" w:color="auto"/>
            </w:tcBorders>
            <w:hideMark/>
          </w:tcPr>
          <w:p w14:paraId="03152D13" w14:textId="77777777" w:rsidR="000D1BD6" w:rsidRPr="007A5BEC" w:rsidRDefault="000D1BD6" w:rsidP="007512BC">
            <w:pPr>
              <w:spacing w:after="0" w:line="240" w:lineRule="auto"/>
              <w:jc w:val="both"/>
              <w:rPr>
                <w:rFonts w:ascii="Times New Roman" w:eastAsia="Times New Roman" w:hAnsi="Times New Roman" w:cs="Times New Roman"/>
                <w:sz w:val="28"/>
                <w:szCs w:val="28"/>
                <w:lang w:eastAsia="lv-LV"/>
              </w:rPr>
            </w:pPr>
            <w:r w:rsidRPr="007A5BEC">
              <w:rPr>
                <w:rFonts w:ascii="Times New Roman" w:eastAsia="Times New Roman" w:hAnsi="Times New Roman" w:cs="Times New Roman"/>
                <w:sz w:val="28"/>
                <w:szCs w:val="28"/>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82" w:type="pct"/>
            <w:gridSpan w:val="2"/>
            <w:tcBorders>
              <w:top w:val="outset" w:sz="6" w:space="0" w:color="auto"/>
              <w:left w:val="outset" w:sz="6" w:space="0" w:color="auto"/>
              <w:bottom w:val="outset" w:sz="6" w:space="0" w:color="auto"/>
              <w:right w:val="outset" w:sz="6" w:space="0" w:color="auto"/>
            </w:tcBorders>
            <w:hideMark/>
          </w:tcPr>
          <w:p w14:paraId="5E6ED51E" w14:textId="77777777" w:rsidR="000D1BD6" w:rsidRPr="007A5BEC" w:rsidRDefault="000D1BD6" w:rsidP="007512BC">
            <w:pPr>
              <w:spacing w:after="0" w:line="240" w:lineRule="auto"/>
              <w:jc w:val="both"/>
              <w:rPr>
                <w:rFonts w:ascii="Times New Roman" w:eastAsia="Times New Roman" w:hAnsi="Times New Roman" w:cs="Times New Roman"/>
                <w:sz w:val="28"/>
                <w:szCs w:val="28"/>
                <w:lang w:eastAsia="lv-LV"/>
              </w:rPr>
            </w:pPr>
            <w:r w:rsidRPr="007A5BEC">
              <w:rPr>
                <w:rFonts w:ascii="Times New Roman" w:eastAsia="Times New Roman" w:hAnsi="Times New Roman" w:cs="Times New Roman"/>
                <w:sz w:val="28"/>
                <w:szCs w:val="28"/>
                <w:lang w:eastAsia="lv-LV"/>
              </w:rPr>
              <w:t xml:space="preserve">Informācija par to, vai starptautiskās saistības, kas minētas šīs tabulas A ailē, tiek izpildītas pilnībā vai daļēji. </w:t>
            </w:r>
          </w:p>
          <w:p w14:paraId="5CF2C7FA" w14:textId="77777777" w:rsidR="000D1BD6" w:rsidRPr="007A5BEC" w:rsidRDefault="000D1BD6" w:rsidP="007512BC">
            <w:pPr>
              <w:spacing w:after="0" w:line="240" w:lineRule="auto"/>
              <w:ind w:firstLine="300"/>
              <w:jc w:val="both"/>
              <w:rPr>
                <w:rFonts w:ascii="Times New Roman" w:eastAsia="Times New Roman" w:hAnsi="Times New Roman" w:cs="Times New Roman"/>
                <w:sz w:val="28"/>
                <w:szCs w:val="28"/>
                <w:lang w:eastAsia="lv-LV"/>
              </w:rPr>
            </w:pPr>
            <w:r w:rsidRPr="007A5BEC">
              <w:rPr>
                <w:rFonts w:ascii="Times New Roman" w:eastAsia="Times New Roman" w:hAnsi="Times New Roman" w:cs="Times New Roman"/>
                <w:sz w:val="28"/>
                <w:szCs w:val="28"/>
                <w:lang w:eastAsia="lv-LV"/>
              </w:rPr>
              <w:t>Ja attiecīgās starptautiskās saistības tiek izpildītas daļēji, sniedz skaidrojumu, kā arī precīzi norāda, kad un kādā veidā starptautiskās saistības tiks izpildītas pilnībā.</w:t>
            </w:r>
          </w:p>
          <w:p w14:paraId="68EE97C3" w14:textId="77777777" w:rsidR="000D1BD6" w:rsidRPr="007A5BEC" w:rsidRDefault="000D1BD6" w:rsidP="007512BC">
            <w:pPr>
              <w:spacing w:after="0" w:line="240" w:lineRule="auto"/>
              <w:ind w:firstLine="300"/>
              <w:jc w:val="both"/>
              <w:rPr>
                <w:rFonts w:ascii="Times New Roman" w:eastAsia="Times New Roman" w:hAnsi="Times New Roman" w:cs="Times New Roman"/>
                <w:sz w:val="28"/>
                <w:szCs w:val="28"/>
                <w:lang w:eastAsia="lv-LV"/>
              </w:rPr>
            </w:pPr>
            <w:r w:rsidRPr="007A5BEC">
              <w:rPr>
                <w:rFonts w:ascii="Times New Roman" w:eastAsia="Times New Roman" w:hAnsi="Times New Roman" w:cs="Times New Roman"/>
                <w:sz w:val="28"/>
                <w:szCs w:val="28"/>
                <w:lang w:eastAsia="lv-LV"/>
              </w:rPr>
              <w:t>Norāda institūciju, kas ir atbildīga par šo saistību izpildi pilnībā</w:t>
            </w:r>
          </w:p>
        </w:tc>
      </w:tr>
      <w:tr w:rsidR="000D1BD6" w:rsidRPr="007A5BEC" w14:paraId="3DAA9554" w14:textId="77777777" w:rsidTr="007512BC">
        <w:trPr>
          <w:tblCellSpacing w:w="15" w:type="dxa"/>
          <w:jc w:val="center"/>
        </w:trPr>
        <w:tc>
          <w:tcPr>
            <w:tcW w:w="1345" w:type="pct"/>
            <w:gridSpan w:val="2"/>
            <w:tcBorders>
              <w:top w:val="outset" w:sz="6" w:space="0" w:color="auto"/>
              <w:left w:val="outset" w:sz="6" w:space="0" w:color="auto"/>
              <w:bottom w:val="outset" w:sz="6" w:space="0" w:color="auto"/>
              <w:right w:val="outset" w:sz="6" w:space="0" w:color="auto"/>
            </w:tcBorders>
          </w:tcPr>
          <w:p w14:paraId="6BE20740" w14:textId="77777777" w:rsidR="000D1BD6" w:rsidRPr="007A5BEC" w:rsidRDefault="000D1BD6" w:rsidP="007512BC">
            <w:pPr>
              <w:spacing w:after="0" w:line="240" w:lineRule="auto"/>
              <w:jc w:val="both"/>
              <w:rPr>
                <w:rFonts w:ascii="Times New Roman" w:eastAsia="Times New Roman" w:hAnsi="Times New Roman" w:cs="Times New Roman"/>
                <w:sz w:val="28"/>
                <w:szCs w:val="28"/>
                <w:lang w:eastAsia="lv-LV"/>
              </w:rPr>
            </w:pPr>
          </w:p>
        </w:tc>
        <w:tc>
          <w:tcPr>
            <w:tcW w:w="1511" w:type="pct"/>
            <w:gridSpan w:val="2"/>
            <w:tcBorders>
              <w:top w:val="outset" w:sz="6" w:space="0" w:color="auto"/>
              <w:left w:val="outset" w:sz="6" w:space="0" w:color="auto"/>
              <w:bottom w:val="outset" w:sz="6" w:space="0" w:color="auto"/>
              <w:right w:val="outset" w:sz="6" w:space="0" w:color="auto"/>
            </w:tcBorders>
          </w:tcPr>
          <w:p w14:paraId="593D035B" w14:textId="77777777" w:rsidR="000D1BD6" w:rsidRPr="007A5BEC" w:rsidRDefault="000D1BD6" w:rsidP="007512BC">
            <w:pPr>
              <w:spacing w:after="0" w:line="240" w:lineRule="auto"/>
              <w:jc w:val="both"/>
              <w:rPr>
                <w:rFonts w:ascii="Times New Roman" w:eastAsia="Times New Roman" w:hAnsi="Times New Roman" w:cs="Times New Roman"/>
                <w:sz w:val="28"/>
                <w:szCs w:val="28"/>
                <w:lang w:eastAsia="lv-LV"/>
              </w:rPr>
            </w:pPr>
          </w:p>
        </w:tc>
        <w:tc>
          <w:tcPr>
            <w:tcW w:w="2082" w:type="pct"/>
            <w:gridSpan w:val="2"/>
            <w:tcBorders>
              <w:top w:val="outset" w:sz="6" w:space="0" w:color="auto"/>
              <w:left w:val="outset" w:sz="6" w:space="0" w:color="auto"/>
              <w:bottom w:val="outset" w:sz="6" w:space="0" w:color="auto"/>
              <w:right w:val="outset" w:sz="6" w:space="0" w:color="auto"/>
            </w:tcBorders>
          </w:tcPr>
          <w:p w14:paraId="14B6A37C" w14:textId="77777777" w:rsidR="000D1BD6" w:rsidRPr="007A5BEC" w:rsidRDefault="000D1BD6" w:rsidP="007512BC">
            <w:pPr>
              <w:spacing w:after="0" w:line="240" w:lineRule="auto"/>
              <w:ind w:firstLine="300"/>
              <w:jc w:val="both"/>
              <w:rPr>
                <w:rFonts w:ascii="Times New Roman" w:eastAsia="Times New Roman" w:hAnsi="Times New Roman" w:cs="Times New Roman"/>
                <w:sz w:val="28"/>
                <w:szCs w:val="28"/>
                <w:lang w:eastAsia="lv-LV"/>
              </w:rPr>
            </w:pPr>
          </w:p>
        </w:tc>
      </w:tr>
      <w:tr w:rsidR="000D1BD6" w:rsidRPr="007A5BEC" w14:paraId="61539438" w14:textId="77777777" w:rsidTr="007512BC">
        <w:trPr>
          <w:tblCellSpacing w:w="15" w:type="dxa"/>
          <w:jc w:val="center"/>
        </w:trPr>
        <w:tc>
          <w:tcPr>
            <w:tcW w:w="1345" w:type="pct"/>
            <w:gridSpan w:val="2"/>
            <w:tcBorders>
              <w:top w:val="outset" w:sz="6" w:space="0" w:color="auto"/>
              <w:left w:val="outset" w:sz="6" w:space="0" w:color="auto"/>
              <w:bottom w:val="outset" w:sz="6" w:space="0" w:color="auto"/>
              <w:right w:val="outset" w:sz="6" w:space="0" w:color="auto"/>
            </w:tcBorders>
            <w:hideMark/>
          </w:tcPr>
          <w:p w14:paraId="542F83B7" w14:textId="77777777" w:rsidR="000D1BD6" w:rsidRPr="007A5BEC" w:rsidRDefault="000D1BD6" w:rsidP="007512BC">
            <w:pPr>
              <w:spacing w:after="0" w:line="240" w:lineRule="auto"/>
              <w:jc w:val="both"/>
              <w:rPr>
                <w:rFonts w:ascii="Times New Roman" w:eastAsia="Times New Roman" w:hAnsi="Times New Roman" w:cs="Times New Roman"/>
                <w:sz w:val="28"/>
                <w:szCs w:val="28"/>
                <w:lang w:eastAsia="lv-LV"/>
              </w:rPr>
            </w:pPr>
            <w:r w:rsidRPr="007A5BEC">
              <w:rPr>
                <w:rFonts w:ascii="Times New Roman" w:eastAsia="Times New Roman" w:hAnsi="Times New Roman" w:cs="Times New Roman"/>
                <w:sz w:val="28"/>
                <w:szCs w:val="28"/>
                <w:lang w:eastAsia="lv-LV"/>
              </w:rPr>
              <w:t>Vai starptautiskajā dokumentā paredzētās saistības nav pretrunā ar jau esošajām Latvijas Republikas starptautiskajām saistībām</w:t>
            </w:r>
          </w:p>
        </w:tc>
        <w:tc>
          <w:tcPr>
            <w:tcW w:w="3609" w:type="pct"/>
            <w:gridSpan w:val="4"/>
            <w:tcBorders>
              <w:top w:val="outset" w:sz="6" w:space="0" w:color="auto"/>
              <w:left w:val="outset" w:sz="6" w:space="0" w:color="auto"/>
              <w:bottom w:val="outset" w:sz="6" w:space="0" w:color="auto"/>
              <w:right w:val="outset" w:sz="6" w:space="0" w:color="auto"/>
            </w:tcBorders>
            <w:hideMark/>
          </w:tcPr>
          <w:p w14:paraId="3DDCF945" w14:textId="77777777" w:rsidR="000D1BD6" w:rsidRPr="007A5BEC" w:rsidRDefault="000D1BD6" w:rsidP="007512BC">
            <w:pPr>
              <w:spacing w:after="0" w:line="240" w:lineRule="auto"/>
              <w:jc w:val="both"/>
              <w:rPr>
                <w:rFonts w:ascii="Times New Roman" w:eastAsia="Times New Roman" w:hAnsi="Times New Roman" w:cs="Times New Roman"/>
                <w:sz w:val="28"/>
                <w:szCs w:val="28"/>
                <w:lang w:eastAsia="lv-LV"/>
              </w:rPr>
            </w:pPr>
            <w:r w:rsidRPr="007A5BEC">
              <w:rPr>
                <w:rFonts w:ascii="Times New Roman" w:eastAsia="Times New Roman" w:hAnsi="Times New Roman" w:cs="Times New Roman"/>
                <w:sz w:val="28"/>
                <w:szCs w:val="28"/>
                <w:lang w:eastAsia="lv-LV"/>
              </w:rPr>
              <w:t>Projekts šo jomu neskar.</w:t>
            </w:r>
          </w:p>
        </w:tc>
      </w:tr>
      <w:tr w:rsidR="000D1BD6" w:rsidRPr="007A5BEC" w14:paraId="2A4AC948" w14:textId="77777777" w:rsidTr="007512BC">
        <w:trPr>
          <w:tblCellSpacing w:w="15" w:type="dxa"/>
          <w:jc w:val="center"/>
        </w:trPr>
        <w:tc>
          <w:tcPr>
            <w:tcW w:w="1345" w:type="pct"/>
            <w:gridSpan w:val="2"/>
            <w:tcBorders>
              <w:top w:val="outset" w:sz="6" w:space="0" w:color="auto"/>
              <w:left w:val="outset" w:sz="6" w:space="0" w:color="auto"/>
              <w:bottom w:val="outset" w:sz="6" w:space="0" w:color="auto"/>
              <w:right w:val="outset" w:sz="6" w:space="0" w:color="auto"/>
            </w:tcBorders>
            <w:hideMark/>
          </w:tcPr>
          <w:p w14:paraId="5E6A2579" w14:textId="77777777" w:rsidR="000D1BD6" w:rsidRPr="007A5BEC" w:rsidRDefault="000D1BD6" w:rsidP="007512BC">
            <w:pPr>
              <w:spacing w:after="0" w:line="240" w:lineRule="auto"/>
              <w:rPr>
                <w:rFonts w:ascii="Times New Roman" w:eastAsia="Times New Roman" w:hAnsi="Times New Roman" w:cs="Times New Roman"/>
                <w:sz w:val="28"/>
                <w:szCs w:val="28"/>
                <w:lang w:eastAsia="lv-LV"/>
              </w:rPr>
            </w:pPr>
            <w:r w:rsidRPr="007A5BEC">
              <w:rPr>
                <w:rFonts w:ascii="Times New Roman" w:eastAsia="Times New Roman" w:hAnsi="Times New Roman" w:cs="Times New Roman"/>
                <w:sz w:val="28"/>
                <w:szCs w:val="28"/>
                <w:lang w:eastAsia="lv-LV"/>
              </w:rPr>
              <w:t>Cita informācija</w:t>
            </w:r>
          </w:p>
        </w:tc>
        <w:tc>
          <w:tcPr>
            <w:tcW w:w="3609" w:type="pct"/>
            <w:gridSpan w:val="4"/>
            <w:tcBorders>
              <w:top w:val="outset" w:sz="6" w:space="0" w:color="auto"/>
              <w:left w:val="outset" w:sz="6" w:space="0" w:color="auto"/>
              <w:bottom w:val="outset" w:sz="6" w:space="0" w:color="auto"/>
              <w:right w:val="outset" w:sz="6" w:space="0" w:color="auto"/>
            </w:tcBorders>
            <w:hideMark/>
          </w:tcPr>
          <w:p w14:paraId="292C79D6" w14:textId="77777777" w:rsidR="000D1BD6" w:rsidRPr="007A5BEC" w:rsidRDefault="000D1BD6" w:rsidP="007512BC">
            <w:pPr>
              <w:spacing w:before="100" w:beforeAutospacing="1" w:after="100" w:afterAutospacing="1" w:line="360" w:lineRule="auto"/>
              <w:rPr>
                <w:rFonts w:ascii="Times New Roman" w:eastAsia="Times New Roman" w:hAnsi="Times New Roman" w:cs="Times New Roman"/>
                <w:sz w:val="28"/>
                <w:szCs w:val="28"/>
                <w:lang w:eastAsia="lv-LV"/>
              </w:rPr>
            </w:pPr>
            <w:r w:rsidRPr="007A5BEC">
              <w:rPr>
                <w:rFonts w:ascii="Times New Roman" w:eastAsia="Times New Roman" w:hAnsi="Times New Roman" w:cs="Times New Roman"/>
                <w:sz w:val="28"/>
                <w:szCs w:val="28"/>
                <w:lang w:eastAsia="lv-LV"/>
              </w:rPr>
              <w:t>Nav</w:t>
            </w:r>
          </w:p>
        </w:tc>
      </w:tr>
    </w:tbl>
    <w:p w14:paraId="12188E06" w14:textId="77777777" w:rsidR="000D1BD6" w:rsidRPr="007A5BEC" w:rsidRDefault="000D1BD6" w:rsidP="000D1BD6">
      <w:pPr>
        <w:spacing w:after="0" w:line="240" w:lineRule="auto"/>
        <w:rPr>
          <w:rFonts w:ascii="Times New Roman" w:eastAsia="Times New Roman" w:hAnsi="Times New Roman" w:cs="Times New Roman"/>
          <w:iCs/>
          <w:sz w:val="28"/>
          <w:szCs w:val="28"/>
          <w:lang w:eastAsia="lv-LV"/>
        </w:rPr>
      </w:pPr>
    </w:p>
    <w:p w14:paraId="530D3EDD" w14:textId="77777777" w:rsidR="000D1BD6" w:rsidRPr="007A5BEC" w:rsidRDefault="000D1BD6" w:rsidP="000D1BD6">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7"/>
        <w:gridCol w:w="3213"/>
        <w:gridCol w:w="5662"/>
      </w:tblGrid>
      <w:tr w:rsidR="000D1BD6" w:rsidRPr="007A5BEC" w14:paraId="0F8BF797" w14:textId="77777777" w:rsidTr="007512B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E319773" w14:textId="77777777" w:rsidR="000D1BD6" w:rsidRPr="007A5BEC" w:rsidRDefault="000D1BD6" w:rsidP="007512BC">
            <w:pPr>
              <w:spacing w:after="0" w:line="240" w:lineRule="auto"/>
              <w:rPr>
                <w:rFonts w:ascii="Times New Roman" w:eastAsia="Times New Roman" w:hAnsi="Times New Roman" w:cs="Times New Roman"/>
                <w:b/>
                <w:bCs/>
                <w:iCs/>
                <w:sz w:val="28"/>
                <w:szCs w:val="28"/>
                <w:lang w:eastAsia="lv-LV"/>
              </w:rPr>
            </w:pPr>
            <w:r w:rsidRPr="007A5BEC">
              <w:rPr>
                <w:rFonts w:ascii="Times New Roman" w:eastAsia="Times New Roman" w:hAnsi="Times New Roman" w:cs="Times New Roman"/>
                <w:b/>
                <w:bCs/>
                <w:iCs/>
                <w:sz w:val="28"/>
                <w:szCs w:val="28"/>
                <w:lang w:eastAsia="lv-LV"/>
              </w:rPr>
              <w:t>VI. Sabiedrības līdzdalība un komunikācijas aktivitātes</w:t>
            </w:r>
          </w:p>
        </w:tc>
      </w:tr>
      <w:tr w:rsidR="000D1BD6" w:rsidRPr="007A5BEC" w14:paraId="3A918F02" w14:textId="77777777" w:rsidTr="007512B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A6030C" w14:textId="77777777" w:rsidR="000D1BD6" w:rsidRPr="007A5BEC" w:rsidRDefault="000D1BD6" w:rsidP="007512BC">
            <w:pPr>
              <w:spacing w:after="0" w:line="240" w:lineRule="auto"/>
              <w:rPr>
                <w:rFonts w:ascii="Times New Roman" w:eastAsia="Times New Roman" w:hAnsi="Times New Roman" w:cs="Times New Roman"/>
                <w:iCs/>
                <w:sz w:val="28"/>
                <w:szCs w:val="28"/>
                <w:lang w:eastAsia="lv-LV"/>
              </w:rPr>
            </w:pPr>
            <w:r w:rsidRPr="007A5BEC">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6CF96C4" w14:textId="77777777" w:rsidR="000D1BD6" w:rsidRPr="007A5BEC" w:rsidRDefault="000D1BD6" w:rsidP="007512BC">
            <w:pPr>
              <w:spacing w:after="0" w:line="240" w:lineRule="auto"/>
              <w:rPr>
                <w:rFonts w:ascii="Times New Roman" w:eastAsia="Times New Roman" w:hAnsi="Times New Roman" w:cs="Times New Roman"/>
                <w:iCs/>
                <w:sz w:val="28"/>
                <w:szCs w:val="28"/>
                <w:lang w:eastAsia="lv-LV"/>
              </w:rPr>
            </w:pPr>
            <w:r w:rsidRPr="007A5BEC">
              <w:rPr>
                <w:rFonts w:ascii="Times New Roman" w:eastAsia="Times New Roman" w:hAnsi="Times New Roman" w:cs="Times New Roman"/>
                <w:iCs/>
                <w:sz w:val="28"/>
                <w:szCs w:val="28"/>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4D7818B" w14:textId="77777777" w:rsidR="000D1BD6" w:rsidRPr="007A5BEC" w:rsidRDefault="000D1BD6" w:rsidP="007512BC">
            <w:pPr>
              <w:spacing w:after="0" w:line="240" w:lineRule="auto"/>
              <w:jc w:val="both"/>
              <w:rPr>
                <w:rFonts w:ascii="Times New Roman" w:eastAsia="Times New Roman" w:hAnsi="Times New Roman" w:cs="Times New Roman"/>
                <w:sz w:val="28"/>
                <w:szCs w:val="28"/>
                <w:lang w:eastAsia="lv-LV"/>
              </w:rPr>
            </w:pPr>
            <w:r w:rsidRPr="007A5BEC">
              <w:rPr>
                <w:rFonts w:ascii="Times New Roman" w:eastAsia="Times New Roman" w:hAnsi="Times New Roman" w:cs="Times New Roman"/>
                <w:iCs/>
                <w:sz w:val="28"/>
                <w:szCs w:val="28"/>
                <w:lang w:eastAsia="lv-LV"/>
              </w:rPr>
              <w:t>Sabiedrības iesaiste nav nepieciešama, jo projekts satur regulējumu, kas ir ietverti citos tiesību aktos.</w:t>
            </w:r>
          </w:p>
        </w:tc>
      </w:tr>
      <w:tr w:rsidR="000D1BD6" w:rsidRPr="007A5BEC" w14:paraId="6AC5A2BB" w14:textId="77777777" w:rsidTr="007512B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280D93" w14:textId="77777777" w:rsidR="000D1BD6" w:rsidRPr="007A5BEC" w:rsidRDefault="000D1BD6" w:rsidP="007512BC">
            <w:pPr>
              <w:spacing w:after="0" w:line="240" w:lineRule="auto"/>
              <w:rPr>
                <w:rFonts w:ascii="Times New Roman" w:eastAsia="Times New Roman" w:hAnsi="Times New Roman" w:cs="Times New Roman"/>
                <w:iCs/>
                <w:sz w:val="28"/>
                <w:szCs w:val="28"/>
                <w:lang w:eastAsia="lv-LV"/>
              </w:rPr>
            </w:pPr>
            <w:r w:rsidRPr="007A5BEC">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49DB60B" w14:textId="77777777" w:rsidR="000D1BD6" w:rsidRPr="007A5BEC" w:rsidRDefault="000D1BD6" w:rsidP="007512BC">
            <w:pPr>
              <w:spacing w:after="0" w:line="240" w:lineRule="auto"/>
              <w:rPr>
                <w:rFonts w:ascii="Times New Roman" w:eastAsia="Times New Roman" w:hAnsi="Times New Roman" w:cs="Times New Roman"/>
                <w:iCs/>
                <w:sz w:val="28"/>
                <w:szCs w:val="28"/>
                <w:lang w:eastAsia="lv-LV"/>
              </w:rPr>
            </w:pPr>
            <w:r w:rsidRPr="007A5BEC">
              <w:rPr>
                <w:rFonts w:ascii="Times New Roman" w:eastAsia="Times New Roman" w:hAnsi="Times New Roman" w:cs="Times New Roman"/>
                <w:iCs/>
                <w:sz w:val="28"/>
                <w:szCs w:val="28"/>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315D7E5E" w14:textId="77777777" w:rsidR="000D1BD6" w:rsidRPr="007A5BEC" w:rsidRDefault="000D1BD6" w:rsidP="007512BC">
            <w:pPr>
              <w:spacing w:after="0" w:line="240" w:lineRule="auto"/>
              <w:jc w:val="both"/>
              <w:rPr>
                <w:rFonts w:ascii="Times New Roman" w:eastAsia="Times New Roman" w:hAnsi="Times New Roman" w:cs="Times New Roman"/>
                <w:iCs/>
                <w:sz w:val="28"/>
                <w:szCs w:val="28"/>
                <w:lang w:eastAsia="lv-LV"/>
              </w:rPr>
            </w:pPr>
            <w:r w:rsidRPr="007A5BEC">
              <w:rPr>
                <w:rFonts w:ascii="Times New Roman" w:eastAsia="Times New Roman" w:hAnsi="Times New Roman" w:cs="Times New Roman"/>
                <w:iCs/>
                <w:sz w:val="28"/>
                <w:szCs w:val="28"/>
                <w:lang w:eastAsia="lv-LV"/>
              </w:rPr>
              <w:t>Projektā ir ietverts Latvijas Zinātņu akadēmijas 2021. gada  15. janvārā vēstulē „Par Ierosinājums 26.05.2015.Ministru kabineta noteikumu Nr.259 “Atbalsta piešķiršanas kārtība dalībai starptautiskās sadarbības programmās pētniecības un tehnoloģiju jomā” grozījumu veikšanai” ierosinājums par projektā nodarbināto atalgojumu.</w:t>
            </w:r>
          </w:p>
        </w:tc>
      </w:tr>
      <w:tr w:rsidR="000D1BD6" w:rsidRPr="007A5BEC" w14:paraId="14E4E14F" w14:textId="77777777" w:rsidTr="007512B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00BDD2" w14:textId="77777777" w:rsidR="000D1BD6" w:rsidRPr="007A5BEC" w:rsidRDefault="000D1BD6" w:rsidP="007512BC">
            <w:pPr>
              <w:spacing w:after="0" w:line="240" w:lineRule="auto"/>
              <w:rPr>
                <w:rFonts w:ascii="Times New Roman" w:eastAsia="Times New Roman" w:hAnsi="Times New Roman" w:cs="Times New Roman"/>
                <w:iCs/>
                <w:sz w:val="28"/>
                <w:szCs w:val="28"/>
                <w:lang w:eastAsia="lv-LV"/>
              </w:rPr>
            </w:pPr>
            <w:r w:rsidRPr="007A5BEC">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67EEBB2" w14:textId="77777777" w:rsidR="000D1BD6" w:rsidRPr="007A5BEC" w:rsidRDefault="000D1BD6" w:rsidP="007512BC">
            <w:pPr>
              <w:spacing w:after="0" w:line="240" w:lineRule="auto"/>
              <w:rPr>
                <w:rFonts w:ascii="Times New Roman" w:eastAsia="Times New Roman" w:hAnsi="Times New Roman" w:cs="Times New Roman"/>
                <w:iCs/>
                <w:sz w:val="28"/>
                <w:szCs w:val="28"/>
                <w:lang w:eastAsia="lv-LV"/>
              </w:rPr>
            </w:pPr>
            <w:r w:rsidRPr="007A5BEC">
              <w:rPr>
                <w:rFonts w:ascii="Times New Roman" w:eastAsia="Times New Roman" w:hAnsi="Times New Roman" w:cs="Times New Roman"/>
                <w:iCs/>
                <w:sz w:val="28"/>
                <w:szCs w:val="28"/>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6E24CD4C" w14:textId="77777777" w:rsidR="000D1BD6" w:rsidRPr="007A5BEC" w:rsidRDefault="000D1BD6" w:rsidP="007512BC">
            <w:pPr>
              <w:spacing w:after="0" w:line="240" w:lineRule="auto"/>
              <w:jc w:val="both"/>
              <w:rPr>
                <w:rFonts w:ascii="Times New Roman" w:eastAsia="Times New Roman" w:hAnsi="Times New Roman" w:cs="Times New Roman"/>
                <w:iCs/>
                <w:sz w:val="28"/>
                <w:szCs w:val="28"/>
                <w:lang w:eastAsia="lv-LV"/>
              </w:rPr>
            </w:pPr>
            <w:r w:rsidRPr="007A5BEC">
              <w:rPr>
                <w:rFonts w:ascii="Times New Roman" w:eastAsia="Times New Roman" w:hAnsi="Times New Roman" w:cs="Times New Roman"/>
                <w:iCs/>
                <w:sz w:val="28"/>
                <w:szCs w:val="28"/>
                <w:lang w:eastAsia="lv-LV"/>
              </w:rPr>
              <w:t xml:space="preserve">LZA vēstulē iekļautais priekšlikums ir ņemts vērā. </w:t>
            </w:r>
          </w:p>
        </w:tc>
      </w:tr>
      <w:tr w:rsidR="000D1BD6" w:rsidRPr="007A5BEC" w14:paraId="57030EDA" w14:textId="77777777" w:rsidTr="007512B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A4618D" w14:textId="77777777" w:rsidR="000D1BD6" w:rsidRPr="007A5BEC" w:rsidRDefault="000D1BD6" w:rsidP="007512BC">
            <w:pPr>
              <w:spacing w:after="0" w:line="240" w:lineRule="auto"/>
              <w:rPr>
                <w:rFonts w:ascii="Times New Roman" w:eastAsia="Times New Roman" w:hAnsi="Times New Roman" w:cs="Times New Roman"/>
                <w:iCs/>
                <w:sz w:val="28"/>
                <w:szCs w:val="28"/>
                <w:lang w:eastAsia="lv-LV"/>
              </w:rPr>
            </w:pPr>
            <w:r w:rsidRPr="007A5BEC">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C3F2D7F" w14:textId="77777777" w:rsidR="000D1BD6" w:rsidRPr="007A5BEC" w:rsidRDefault="000D1BD6" w:rsidP="007512BC">
            <w:pPr>
              <w:spacing w:after="0" w:line="240" w:lineRule="auto"/>
              <w:rPr>
                <w:rFonts w:ascii="Times New Roman" w:eastAsia="Times New Roman" w:hAnsi="Times New Roman" w:cs="Times New Roman"/>
                <w:iCs/>
                <w:sz w:val="28"/>
                <w:szCs w:val="28"/>
                <w:lang w:eastAsia="lv-LV"/>
              </w:rPr>
            </w:pPr>
            <w:r w:rsidRPr="007A5BEC">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EC141B7" w14:textId="77777777" w:rsidR="000D1BD6" w:rsidRPr="007A5BEC" w:rsidRDefault="000D1BD6" w:rsidP="007512BC">
            <w:pPr>
              <w:spacing w:after="0" w:line="240" w:lineRule="auto"/>
              <w:rPr>
                <w:rFonts w:ascii="Times New Roman" w:eastAsia="Times New Roman" w:hAnsi="Times New Roman" w:cs="Times New Roman"/>
                <w:iCs/>
                <w:sz w:val="28"/>
                <w:szCs w:val="28"/>
                <w:lang w:eastAsia="lv-LV"/>
              </w:rPr>
            </w:pPr>
            <w:r w:rsidRPr="007A5BEC">
              <w:rPr>
                <w:rFonts w:ascii="Times New Roman" w:eastAsia="Times New Roman" w:hAnsi="Times New Roman" w:cs="Times New Roman"/>
                <w:iCs/>
                <w:sz w:val="28"/>
                <w:szCs w:val="28"/>
                <w:lang w:eastAsia="lv-LV"/>
              </w:rPr>
              <w:t>Nav</w:t>
            </w:r>
          </w:p>
        </w:tc>
      </w:tr>
    </w:tbl>
    <w:p w14:paraId="2B5DA753" w14:textId="77777777" w:rsidR="000D1BD6" w:rsidRPr="007A5BEC" w:rsidRDefault="000D1BD6" w:rsidP="000D1BD6">
      <w:pPr>
        <w:spacing w:after="0" w:line="240" w:lineRule="auto"/>
        <w:rPr>
          <w:rFonts w:ascii="Times New Roman" w:eastAsia="Times New Roman" w:hAnsi="Times New Roman" w:cs="Times New Roman"/>
          <w:iCs/>
          <w:sz w:val="24"/>
          <w:szCs w:val="24"/>
          <w:lang w:eastAsia="lv-LV"/>
        </w:rPr>
      </w:pPr>
      <w:r w:rsidRPr="007A5BE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7"/>
        <w:gridCol w:w="3213"/>
        <w:gridCol w:w="5662"/>
      </w:tblGrid>
      <w:tr w:rsidR="000D1BD6" w:rsidRPr="007A5BEC" w14:paraId="7B9BC201" w14:textId="77777777" w:rsidTr="007512B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E8E4BB" w14:textId="77777777" w:rsidR="000D1BD6" w:rsidRPr="007A5BEC" w:rsidRDefault="000D1BD6" w:rsidP="007512BC">
            <w:pPr>
              <w:spacing w:after="0" w:line="240" w:lineRule="auto"/>
              <w:rPr>
                <w:rFonts w:ascii="Times New Roman" w:eastAsia="Times New Roman" w:hAnsi="Times New Roman" w:cs="Times New Roman"/>
                <w:b/>
                <w:bCs/>
                <w:iCs/>
                <w:sz w:val="28"/>
                <w:szCs w:val="28"/>
                <w:lang w:eastAsia="lv-LV"/>
              </w:rPr>
            </w:pPr>
            <w:r w:rsidRPr="007A5BEC">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0D1BD6" w:rsidRPr="007A5BEC" w14:paraId="06E69576" w14:textId="77777777" w:rsidTr="007512B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6EAC08" w14:textId="77777777" w:rsidR="000D1BD6" w:rsidRPr="007A5BEC" w:rsidRDefault="000D1BD6" w:rsidP="007512BC">
            <w:pPr>
              <w:spacing w:after="0" w:line="240" w:lineRule="auto"/>
              <w:rPr>
                <w:rFonts w:ascii="Times New Roman" w:eastAsia="Times New Roman" w:hAnsi="Times New Roman" w:cs="Times New Roman"/>
                <w:iCs/>
                <w:sz w:val="28"/>
                <w:szCs w:val="28"/>
                <w:lang w:eastAsia="lv-LV"/>
              </w:rPr>
            </w:pPr>
            <w:r w:rsidRPr="007A5BEC">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DCA7890" w14:textId="77777777" w:rsidR="000D1BD6" w:rsidRPr="007A5BEC" w:rsidRDefault="000D1BD6" w:rsidP="007512BC">
            <w:pPr>
              <w:spacing w:after="0" w:line="240" w:lineRule="auto"/>
              <w:rPr>
                <w:rFonts w:ascii="Times New Roman" w:eastAsia="Times New Roman" w:hAnsi="Times New Roman" w:cs="Times New Roman"/>
                <w:iCs/>
                <w:sz w:val="28"/>
                <w:szCs w:val="28"/>
                <w:lang w:eastAsia="lv-LV"/>
              </w:rPr>
            </w:pPr>
            <w:r w:rsidRPr="007A5BEC">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B7FF4FE" w14:textId="77777777" w:rsidR="000D1BD6" w:rsidRPr="007A5BEC" w:rsidRDefault="000D1BD6" w:rsidP="007512BC">
            <w:pPr>
              <w:spacing w:after="0" w:line="240" w:lineRule="auto"/>
              <w:jc w:val="both"/>
              <w:rPr>
                <w:rFonts w:ascii="Times New Roman" w:eastAsia="Times New Roman" w:hAnsi="Times New Roman" w:cs="Times New Roman"/>
                <w:sz w:val="28"/>
                <w:szCs w:val="28"/>
                <w:lang w:eastAsia="lv-LV"/>
              </w:rPr>
            </w:pPr>
            <w:r w:rsidRPr="007A5BEC">
              <w:rPr>
                <w:rFonts w:ascii="Times New Roman" w:eastAsia="Times New Roman" w:hAnsi="Times New Roman" w:cs="Times New Roman"/>
                <w:sz w:val="28"/>
                <w:szCs w:val="28"/>
                <w:lang w:eastAsia="lv-LV"/>
              </w:rPr>
              <w:t xml:space="preserve">Zinātnisko institūciju reģistrā reģistrētās zinātniskās institūcijas, Komercreģistrā reģistrēti uzņēmumi, </w:t>
            </w:r>
            <w:r w:rsidRPr="007A5BEC">
              <w:rPr>
                <w:rFonts w:ascii="Times New Roman" w:hAnsi="Times New Roman" w:cs="Times New Roman"/>
                <w:sz w:val="28"/>
                <w:szCs w:val="28"/>
              </w:rPr>
              <w:t>Valsts izglītības attīstības aģentūra un ministrija.</w:t>
            </w:r>
          </w:p>
        </w:tc>
      </w:tr>
      <w:tr w:rsidR="000D1BD6" w:rsidRPr="007A5BEC" w14:paraId="196E718A" w14:textId="77777777" w:rsidTr="007512B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007388" w14:textId="77777777" w:rsidR="000D1BD6" w:rsidRPr="007A5BEC" w:rsidRDefault="000D1BD6" w:rsidP="007512BC">
            <w:pPr>
              <w:spacing w:after="0" w:line="240" w:lineRule="auto"/>
              <w:rPr>
                <w:rFonts w:ascii="Times New Roman" w:eastAsia="Times New Roman" w:hAnsi="Times New Roman" w:cs="Times New Roman"/>
                <w:iCs/>
                <w:sz w:val="28"/>
                <w:szCs w:val="28"/>
                <w:lang w:eastAsia="lv-LV"/>
              </w:rPr>
            </w:pPr>
            <w:r w:rsidRPr="007A5BEC">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75D13EE" w14:textId="77777777" w:rsidR="000D1BD6" w:rsidRPr="007A5BEC" w:rsidRDefault="000D1BD6" w:rsidP="007512BC">
            <w:pPr>
              <w:spacing w:after="0" w:line="240" w:lineRule="auto"/>
              <w:jc w:val="both"/>
              <w:rPr>
                <w:rFonts w:ascii="Times New Roman" w:eastAsia="Times New Roman" w:hAnsi="Times New Roman" w:cs="Times New Roman"/>
                <w:iCs/>
                <w:sz w:val="28"/>
                <w:szCs w:val="28"/>
                <w:lang w:eastAsia="lv-LV"/>
              </w:rPr>
            </w:pPr>
            <w:r w:rsidRPr="007A5BEC">
              <w:rPr>
                <w:rFonts w:ascii="Times New Roman" w:eastAsia="Times New Roman" w:hAnsi="Times New Roman" w:cs="Times New Roman"/>
                <w:iCs/>
                <w:sz w:val="28"/>
                <w:szCs w:val="28"/>
                <w:lang w:eastAsia="lv-LV"/>
              </w:rPr>
              <w:t>Projekta izpildes ietekme uz pārvaldes funkcijām un institucionālo struktūru.</w:t>
            </w:r>
            <w:r w:rsidRPr="007A5BEC">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8D25E09" w14:textId="77777777" w:rsidR="000D1BD6" w:rsidRPr="007A5BEC" w:rsidRDefault="000D1BD6" w:rsidP="007512BC">
            <w:pPr>
              <w:spacing w:after="0" w:line="240" w:lineRule="auto"/>
              <w:jc w:val="both"/>
              <w:rPr>
                <w:rFonts w:ascii="Times New Roman" w:eastAsia="Times New Roman" w:hAnsi="Times New Roman" w:cs="Times New Roman"/>
                <w:iCs/>
                <w:sz w:val="28"/>
                <w:szCs w:val="28"/>
                <w:lang w:eastAsia="lv-LV"/>
              </w:rPr>
            </w:pPr>
            <w:r w:rsidRPr="007A5BEC">
              <w:rPr>
                <w:rFonts w:ascii="Times New Roman" w:eastAsia="Times New Roman" w:hAnsi="Times New Roman" w:cs="Times New Roman"/>
                <w:iCs/>
                <w:sz w:val="28"/>
                <w:szCs w:val="28"/>
                <w:lang w:eastAsia="lv-LV"/>
              </w:rPr>
              <w:t>Nav ietekme uz pārvaldes funkcijām un institucionālo struktūru. Netiks veikta jaunu institūciju izveide, esošu institūciju likvidācija vai reorganizācija, līdz ar to  nav ietekme uz institūcijas cilvēkresursiem.</w:t>
            </w:r>
          </w:p>
        </w:tc>
      </w:tr>
      <w:tr w:rsidR="000D1BD6" w:rsidRPr="007A5BEC" w14:paraId="0B9794DA" w14:textId="77777777" w:rsidTr="007512B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066EAF" w14:textId="77777777" w:rsidR="000D1BD6" w:rsidRPr="007A5BEC" w:rsidRDefault="000D1BD6" w:rsidP="007512BC">
            <w:pPr>
              <w:spacing w:after="0" w:line="240" w:lineRule="auto"/>
              <w:rPr>
                <w:rFonts w:ascii="Times New Roman" w:eastAsia="Times New Roman" w:hAnsi="Times New Roman" w:cs="Times New Roman"/>
                <w:iCs/>
                <w:sz w:val="28"/>
                <w:szCs w:val="28"/>
                <w:lang w:eastAsia="lv-LV"/>
              </w:rPr>
            </w:pPr>
            <w:r w:rsidRPr="007A5BEC">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AD10837" w14:textId="77777777" w:rsidR="000D1BD6" w:rsidRPr="007A5BEC" w:rsidRDefault="000D1BD6" w:rsidP="007512BC">
            <w:pPr>
              <w:spacing w:after="0" w:line="240" w:lineRule="auto"/>
              <w:rPr>
                <w:rFonts w:ascii="Times New Roman" w:eastAsia="Times New Roman" w:hAnsi="Times New Roman" w:cs="Times New Roman"/>
                <w:iCs/>
                <w:sz w:val="28"/>
                <w:szCs w:val="28"/>
                <w:lang w:eastAsia="lv-LV"/>
              </w:rPr>
            </w:pPr>
            <w:r w:rsidRPr="007A5BEC">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034FB41" w14:textId="77777777" w:rsidR="000D1BD6" w:rsidRPr="007A5BEC" w:rsidRDefault="000D1BD6" w:rsidP="007512BC">
            <w:pPr>
              <w:spacing w:after="0" w:line="240" w:lineRule="auto"/>
              <w:rPr>
                <w:rFonts w:ascii="Times New Roman" w:eastAsia="Times New Roman" w:hAnsi="Times New Roman" w:cs="Times New Roman"/>
                <w:iCs/>
                <w:sz w:val="28"/>
                <w:szCs w:val="28"/>
                <w:lang w:eastAsia="lv-LV"/>
              </w:rPr>
            </w:pPr>
            <w:r w:rsidRPr="007A5BEC">
              <w:rPr>
                <w:rFonts w:ascii="Times New Roman" w:eastAsia="Times New Roman" w:hAnsi="Times New Roman" w:cs="Times New Roman"/>
                <w:iCs/>
                <w:sz w:val="28"/>
                <w:szCs w:val="28"/>
                <w:lang w:eastAsia="lv-LV"/>
              </w:rPr>
              <w:t>Nav.</w:t>
            </w:r>
          </w:p>
        </w:tc>
      </w:tr>
    </w:tbl>
    <w:p w14:paraId="5136376D" w14:textId="77777777" w:rsidR="000D1BD6" w:rsidRPr="007A5BEC" w:rsidRDefault="000D1BD6" w:rsidP="000D1BD6">
      <w:pPr>
        <w:spacing w:after="0" w:line="240" w:lineRule="auto"/>
        <w:rPr>
          <w:rFonts w:ascii="Times New Roman" w:hAnsi="Times New Roman" w:cs="Times New Roman"/>
          <w:sz w:val="28"/>
          <w:szCs w:val="28"/>
        </w:rPr>
      </w:pPr>
    </w:p>
    <w:p w14:paraId="27F93CB6" w14:textId="77777777" w:rsidR="000D1BD6" w:rsidRPr="007A5BEC" w:rsidRDefault="000D1BD6" w:rsidP="000D1BD6">
      <w:pPr>
        <w:spacing w:after="0" w:line="240" w:lineRule="auto"/>
        <w:rPr>
          <w:rFonts w:ascii="Times New Roman" w:hAnsi="Times New Roman" w:cs="Times New Roman"/>
          <w:sz w:val="28"/>
          <w:szCs w:val="28"/>
        </w:rPr>
      </w:pPr>
    </w:p>
    <w:p w14:paraId="1F9AE0CB" w14:textId="77777777" w:rsidR="000D1BD6" w:rsidRPr="007A5BEC" w:rsidRDefault="000D1BD6" w:rsidP="000D1BD6">
      <w:pPr>
        <w:spacing w:after="0" w:line="240" w:lineRule="auto"/>
        <w:ind w:firstLine="720"/>
        <w:jc w:val="both"/>
        <w:rPr>
          <w:rFonts w:ascii="Times New Roman" w:hAnsi="Times New Roman"/>
          <w:sz w:val="28"/>
          <w:szCs w:val="28"/>
        </w:rPr>
      </w:pPr>
      <w:r w:rsidRPr="007A5BEC">
        <w:rPr>
          <w:rFonts w:ascii="Times New Roman" w:hAnsi="Times New Roman"/>
          <w:sz w:val="28"/>
          <w:szCs w:val="28"/>
        </w:rPr>
        <w:t>Iesniedzēja:</w:t>
      </w:r>
    </w:p>
    <w:p w14:paraId="13AE9AF3" w14:textId="77777777" w:rsidR="000D1BD6" w:rsidRPr="007A5BEC" w:rsidRDefault="000D1BD6" w:rsidP="000D1BD6">
      <w:pPr>
        <w:spacing w:after="0" w:line="240" w:lineRule="auto"/>
        <w:ind w:firstLine="720"/>
        <w:jc w:val="both"/>
        <w:rPr>
          <w:rFonts w:ascii="Times New Roman" w:hAnsi="Times New Roman"/>
          <w:sz w:val="28"/>
          <w:szCs w:val="28"/>
        </w:rPr>
      </w:pPr>
      <w:r w:rsidRPr="007A5BEC">
        <w:rPr>
          <w:rFonts w:ascii="Times New Roman" w:hAnsi="Times New Roman"/>
          <w:sz w:val="28"/>
          <w:szCs w:val="28"/>
        </w:rPr>
        <w:t xml:space="preserve">Izglītības un zinātnes ministre </w:t>
      </w:r>
      <w:r w:rsidRPr="007A5BEC">
        <w:rPr>
          <w:rFonts w:ascii="Times New Roman" w:hAnsi="Times New Roman"/>
          <w:sz w:val="28"/>
          <w:szCs w:val="28"/>
        </w:rPr>
        <w:tab/>
      </w:r>
      <w:r w:rsidRPr="007A5BEC">
        <w:rPr>
          <w:rFonts w:ascii="Times New Roman" w:hAnsi="Times New Roman"/>
          <w:sz w:val="28"/>
          <w:szCs w:val="28"/>
        </w:rPr>
        <w:tab/>
      </w:r>
      <w:r w:rsidRPr="007A5BEC">
        <w:rPr>
          <w:rFonts w:ascii="Times New Roman" w:hAnsi="Times New Roman"/>
          <w:sz w:val="28"/>
          <w:szCs w:val="28"/>
        </w:rPr>
        <w:tab/>
      </w:r>
      <w:r w:rsidRPr="007A5BEC">
        <w:rPr>
          <w:rFonts w:ascii="Times New Roman" w:hAnsi="Times New Roman"/>
          <w:sz w:val="28"/>
          <w:szCs w:val="28"/>
        </w:rPr>
        <w:tab/>
      </w:r>
      <w:r w:rsidRPr="007A5BEC">
        <w:rPr>
          <w:rFonts w:ascii="Times New Roman" w:hAnsi="Times New Roman"/>
          <w:sz w:val="28"/>
          <w:szCs w:val="28"/>
        </w:rPr>
        <w:tab/>
        <w:t>Anita Muižniece</w:t>
      </w:r>
    </w:p>
    <w:p w14:paraId="2C7B0F88" w14:textId="77777777" w:rsidR="000D1BD6" w:rsidRPr="007A5BEC" w:rsidRDefault="000D1BD6" w:rsidP="000D1BD6">
      <w:pPr>
        <w:spacing w:after="0" w:line="240" w:lineRule="auto"/>
        <w:jc w:val="both"/>
        <w:rPr>
          <w:rFonts w:ascii="Times New Roman" w:hAnsi="Times New Roman"/>
          <w:sz w:val="28"/>
          <w:szCs w:val="28"/>
        </w:rPr>
      </w:pPr>
    </w:p>
    <w:p w14:paraId="080F912D" w14:textId="77777777" w:rsidR="000D1BD6" w:rsidRPr="007A5BEC" w:rsidRDefault="000D1BD6" w:rsidP="000D1BD6">
      <w:pPr>
        <w:spacing w:after="0" w:line="240" w:lineRule="auto"/>
        <w:ind w:firstLine="720"/>
        <w:jc w:val="both"/>
        <w:rPr>
          <w:rFonts w:ascii="Times New Roman" w:hAnsi="Times New Roman"/>
          <w:sz w:val="28"/>
          <w:szCs w:val="28"/>
        </w:rPr>
      </w:pPr>
    </w:p>
    <w:p w14:paraId="58412ABC" w14:textId="77777777" w:rsidR="000D1BD6" w:rsidRPr="007A5BEC" w:rsidRDefault="000D1BD6" w:rsidP="000D1BD6">
      <w:pPr>
        <w:spacing w:after="0" w:line="240" w:lineRule="auto"/>
        <w:ind w:firstLine="720"/>
        <w:jc w:val="both"/>
        <w:rPr>
          <w:rFonts w:ascii="Times New Roman" w:hAnsi="Times New Roman"/>
          <w:sz w:val="28"/>
          <w:szCs w:val="28"/>
        </w:rPr>
      </w:pPr>
      <w:r w:rsidRPr="007A5BEC">
        <w:rPr>
          <w:rFonts w:ascii="Times New Roman" w:hAnsi="Times New Roman"/>
          <w:sz w:val="28"/>
          <w:szCs w:val="28"/>
        </w:rPr>
        <w:t>Vizē:</w:t>
      </w:r>
    </w:p>
    <w:p w14:paraId="571161C3" w14:textId="77777777" w:rsidR="000D1BD6" w:rsidRPr="007A5BEC" w:rsidRDefault="000D1BD6" w:rsidP="000D1BD6">
      <w:pPr>
        <w:spacing w:after="0" w:line="240" w:lineRule="auto"/>
        <w:ind w:firstLine="720"/>
        <w:jc w:val="both"/>
        <w:rPr>
          <w:rFonts w:ascii="Times New Roman" w:hAnsi="Times New Roman"/>
          <w:sz w:val="28"/>
          <w:szCs w:val="28"/>
        </w:rPr>
      </w:pPr>
      <w:r w:rsidRPr="007A5BEC">
        <w:rPr>
          <w:rFonts w:ascii="Times New Roman" w:hAnsi="Times New Roman"/>
          <w:sz w:val="28"/>
          <w:szCs w:val="28"/>
        </w:rPr>
        <w:t>Valsts sekretārs</w:t>
      </w:r>
      <w:r w:rsidRPr="007A5BEC">
        <w:rPr>
          <w:rFonts w:ascii="Times New Roman" w:hAnsi="Times New Roman"/>
          <w:sz w:val="28"/>
          <w:szCs w:val="28"/>
        </w:rPr>
        <w:tab/>
      </w:r>
      <w:r w:rsidRPr="007A5BEC">
        <w:rPr>
          <w:rFonts w:ascii="Times New Roman" w:hAnsi="Times New Roman"/>
          <w:sz w:val="28"/>
          <w:szCs w:val="28"/>
        </w:rPr>
        <w:tab/>
      </w:r>
      <w:r w:rsidRPr="007A5BEC">
        <w:rPr>
          <w:rFonts w:ascii="Times New Roman" w:hAnsi="Times New Roman"/>
          <w:sz w:val="28"/>
          <w:szCs w:val="28"/>
        </w:rPr>
        <w:tab/>
      </w:r>
      <w:r w:rsidRPr="007A5BEC">
        <w:rPr>
          <w:rFonts w:ascii="Times New Roman" w:hAnsi="Times New Roman"/>
          <w:sz w:val="28"/>
          <w:szCs w:val="28"/>
        </w:rPr>
        <w:tab/>
      </w:r>
      <w:r w:rsidRPr="007A5BEC">
        <w:rPr>
          <w:rFonts w:ascii="Times New Roman" w:hAnsi="Times New Roman"/>
          <w:sz w:val="28"/>
          <w:szCs w:val="28"/>
        </w:rPr>
        <w:tab/>
      </w:r>
      <w:r w:rsidRPr="007A5BEC">
        <w:rPr>
          <w:rFonts w:ascii="Times New Roman" w:hAnsi="Times New Roman"/>
          <w:sz w:val="28"/>
          <w:szCs w:val="28"/>
        </w:rPr>
        <w:tab/>
      </w:r>
      <w:r w:rsidRPr="007A5BEC">
        <w:rPr>
          <w:rFonts w:ascii="Times New Roman" w:hAnsi="Times New Roman"/>
          <w:sz w:val="28"/>
          <w:szCs w:val="28"/>
        </w:rPr>
        <w:tab/>
        <w:t>Jānis Volberts</w:t>
      </w:r>
    </w:p>
    <w:p w14:paraId="50E04C28" w14:textId="77777777" w:rsidR="000D1BD6" w:rsidRPr="007A5BEC" w:rsidRDefault="000D1BD6" w:rsidP="000D1BD6">
      <w:pPr>
        <w:spacing w:after="0" w:line="240" w:lineRule="auto"/>
        <w:ind w:firstLine="720"/>
        <w:jc w:val="both"/>
        <w:rPr>
          <w:rFonts w:ascii="Times New Roman" w:hAnsi="Times New Roman"/>
          <w:sz w:val="24"/>
          <w:szCs w:val="28"/>
        </w:rPr>
      </w:pPr>
    </w:p>
    <w:p w14:paraId="47D67DF6" w14:textId="77777777" w:rsidR="000D1BD6" w:rsidRPr="007A5BEC" w:rsidRDefault="000D1BD6" w:rsidP="000D1BD6">
      <w:pPr>
        <w:spacing w:after="0" w:line="240" w:lineRule="auto"/>
        <w:ind w:right="-2"/>
        <w:jc w:val="center"/>
        <w:rPr>
          <w:rFonts w:ascii="Times New Roman" w:hAnsi="Times New Roman"/>
          <w:sz w:val="16"/>
          <w:szCs w:val="16"/>
        </w:rPr>
      </w:pPr>
    </w:p>
    <w:p w14:paraId="0AAB21A2" w14:textId="77777777" w:rsidR="000D1BD6" w:rsidRPr="007A5BEC" w:rsidRDefault="000D1BD6" w:rsidP="000D1BD6">
      <w:pPr>
        <w:spacing w:after="0" w:line="240" w:lineRule="auto"/>
        <w:rPr>
          <w:rFonts w:ascii="Times New Roman" w:hAnsi="Times New Roman"/>
          <w:sz w:val="20"/>
          <w:szCs w:val="20"/>
        </w:rPr>
      </w:pPr>
    </w:p>
    <w:p w14:paraId="62360077" w14:textId="77777777" w:rsidR="000D1BD6" w:rsidRPr="007A5BEC" w:rsidRDefault="000D1BD6" w:rsidP="000D1BD6">
      <w:pPr>
        <w:spacing w:after="0" w:line="240" w:lineRule="auto"/>
        <w:rPr>
          <w:rFonts w:ascii="Times New Roman" w:hAnsi="Times New Roman"/>
          <w:sz w:val="20"/>
          <w:szCs w:val="20"/>
        </w:rPr>
      </w:pPr>
    </w:p>
    <w:p w14:paraId="4CBCD369" w14:textId="77777777" w:rsidR="000D1BD6" w:rsidRPr="007A5BEC" w:rsidRDefault="000D1BD6" w:rsidP="000D1BD6">
      <w:pPr>
        <w:spacing w:after="0" w:line="240" w:lineRule="auto"/>
        <w:rPr>
          <w:rStyle w:val="Hyperlink"/>
          <w:rFonts w:ascii="Times New Roman" w:hAnsi="Times New Roman"/>
          <w:color w:val="auto"/>
          <w:sz w:val="18"/>
          <w:szCs w:val="20"/>
          <w:u w:val="none"/>
        </w:rPr>
      </w:pPr>
    </w:p>
    <w:p w14:paraId="0307387E" w14:textId="77777777" w:rsidR="000D1BD6" w:rsidRPr="007A5BEC" w:rsidRDefault="000D1BD6" w:rsidP="000D1BD6">
      <w:pPr>
        <w:spacing w:after="0" w:line="240" w:lineRule="auto"/>
        <w:rPr>
          <w:rStyle w:val="Hyperlink"/>
          <w:rFonts w:ascii="Times New Roman" w:hAnsi="Times New Roman"/>
          <w:color w:val="auto"/>
          <w:sz w:val="18"/>
          <w:szCs w:val="20"/>
          <w:u w:val="none"/>
        </w:rPr>
      </w:pPr>
    </w:p>
    <w:p w14:paraId="470EE8FA" w14:textId="77777777" w:rsidR="000D1BD6" w:rsidRPr="007A5BEC" w:rsidRDefault="000D1BD6" w:rsidP="000D1BD6">
      <w:pPr>
        <w:spacing w:after="0" w:line="240" w:lineRule="auto"/>
        <w:ind w:firstLine="851"/>
        <w:rPr>
          <w:rStyle w:val="Hyperlink"/>
          <w:rFonts w:ascii="Times New Roman" w:hAnsi="Times New Roman"/>
          <w:color w:val="auto"/>
          <w:sz w:val="18"/>
          <w:szCs w:val="20"/>
          <w:u w:val="none"/>
        </w:rPr>
      </w:pPr>
      <w:r w:rsidRPr="007A5BEC">
        <w:rPr>
          <w:rStyle w:val="Hyperlink"/>
          <w:rFonts w:ascii="Times New Roman" w:hAnsi="Times New Roman"/>
          <w:color w:val="auto"/>
          <w:sz w:val="18"/>
          <w:szCs w:val="20"/>
          <w:u w:val="none"/>
        </w:rPr>
        <w:t>Depkovska, 67047772</w:t>
      </w:r>
    </w:p>
    <w:p w14:paraId="220CA94C" w14:textId="77777777" w:rsidR="000D1BD6" w:rsidRPr="007A5BEC" w:rsidRDefault="000D1BD6" w:rsidP="000D1BD6">
      <w:pPr>
        <w:spacing w:after="0" w:line="240" w:lineRule="auto"/>
        <w:ind w:firstLine="851"/>
      </w:pPr>
      <w:r w:rsidRPr="007A5BEC">
        <w:rPr>
          <w:rStyle w:val="Hyperlink"/>
          <w:rFonts w:ascii="Times New Roman" w:hAnsi="Times New Roman"/>
          <w:sz w:val="18"/>
          <w:szCs w:val="20"/>
        </w:rPr>
        <w:t>anita.depkovska@izm.gov.lv</w:t>
      </w:r>
    </w:p>
    <w:p w14:paraId="5AC7975C" w14:textId="77777777" w:rsidR="000D1BD6" w:rsidRPr="007A5BEC" w:rsidRDefault="000D1BD6" w:rsidP="000D1BD6">
      <w:pPr>
        <w:spacing w:after="0" w:line="240" w:lineRule="auto"/>
        <w:ind w:firstLine="851"/>
        <w:rPr>
          <w:rFonts w:ascii="Times New Roman" w:hAnsi="Times New Roman"/>
          <w:sz w:val="18"/>
          <w:szCs w:val="20"/>
        </w:rPr>
      </w:pPr>
      <w:r w:rsidRPr="007A5BEC">
        <w:rPr>
          <w:rFonts w:ascii="Times New Roman" w:hAnsi="Times New Roman"/>
          <w:sz w:val="18"/>
          <w:szCs w:val="20"/>
        </w:rPr>
        <w:t>A.M.Blūms, 67047798</w:t>
      </w:r>
    </w:p>
    <w:p w14:paraId="36067A97" w14:textId="77777777" w:rsidR="000D1BD6" w:rsidRPr="00DA3AE7" w:rsidRDefault="00C233D8" w:rsidP="000D1BD6">
      <w:pPr>
        <w:ind w:firstLine="851"/>
        <w:rPr>
          <w:rStyle w:val="Hyperlink"/>
          <w:rFonts w:ascii="Times New Roman" w:hAnsi="Times New Roman"/>
          <w:sz w:val="18"/>
          <w:szCs w:val="20"/>
        </w:rPr>
      </w:pPr>
      <w:hyperlink r:id="rId10" w:history="1">
        <w:r w:rsidR="000D1BD6" w:rsidRPr="007A5BEC">
          <w:rPr>
            <w:rStyle w:val="Hyperlink"/>
            <w:rFonts w:ascii="Times New Roman" w:hAnsi="Times New Roman"/>
            <w:sz w:val="18"/>
            <w:szCs w:val="20"/>
          </w:rPr>
          <w:t>aleksandrs-martins.blums@izm.gov.lv</w:t>
        </w:r>
      </w:hyperlink>
    </w:p>
    <w:p w14:paraId="3199C85A" w14:textId="77777777" w:rsidR="000D1BD6" w:rsidRPr="00DA3AE7" w:rsidRDefault="000D1BD6" w:rsidP="000D1BD6">
      <w:pPr>
        <w:tabs>
          <w:tab w:val="left" w:pos="6237"/>
        </w:tabs>
        <w:spacing w:after="0" w:line="240" w:lineRule="auto"/>
        <w:rPr>
          <w:rFonts w:ascii="Times New Roman" w:hAnsi="Times New Roman" w:cs="Times New Roman"/>
          <w:sz w:val="20"/>
          <w:szCs w:val="20"/>
        </w:rPr>
      </w:pPr>
    </w:p>
    <w:p w14:paraId="380B2E80" w14:textId="77777777" w:rsidR="00894C55" w:rsidRPr="000D1BD6" w:rsidRDefault="00894C55" w:rsidP="000D1BD6"/>
    <w:sectPr w:rsidR="00894C55" w:rsidRPr="000D1BD6" w:rsidSect="0013379A">
      <w:headerReference w:type="default" r:id="rId11"/>
      <w:footerReference w:type="default" r:id="rId12"/>
      <w:footerReference w:type="first" r:id="rId13"/>
      <w:pgSz w:w="11906" w:h="16838"/>
      <w:pgMar w:top="1418" w:right="70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3E168" w14:textId="77777777" w:rsidR="00C233D8" w:rsidRDefault="00C233D8" w:rsidP="00894C55">
      <w:pPr>
        <w:spacing w:after="0" w:line="240" w:lineRule="auto"/>
      </w:pPr>
      <w:r>
        <w:separator/>
      </w:r>
    </w:p>
  </w:endnote>
  <w:endnote w:type="continuationSeparator" w:id="0">
    <w:p w14:paraId="53E6431D" w14:textId="77777777" w:rsidR="00C233D8" w:rsidRDefault="00C233D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B2E86" w14:textId="3F229F30" w:rsidR="00BE1149" w:rsidRPr="002A44FB" w:rsidRDefault="00BE1149" w:rsidP="002A44FB">
    <w:pPr>
      <w:spacing w:after="0" w:line="240" w:lineRule="auto"/>
      <w:ind w:right="-1"/>
      <w:jc w:val="both"/>
      <w:rPr>
        <w:rFonts w:ascii="Times New Roman" w:eastAsia="Times New Roman" w:hAnsi="Times New Roman" w:cs="Times New Roman"/>
        <w:bCs/>
        <w:sz w:val="20"/>
        <w:szCs w:val="20"/>
      </w:rPr>
    </w:pPr>
    <w:r>
      <w:rPr>
        <w:rFonts w:ascii="Times New Roman" w:eastAsia="Times New Roman" w:hAnsi="Times New Roman" w:cs="Times New Roman"/>
        <w:bCs/>
        <w:noProof/>
        <w:sz w:val="20"/>
        <w:szCs w:val="20"/>
        <w:lang w:val="en-GB"/>
      </w:rPr>
      <w:t>IZManot_</w:t>
    </w:r>
    <w:r w:rsidR="00B81506">
      <w:rPr>
        <w:rFonts w:ascii="Times New Roman" w:eastAsia="Times New Roman" w:hAnsi="Times New Roman" w:cs="Times New Roman"/>
        <w:bCs/>
        <w:noProof/>
        <w:sz w:val="20"/>
        <w:szCs w:val="20"/>
        <w:lang w:val="en-GB"/>
      </w:rPr>
      <w:t>0806</w:t>
    </w:r>
    <w:r>
      <w:rPr>
        <w:rFonts w:ascii="Times New Roman" w:eastAsia="Times New Roman" w:hAnsi="Times New Roman" w:cs="Times New Roman"/>
        <w:bCs/>
        <w:noProof/>
        <w:sz w:val="20"/>
        <w:szCs w:val="20"/>
        <w:lang w:val="en-GB"/>
      </w:rPr>
      <w:t>21</w:t>
    </w:r>
    <w:r w:rsidRPr="002A44FB">
      <w:rPr>
        <w:rFonts w:ascii="Times New Roman" w:eastAsia="Times New Roman" w:hAnsi="Times New Roman" w:cs="Times New Roman"/>
        <w:bCs/>
        <w:noProof/>
        <w:sz w:val="20"/>
        <w:szCs w:val="20"/>
        <w:lang w:val="en-GB"/>
      </w:rPr>
      <w:t>_groz259</w:t>
    </w:r>
  </w:p>
  <w:p w14:paraId="380B2E87" w14:textId="77777777" w:rsidR="00BE1149" w:rsidRPr="002A44FB" w:rsidRDefault="00BE1149" w:rsidP="0013379A">
    <w:pPr>
      <w:tabs>
        <w:tab w:val="center" w:pos="4153"/>
        <w:tab w:val="right" w:pos="8306"/>
      </w:tabs>
      <w:spacing w:after="0" w:line="240" w:lineRule="auto"/>
      <w:ind w:firstLine="720"/>
    </w:pPr>
  </w:p>
  <w:p w14:paraId="380B2E88" w14:textId="77777777" w:rsidR="00BE1149" w:rsidRPr="002A44FB" w:rsidRDefault="00BE1149" w:rsidP="002A44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B2E89" w14:textId="2E41BADF" w:rsidR="00BE1149" w:rsidRPr="001D1B0A" w:rsidRDefault="00BE1149" w:rsidP="0013379A">
    <w:pPr>
      <w:spacing w:after="0" w:line="240" w:lineRule="auto"/>
      <w:ind w:right="-1"/>
      <w:jc w:val="both"/>
      <w:rPr>
        <w:rFonts w:ascii="Times New Roman" w:eastAsia="Times New Roman" w:hAnsi="Times New Roman" w:cs="Times New Roman"/>
        <w:bCs/>
        <w:noProof/>
        <w:sz w:val="20"/>
        <w:szCs w:val="20"/>
        <w:lang w:val="en-GB"/>
      </w:rPr>
    </w:pPr>
    <w:r>
      <w:rPr>
        <w:rFonts w:ascii="Times New Roman" w:eastAsia="Times New Roman" w:hAnsi="Times New Roman" w:cs="Times New Roman"/>
        <w:bCs/>
        <w:noProof/>
        <w:sz w:val="20"/>
        <w:szCs w:val="20"/>
        <w:lang w:val="en-GB"/>
      </w:rPr>
      <w:t>IZManot_</w:t>
    </w:r>
    <w:r w:rsidR="00B81506">
      <w:rPr>
        <w:rFonts w:ascii="Times New Roman" w:eastAsia="Times New Roman" w:hAnsi="Times New Roman" w:cs="Times New Roman"/>
        <w:bCs/>
        <w:noProof/>
        <w:sz w:val="20"/>
        <w:szCs w:val="20"/>
        <w:lang w:val="en-GB"/>
      </w:rPr>
      <w:t>0806</w:t>
    </w:r>
    <w:r>
      <w:rPr>
        <w:rFonts w:ascii="Times New Roman" w:eastAsia="Times New Roman" w:hAnsi="Times New Roman" w:cs="Times New Roman"/>
        <w:bCs/>
        <w:noProof/>
        <w:sz w:val="20"/>
        <w:szCs w:val="20"/>
        <w:lang w:val="en-GB"/>
      </w:rPr>
      <w:t>21</w:t>
    </w:r>
    <w:r w:rsidRPr="002A44FB">
      <w:rPr>
        <w:rFonts w:ascii="Times New Roman" w:eastAsia="Times New Roman" w:hAnsi="Times New Roman" w:cs="Times New Roman"/>
        <w:bCs/>
        <w:noProof/>
        <w:sz w:val="20"/>
        <w:szCs w:val="20"/>
        <w:lang w:val="en-GB"/>
      </w:rPr>
      <w:t>_groz259</w:t>
    </w:r>
    <w:r w:rsidRPr="002A44FB">
      <w:rPr>
        <w:rFonts w:ascii="Times New Roman" w:eastAsia="Times New Roman" w:hAnsi="Times New Roman" w:cs="Times New Roman"/>
        <w:bCs/>
        <w:sz w:val="20"/>
        <w:szCs w:val="20"/>
      </w:rPr>
      <w:t xml:space="preserve"> </w:t>
    </w:r>
  </w:p>
  <w:p w14:paraId="380B2E8A" w14:textId="77777777" w:rsidR="00BE1149" w:rsidRPr="009A2654" w:rsidRDefault="00BE1149">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03527" w14:textId="77777777" w:rsidR="00C233D8" w:rsidRDefault="00C233D8" w:rsidP="00894C55">
      <w:pPr>
        <w:spacing w:after="0" w:line="240" w:lineRule="auto"/>
      </w:pPr>
      <w:r>
        <w:separator/>
      </w:r>
    </w:p>
  </w:footnote>
  <w:footnote w:type="continuationSeparator" w:id="0">
    <w:p w14:paraId="75F0E9FF" w14:textId="77777777" w:rsidR="00C233D8" w:rsidRDefault="00C233D8" w:rsidP="00894C55">
      <w:pPr>
        <w:spacing w:after="0" w:line="240" w:lineRule="auto"/>
      </w:pPr>
      <w:r>
        <w:continuationSeparator/>
      </w:r>
    </w:p>
  </w:footnote>
  <w:footnote w:id="1">
    <w:p w14:paraId="73A7E1D5" w14:textId="77777777" w:rsidR="000D1BD6" w:rsidRDefault="000D1BD6" w:rsidP="000D1BD6">
      <w:pPr>
        <w:pStyle w:val="FootnoteText"/>
      </w:pPr>
      <w:r>
        <w:rPr>
          <w:rStyle w:val="FootnoteReference"/>
        </w:rPr>
        <w:footnoteRef/>
      </w:r>
      <w:r>
        <w:t xml:space="preserve"> </w:t>
      </w:r>
      <w:hyperlink r:id="rId1" w:history="1">
        <w:r>
          <w:rPr>
            <w:color w:val="0000FF"/>
          </w:rPr>
          <w:t>https://www.hlrs.de/about-us/research/current-projects/eurocc/</w:t>
        </w:r>
      </w:hyperlink>
    </w:p>
  </w:footnote>
  <w:footnote w:id="2">
    <w:p w14:paraId="0A8FB0FA" w14:textId="77777777" w:rsidR="000D1BD6" w:rsidRPr="00B81506" w:rsidRDefault="000D1BD6" w:rsidP="000D1BD6">
      <w:pPr>
        <w:pStyle w:val="FootnoteText"/>
      </w:pPr>
      <w:r>
        <w:rPr>
          <w:rStyle w:val="FootnoteReference"/>
        </w:rPr>
        <w:footnoteRef/>
      </w:r>
      <w:r>
        <w:t xml:space="preserve"> </w:t>
      </w:r>
      <w:r w:rsidRPr="00406698">
        <w:t>http://tap.mk.gov.lv/doc/2021_02/IZMzino_260121_EuroHPC.278.DOCX</w:t>
      </w:r>
    </w:p>
  </w:footnote>
  <w:footnote w:id="3">
    <w:p w14:paraId="45851F64" w14:textId="77777777" w:rsidR="000D1BD6" w:rsidRPr="00B81506" w:rsidRDefault="000D1BD6" w:rsidP="000D1BD6">
      <w:pPr>
        <w:pStyle w:val="FootnoteText"/>
      </w:pPr>
      <w:r>
        <w:rPr>
          <w:rStyle w:val="FootnoteReference"/>
        </w:rPr>
        <w:footnoteRef/>
      </w:r>
      <w:r>
        <w:t xml:space="preserve"> </w:t>
      </w:r>
      <w:r w:rsidRPr="00BE7F61">
        <w:t>http://tap.mk.gov.lv/doc/2021_02/IZMzino_271120_SHARE.2575.docx</w:t>
      </w:r>
    </w:p>
  </w:footnote>
  <w:footnote w:id="4">
    <w:p w14:paraId="1F121E7D" w14:textId="77777777" w:rsidR="000D1BD6" w:rsidRPr="0057397A" w:rsidRDefault="000D1BD6" w:rsidP="000D1BD6">
      <w:pPr>
        <w:pStyle w:val="FootnoteText"/>
        <w:jc w:val="both"/>
        <w:rPr>
          <w:rFonts w:ascii="Times New Roman" w:hAnsi="Times New Roman" w:cs="Times New Roman"/>
          <w:sz w:val="22"/>
          <w:szCs w:val="22"/>
        </w:rPr>
      </w:pPr>
      <w:r w:rsidRPr="0057397A">
        <w:rPr>
          <w:rStyle w:val="FootnoteReference"/>
          <w:rFonts w:ascii="Times New Roman" w:hAnsi="Times New Roman" w:cs="Times New Roman"/>
          <w:sz w:val="22"/>
          <w:szCs w:val="22"/>
        </w:rPr>
        <w:footnoteRef/>
      </w:r>
      <w:r w:rsidRPr="0057397A">
        <w:rPr>
          <w:rFonts w:ascii="Times New Roman" w:hAnsi="Times New Roman" w:cs="Times New Roman"/>
          <w:sz w:val="22"/>
          <w:szCs w:val="22"/>
        </w:rPr>
        <w:t xml:space="preserve"> </w:t>
      </w:r>
      <w:r w:rsidRPr="0057397A">
        <w:rPr>
          <w:rFonts w:ascii="Times New Roman" w:hAnsi="Times New Roman" w:cs="Times New Roman"/>
          <w:sz w:val="22"/>
          <w:szCs w:val="22"/>
          <w:shd w:val="clear" w:color="auto" w:fill="FFFFFF"/>
        </w:rPr>
        <w:t>Eiropas Savienības Tiesas 2019. gada 5. marta spriedum</w:t>
      </w:r>
      <w:r>
        <w:rPr>
          <w:rFonts w:ascii="Times New Roman" w:hAnsi="Times New Roman" w:cs="Times New Roman"/>
          <w:sz w:val="22"/>
          <w:szCs w:val="22"/>
          <w:shd w:val="clear" w:color="auto" w:fill="FFFFFF"/>
        </w:rPr>
        <w:t>s</w:t>
      </w:r>
      <w:r w:rsidRPr="0057397A">
        <w:rPr>
          <w:rFonts w:ascii="Times New Roman" w:hAnsi="Times New Roman" w:cs="Times New Roman"/>
          <w:sz w:val="22"/>
          <w:szCs w:val="22"/>
          <w:shd w:val="clear" w:color="auto" w:fill="FFFFFF"/>
        </w:rPr>
        <w:t xml:space="preserve"> lietā Nr. C-349/17 Eesti Pagar AS pret Ettevõtluse Arendamise Sihtasutus un Majandus- ja Kommunikatsiooniministeerium (ECLI:EU:C:2019:172 )</w:t>
      </w:r>
      <w:hyperlink r:id="rId2" w:history="1">
        <w:r w:rsidRPr="0057397A">
          <w:rPr>
            <w:rStyle w:val="Hyperlink"/>
            <w:rFonts w:ascii="Times New Roman" w:hAnsi="Times New Roman" w:cs="Times New Roman"/>
            <w:sz w:val="22"/>
            <w:szCs w:val="22"/>
          </w:rPr>
          <w:t>https://curia.europa.eu/juris/liste.jsf?num=C-349/17&amp;language=LV</w:t>
        </w:r>
      </w:hyperlink>
      <w:r w:rsidRPr="0057397A">
        <w:rPr>
          <w:rFonts w:ascii="Times New Roman" w:hAnsi="Times New Roman" w:cs="Times New Roman"/>
          <w:sz w:val="22"/>
          <w:szCs w:val="22"/>
        </w:rPr>
        <w:t xml:space="preserve"> </w:t>
      </w:r>
    </w:p>
  </w:footnote>
  <w:footnote w:id="5">
    <w:p w14:paraId="15286F1D" w14:textId="77777777" w:rsidR="000D1BD6" w:rsidRPr="00B81506" w:rsidRDefault="000D1BD6" w:rsidP="000D1BD6">
      <w:pPr>
        <w:pStyle w:val="FootnoteText"/>
      </w:pPr>
      <w:r>
        <w:rPr>
          <w:rStyle w:val="FootnoteReference"/>
        </w:rPr>
        <w:footnoteRef/>
      </w:r>
      <w:r>
        <w:t xml:space="preserve"> </w:t>
      </w:r>
      <w:r w:rsidRPr="00655721">
        <w:t>https://www.csb.gov.lv/lv/statistika/statistikas-temas/socialie-procesi/darba-samaksa</w:t>
      </w:r>
    </w:p>
  </w:footnote>
  <w:footnote w:id="6">
    <w:p w14:paraId="4B3B6CDF" w14:textId="77777777" w:rsidR="000D1BD6" w:rsidRPr="00B81506" w:rsidRDefault="000D1BD6" w:rsidP="000D1BD6">
      <w:pPr>
        <w:pStyle w:val="FootnoteText"/>
      </w:pPr>
      <w:r>
        <w:rPr>
          <w:rStyle w:val="FootnoteReference"/>
        </w:rPr>
        <w:footnoteRef/>
      </w:r>
      <w:r>
        <w:t>h</w:t>
      </w:r>
      <w:r w:rsidRPr="002126D3">
        <w:t>ttps://www.vid.gov.lv/sites/default/files/info%20par%20darba%20vietam%202015.gada%20februari%20atbilstosi%20profesiju%20klasifikatoram.pdf</w:t>
      </w:r>
    </w:p>
  </w:footnote>
  <w:footnote w:id="7">
    <w:p w14:paraId="41CC8FD6" w14:textId="77777777" w:rsidR="000D1BD6" w:rsidRPr="00B81506" w:rsidRDefault="000D1BD6" w:rsidP="000D1BD6">
      <w:pPr>
        <w:pStyle w:val="FootnoteText"/>
      </w:pPr>
      <w:r>
        <w:rPr>
          <w:rStyle w:val="FootnoteReference"/>
        </w:rPr>
        <w:footnoteRef/>
      </w:r>
      <w:r>
        <w:t>h</w:t>
      </w:r>
      <w:r w:rsidRPr="002126D3">
        <w:t>ttps://www.vid.gov.lv/sites/default/files/kopsavilkums_par_profesijam_2021_gada_februaris_bez_retajam_profesijam.xlsx</w:t>
      </w:r>
    </w:p>
  </w:footnote>
  <w:footnote w:id="8">
    <w:p w14:paraId="5FB6E300" w14:textId="77777777" w:rsidR="000D1BD6" w:rsidRPr="008761E6" w:rsidRDefault="000D1BD6" w:rsidP="000D1BD6">
      <w:pPr>
        <w:pStyle w:val="FootnoteText"/>
        <w:jc w:val="both"/>
        <w:rPr>
          <w:rFonts w:ascii="Times New Roman" w:hAnsi="Times New Roman" w:cs="Times New Roman"/>
        </w:rPr>
      </w:pPr>
      <w:r w:rsidRPr="008761E6">
        <w:rPr>
          <w:rStyle w:val="FootnoteReference"/>
          <w:rFonts w:ascii="Times New Roman" w:hAnsi="Times New Roman" w:cs="Times New Roman"/>
        </w:rPr>
        <w:footnoteRef/>
      </w:r>
      <w:r w:rsidRPr="008761E6">
        <w:rPr>
          <w:rFonts w:ascii="Times New Roman" w:hAnsi="Times New Roman" w:cs="Times New Roman"/>
        </w:rPr>
        <w:t xml:space="preserve"> </w:t>
      </w:r>
      <w:r w:rsidRPr="008761E6">
        <w:rPr>
          <w:rFonts w:ascii="Times New Roman" w:hAnsi="Times New Roman" w:cs="Times New Roman"/>
          <w:color w:val="444444"/>
          <w:shd w:val="clear" w:color="auto" w:fill="FFFFFF"/>
        </w:rPr>
        <w:t xml:space="preserve">Komisijas Regula (ES) 2020/972 (2020. gada 2. jūlijs), ar ko groza Regulu (ES) Nr. 1407/2013 attiecībā uz tās pagarināšanu un groza Regulu (ES) Nr. 651/2014 attiecībā uz tās pagarināšanu un attiecīgiem pielāgojumiem (Dokuments attiecas uz EEZ) </w:t>
      </w:r>
      <w:hyperlink r:id="rId3" w:history="1">
        <w:r w:rsidRPr="008761E6">
          <w:rPr>
            <w:rStyle w:val="Hyperlink"/>
            <w:rFonts w:ascii="Times New Roman" w:hAnsi="Times New Roman" w:cs="Times New Roman"/>
            <w:shd w:val="clear" w:color="auto" w:fill="FFFFFF"/>
          </w:rPr>
          <w:t>https://eur-lex.europa.eu/legal-content/lv/TXT/?uri=CELEX:32020R0972</w:t>
        </w:r>
      </w:hyperlink>
      <w:r w:rsidRPr="008761E6">
        <w:rPr>
          <w:rFonts w:ascii="Times New Roman" w:hAnsi="Times New Roman" w:cs="Times New Roman"/>
          <w:color w:val="444444"/>
          <w:shd w:val="clear" w:color="auto" w:fill="FFFFFF"/>
        </w:rPr>
        <w:t xml:space="preserve">   </w:t>
      </w:r>
    </w:p>
  </w:footnote>
  <w:footnote w:id="9">
    <w:p w14:paraId="062F642D" w14:textId="77777777" w:rsidR="000D1BD6" w:rsidRDefault="000D1BD6" w:rsidP="000D1BD6">
      <w:pPr>
        <w:pStyle w:val="FootnoteText"/>
      </w:pPr>
      <w:r>
        <w:rPr>
          <w:rStyle w:val="FootnoteReference"/>
        </w:rPr>
        <w:footnoteRef/>
      </w:r>
      <w:r>
        <w:t xml:space="preserve"> </w:t>
      </w:r>
      <w:r w:rsidRPr="000F67A1">
        <w:t>https://www.hlrs.de/about-us/research/current-projects/eurocc/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80B2E85" w14:textId="77777777" w:rsidR="00BE1149" w:rsidRPr="00C25B49" w:rsidRDefault="00BE11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F4D7B">
          <w:rPr>
            <w:rFonts w:ascii="Times New Roman" w:hAnsi="Times New Roman" w:cs="Times New Roman"/>
            <w:noProof/>
            <w:sz w:val="24"/>
            <w:szCs w:val="20"/>
          </w:rPr>
          <w:t>18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37B4"/>
    <w:multiLevelType w:val="hybridMultilevel"/>
    <w:tmpl w:val="240671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E41EC6"/>
    <w:multiLevelType w:val="hybridMultilevel"/>
    <w:tmpl w:val="C56EAE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8617BA"/>
    <w:multiLevelType w:val="hybridMultilevel"/>
    <w:tmpl w:val="8AF8F6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A82C53"/>
    <w:multiLevelType w:val="hybridMultilevel"/>
    <w:tmpl w:val="586ECD24"/>
    <w:lvl w:ilvl="0" w:tplc="0426000D">
      <w:start w:val="1"/>
      <w:numFmt w:val="bullet"/>
      <w:lvlText w:val=""/>
      <w:lvlJc w:val="left"/>
      <w:pPr>
        <w:ind w:left="855" w:hanging="360"/>
      </w:pPr>
      <w:rPr>
        <w:rFonts w:ascii="Wingdings" w:hAnsi="Wingdings" w:hint="default"/>
      </w:rPr>
    </w:lvl>
    <w:lvl w:ilvl="1" w:tplc="04260003" w:tentative="1">
      <w:start w:val="1"/>
      <w:numFmt w:val="bullet"/>
      <w:lvlText w:val="o"/>
      <w:lvlJc w:val="left"/>
      <w:pPr>
        <w:ind w:left="1575" w:hanging="360"/>
      </w:pPr>
      <w:rPr>
        <w:rFonts w:ascii="Courier New" w:hAnsi="Courier New" w:cs="Courier New" w:hint="default"/>
      </w:rPr>
    </w:lvl>
    <w:lvl w:ilvl="2" w:tplc="04260005" w:tentative="1">
      <w:start w:val="1"/>
      <w:numFmt w:val="bullet"/>
      <w:lvlText w:val=""/>
      <w:lvlJc w:val="left"/>
      <w:pPr>
        <w:ind w:left="2295" w:hanging="360"/>
      </w:pPr>
      <w:rPr>
        <w:rFonts w:ascii="Wingdings" w:hAnsi="Wingdings" w:hint="default"/>
      </w:rPr>
    </w:lvl>
    <w:lvl w:ilvl="3" w:tplc="04260001" w:tentative="1">
      <w:start w:val="1"/>
      <w:numFmt w:val="bullet"/>
      <w:lvlText w:val=""/>
      <w:lvlJc w:val="left"/>
      <w:pPr>
        <w:ind w:left="3015" w:hanging="360"/>
      </w:pPr>
      <w:rPr>
        <w:rFonts w:ascii="Symbol" w:hAnsi="Symbol" w:hint="default"/>
      </w:rPr>
    </w:lvl>
    <w:lvl w:ilvl="4" w:tplc="04260003" w:tentative="1">
      <w:start w:val="1"/>
      <w:numFmt w:val="bullet"/>
      <w:lvlText w:val="o"/>
      <w:lvlJc w:val="left"/>
      <w:pPr>
        <w:ind w:left="3735" w:hanging="360"/>
      </w:pPr>
      <w:rPr>
        <w:rFonts w:ascii="Courier New" w:hAnsi="Courier New" w:cs="Courier New" w:hint="default"/>
      </w:rPr>
    </w:lvl>
    <w:lvl w:ilvl="5" w:tplc="04260005" w:tentative="1">
      <w:start w:val="1"/>
      <w:numFmt w:val="bullet"/>
      <w:lvlText w:val=""/>
      <w:lvlJc w:val="left"/>
      <w:pPr>
        <w:ind w:left="4455" w:hanging="360"/>
      </w:pPr>
      <w:rPr>
        <w:rFonts w:ascii="Wingdings" w:hAnsi="Wingdings" w:hint="default"/>
      </w:rPr>
    </w:lvl>
    <w:lvl w:ilvl="6" w:tplc="04260001" w:tentative="1">
      <w:start w:val="1"/>
      <w:numFmt w:val="bullet"/>
      <w:lvlText w:val=""/>
      <w:lvlJc w:val="left"/>
      <w:pPr>
        <w:ind w:left="5175" w:hanging="360"/>
      </w:pPr>
      <w:rPr>
        <w:rFonts w:ascii="Symbol" w:hAnsi="Symbol" w:hint="default"/>
      </w:rPr>
    </w:lvl>
    <w:lvl w:ilvl="7" w:tplc="04260003" w:tentative="1">
      <w:start w:val="1"/>
      <w:numFmt w:val="bullet"/>
      <w:lvlText w:val="o"/>
      <w:lvlJc w:val="left"/>
      <w:pPr>
        <w:ind w:left="5895" w:hanging="360"/>
      </w:pPr>
      <w:rPr>
        <w:rFonts w:ascii="Courier New" w:hAnsi="Courier New" w:cs="Courier New" w:hint="default"/>
      </w:rPr>
    </w:lvl>
    <w:lvl w:ilvl="8" w:tplc="04260005" w:tentative="1">
      <w:start w:val="1"/>
      <w:numFmt w:val="bullet"/>
      <w:lvlText w:val=""/>
      <w:lvlJc w:val="left"/>
      <w:pPr>
        <w:ind w:left="6615" w:hanging="360"/>
      </w:pPr>
      <w:rPr>
        <w:rFonts w:ascii="Wingdings" w:hAnsi="Wingdings" w:hint="default"/>
      </w:rPr>
    </w:lvl>
  </w:abstractNum>
  <w:abstractNum w:abstractNumId="4" w15:restartNumberingAfterBreak="0">
    <w:nsid w:val="1BBB0855"/>
    <w:multiLevelType w:val="hybridMultilevel"/>
    <w:tmpl w:val="601ED63C"/>
    <w:lvl w:ilvl="0" w:tplc="8350212E">
      <w:start w:val="16"/>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5" w15:restartNumberingAfterBreak="0">
    <w:nsid w:val="29AB413C"/>
    <w:multiLevelType w:val="hybridMultilevel"/>
    <w:tmpl w:val="5D2834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A3A22DE"/>
    <w:multiLevelType w:val="hybridMultilevel"/>
    <w:tmpl w:val="192E76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55C469E"/>
    <w:multiLevelType w:val="hybridMultilevel"/>
    <w:tmpl w:val="4C2246E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FC7B29"/>
    <w:multiLevelType w:val="hybridMultilevel"/>
    <w:tmpl w:val="AD9255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1753070"/>
    <w:multiLevelType w:val="hybridMultilevel"/>
    <w:tmpl w:val="D500D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D515B8"/>
    <w:multiLevelType w:val="hybridMultilevel"/>
    <w:tmpl w:val="5008C036"/>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0F0DA8"/>
    <w:multiLevelType w:val="hybridMultilevel"/>
    <w:tmpl w:val="C4DA8176"/>
    <w:lvl w:ilvl="0" w:tplc="DDC431EE">
      <w:start w:val="1"/>
      <w:numFmt w:val="decimal"/>
      <w:lvlText w:val="%1)"/>
      <w:lvlJc w:val="left"/>
      <w:pPr>
        <w:ind w:left="720" w:hanging="360"/>
      </w:pPr>
      <w:rPr>
        <w:rFonts w:ascii="Times New Roman" w:hAnsi="Times New Roman" w:cs="Times New Roman"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5"/>
  </w:num>
  <w:num w:numId="5">
    <w:abstractNumId w:val="6"/>
  </w:num>
  <w:num w:numId="6">
    <w:abstractNumId w:val="11"/>
  </w:num>
  <w:num w:numId="7">
    <w:abstractNumId w:val="7"/>
  </w:num>
  <w:num w:numId="8">
    <w:abstractNumId w:val="0"/>
  </w:num>
  <w:num w:numId="9">
    <w:abstractNumId w:val="4"/>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8DC"/>
    <w:rsid w:val="00004640"/>
    <w:rsid w:val="00015468"/>
    <w:rsid w:val="00016262"/>
    <w:rsid w:val="000241C0"/>
    <w:rsid w:val="0002733D"/>
    <w:rsid w:val="00027778"/>
    <w:rsid w:val="000351F4"/>
    <w:rsid w:val="00054C76"/>
    <w:rsid w:val="000622A5"/>
    <w:rsid w:val="00076241"/>
    <w:rsid w:val="0008030C"/>
    <w:rsid w:val="00082EE2"/>
    <w:rsid w:val="000A1004"/>
    <w:rsid w:val="000A277D"/>
    <w:rsid w:val="000A734E"/>
    <w:rsid w:val="000B2497"/>
    <w:rsid w:val="000C18B6"/>
    <w:rsid w:val="000C28A3"/>
    <w:rsid w:val="000D1BD6"/>
    <w:rsid w:val="000D7C69"/>
    <w:rsid w:val="000E48B1"/>
    <w:rsid w:val="000F2765"/>
    <w:rsid w:val="000F34B9"/>
    <w:rsid w:val="001008D9"/>
    <w:rsid w:val="00102260"/>
    <w:rsid w:val="00103B99"/>
    <w:rsid w:val="0010520E"/>
    <w:rsid w:val="00107220"/>
    <w:rsid w:val="00110D3C"/>
    <w:rsid w:val="00114963"/>
    <w:rsid w:val="00124FCB"/>
    <w:rsid w:val="0013379A"/>
    <w:rsid w:val="00134BFF"/>
    <w:rsid w:val="0014278B"/>
    <w:rsid w:val="00144A37"/>
    <w:rsid w:val="001472CE"/>
    <w:rsid w:val="001578C2"/>
    <w:rsid w:val="00170374"/>
    <w:rsid w:val="00173A6F"/>
    <w:rsid w:val="001748C9"/>
    <w:rsid w:val="00176CBA"/>
    <w:rsid w:val="00180C9B"/>
    <w:rsid w:val="00181092"/>
    <w:rsid w:val="001A010D"/>
    <w:rsid w:val="001A4039"/>
    <w:rsid w:val="001B1D99"/>
    <w:rsid w:val="001B293F"/>
    <w:rsid w:val="001B4D67"/>
    <w:rsid w:val="001D03DC"/>
    <w:rsid w:val="001D1B0A"/>
    <w:rsid w:val="001E7B16"/>
    <w:rsid w:val="001F0BA5"/>
    <w:rsid w:val="001F35D1"/>
    <w:rsid w:val="00204E22"/>
    <w:rsid w:val="002126D3"/>
    <w:rsid w:val="00215ED2"/>
    <w:rsid w:val="00216868"/>
    <w:rsid w:val="00216AA4"/>
    <w:rsid w:val="00220C2E"/>
    <w:rsid w:val="00224BBF"/>
    <w:rsid w:val="00243426"/>
    <w:rsid w:val="002467F8"/>
    <w:rsid w:val="00254E1B"/>
    <w:rsid w:val="002607BC"/>
    <w:rsid w:val="00273FA6"/>
    <w:rsid w:val="0028327A"/>
    <w:rsid w:val="00291CCD"/>
    <w:rsid w:val="00292E0D"/>
    <w:rsid w:val="002A44FB"/>
    <w:rsid w:val="002A5C3B"/>
    <w:rsid w:val="002B7AB5"/>
    <w:rsid w:val="002D4DD0"/>
    <w:rsid w:val="002E0A63"/>
    <w:rsid w:val="002E1C05"/>
    <w:rsid w:val="002E40B2"/>
    <w:rsid w:val="002F4D7B"/>
    <w:rsid w:val="002F7523"/>
    <w:rsid w:val="00304F13"/>
    <w:rsid w:val="00315CC6"/>
    <w:rsid w:val="00323F2E"/>
    <w:rsid w:val="003325B4"/>
    <w:rsid w:val="00336E66"/>
    <w:rsid w:val="00341787"/>
    <w:rsid w:val="003440AE"/>
    <w:rsid w:val="0034611B"/>
    <w:rsid w:val="0035016D"/>
    <w:rsid w:val="00362EF2"/>
    <w:rsid w:val="003953EE"/>
    <w:rsid w:val="003A74E9"/>
    <w:rsid w:val="003B0BF9"/>
    <w:rsid w:val="003B347D"/>
    <w:rsid w:val="003C0C6D"/>
    <w:rsid w:val="003C4652"/>
    <w:rsid w:val="003C5E7E"/>
    <w:rsid w:val="003D0077"/>
    <w:rsid w:val="003D0AC1"/>
    <w:rsid w:val="003D4B61"/>
    <w:rsid w:val="003E0791"/>
    <w:rsid w:val="003E7230"/>
    <w:rsid w:val="003F27D1"/>
    <w:rsid w:val="003F28AC"/>
    <w:rsid w:val="00401A35"/>
    <w:rsid w:val="00406698"/>
    <w:rsid w:val="004117DA"/>
    <w:rsid w:val="0042282C"/>
    <w:rsid w:val="004230F6"/>
    <w:rsid w:val="00423BB5"/>
    <w:rsid w:val="004248D0"/>
    <w:rsid w:val="0042681A"/>
    <w:rsid w:val="004309E1"/>
    <w:rsid w:val="004315CC"/>
    <w:rsid w:val="00433821"/>
    <w:rsid w:val="00435DF1"/>
    <w:rsid w:val="004407FB"/>
    <w:rsid w:val="004454FE"/>
    <w:rsid w:val="0045545E"/>
    <w:rsid w:val="00456E40"/>
    <w:rsid w:val="00471F27"/>
    <w:rsid w:val="00475B97"/>
    <w:rsid w:val="00477CB4"/>
    <w:rsid w:val="00487EC8"/>
    <w:rsid w:val="00487F2A"/>
    <w:rsid w:val="00493EE7"/>
    <w:rsid w:val="00496CBD"/>
    <w:rsid w:val="004B3755"/>
    <w:rsid w:val="004E257E"/>
    <w:rsid w:val="004E38BD"/>
    <w:rsid w:val="004E4150"/>
    <w:rsid w:val="004E677A"/>
    <w:rsid w:val="0050178F"/>
    <w:rsid w:val="00511C66"/>
    <w:rsid w:val="00513803"/>
    <w:rsid w:val="00526AB2"/>
    <w:rsid w:val="00541805"/>
    <w:rsid w:val="0054469D"/>
    <w:rsid w:val="00546431"/>
    <w:rsid w:val="005534B8"/>
    <w:rsid w:val="00572C28"/>
    <w:rsid w:val="00572CD8"/>
    <w:rsid w:val="0057397A"/>
    <w:rsid w:val="00575A35"/>
    <w:rsid w:val="005772CA"/>
    <w:rsid w:val="00582014"/>
    <w:rsid w:val="005B4258"/>
    <w:rsid w:val="005B4C35"/>
    <w:rsid w:val="005C68B0"/>
    <w:rsid w:val="005F7CA0"/>
    <w:rsid w:val="00600A89"/>
    <w:rsid w:val="0060236B"/>
    <w:rsid w:val="00602AFB"/>
    <w:rsid w:val="006132D5"/>
    <w:rsid w:val="0061408F"/>
    <w:rsid w:val="00621FFF"/>
    <w:rsid w:val="00630CD6"/>
    <w:rsid w:val="00642015"/>
    <w:rsid w:val="006432AB"/>
    <w:rsid w:val="006532C7"/>
    <w:rsid w:val="00655721"/>
    <w:rsid w:val="00655F2C"/>
    <w:rsid w:val="0066045C"/>
    <w:rsid w:val="006647CA"/>
    <w:rsid w:val="0067055F"/>
    <w:rsid w:val="006760A6"/>
    <w:rsid w:val="00677C7F"/>
    <w:rsid w:val="00686852"/>
    <w:rsid w:val="006914AE"/>
    <w:rsid w:val="006C19C0"/>
    <w:rsid w:val="006D02A1"/>
    <w:rsid w:val="006D251C"/>
    <w:rsid w:val="006D48C4"/>
    <w:rsid w:val="006D6B5D"/>
    <w:rsid w:val="006E030D"/>
    <w:rsid w:val="006E1081"/>
    <w:rsid w:val="006F7E73"/>
    <w:rsid w:val="00710112"/>
    <w:rsid w:val="00710C85"/>
    <w:rsid w:val="00716BFD"/>
    <w:rsid w:val="00720585"/>
    <w:rsid w:val="0072152B"/>
    <w:rsid w:val="007353B8"/>
    <w:rsid w:val="007442B1"/>
    <w:rsid w:val="007442EE"/>
    <w:rsid w:val="00744351"/>
    <w:rsid w:val="0074565E"/>
    <w:rsid w:val="007472DC"/>
    <w:rsid w:val="00773AF6"/>
    <w:rsid w:val="00785242"/>
    <w:rsid w:val="00794042"/>
    <w:rsid w:val="00795F71"/>
    <w:rsid w:val="00797D9C"/>
    <w:rsid w:val="007A086E"/>
    <w:rsid w:val="007A21DB"/>
    <w:rsid w:val="007A5602"/>
    <w:rsid w:val="007A582E"/>
    <w:rsid w:val="007A5BEC"/>
    <w:rsid w:val="007D2F94"/>
    <w:rsid w:val="007D54B7"/>
    <w:rsid w:val="007D58F9"/>
    <w:rsid w:val="007D7279"/>
    <w:rsid w:val="007E2480"/>
    <w:rsid w:val="007E5B86"/>
    <w:rsid w:val="007E5F7A"/>
    <w:rsid w:val="007E73AB"/>
    <w:rsid w:val="007F5129"/>
    <w:rsid w:val="0081639E"/>
    <w:rsid w:val="00816C11"/>
    <w:rsid w:val="00837F48"/>
    <w:rsid w:val="00875527"/>
    <w:rsid w:val="008761E6"/>
    <w:rsid w:val="00894C55"/>
    <w:rsid w:val="008958BC"/>
    <w:rsid w:val="008A1720"/>
    <w:rsid w:val="008B6DB5"/>
    <w:rsid w:val="008C0C47"/>
    <w:rsid w:val="008C3200"/>
    <w:rsid w:val="008D3753"/>
    <w:rsid w:val="008E117D"/>
    <w:rsid w:val="008E1E28"/>
    <w:rsid w:val="008E29EE"/>
    <w:rsid w:val="008F511B"/>
    <w:rsid w:val="00900135"/>
    <w:rsid w:val="00907357"/>
    <w:rsid w:val="00924CBA"/>
    <w:rsid w:val="00925813"/>
    <w:rsid w:val="00936BE5"/>
    <w:rsid w:val="00944355"/>
    <w:rsid w:val="00944DFE"/>
    <w:rsid w:val="009521CD"/>
    <w:rsid w:val="009521D5"/>
    <w:rsid w:val="00957925"/>
    <w:rsid w:val="009737C6"/>
    <w:rsid w:val="009748B0"/>
    <w:rsid w:val="00990FCB"/>
    <w:rsid w:val="009938DD"/>
    <w:rsid w:val="009A2654"/>
    <w:rsid w:val="009C6193"/>
    <w:rsid w:val="009D1992"/>
    <w:rsid w:val="009D2E9F"/>
    <w:rsid w:val="00A01CDF"/>
    <w:rsid w:val="00A104E8"/>
    <w:rsid w:val="00A10FC3"/>
    <w:rsid w:val="00A1368E"/>
    <w:rsid w:val="00A13D17"/>
    <w:rsid w:val="00A2327E"/>
    <w:rsid w:val="00A24949"/>
    <w:rsid w:val="00A25610"/>
    <w:rsid w:val="00A2579C"/>
    <w:rsid w:val="00A259C1"/>
    <w:rsid w:val="00A30028"/>
    <w:rsid w:val="00A52738"/>
    <w:rsid w:val="00A6073E"/>
    <w:rsid w:val="00A61DAA"/>
    <w:rsid w:val="00A737FE"/>
    <w:rsid w:val="00A73F41"/>
    <w:rsid w:val="00A80239"/>
    <w:rsid w:val="00A90A54"/>
    <w:rsid w:val="00AA1468"/>
    <w:rsid w:val="00AA4955"/>
    <w:rsid w:val="00AA5B41"/>
    <w:rsid w:val="00AB0FFE"/>
    <w:rsid w:val="00AB7EAE"/>
    <w:rsid w:val="00AC10A6"/>
    <w:rsid w:val="00AD2CC9"/>
    <w:rsid w:val="00AE02DE"/>
    <w:rsid w:val="00AE554F"/>
    <w:rsid w:val="00AE5567"/>
    <w:rsid w:val="00AF1239"/>
    <w:rsid w:val="00B1166E"/>
    <w:rsid w:val="00B16480"/>
    <w:rsid w:val="00B2165C"/>
    <w:rsid w:val="00B23579"/>
    <w:rsid w:val="00B25040"/>
    <w:rsid w:val="00B32728"/>
    <w:rsid w:val="00B34E4E"/>
    <w:rsid w:val="00B376C4"/>
    <w:rsid w:val="00B40E1A"/>
    <w:rsid w:val="00B438B0"/>
    <w:rsid w:val="00B44AFF"/>
    <w:rsid w:val="00B551BA"/>
    <w:rsid w:val="00B61D10"/>
    <w:rsid w:val="00B71E62"/>
    <w:rsid w:val="00B767DC"/>
    <w:rsid w:val="00B769CC"/>
    <w:rsid w:val="00B8120D"/>
    <w:rsid w:val="00B81506"/>
    <w:rsid w:val="00B82C0B"/>
    <w:rsid w:val="00B83601"/>
    <w:rsid w:val="00B90D15"/>
    <w:rsid w:val="00B92981"/>
    <w:rsid w:val="00B94A7C"/>
    <w:rsid w:val="00B96DA0"/>
    <w:rsid w:val="00B97C15"/>
    <w:rsid w:val="00BA1CD2"/>
    <w:rsid w:val="00BA20AA"/>
    <w:rsid w:val="00BA3859"/>
    <w:rsid w:val="00BB4FAF"/>
    <w:rsid w:val="00BD4425"/>
    <w:rsid w:val="00BD50C1"/>
    <w:rsid w:val="00BE1149"/>
    <w:rsid w:val="00BE7F61"/>
    <w:rsid w:val="00BF02DD"/>
    <w:rsid w:val="00BF0A8F"/>
    <w:rsid w:val="00C04DAB"/>
    <w:rsid w:val="00C10D6F"/>
    <w:rsid w:val="00C13729"/>
    <w:rsid w:val="00C138BD"/>
    <w:rsid w:val="00C233D8"/>
    <w:rsid w:val="00C252BB"/>
    <w:rsid w:val="00C25B49"/>
    <w:rsid w:val="00C41A55"/>
    <w:rsid w:val="00C5234C"/>
    <w:rsid w:val="00C54380"/>
    <w:rsid w:val="00C554E9"/>
    <w:rsid w:val="00C5596B"/>
    <w:rsid w:val="00C63C5F"/>
    <w:rsid w:val="00C65F5C"/>
    <w:rsid w:val="00C66825"/>
    <w:rsid w:val="00C712C1"/>
    <w:rsid w:val="00C73B1A"/>
    <w:rsid w:val="00C778E9"/>
    <w:rsid w:val="00C84756"/>
    <w:rsid w:val="00C9037F"/>
    <w:rsid w:val="00CA30DE"/>
    <w:rsid w:val="00CA30FE"/>
    <w:rsid w:val="00CA6FFE"/>
    <w:rsid w:val="00CB4D9D"/>
    <w:rsid w:val="00CC0D2D"/>
    <w:rsid w:val="00CC6A63"/>
    <w:rsid w:val="00CD7E23"/>
    <w:rsid w:val="00CE5657"/>
    <w:rsid w:val="00CF7A37"/>
    <w:rsid w:val="00CF7D9C"/>
    <w:rsid w:val="00D046EB"/>
    <w:rsid w:val="00D11D7D"/>
    <w:rsid w:val="00D11E98"/>
    <w:rsid w:val="00D11FF3"/>
    <w:rsid w:val="00D130B3"/>
    <w:rsid w:val="00D133F8"/>
    <w:rsid w:val="00D14A3E"/>
    <w:rsid w:val="00D15170"/>
    <w:rsid w:val="00D16139"/>
    <w:rsid w:val="00D2361B"/>
    <w:rsid w:val="00D25132"/>
    <w:rsid w:val="00D314B4"/>
    <w:rsid w:val="00D5339E"/>
    <w:rsid w:val="00D668BE"/>
    <w:rsid w:val="00D71130"/>
    <w:rsid w:val="00D71252"/>
    <w:rsid w:val="00D77B74"/>
    <w:rsid w:val="00D77C42"/>
    <w:rsid w:val="00DA3AE7"/>
    <w:rsid w:val="00DA566D"/>
    <w:rsid w:val="00DA65B7"/>
    <w:rsid w:val="00DC3077"/>
    <w:rsid w:val="00DC3611"/>
    <w:rsid w:val="00DC6279"/>
    <w:rsid w:val="00DD0FFA"/>
    <w:rsid w:val="00DD6560"/>
    <w:rsid w:val="00DD7D56"/>
    <w:rsid w:val="00DE1C9A"/>
    <w:rsid w:val="00DE782C"/>
    <w:rsid w:val="00DF5B07"/>
    <w:rsid w:val="00E230CC"/>
    <w:rsid w:val="00E237DC"/>
    <w:rsid w:val="00E3008D"/>
    <w:rsid w:val="00E35FE3"/>
    <w:rsid w:val="00E3602F"/>
    <w:rsid w:val="00E3716B"/>
    <w:rsid w:val="00E4590A"/>
    <w:rsid w:val="00E51598"/>
    <w:rsid w:val="00E5323B"/>
    <w:rsid w:val="00E553BE"/>
    <w:rsid w:val="00E647FC"/>
    <w:rsid w:val="00E6742E"/>
    <w:rsid w:val="00E779CF"/>
    <w:rsid w:val="00E80325"/>
    <w:rsid w:val="00E8749E"/>
    <w:rsid w:val="00E87DBE"/>
    <w:rsid w:val="00E90C01"/>
    <w:rsid w:val="00E9571C"/>
    <w:rsid w:val="00EA486E"/>
    <w:rsid w:val="00EA5390"/>
    <w:rsid w:val="00EA74E3"/>
    <w:rsid w:val="00EB1CDE"/>
    <w:rsid w:val="00EB3536"/>
    <w:rsid w:val="00EB430B"/>
    <w:rsid w:val="00EC2061"/>
    <w:rsid w:val="00EC2268"/>
    <w:rsid w:val="00EE2C5F"/>
    <w:rsid w:val="00F01C39"/>
    <w:rsid w:val="00F047B7"/>
    <w:rsid w:val="00F16B95"/>
    <w:rsid w:val="00F16DAB"/>
    <w:rsid w:val="00F2086A"/>
    <w:rsid w:val="00F21B61"/>
    <w:rsid w:val="00F23792"/>
    <w:rsid w:val="00F329CB"/>
    <w:rsid w:val="00F32A9B"/>
    <w:rsid w:val="00F33881"/>
    <w:rsid w:val="00F34691"/>
    <w:rsid w:val="00F57B0C"/>
    <w:rsid w:val="00F61331"/>
    <w:rsid w:val="00F64798"/>
    <w:rsid w:val="00F6642A"/>
    <w:rsid w:val="00F80D6A"/>
    <w:rsid w:val="00F83F37"/>
    <w:rsid w:val="00F84726"/>
    <w:rsid w:val="00F86921"/>
    <w:rsid w:val="00F92081"/>
    <w:rsid w:val="00F93242"/>
    <w:rsid w:val="00FA133C"/>
    <w:rsid w:val="00FA13DE"/>
    <w:rsid w:val="00FA3012"/>
    <w:rsid w:val="00FA5B67"/>
    <w:rsid w:val="00FA7979"/>
    <w:rsid w:val="00FB2322"/>
    <w:rsid w:val="00FC1035"/>
    <w:rsid w:val="00FC3BFF"/>
    <w:rsid w:val="00FC48F1"/>
    <w:rsid w:val="00FE1FE1"/>
    <w:rsid w:val="00FE6D08"/>
    <w:rsid w:val="00FF5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B2C9C"/>
  <w15:docId w15:val="{1557ABBF-975A-4CC7-9ACC-F4FA17D5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unhideWhenUsed/>
    <w:rsid w:val="00546431"/>
    <w:pPr>
      <w:spacing w:after="0" w:line="240" w:lineRule="auto"/>
    </w:pPr>
    <w:rPr>
      <w:sz w:val="20"/>
      <w:szCs w:val="20"/>
    </w:rPr>
  </w:style>
  <w:style w:type="character" w:customStyle="1" w:styleId="FootnoteTextChar">
    <w:name w:val="Footnote Text Char"/>
    <w:basedOn w:val="DefaultParagraphFont"/>
    <w:link w:val="FootnoteText"/>
    <w:uiPriority w:val="99"/>
    <w:rsid w:val="00546431"/>
    <w:rPr>
      <w:sz w:val="20"/>
      <w:szCs w:val="20"/>
    </w:rPr>
  </w:style>
  <w:style w:type="character" w:styleId="FootnoteReference">
    <w:name w:val="footnote reference"/>
    <w:basedOn w:val="DefaultParagraphFont"/>
    <w:uiPriority w:val="99"/>
    <w:semiHidden/>
    <w:unhideWhenUsed/>
    <w:rsid w:val="00546431"/>
    <w:rPr>
      <w:vertAlign w:val="superscript"/>
    </w:rPr>
  </w:style>
  <w:style w:type="paragraph" w:styleId="ListParagraph">
    <w:name w:val="List Paragraph"/>
    <w:aliases w:val="2,H&amp;P List Paragraph,Saraksta rindkopa,Saraksta rindkopa1,Strip"/>
    <w:basedOn w:val="Normal"/>
    <w:link w:val="ListParagraphChar"/>
    <w:uiPriority w:val="34"/>
    <w:qFormat/>
    <w:rsid w:val="00273FA6"/>
    <w:pPr>
      <w:ind w:left="720"/>
      <w:contextualSpacing/>
    </w:pPr>
  </w:style>
  <w:style w:type="paragraph" w:styleId="BodyText2">
    <w:name w:val="Body Text 2"/>
    <w:basedOn w:val="Normal"/>
    <w:link w:val="BodyText2Char"/>
    <w:rsid w:val="006D48C4"/>
    <w:pPr>
      <w:spacing w:after="0" w:line="240" w:lineRule="auto"/>
      <w:jc w:val="right"/>
    </w:pPr>
    <w:rPr>
      <w:rFonts w:ascii="Garamond" w:eastAsia="Times New Roman" w:hAnsi="Garamond" w:cs="Times New Roman"/>
      <w:sz w:val="28"/>
      <w:szCs w:val="28"/>
    </w:rPr>
  </w:style>
  <w:style w:type="character" w:customStyle="1" w:styleId="BodyText2Char">
    <w:name w:val="Body Text 2 Char"/>
    <w:basedOn w:val="DefaultParagraphFont"/>
    <w:link w:val="BodyText2"/>
    <w:rsid w:val="006D48C4"/>
    <w:rPr>
      <w:rFonts w:ascii="Garamond" w:eastAsia="Times New Roman" w:hAnsi="Garamond" w:cs="Times New Roman"/>
      <w:sz w:val="28"/>
      <w:szCs w:val="28"/>
    </w:rPr>
  </w:style>
  <w:style w:type="paragraph" w:styleId="BodyText">
    <w:name w:val="Body Text"/>
    <w:basedOn w:val="Normal"/>
    <w:link w:val="BodyTextChar"/>
    <w:uiPriority w:val="99"/>
    <w:semiHidden/>
    <w:unhideWhenUsed/>
    <w:rsid w:val="002A44FB"/>
    <w:pPr>
      <w:spacing w:after="120"/>
    </w:pPr>
  </w:style>
  <w:style w:type="character" w:customStyle="1" w:styleId="BodyTextChar">
    <w:name w:val="Body Text Char"/>
    <w:basedOn w:val="DefaultParagraphFont"/>
    <w:link w:val="BodyText"/>
    <w:uiPriority w:val="99"/>
    <w:semiHidden/>
    <w:rsid w:val="002A44FB"/>
  </w:style>
  <w:style w:type="paragraph" w:styleId="PlainText">
    <w:name w:val="Plain Text"/>
    <w:basedOn w:val="Normal"/>
    <w:link w:val="PlainTextChar"/>
    <w:uiPriority w:val="99"/>
    <w:unhideWhenUsed/>
    <w:rsid w:val="0074565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4565E"/>
    <w:rPr>
      <w:rFonts w:ascii="Calibri" w:hAnsi="Calibri"/>
      <w:szCs w:val="21"/>
    </w:rPr>
  </w:style>
  <w:style w:type="paragraph" w:styleId="CommentText">
    <w:name w:val="annotation text"/>
    <w:basedOn w:val="Normal"/>
    <w:link w:val="CommentTextChar"/>
    <w:uiPriority w:val="99"/>
    <w:semiHidden/>
    <w:unhideWhenUsed/>
    <w:rsid w:val="00215ED2"/>
    <w:pPr>
      <w:spacing w:line="240" w:lineRule="auto"/>
    </w:pPr>
    <w:rPr>
      <w:sz w:val="20"/>
      <w:szCs w:val="20"/>
    </w:rPr>
  </w:style>
  <w:style w:type="character" w:customStyle="1" w:styleId="CommentTextChar">
    <w:name w:val="Comment Text Char"/>
    <w:basedOn w:val="DefaultParagraphFont"/>
    <w:link w:val="CommentText"/>
    <w:uiPriority w:val="99"/>
    <w:semiHidden/>
    <w:rsid w:val="00215ED2"/>
    <w:rPr>
      <w:sz w:val="20"/>
      <w:szCs w:val="20"/>
    </w:rPr>
  </w:style>
  <w:style w:type="character" w:styleId="CommentReference">
    <w:name w:val="annotation reference"/>
    <w:unhideWhenUsed/>
    <w:rsid w:val="00215ED2"/>
    <w:rPr>
      <w:sz w:val="16"/>
      <w:szCs w:val="16"/>
    </w:rPr>
  </w:style>
  <w:style w:type="paragraph" w:styleId="CommentSubject">
    <w:name w:val="annotation subject"/>
    <w:basedOn w:val="CommentText"/>
    <w:next w:val="CommentText"/>
    <w:link w:val="CommentSubjectChar"/>
    <w:uiPriority w:val="99"/>
    <w:semiHidden/>
    <w:unhideWhenUsed/>
    <w:rsid w:val="007A582E"/>
    <w:rPr>
      <w:b/>
      <w:bCs/>
    </w:rPr>
  </w:style>
  <w:style w:type="character" w:customStyle="1" w:styleId="CommentSubjectChar">
    <w:name w:val="Comment Subject Char"/>
    <w:basedOn w:val="CommentTextChar"/>
    <w:link w:val="CommentSubject"/>
    <w:uiPriority w:val="99"/>
    <w:semiHidden/>
    <w:rsid w:val="007A582E"/>
    <w:rPr>
      <w:b/>
      <w:bCs/>
      <w:sz w:val="20"/>
      <w:szCs w:val="20"/>
    </w:rPr>
  </w:style>
  <w:style w:type="paragraph" w:customStyle="1" w:styleId="naisc">
    <w:name w:val="naisc"/>
    <w:basedOn w:val="Normal"/>
    <w:rsid w:val="004315CC"/>
    <w:pPr>
      <w:spacing w:before="75" w:after="75" w:line="240" w:lineRule="auto"/>
      <w:jc w:val="center"/>
    </w:pPr>
    <w:rPr>
      <w:rFonts w:ascii="Times New Roman" w:eastAsia="Times New Roman" w:hAnsi="Times New Roman" w:cs="Times New Roman"/>
      <w:sz w:val="24"/>
      <w:szCs w:val="24"/>
      <w:lang w:eastAsia="lv-LV"/>
    </w:rPr>
  </w:style>
  <w:style w:type="paragraph" w:styleId="Title">
    <w:name w:val="Title"/>
    <w:basedOn w:val="Normal"/>
    <w:link w:val="TitleChar"/>
    <w:qFormat/>
    <w:rsid w:val="003D0077"/>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3D0077"/>
    <w:rPr>
      <w:rFonts w:ascii="Times New Roman" w:eastAsia="Times New Roman" w:hAnsi="Times New Roman" w:cs="Times New Roman"/>
      <w:sz w:val="28"/>
      <w:szCs w:val="20"/>
    </w:rPr>
  </w:style>
  <w:style w:type="paragraph" w:styleId="NormalWeb">
    <w:name w:val="Normal (Web)"/>
    <w:basedOn w:val="Normal"/>
    <w:rsid w:val="0014278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t1">
    <w:name w:val="st1"/>
    <w:basedOn w:val="DefaultParagraphFont"/>
    <w:rsid w:val="00A737FE"/>
  </w:style>
  <w:style w:type="paragraph" w:styleId="EndnoteText">
    <w:name w:val="endnote text"/>
    <w:basedOn w:val="Normal"/>
    <w:link w:val="EndnoteTextChar"/>
    <w:uiPriority w:val="99"/>
    <w:semiHidden/>
    <w:unhideWhenUsed/>
    <w:rsid w:val="005F7C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7CA0"/>
    <w:rPr>
      <w:sz w:val="20"/>
      <w:szCs w:val="20"/>
    </w:rPr>
  </w:style>
  <w:style w:type="character" w:styleId="EndnoteReference">
    <w:name w:val="endnote reference"/>
    <w:basedOn w:val="DefaultParagraphFont"/>
    <w:uiPriority w:val="99"/>
    <w:semiHidden/>
    <w:unhideWhenUsed/>
    <w:rsid w:val="005F7CA0"/>
    <w:rPr>
      <w:vertAlign w:val="superscript"/>
    </w:rPr>
  </w:style>
  <w:style w:type="paragraph" w:customStyle="1" w:styleId="tv213">
    <w:name w:val="tv213"/>
    <w:basedOn w:val="Normal"/>
    <w:rsid w:val="00A259C1"/>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EB1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uiPriority w:val="99"/>
    <w:rsid w:val="00D15170"/>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54469D"/>
    <w:rPr>
      <w:color w:val="605E5C"/>
      <w:shd w:val="clear" w:color="auto" w:fill="E1DFDD"/>
    </w:rPr>
  </w:style>
  <w:style w:type="character" w:customStyle="1" w:styleId="ListParagraphChar">
    <w:name w:val="List Paragraph Char"/>
    <w:aliases w:val="2 Char,H&amp;P List Paragraph Char,Saraksta rindkopa Char,Saraksta rindkopa1 Char,Strip Char"/>
    <w:link w:val="ListParagraph"/>
    <w:uiPriority w:val="34"/>
    <w:locked/>
    <w:rsid w:val="00B81506"/>
  </w:style>
  <w:style w:type="character" w:customStyle="1" w:styleId="UnresolvedMention">
    <w:name w:val="Unresolved Mention"/>
    <w:basedOn w:val="DefaultParagraphFont"/>
    <w:uiPriority w:val="99"/>
    <w:semiHidden/>
    <w:unhideWhenUsed/>
    <w:rsid w:val="00573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3798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9441739">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57437660">
      <w:bodyDiv w:val="1"/>
      <w:marLeft w:val="0"/>
      <w:marRight w:val="0"/>
      <w:marTop w:val="0"/>
      <w:marBottom w:val="0"/>
      <w:divBdr>
        <w:top w:val="none" w:sz="0" w:space="0" w:color="auto"/>
        <w:left w:val="none" w:sz="0" w:space="0" w:color="auto"/>
        <w:bottom w:val="none" w:sz="0" w:space="0" w:color="auto"/>
        <w:right w:val="none" w:sz="0" w:space="0" w:color="auto"/>
      </w:divBdr>
    </w:div>
    <w:div w:id="843520184">
      <w:bodyDiv w:val="1"/>
      <w:marLeft w:val="0"/>
      <w:marRight w:val="0"/>
      <w:marTop w:val="0"/>
      <w:marBottom w:val="0"/>
      <w:divBdr>
        <w:top w:val="none" w:sz="0" w:space="0" w:color="auto"/>
        <w:left w:val="none" w:sz="0" w:space="0" w:color="auto"/>
        <w:bottom w:val="none" w:sz="0" w:space="0" w:color="auto"/>
        <w:right w:val="none" w:sz="0" w:space="0" w:color="auto"/>
      </w:divBdr>
      <w:divsChild>
        <w:div w:id="1542938276">
          <w:marLeft w:val="0"/>
          <w:marRight w:val="0"/>
          <w:marTop w:val="0"/>
          <w:marBottom w:val="0"/>
          <w:divBdr>
            <w:top w:val="none" w:sz="0" w:space="0" w:color="auto"/>
            <w:left w:val="none" w:sz="0" w:space="0" w:color="auto"/>
            <w:bottom w:val="none" w:sz="0" w:space="0" w:color="auto"/>
            <w:right w:val="none" w:sz="0" w:space="0" w:color="auto"/>
          </w:divBdr>
        </w:div>
        <w:div w:id="1789084604">
          <w:marLeft w:val="0"/>
          <w:marRight w:val="0"/>
          <w:marTop w:val="0"/>
          <w:marBottom w:val="0"/>
          <w:divBdr>
            <w:top w:val="none" w:sz="0" w:space="0" w:color="auto"/>
            <w:left w:val="none" w:sz="0" w:space="0" w:color="auto"/>
            <w:bottom w:val="none" w:sz="0" w:space="0" w:color="auto"/>
            <w:right w:val="none" w:sz="0" w:space="0" w:color="auto"/>
          </w:divBdr>
        </w:div>
      </w:divsChild>
    </w:div>
    <w:div w:id="1065449776">
      <w:bodyDiv w:val="1"/>
      <w:marLeft w:val="0"/>
      <w:marRight w:val="0"/>
      <w:marTop w:val="0"/>
      <w:marBottom w:val="0"/>
      <w:divBdr>
        <w:top w:val="none" w:sz="0" w:space="0" w:color="auto"/>
        <w:left w:val="none" w:sz="0" w:space="0" w:color="auto"/>
        <w:bottom w:val="none" w:sz="0" w:space="0" w:color="auto"/>
        <w:right w:val="none" w:sz="0" w:space="0" w:color="auto"/>
      </w:divBdr>
    </w:div>
    <w:div w:id="122260123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8305754">
      <w:bodyDiv w:val="1"/>
      <w:marLeft w:val="0"/>
      <w:marRight w:val="0"/>
      <w:marTop w:val="0"/>
      <w:marBottom w:val="0"/>
      <w:divBdr>
        <w:top w:val="none" w:sz="0" w:space="0" w:color="auto"/>
        <w:left w:val="none" w:sz="0" w:space="0" w:color="auto"/>
        <w:bottom w:val="none" w:sz="0" w:space="0" w:color="auto"/>
        <w:right w:val="none" w:sz="0" w:space="0" w:color="auto"/>
      </w:divBdr>
    </w:div>
    <w:div w:id="1739673788">
      <w:bodyDiv w:val="1"/>
      <w:marLeft w:val="0"/>
      <w:marRight w:val="0"/>
      <w:marTop w:val="0"/>
      <w:marBottom w:val="0"/>
      <w:divBdr>
        <w:top w:val="none" w:sz="0" w:space="0" w:color="auto"/>
        <w:left w:val="none" w:sz="0" w:space="0" w:color="auto"/>
        <w:bottom w:val="none" w:sz="0" w:space="0" w:color="auto"/>
        <w:right w:val="none" w:sz="0" w:space="0" w:color="auto"/>
      </w:divBdr>
    </w:div>
    <w:div w:id="198057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5/1589/oj/?locale=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eksandrs-martins.blums@izm.gov.lv" TargetMode="External"/><Relationship Id="rId4" Type="http://schemas.openxmlformats.org/officeDocument/2006/relationships/settings" Target="settings.xml"/><Relationship Id="rId9" Type="http://schemas.openxmlformats.org/officeDocument/2006/relationships/hyperlink" Target="https://sciencelatvia.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lv/TXT/?uri=CELEX:32020R0972" TargetMode="External"/><Relationship Id="rId2" Type="http://schemas.openxmlformats.org/officeDocument/2006/relationships/hyperlink" Target="https://curia.europa.eu/juris/liste.jsf?num=C-349/17&amp;language=LV" TargetMode="External"/><Relationship Id="rId1" Type="http://schemas.openxmlformats.org/officeDocument/2006/relationships/hyperlink" Target="https://www.hlrs.de/about-us/research/current-projects/euro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709DC-0599-4438-95A2-ECC65F2E1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19128</Words>
  <Characters>10904</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29973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Sandra Obodova</cp:lastModifiedBy>
  <cp:revision>2</cp:revision>
  <dcterms:created xsi:type="dcterms:W3CDTF">2021-06-15T07:13:00Z</dcterms:created>
  <dcterms:modified xsi:type="dcterms:W3CDTF">2021-06-15T07:13:00Z</dcterms:modified>
</cp:coreProperties>
</file>