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981D" w14:textId="77777777" w:rsidR="00AD71C0" w:rsidRDefault="00AD71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Projekts</w:t>
      </w:r>
    </w:p>
    <w:p w14:paraId="5E5E6ABF" w14:textId="77777777" w:rsidR="00AD71C0" w:rsidRDefault="00AD71C0">
      <w:pPr>
        <w:rPr>
          <w:rFonts w:ascii="Times New Roman" w:hAnsi="Times New Roman"/>
          <w:sz w:val="28"/>
          <w:szCs w:val="28"/>
        </w:rPr>
      </w:pPr>
    </w:p>
    <w:p w14:paraId="673215E6" w14:textId="77777777" w:rsidR="00AD71C0" w:rsidRDefault="00AD71C0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LATVIJAS REPUBLIKAS MINISTRU KABINETS</w:t>
      </w:r>
    </w:p>
    <w:p w14:paraId="077F03B5" w14:textId="77777777" w:rsidR="00AD71C0" w:rsidRDefault="00AD71C0">
      <w:pPr>
        <w:rPr>
          <w:rFonts w:ascii="Times New Roman" w:eastAsia="Arial Unicode MS" w:hAnsi="Times New Roman"/>
          <w:sz w:val="28"/>
          <w:szCs w:val="28"/>
        </w:rPr>
      </w:pPr>
    </w:p>
    <w:p w14:paraId="2EBDE07E" w14:textId="77777777" w:rsidR="00AD71C0" w:rsidRDefault="00AD71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2021.gada ___._________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Noteikumi Nr.___ </w:t>
      </w:r>
    </w:p>
    <w:p w14:paraId="4559FBEB" w14:textId="77777777" w:rsidR="00AD71C0" w:rsidRDefault="00AD71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 (prot. Nr.___ ___ §)</w:t>
      </w:r>
    </w:p>
    <w:p w14:paraId="28223E6A" w14:textId="77777777" w:rsidR="00AD71C0" w:rsidRDefault="00AD71C0">
      <w:pPr>
        <w:pStyle w:val="naislab"/>
        <w:tabs>
          <w:tab w:val="left" w:pos="6480"/>
        </w:tabs>
        <w:spacing w:before="0" w:beforeAutospacing="0" w:after="0" w:afterAutospacing="0"/>
        <w:contextualSpacing/>
        <w:jc w:val="left"/>
        <w:rPr>
          <w:sz w:val="28"/>
          <w:szCs w:val="28"/>
          <w:lang w:val="lv-LV"/>
        </w:rPr>
      </w:pPr>
    </w:p>
    <w:p w14:paraId="44C12C65" w14:textId="77777777" w:rsidR="00AD71C0" w:rsidRDefault="00AD7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Ministru kabineta 2015.gada 25.augusta noteikumos Nr.495 „Kārtība, kādā piešķir un anulē profesionālās izglītības kompetences centra statusu mākslas, mūzikas vai dejas jomā”</w:t>
      </w:r>
    </w:p>
    <w:p w14:paraId="41D0E7E6" w14:textId="77777777" w:rsidR="00AD71C0" w:rsidRDefault="00AD71C0">
      <w:pPr>
        <w:rPr>
          <w:rFonts w:ascii="Times New Roman" w:hAnsi="Times New Roman"/>
          <w:sz w:val="28"/>
          <w:szCs w:val="28"/>
        </w:rPr>
      </w:pPr>
    </w:p>
    <w:p w14:paraId="065D27CB" w14:textId="77777777" w:rsidR="00AD71C0" w:rsidRDefault="00AD71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Izdoti saskaņā ar </w:t>
      </w:r>
      <w:hyperlink r:id="rId7" w:history="1">
        <w:r>
          <w:rPr>
            <w:rFonts w:ascii="Times New Roman" w:hAnsi="Times New Roman"/>
            <w:sz w:val="28"/>
            <w:szCs w:val="28"/>
          </w:rPr>
          <w:t>Profesionālās izglītības likuma</w:t>
        </w:r>
      </w:hyperlink>
    </w:p>
    <w:p w14:paraId="3ECC43EE" w14:textId="77777777" w:rsidR="00AD71C0" w:rsidRDefault="00AD71C0">
      <w:pPr>
        <w:pStyle w:val="Pamattekstaatkpe3"/>
        <w:spacing w:after="0"/>
        <w:ind w:left="0"/>
        <w:jc w:val="right"/>
        <w:rPr>
          <w:sz w:val="28"/>
          <w:szCs w:val="28"/>
          <w:lang w:val="lv-LV"/>
        </w:rPr>
      </w:pPr>
      <w:r w:rsidRPr="007F01CD">
        <w:rPr>
          <w:rFonts w:eastAsia="Calibri"/>
          <w:sz w:val="28"/>
          <w:szCs w:val="28"/>
        </w:rPr>
        <w:t xml:space="preserve">7.panta 11.punktu un </w:t>
      </w:r>
      <w:r w:rsidRPr="005E3111">
        <w:rPr>
          <w:rFonts w:eastAsia="Calibri"/>
          <w:sz w:val="28"/>
          <w:szCs w:val="28"/>
          <w:lang w:val="lv-LV"/>
        </w:rPr>
        <w:t>15.</w:t>
      </w:r>
      <w:r w:rsidRPr="005E3111">
        <w:rPr>
          <w:rFonts w:eastAsia="Calibri"/>
          <w:sz w:val="28"/>
          <w:szCs w:val="28"/>
          <w:vertAlign w:val="superscript"/>
          <w:lang w:val="lv-LV"/>
        </w:rPr>
        <w:t xml:space="preserve">1 </w:t>
      </w:r>
      <w:r w:rsidRPr="005E3111">
        <w:rPr>
          <w:iCs/>
          <w:sz w:val="28"/>
          <w:szCs w:val="28"/>
          <w:lang w:val="lv-LV"/>
        </w:rPr>
        <w:t>panta 1.</w:t>
      </w:r>
      <w:r w:rsidRPr="005E3111">
        <w:rPr>
          <w:rFonts w:eastAsia="Calibri"/>
          <w:sz w:val="28"/>
          <w:szCs w:val="28"/>
          <w:vertAlign w:val="superscript"/>
          <w:lang w:val="lv-LV"/>
        </w:rPr>
        <w:t xml:space="preserve">1 </w:t>
      </w:r>
      <w:r w:rsidRPr="005E3111">
        <w:rPr>
          <w:iCs/>
          <w:sz w:val="28"/>
          <w:szCs w:val="28"/>
          <w:lang w:val="lv-LV"/>
        </w:rPr>
        <w:t>daļu</w:t>
      </w:r>
    </w:p>
    <w:p w14:paraId="3D56C93E" w14:textId="77777777" w:rsidR="00AD71C0" w:rsidRDefault="00AD71C0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457329D0" w14:textId="0E7D8549" w:rsidR="00AD71C0" w:rsidRDefault="00AD71C0" w:rsidP="00AA3DDE">
      <w:pPr>
        <w:pStyle w:val="Pamattekstaatkpe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Izdarīt Ministru kabineta 2015.gada 25.augusta noteikumos Nr.495 „Kārtība, kādā piešķir un anulē profesionālās izglītības kompetences centra statusu mākslas, mūzikas vai dejas jomā” (Latvijas Vēstnesis, 2015, 171.nr.) šādus grozījumus:</w:t>
      </w:r>
    </w:p>
    <w:p w14:paraId="6E17E5AE" w14:textId="77777777" w:rsidR="00AD71C0" w:rsidRDefault="00AD71C0">
      <w:pPr>
        <w:pStyle w:val="Pamattekstaatkpe3"/>
        <w:spacing w:after="0"/>
        <w:ind w:left="0"/>
        <w:jc w:val="both"/>
        <w:rPr>
          <w:color w:val="000000"/>
          <w:sz w:val="28"/>
          <w:szCs w:val="28"/>
          <w:lang w:val="lv-LV"/>
        </w:rPr>
      </w:pPr>
    </w:p>
    <w:p w14:paraId="25D32B3D" w14:textId="006F0842" w:rsidR="00AD71C0" w:rsidRDefault="00AD71C0" w:rsidP="00AA3DDE">
      <w:pPr>
        <w:pStyle w:val="Pamattekstaatkpe3"/>
        <w:numPr>
          <w:ilvl w:val="1"/>
          <w:numId w:val="3"/>
        </w:numPr>
        <w:tabs>
          <w:tab w:val="left" w:pos="1276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izteikt 2.2.3.apakšpunktu šādā redakcijā:</w:t>
      </w:r>
    </w:p>
    <w:p w14:paraId="312E93B6" w14:textId="77777777" w:rsidR="00AD71C0" w:rsidRDefault="00AD71C0">
      <w:pPr>
        <w:pStyle w:val="Pamattekstaatkpe3"/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„2.2.3. nepietiekama mācību sasniegumu vērtējuma vai neattaisnotu mācību kavējumu dēļ ir atskaitīti ne vairāk kā septiņi procenti no izglītojamiem, kuri mācās attiecīgajā izglītības iestādē;”</w:t>
      </w:r>
      <w:r w:rsidR="0082627D">
        <w:rPr>
          <w:sz w:val="28"/>
          <w:szCs w:val="28"/>
          <w:lang w:val="lv-LV"/>
        </w:rPr>
        <w:t>;</w:t>
      </w:r>
    </w:p>
    <w:p w14:paraId="62E56AB5" w14:textId="77777777" w:rsidR="00AD71C0" w:rsidRDefault="00AD71C0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163B876F" w14:textId="3E9C6B12" w:rsidR="00AD71C0" w:rsidRDefault="00AD71C0" w:rsidP="00AA3DDE">
      <w:pPr>
        <w:pStyle w:val="Pamattekstaatkpe3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svītrot 2.4.2.apakšpunktā vārdus „kultūras nozarē strādājošo”;</w:t>
      </w:r>
    </w:p>
    <w:p w14:paraId="04C77376" w14:textId="77777777" w:rsidR="00AD71C0" w:rsidRDefault="00AD71C0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72A529F1" w14:textId="77777777" w:rsidR="00AD71C0" w:rsidRDefault="00AD71C0" w:rsidP="00AA3DDE">
      <w:pPr>
        <w:pStyle w:val="Pamattekstaatkpe3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izteikt 2.5.1.apakšpunktu šādā redakcijā:</w:t>
      </w:r>
    </w:p>
    <w:p w14:paraId="4546E59B" w14:textId="77777777" w:rsidR="00AD71C0" w:rsidRDefault="00AD71C0">
      <w:pPr>
        <w:pStyle w:val="Pamattekstaatkpe3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„2.5.1. sadarbībā ar citām profesionālās izglītības iestādēm un atbilstošām nozares profesionālajām organizācijām</w:t>
      </w:r>
      <w:r w:rsidR="005E3111">
        <w:rPr>
          <w:sz w:val="28"/>
          <w:szCs w:val="28"/>
          <w:lang w:val="lv-LV"/>
        </w:rPr>
        <w:t xml:space="preserve"> izstrādā,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  <w:lang w:val="lv-LV"/>
        </w:rPr>
        <w:t>aktualizē un pilnveido profesionālās izglītības programmu saturu atbilstošo nozaru profesijās</w:t>
      </w:r>
      <w:r w:rsidR="00763E29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”;</w:t>
      </w:r>
    </w:p>
    <w:p w14:paraId="4BE34A3E" w14:textId="77777777" w:rsidR="00A62F40" w:rsidRDefault="00A62F40" w:rsidP="00FC79DC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69A40BAE" w14:textId="64B66CB7" w:rsidR="00A62F40" w:rsidRDefault="00750791" w:rsidP="00AA3DDE">
      <w:pPr>
        <w:pStyle w:val="Pamattekstaatkpe3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izteikt</w:t>
      </w:r>
      <w:r w:rsidR="00A62F40">
        <w:rPr>
          <w:sz w:val="28"/>
          <w:szCs w:val="28"/>
          <w:lang w:val="lv-LV"/>
        </w:rPr>
        <w:t xml:space="preserve"> </w:t>
      </w:r>
      <w:r w:rsidR="008E2A4B">
        <w:rPr>
          <w:sz w:val="28"/>
          <w:szCs w:val="28"/>
          <w:lang w:val="lv-LV"/>
        </w:rPr>
        <w:t>2.5.</w:t>
      </w:r>
      <w:r w:rsidR="007B1595">
        <w:rPr>
          <w:sz w:val="28"/>
          <w:szCs w:val="28"/>
          <w:lang w:val="lv-LV"/>
        </w:rPr>
        <w:t>3</w:t>
      </w:r>
      <w:r w:rsidR="008E2A4B">
        <w:rPr>
          <w:sz w:val="28"/>
          <w:szCs w:val="28"/>
          <w:lang w:val="lv-LV"/>
        </w:rPr>
        <w:t xml:space="preserve">.apakšpunktā </w:t>
      </w:r>
      <w:r w:rsidR="007B1595">
        <w:rPr>
          <w:sz w:val="28"/>
          <w:szCs w:val="28"/>
          <w:lang w:val="lv-LV"/>
        </w:rPr>
        <w:t>šādā redakcijā:</w:t>
      </w:r>
    </w:p>
    <w:p w14:paraId="55610646" w14:textId="11C479FE" w:rsidR="00A62F40" w:rsidRDefault="00750791" w:rsidP="000012D7">
      <w:pPr>
        <w:pStyle w:val="Pamattekstaatkpe3"/>
        <w:spacing w:after="0"/>
        <w:ind w:left="0" w:firstLine="720"/>
        <w:jc w:val="both"/>
        <w:rPr>
          <w:sz w:val="28"/>
          <w:szCs w:val="28"/>
          <w:lang w:val="lv-LV"/>
        </w:rPr>
      </w:pPr>
      <w:r w:rsidRPr="00750791">
        <w:rPr>
          <w:sz w:val="28"/>
          <w:szCs w:val="28"/>
          <w:lang w:val="lv-LV"/>
        </w:rPr>
        <w:t>„2.5.</w:t>
      </w:r>
      <w:r w:rsidR="007B1595">
        <w:rPr>
          <w:sz w:val="28"/>
          <w:szCs w:val="28"/>
          <w:lang w:val="lv-LV"/>
        </w:rPr>
        <w:t>3</w:t>
      </w:r>
      <w:r w:rsidRPr="00750791">
        <w:rPr>
          <w:sz w:val="28"/>
          <w:szCs w:val="28"/>
          <w:lang w:val="lv-LV"/>
        </w:rPr>
        <w:t>.</w:t>
      </w:r>
      <w:r w:rsidR="008F01DA">
        <w:rPr>
          <w:sz w:val="28"/>
          <w:szCs w:val="28"/>
          <w:lang w:val="lv-LV"/>
        </w:rPr>
        <w:t> </w:t>
      </w:r>
      <w:r w:rsidR="007B1595" w:rsidRPr="007B1595">
        <w:rPr>
          <w:sz w:val="28"/>
          <w:szCs w:val="28"/>
          <w:lang w:val="lv-LV"/>
        </w:rPr>
        <w:t>organizē seminārus, konferences, konkursus</w:t>
      </w:r>
      <w:r w:rsidR="007B1595">
        <w:rPr>
          <w:sz w:val="28"/>
          <w:szCs w:val="28"/>
          <w:lang w:val="lv-LV"/>
        </w:rPr>
        <w:t xml:space="preserve"> un</w:t>
      </w:r>
      <w:r w:rsidR="007B1595" w:rsidRPr="007B1595">
        <w:rPr>
          <w:sz w:val="28"/>
          <w:szCs w:val="28"/>
          <w:lang w:val="lv-LV"/>
        </w:rPr>
        <w:t xml:space="preserve"> olimpiādes izglītojamiem un pedagogiem gan valsts, gan starptautiskā līmenī;</w:t>
      </w:r>
      <w:r w:rsidR="007B1595">
        <w:rPr>
          <w:sz w:val="28"/>
          <w:szCs w:val="28"/>
          <w:lang w:val="lv-LV"/>
        </w:rPr>
        <w:t>”</w:t>
      </w:r>
      <w:r w:rsidR="00763E29">
        <w:rPr>
          <w:sz w:val="28"/>
          <w:szCs w:val="28"/>
          <w:lang w:val="lv-LV"/>
        </w:rPr>
        <w:t>;</w:t>
      </w:r>
    </w:p>
    <w:p w14:paraId="063A9322" w14:textId="77777777" w:rsidR="00750791" w:rsidRDefault="00750791" w:rsidP="00FC79DC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102B41D1" w14:textId="3988CC28" w:rsidR="00A62F40" w:rsidRDefault="00A62F40" w:rsidP="00AA3DDE">
      <w:pPr>
        <w:pStyle w:val="Pamattekstaatkpe3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papildināt </w:t>
      </w:r>
      <w:r w:rsidR="008F01DA">
        <w:rPr>
          <w:sz w:val="28"/>
          <w:szCs w:val="28"/>
          <w:lang w:val="lv-LV"/>
        </w:rPr>
        <w:t>noteikumus</w:t>
      </w:r>
      <w:r>
        <w:rPr>
          <w:sz w:val="28"/>
          <w:szCs w:val="28"/>
          <w:lang w:val="lv-LV"/>
        </w:rPr>
        <w:t xml:space="preserve"> ar 2.5.6.</w:t>
      </w:r>
      <w:r w:rsidR="008B41C9">
        <w:rPr>
          <w:sz w:val="28"/>
          <w:szCs w:val="28"/>
          <w:lang w:val="lv-LV"/>
        </w:rPr>
        <w:t>apakš</w:t>
      </w:r>
      <w:r>
        <w:rPr>
          <w:sz w:val="28"/>
          <w:szCs w:val="28"/>
          <w:lang w:val="lv-LV"/>
        </w:rPr>
        <w:t>punktu šādā redakcijā:</w:t>
      </w:r>
    </w:p>
    <w:p w14:paraId="6688A6D2" w14:textId="77777777" w:rsidR="00A62F40" w:rsidRDefault="00A62F40">
      <w:pPr>
        <w:pStyle w:val="Pamattekstaatkpe3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„2.5.6. organizē metodiskos</w:t>
      </w:r>
      <w:r w:rsidR="00A03DB8">
        <w:rPr>
          <w:sz w:val="28"/>
          <w:szCs w:val="28"/>
          <w:lang w:val="lv-LV"/>
        </w:rPr>
        <w:t xml:space="preserve"> un tālākizglītības</w:t>
      </w:r>
      <w:r>
        <w:rPr>
          <w:sz w:val="28"/>
          <w:szCs w:val="28"/>
          <w:lang w:val="lv-LV"/>
        </w:rPr>
        <w:t xml:space="preserve"> pasākumus pedagogiem, nodrošinot mācību gadā </w:t>
      </w:r>
      <w:r w:rsidR="008236B0">
        <w:rPr>
          <w:sz w:val="28"/>
          <w:szCs w:val="28"/>
          <w:lang w:val="lv-LV"/>
        </w:rPr>
        <w:t xml:space="preserve">atbilstošā nozarē </w:t>
      </w:r>
      <w:r>
        <w:rPr>
          <w:sz w:val="28"/>
          <w:szCs w:val="28"/>
          <w:lang w:val="lv-LV"/>
        </w:rPr>
        <w:t>vismaz divus pasākumus un vismaz divus pasākumus</w:t>
      </w:r>
      <w:r w:rsidR="00BD7ADD">
        <w:rPr>
          <w:sz w:val="28"/>
          <w:szCs w:val="28"/>
          <w:lang w:val="lv-LV"/>
        </w:rPr>
        <w:t>, pildot</w:t>
      </w:r>
      <w:r>
        <w:rPr>
          <w:sz w:val="28"/>
          <w:szCs w:val="28"/>
          <w:lang w:val="lv-LV"/>
        </w:rPr>
        <w:t xml:space="preserve"> reģionā</w:t>
      </w:r>
      <w:r w:rsidR="00BD7ADD">
        <w:rPr>
          <w:sz w:val="28"/>
          <w:szCs w:val="28"/>
          <w:lang w:val="lv-LV"/>
        </w:rPr>
        <w:t xml:space="preserve">lā metodiskā centra funkcijas </w:t>
      </w:r>
      <w:r>
        <w:rPr>
          <w:sz w:val="28"/>
          <w:szCs w:val="28"/>
          <w:lang w:val="lv-LV"/>
        </w:rPr>
        <w:t>profesionālās ievirzes izglītības iestādēm</w:t>
      </w:r>
      <w:r w:rsidR="004220DE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”</w:t>
      </w:r>
      <w:r w:rsidR="00A03DB8">
        <w:rPr>
          <w:sz w:val="28"/>
          <w:szCs w:val="28"/>
          <w:lang w:val="lv-LV"/>
        </w:rPr>
        <w:t>;</w:t>
      </w:r>
    </w:p>
    <w:p w14:paraId="2374B376" w14:textId="77777777" w:rsidR="00AD71C0" w:rsidRDefault="00AD71C0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4F15824B" w14:textId="1B107D4F" w:rsidR="00AD71C0" w:rsidRDefault="00AD71C0" w:rsidP="00AA3DDE">
      <w:pPr>
        <w:pStyle w:val="Pamattekstaatkpe3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izteikt 2.7.apak</w:t>
      </w:r>
      <w:r w:rsidR="000E6320">
        <w:rPr>
          <w:sz w:val="28"/>
          <w:szCs w:val="28"/>
          <w:lang w:val="lv-LV"/>
        </w:rPr>
        <w:t>š</w:t>
      </w:r>
      <w:r>
        <w:rPr>
          <w:sz w:val="28"/>
          <w:szCs w:val="28"/>
          <w:lang w:val="lv-LV"/>
        </w:rPr>
        <w:t>punktu šādā redakcijā:</w:t>
      </w:r>
    </w:p>
    <w:p w14:paraId="07345B94" w14:textId="77777777" w:rsidR="00AD71C0" w:rsidRDefault="00AD71C0">
      <w:pPr>
        <w:pStyle w:val="Pamattekstaatkpe3"/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„2.7. piesaista investīcijas infrastruktūrai, mācību aprīkojumam, mācību un radošiem projektiem no Eiropas Savienības fondiem, valsts, pašvaldību un citiem avotiem, sadarbojas ar citiem finanšu instrumentu sniedzējiem</w:t>
      </w:r>
      <w:r w:rsidR="00763E29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”;</w:t>
      </w:r>
    </w:p>
    <w:p w14:paraId="7EA9F88E" w14:textId="77777777" w:rsidR="00644D07" w:rsidRDefault="00644D07" w:rsidP="00FC79DC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59B15DD7" w14:textId="1A91AF87" w:rsidR="00AD71C0" w:rsidRDefault="00AD71C0" w:rsidP="00AA3DDE">
      <w:pPr>
        <w:pStyle w:val="Pamattekstaatkpe3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izteikt 5.punktu šādā redakcijā:</w:t>
      </w:r>
    </w:p>
    <w:p w14:paraId="0469DD7F" w14:textId="45758C82" w:rsidR="00AD71C0" w:rsidRDefault="00AD71C0">
      <w:pPr>
        <w:pStyle w:val="Pamattekstaatkpe3"/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„5. Vērtējot izglītības iestādes atbilstību šo noteikumu 2.1.apakšpunktā minētajiem kritērijiem, centrs pamatojas uz Valsts izglītības informācijas sistēmas datiem,</w:t>
      </w:r>
      <w:r w:rsidR="002D2FC4">
        <w:rPr>
          <w:sz w:val="28"/>
          <w:szCs w:val="28"/>
          <w:lang w:val="lv-LV"/>
        </w:rPr>
        <w:t xml:space="preserve"> bet, vērtējot atbilstību šo noteikumu 2.2.apakšpu</w:t>
      </w:r>
      <w:r w:rsidR="000552CA">
        <w:rPr>
          <w:sz w:val="28"/>
          <w:szCs w:val="28"/>
          <w:lang w:val="lv-LV"/>
        </w:rPr>
        <w:t xml:space="preserve">nktā minētajiem kritērijiem, </w:t>
      </w:r>
      <w:r w:rsidR="00822894">
        <w:rPr>
          <w:sz w:val="28"/>
          <w:szCs w:val="28"/>
          <w:lang w:val="lv-LV"/>
        </w:rPr>
        <w:t xml:space="preserve">– </w:t>
      </w:r>
      <w:r w:rsidR="000552CA">
        <w:rPr>
          <w:sz w:val="28"/>
          <w:szCs w:val="28"/>
          <w:lang w:val="lv-LV"/>
        </w:rPr>
        <w:t>uz</w:t>
      </w:r>
      <w:r w:rsidR="002D2FC4">
        <w:rPr>
          <w:sz w:val="28"/>
          <w:szCs w:val="28"/>
          <w:lang w:val="lv-LV"/>
        </w:rPr>
        <w:t xml:space="preserve"> centra</w:t>
      </w:r>
      <w:r w:rsidR="00147999">
        <w:rPr>
          <w:sz w:val="28"/>
          <w:szCs w:val="28"/>
          <w:lang w:val="lv-LV"/>
        </w:rPr>
        <w:t>, Izglītības kvalitātes valsts dienesta</w:t>
      </w:r>
      <w:r w:rsidR="002D2FC4">
        <w:rPr>
          <w:sz w:val="28"/>
          <w:szCs w:val="28"/>
          <w:lang w:val="lv-LV"/>
        </w:rPr>
        <w:t xml:space="preserve"> un Valsts izglītības satura centra</w:t>
      </w:r>
      <w:r w:rsidR="00993911">
        <w:rPr>
          <w:sz w:val="28"/>
          <w:szCs w:val="28"/>
          <w:lang w:val="lv-LV"/>
        </w:rPr>
        <w:t xml:space="preserve"> tīmekļvietnēs publiski pieejamās informācijas </w:t>
      </w:r>
      <w:r w:rsidR="002D2FC4">
        <w:rPr>
          <w:sz w:val="28"/>
          <w:szCs w:val="28"/>
          <w:lang w:val="lv-LV"/>
        </w:rPr>
        <w:t>attiecīgā mācību gada 1.oktobr</w:t>
      </w:r>
      <w:r w:rsidR="00147999">
        <w:rPr>
          <w:sz w:val="28"/>
          <w:szCs w:val="28"/>
          <w:lang w:val="lv-LV"/>
        </w:rPr>
        <w:t>ī</w:t>
      </w:r>
      <w:r w:rsidR="00763E2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”;</w:t>
      </w:r>
    </w:p>
    <w:p w14:paraId="6C630330" w14:textId="77777777" w:rsidR="00AD71C0" w:rsidRDefault="00AD71C0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2D7E2F2A" w14:textId="19A572D1" w:rsidR="00AD71C0" w:rsidRDefault="00AD71C0" w:rsidP="00AA3DDE">
      <w:pPr>
        <w:pStyle w:val="Pamattekstaatkpe3"/>
        <w:numPr>
          <w:ilvl w:val="1"/>
          <w:numId w:val="1"/>
        </w:numPr>
        <w:tabs>
          <w:tab w:val="left" w:pos="1276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izteikt 9.punktu šādā redakcijā:</w:t>
      </w:r>
    </w:p>
    <w:p w14:paraId="5CE4394B" w14:textId="77777777" w:rsidR="00AD71C0" w:rsidRDefault="00AD71C0">
      <w:pPr>
        <w:pStyle w:val="Pamattekstaatkpe3"/>
        <w:spacing w:after="0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„9. Izglītības iestāde, kurai piešķirts kompetences centra statuss, katru gadu līdz 15.oktobrim elektroniski nosūta centram ar drošu elektronisko parakstu parakstītu un ar izglītības iestādes dibinātāju saskaņotu</w:t>
      </w:r>
      <w:r w:rsidR="000D37F1">
        <w:rPr>
          <w:sz w:val="28"/>
          <w:szCs w:val="28"/>
          <w:lang w:val="lv-LV"/>
        </w:rPr>
        <w:t xml:space="preserve"> normatīvajos aktos noteikto izglītības iestādes</w:t>
      </w:r>
      <w:r>
        <w:rPr>
          <w:sz w:val="28"/>
          <w:szCs w:val="28"/>
          <w:lang w:val="lv-LV"/>
        </w:rPr>
        <w:t xml:space="preserve"> </w:t>
      </w:r>
      <w:r w:rsidR="000D37F1">
        <w:rPr>
          <w:sz w:val="28"/>
          <w:szCs w:val="28"/>
          <w:lang w:val="lv-LV"/>
        </w:rPr>
        <w:t>p</w:t>
      </w:r>
      <w:r>
        <w:rPr>
          <w:sz w:val="28"/>
          <w:szCs w:val="28"/>
          <w:lang w:val="lv-LV"/>
        </w:rPr>
        <w:t>ašnovērtējuma ziņojumu kopā ar informāciju, kas apliecina izglītības iestādes atbilstību šo noteikumu 2.punktā minētajiem kritērijiem uz attiecīgā gada 1.oktobri</w:t>
      </w:r>
      <w:r w:rsidR="00763E2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”.</w:t>
      </w:r>
    </w:p>
    <w:p w14:paraId="3A76E6AF" w14:textId="77777777" w:rsidR="00AD71C0" w:rsidRDefault="00AD71C0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7E7CABC0" w14:textId="77777777" w:rsidR="00AD71C0" w:rsidRDefault="00AD71C0" w:rsidP="00A62F40">
      <w:pPr>
        <w:pStyle w:val="Pamattekstaatkpe3"/>
        <w:numPr>
          <w:ilvl w:val="0"/>
          <w:numId w:val="1"/>
        </w:numPr>
        <w:spacing w:after="0"/>
        <w:ind w:left="1080" w:hanging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Noteikumi stājas spēkā 2021.gada 1.septembrī.</w:t>
      </w:r>
    </w:p>
    <w:p w14:paraId="0FD5DF56" w14:textId="77777777" w:rsidR="00AD71C0" w:rsidRDefault="00AD71C0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1AE5A004" w14:textId="77777777" w:rsidR="00AD71C0" w:rsidRDefault="00AD71C0">
      <w:pPr>
        <w:pStyle w:val="Pamattekstaatkpe3"/>
        <w:spacing w:after="0"/>
        <w:ind w:left="0"/>
        <w:jc w:val="both"/>
        <w:rPr>
          <w:sz w:val="28"/>
          <w:szCs w:val="28"/>
          <w:lang w:val="lv-LV"/>
        </w:rPr>
      </w:pPr>
    </w:p>
    <w:p w14:paraId="76386EA6" w14:textId="77777777" w:rsidR="00AD71C0" w:rsidRDefault="00AD71C0">
      <w:pPr>
        <w:pStyle w:val="StyleRight"/>
        <w:spacing w:after="0"/>
        <w:ind w:firstLine="0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A.K.Kariņš</w:t>
      </w:r>
    </w:p>
    <w:p w14:paraId="6DF9D528" w14:textId="77777777" w:rsidR="00AD71C0" w:rsidRDefault="00AD71C0">
      <w:pPr>
        <w:pStyle w:val="StyleRight"/>
        <w:spacing w:after="0"/>
        <w:ind w:firstLine="0"/>
        <w:jc w:val="both"/>
      </w:pPr>
    </w:p>
    <w:p w14:paraId="24734D4E" w14:textId="77777777" w:rsidR="00AD71C0" w:rsidRDefault="00AD71C0">
      <w:pPr>
        <w:pStyle w:val="Parasts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N.Puntulis</w:t>
      </w:r>
    </w:p>
    <w:p w14:paraId="766960DB" w14:textId="77777777" w:rsidR="00AD71C0" w:rsidRDefault="00AD71C0" w:rsidP="000012D7">
      <w:pPr>
        <w:pStyle w:val="Parasts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B5A240" w14:textId="77777777" w:rsidR="00AD71C0" w:rsidRDefault="00AD71C0">
      <w:pPr>
        <w:pStyle w:val="naisf"/>
        <w:spacing w:before="0" w:after="0"/>
        <w:ind w:firstLine="0"/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14:paraId="2A1E5249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6847769C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189E3270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0801BE85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45F6A0E6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21877451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64861C51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07F947EA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0148927C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5828548B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1E404CDD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23D17C99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36A5C9E8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113F9855" w14:textId="77777777" w:rsidR="00AD71C0" w:rsidRDefault="00AD71C0">
      <w:pPr>
        <w:spacing w:after="0" w:line="240" w:lineRule="auto"/>
        <w:jc w:val="both"/>
        <w:rPr>
          <w:rFonts w:ascii="Times New Roman" w:hAnsi="Times New Roman"/>
        </w:rPr>
      </w:pPr>
    </w:p>
    <w:p w14:paraId="4FC3C08E" w14:textId="77777777" w:rsidR="00AD71C0" w:rsidRDefault="00AD71C0">
      <w:pPr>
        <w:pStyle w:val="Galvene"/>
        <w:rPr>
          <w:sz w:val="22"/>
          <w:szCs w:val="22"/>
          <w:lang w:val="lv-LV"/>
        </w:rPr>
      </w:pPr>
    </w:p>
    <w:p w14:paraId="23BEF2F6" w14:textId="77777777" w:rsidR="00842F6C" w:rsidRPr="00842F6C" w:rsidRDefault="00842F6C" w:rsidP="005E3111">
      <w:pPr>
        <w:pStyle w:val="StyleRight"/>
        <w:tabs>
          <w:tab w:val="right" w:pos="9071"/>
        </w:tabs>
        <w:spacing w:after="0"/>
        <w:ind w:firstLine="0"/>
        <w:jc w:val="both"/>
        <w:rPr>
          <w:sz w:val="20"/>
          <w:szCs w:val="20"/>
        </w:rPr>
      </w:pPr>
      <w:r w:rsidRPr="00842F6C">
        <w:rPr>
          <w:sz w:val="20"/>
          <w:szCs w:val="20"/>
        </w:rPr>
        <w:t>Beinaroviča 26574092</w:t>
      </w:r>
    </w:p>
    <w:p w14:paraId="6F7B8601" w14:textId="77777777" w:rsidR="00AD71C0" w:rsidRDefault="00B14411" w:rsidP="005E3111">
      <w:pPr>
        <w:tabs>
          <w:tab w:val="center" w:pos="4153"/>
          <w:tab w:val="right" w:pos="8306"/>
        </w:tabs>
        <w:spacing w:after="0" w:line="240" w:lineRule="auto"/>
        <w:rPr>
          <w:sz w:val="20"/>
          <w:szCs w:val="20"/>
        </w:rPr>
      </w:pPr>
      <w:hyperlink r:id="rId8" w:history="1">
        <w:r w:rsidR="00842F6C" w:rsidRPr="00842F6C">
          <w:rPr>
            <w:rFonts w:ascii="Times New Roman" w:hAnsi="Times New Roman"/>
            <w:color w:val="0000FF"/>
            <w:sz w:val="20"/>
            <w:szCs w:val="20"/>
            <w:u w:val="single"/>
          </w:rPr>
          <w:t>Baiba.Beinarovica@lnkc.gov.lv</w:t>
        </w:r>
      </w:hyperlink>
    </w:p>
    <w:sectPr w:rsidR="00AD71C0" w:rsidSect="005E3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D68E" w14:textId="77777777" w:rsidR="009F5426" w:rsidRDefault="009F5426">
      <w:pPr>
        <w:spacing w:after="0" w:line="240" w:lineRule="auto"/>
      </w:pPr>
      <w:r>
        <w:separator/>
      </w:r>
    </w:p>
  </w:endnote>
  <w:endnote w:type="continuationSeparator" w:id="0">
    <w:p w14:paraId="47B988B3" w14:textId="77777777" w:rsidR="009F5426" w:rsidRDefault="009F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99B4" w14:textId="77777777" w:rsidR="00B14411" w:rsidRDefault="00B1441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5F8D" w14:textId="145374D0" w:rsidR="00AD71C0" w:rsidRDefault="00AD71C0">
    <w:pPr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KMNot_</w:t>
    </w:r>
    <w:r w:rsidR="00B14411">
      <w:rPr>
        <w:rFonts w:ascii="Times New Roman" w:hAnsi="Times New Roman"/>
        <w:sz w:val="20"/>
        <w:szCs w:val="20"/>
      </w:rPr>
      <w:t>28</w:t>
    </w:r>
    <w:r>
      <w:rPr>
        <w:rFonts w:ascii="Times New Roman" w:hAnsi="Times New Roman"/>
        <w:sz w:val="20"/>
        <w:szCs w:val="20"/>
      </w:rPr>
      <w:t>0</w:t>
    </w:r>
    <w:r w:rsidR="001F6DD9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>21_groz_495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579C" w14:textId="6A6ED72A" w:rsidR="00AD71C0" w:rsidRDefault="00AD71C0">
    <w:pPr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KMNot_</w:t>
    </w:r>
    <w:r w:rsidR="00B14411">
      <w:rPr>
        <w:rFonts w:ascii="Times New Roman" w:hAnsi="Times New Roman"/>
        <w:sz w:val="20"/>
        <w:szCs w:val="20"/>
      </w:rPr>
      <w:t>28</w:t>
    </w:r>
    <w:r>
      <w:rPr>
        <w:rFonts w:ascii="Times New Roman" w:hAnsi="Times New Roman"/>
        <w:sz w:val="20"/>
        <w:szCs w:val="20"/>
      </w:rPr>
      <w:t>0</w:t>
    </w:r>
    <w:r w:rsidR="001F6DD9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>21_groz_495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8D6B7" w14:textId="77777777" w:rsidR="009F5426" w:rsidRDefault="009F5426">
      <w:pPr>
        <w:spacing w:after="0" w:line="240" w:lineRule="auto"/>
      </w:pPr>
      <w:r>
        <w:separator/>
      </w:r>
    </w:p>
  </w:footnote>
  <w:footnote w:type="continuationSeparator" w:id="0">
    <w:p w14:paraId="2BA00AFF" w14:textId="77777777" w:rsidR="009F5426" w:rsidRDefault="009F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86A38" w14:textId="77777777" w:rsidR="00B14411" w:rsidRDefault="00B1441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1710" w14:textId="781D2FD0" w:rsidR="00AD71C0" w:rsidRDefault="00AD71C0">
    <w:pPr>
      <w:pStyle w:val="Galven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012D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9B78" w14:textId="77777777" w:rsidR="00B14411" w:rsidRDefault="00B1441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7896"/>
    <w:multiLevelType w:val="hybridMultilevel"/>
    <w:tmpl w:val="A6269EE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496721"/>
    <w:multiLevelType w:val="hybridMultilevel"/>
    <w:tmpl w:val="995604A2"/>
    <w:lvl w:ilvl="0" w:tplc="33769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00189"/>
    <w:multiLevelType w:val="hybridMultilevel"/>
    <w:tmpl w:val="1A021E2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0B64B5"/>
    <w:multiLevelType w:val="multilevel"/>
    <w:tmpl w:val="D22A4D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60AF9960"/>
    <w:multiLevelType w:val="multilevel"/>
    <w:tmpl w:val="9EE8B09C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2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5" w15:restartNumberingAfterBreak="0">
    <w:nsid w:val="62581EFE"/>
    <w:multiLevelType w:val="hybridMultilevel"/>
    <w:tmpl w:val="418AD5D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AE2F86"/>
    <w:multiLevelType w:val="multilevel"/>
    <w:tmpl w:val="02D61ED0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BE"/>
    <w:rsid w:val="00000644"/>
    <w:rsid w:val="000012D7"/>
    <w:rsid w:val="00033158"/>
    <w:rsid w:val="000505D0"/>
    <w:rsid w:val="000552CA"/>
    <w:rsid w:val="000707B8"/>
    <w:rsid w:val="000D37F1"/>
    <w:rsid w:val="000D3E17"/>
    <w:rsid w:val="000E6320"/>
    <w:rsid w:val="001149D5"/>
    <w:rsid w:val="00147999"/>
    <w:rsid w:val="00164612"/>
    <w:rsid w:val="001A58BE"/>
    <w:rsid w:val="001F6DD9"/>
    <w:rsid w:val="002D2FC4"/>
    <w:rsid w:val="004220DE"/>
    <w:rsid w:val="004479A6"/>
    <w:rsid w:val="004719DD"/>
    <w:rsid w:val="00552E34"/>
    <w:rsid w:val="005B6FD2"/>
    <w:rsid w:val="005E3111"/>
    <w:rsid w:val="00644D07"/>
    <w:rsid w:val="006E0D53"/>
    <w:rsid w:val="00750791"/>
    <w:rsid w:val="00763E29"/>
    <w:rsid w:val="007B1595"/>
    <w:rsid w:val="007F01CD"/>
    <w:rsid w:val="00822894"/>
    <w:rsid w:val="008236B0"/>
    <w:rsid w:val="0082627D"/>
    <w:rsid w:val="00842F6C"/>
    <w:rsid w:val="008A1BBB"/>
    <w:rsid w:val="008B41C9"/>
    <w:rsid w:val="008C2BAF"/>
    <w:rsid w:val="008E2A4B"/>
    <w:rsid w:val="008F01DA"/>
    <w:rsid w:val="00960E2B"/>
    <w:rsid w:val="00993911"/>
    <w:rsid w:val="009F5426"/>
    <w:rsid w:val="00A03DB8"/>
    <w:rsid w:val="00A62F40"/>
    <w:rsid w:val="00AA3DDE"/>
    <w:rsid w:val="00AC0FC0"/>
    <w:rsid w:val="00AD71C0"/>
    <w:rsid w:val="00B14411"/>
    <w:rsid w:val="00BD7ADD"/>
    <w:rsid w:val="00BF63E0"/>
    <w:rsid w:val="00C32A39"/>
    <w:rsid w:val="00C749A0"/>
    <w:rsid w:val="00CA31E5"/>
    <w:rsid w:val="00D4383D"/>
    <w:rsid w:val="00DA55DE"/>
    <w:rsid w:val="00E60021"/>
    <w:rsid w:val="00FC79DC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D1CEE"/>
  <w15:chartTrackingRefBased/>
  <w15:docId w15:val="{16F1E447-08B0-4A15-8C33-05C9D0EE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Virsraksts3">
    <w:name w:val="heading 3"/>
    <w:basedOn w:val="Parasts"/>
    <w:next w:val="Parasts"/>
    <w:qFormat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1">
    <w:name w:val="tv2131"/>
    <w:basedOn w:val="Parasts"/>
    <w:pPr>
      <w:spacing w:after="0" w:line="360" w:lineRule="auto"/>
      <w:ind w:firstLine="300"/>
    </w:pPr>
    <w:rPr>
      <w:rFonts w:ascii="Times New Roman" w:hAnsi="Times New Roman"/>
      <w:color w:val="7F7F7F"/>
      <w:sz w:val="20"/>
      <w:szCs w:val="20"/>
    </w:rPr>
  </w:style>
  <w:style w:type="paragraph" w:customStyle="1" w:styleId="naislab">
    <w:name w:val="naislab"/>
    <w:basedOn w:val="Parasts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Balonteksts">
    <w:name w:val="Balloon Text"/>
    <w:basedOn w:val="Parasts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paragraph" w:styleId="Komentrateksts">
    <w:name w:val="annotation text"/>
    <w:basedOn w:val="Parasts"/>
    <w:pPr>
      <w:spacing w:line="240" w:lineRule="auto"/>
    </w:pPr>
    <w:rPr>
      <w:sz w:val="20"/>
      <w:szCs w:val="20"/>
      <w:lang w:eastAsia="x-none"/>
    </w:rPr>
  </w:style>
  <w:style w:type="paragraph" w:styleId="Komentratma">
    <w:name w:val="annotation subject"/>
    <w:basedOn w:val="Komentrateksts"/>
    <w:next w:val="Komentrateksts"/>
    <w:rPr>
      <w:b/>
    </w:rPr>
  </w:style>
  <w:style w:type="paragraph" w:styleId="Pamatteksts">
    <w:name w:val="Body Text"/>
    <w:basedOn w:val="Parasts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NormalWeb1">
    <w:name w:val="Normal (Web)1"/>
    <w:basedOn w:val="Parasts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0"/>
      <w:lang w:eastAsia="en-US"/>
    </w:rPr>
  </w:style>
  <w:style w:type="paragraph" w:styleId="Pamattekstsaratkpi">
    <w:name w:val="Body Text Indent"/>
    <w:basedOn w:val="Parasts"/>
    <w:pPr>
      <w:spacing w:after="120" w:line="240" w:lineRule="auto"/>
      <w:ind w:left="283"/>
    </w:pPr>
    <w:rPr>
      <w:rFonts w:ascii="Times New Roman" w:hAnsi="Times New Roman"/>
      <w:sz w:val="24"/>
      <w:szCs w:val="24"/>
      <w:lang w:val="en-GB" w:eastAsia="en-US"/>
    </w:rPr>
  </w:style>
  <w:style w:type="paragraph" w:styleId="Pamattekstaatkpe3">
    <w:name w:val="Body Text Indent 3"/>
    <w:basedOn w:val="Parasts"/>
    <w:pPr>
      <w:spacing w:after="120" w:line="240" w:lineRule="auto"/>
      <w:ind w:left="283"/>
    </w:pPr>
    <w:rPr>
      <w:rFonts w:ascii="Times New Roman" w:hAnsi="Times New Roman"/>
      <w:sz w:val="16"/>
      <w:szCs w:val="16"/>
      <w:lang w:val="en-GB" w:eastAsia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x-non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lang w:eastAsia="x-none"/>
    </w:rPr>
  </w:style>
  <w:style w:type="paragraph" w:styleId="Sarakstarindkopa">
    <w:name w:val="List Paragraph"/>
    <w:basedOn w:val="Parasts"/>
    <w:qFormat/>
    <w:pPr>
      <w:spacing w:after="0" w:line="240" w:lineRule="auto"/>
      <w:ind w:left="720"/>
    </w:pPr>
    <w:rPr>
      <w:rFonts w:eastAsia="Calibri"/>
      <w:lang w:eastAsia="en-US"/>
    </w:rPr>
  </w:style>
  <w:style w:type="paragraph" w:customStyle="1" w:styleId="naisf">
    <w:name w:val="naisf"/>
    <w:basedOn w:val="Parasts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StyleRight">
    <w:name w:val="Style Right"/>
    <w:basedOn w:val="Parasts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paragraph" w:customStyle="1" w:styleId="Parasts1">
    <w:name w:val="Parasts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Prskatjums1">
    <w:name w:val="Pārskatījums1"/>
    <w:rPr>
      <w:rFonts w:ascii="Calibri" w:hAnsi="Calibri"/>
      <w:sz w:val="22"/>
      <w:szCs w:val="22"/>
    </w:rPr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styleId="Komentraatsauce">
    <w:name w:val="annotation reference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 w:val="0"/>
      <w:sz w:val="20"/>
      <w:szCs w:val="20"/>
    </w:rPr>
  </w:style>
  <w:style w:type="character" w:customStyle="1" w:styleId="Virsraksts3Rakstz">
    <w:name w:val="Virsraksts 3 Rakstz."/>
    <w:rPr>
      <w:rFonts w:ascii="Times New Roman" w:hAnsi="Times New Roman"/>
      <w:sz w:val="28"/>
      <w:szCs w:val="22"/>
      <w:lang w:val="lv-LV" w:eastAsia="en-US"/>
    </w:rPr>
  </w:style>
  <w:style w:type="character" w:styleId="Izteiksmgs">
    <w:name w:val="Strong"/>
    <w:qFormat/>
    <w:rPr>
      <w:b/>
      <w:bCs w:val="0"/>
    </w:rPr>
  </w:style>
  <w:style w:type="character" w:customStyle="1" w:styleId="PamattekstsRakstz">
    <w:name w:val="Pamatteksts Rakstz."/>
    <w:rPr>
      <w:rFonts w:ascii="Times New Roman" w:hAnsi="Times New Roman"/>
      <w:b/>
      <w:bCs w:val="0"/>
      <w:sz w:val="28"/>
      <w:szCs w:val="28"/>
      <w:lang w:val="lv-LV" w:eastAsia="en-US"/>
    </w:rPr>
  </w:style>
  <w:style w:type="character" w:customStyle="1" w:styleId="PamattekstsaratkpiRakstz">
    <w:name w:val="Pamatteksts ar atkāpi Rakstz."/>
    <w:rPr>
      <w:rFonts w:ascii="Times New Roman" w:hAnsi="Times New Roman"/>
      <w:sz w:val="24"/>
      <w:szCs w:val="24"/>
      <w:lang w:val="en-GB" w:eastAsia="en-US"/>
    </w:rPr>
  </w:style>
  <w:style w:type="character" w:customStyle="1" w:styleId="Pamattekstaatkpe3Rakstz">
    <w:name w:val="Pamatteksta atkāpe 3 Rakstz."/>
    <w:rPr>
      <w:rFonts w:ascii="Times New Roman" w:hAnsi="Times New Roman"/>
      <w:sz w:val="16"/>
      <w:szCs w:val="16"/>
      <w:lang w:val="en-GB" w:eastAsia="en-US"/>
    </w:rPr>
  </w:style>
  <w:style w:type="character" w:customStyle="1" w:styleId="GalveneRakstz">
    <w:name w:val="Galvene Rakstz."/>
    <w:rPr>
      <w:rFonts w:ascii="Times New Roman" w:hAnsi="Times New Roman"/>
      <w:sz w:val="24"/>
      <w:szCs w:val="24"/>
      <w:lang w:val="en-GB" w:eastAsia="x-none"/>
    </w:rPr>
  </w:style>
  <w:style w:type="character" w:styleId="Hipersaite">
    <w:name w:val="Hyperlink"/>
    <w:rPr>
      <w:color w:val="auto"/>
      <w:u w:val="single"/>
    </w:rPr>
  </w:style>
  <w:style w:type="character" w:customStyle="1" w:styleId="KjeneRakstz">
    <w:name w:val="Kājene Rakstz."/>
    <w:rPr>
      <w:sz w:val="22"/>
      <w:szCs w:val="22"/>
    </w:rPr>
  </w:style>
  <w:style w:type="paragraph" w:styleId="Prskatjums">
    <w:name w:val="Revision"/>
    <w:hidden/>
    <w:rsid w:val="007F01CD"/>
    <w:rPr>
      <w:rFonts w:ascii="Calibri" w:hAnsi="Calibri"/>
      <w:sz w:val="22"/>
      <w:szCs w:val="22"/>
    </w:rPr>
  </w:style>
  <w:style w:type="character" w:customStyle="1" w:styleId="Neatrisintapieminana1">
    <w:name w:val="Neatrisināta pieminēšana1"/>
    <w:uiPriority w:val="99"/>
    <w:semiHidden/>
    <w:unhideWhenUsed/>
    <w:rsid w:val="00842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Beinarovica@lnkc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.likumi.lv/ta/id/20244-profesionalas-izglitib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Grozijumi Ministru kabineta 2005.gada 21.junija noteikumos Nr.451 „Kartiba, kada izsniedzami valsts atziti profesionalo izglitibu un profesionalo kvalifikaciju apliecinoši dokumenti un akreditetas profesionalas izglitibas programmas dalas apguvi apliecino</vt:lpstr>
    </vt:vector>
  </TitlesOfParts>
  <Company>Kultūras ministrija</Company>
  <LinksUpToDate>false</LinksUpToDate>
  <CharactersWithSpaces>3218</CharactersWithSpaces>
  <SharedDoc>false</SharedDoc>
  <HLinks>
    <vt:vector size="12" baseType="variant">
      <vt:variant>
        <vt:i4>1769531</vt:i4>
      </vt:variant>
      <vt:variant>
        <vt:i4>3</vt:i4>
      </vt:variant>
      <vt:variant>
        <vt:i4>0</vt:i4>
      </vt:variant>
      <vt:variant>
        <vt:i4>5</vt:i4>
      </vt:variant>
      <vt:variant>
        <vt:lpwstr>mailto:Baiba.Beinarovica@lnkc.gov.lv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http://m.likumi.lv/ta/id/20244-profesionalas-izglitibas-likums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Grozijumi Ministru kabineta 2005.gada 21.junija noteikumos Nr.451 „Kartiba, kada izsniedzami valsts atziti profesionalo izglitibu un profesionalo kvalifikaciju apliecinoši dokumenti un akreditetas profesionalas izglitibas programmas dalas apguvi apliecino</dc:title>
  <dc:subject>Ministru kabineta noteikumu projekts</dc:subject>
  <dc:creator>Baiba Beinarovica</dc:creator>
  <cp:keywords>KMNot_171016_451_groz</cp:keywords>
  <dc:description>B.Beinarovica
Talr. 67356282; fakss  67227405
baiba.beinarovica@lnkc.gov.lv</dc:description>
  <cp:lastModifiedBy>Lelde Puisāne</cp:lastModifiedBy>
  <cp:revision>3</cp:revision>
  <cp:lastPrinted>2015-03-09T10:00:00Z</cp:lastPrinted>
  <dcterms:created xsi:type="dcterms:W3CDTF">2021-06-22T07:18:00Z</dcterms:created>
  <dcterms:modified xsi:type="dcterms:W3CDTF">2021-06-28T10:43:00Z</dcterms:modified>
</cp:coreProperties>
</file>