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0FE2A" w14:textId="77777777" w:rsidR="00D35503" w:rsidRPr="00F269EC" w:rsidRDefault="00277491" w:rsidP="00D56C5F">
      <w:pPr>
        <w:spacing w:after="0" w:line="240" w:lineRule="auto"/>
        <w:jc w:val="right"/>
        <w:rPr>
          <w:rFonts w:cs="Times New Roman"/>
          <w:szCs w:val="24"/>
        </w:rPr>
      </w:pPr>
      <w:r w:rsidRPr="00F269EC">
        <w:rPr>
          <w:rFonts w:cs="Times New Roman"/>
          <w:szCs w:val="24"/>
        </w:rPr>
        <w:t>Apstiprināts ar</w:t>
      </w:r>
    </w:p>
    <w:p w14:paraId="34837164" w14:textId="77777777" w:rsidR="00D35503" w:rsidRPr="00F269EC" w:rsidRDefault="00D35503" w:rsidP="00D56C5F">
      <w:pPr>
        <w:spacing w:after="0" w:line="240" w:lineRule="auto"/>
        <w:jc w:val="right"/>
        <w:rPr>
          <w:rFonts w:cs="Times New Roman"/>
          <w:szCs w:val="24"/>
        </w:rPr>
      </w:pPr>
      <w:r w:rsidRPr="00F269EC">
        <w:rPr>
          <w:rFonts w:cs="Times New Roman"/>
          <w:szCs w:val="24"/>
        </w:rPr>
        <w:t xml:space="preserve">Ministru kabineta </w:t>
      </w:r>
    </w:p>
    <w:p w14:paraId="31A1E4E4" w14:textId="1FFEB8ED" w:rsidR="00D35503" w:rsidRPr="00F269EC" w:rsidRDefault="00B0687D" w:rsidP="004503AB">
      <w:pPr>
        <w:spacing w:after="0" w:line="240" w:lineRule="auto"/>
        <w:jc w:val="right"/>
        <w:rPr>
          <w:rFonts w:cs="Times New Roman"/>
          <w:szCs w:val="24"/>
        </w:rPr>
      </w:pPr>
      <w:r>
        <w:rPr>
          <w:rFonts w:cs="Times New Roman"/>
          <w:szCs w:val="24"/>
        </w:rPr>
        <w:t>2021</w:t>
      </w:r>
      <w:r w:rsidR="00D35503" w:rsidRPr="00F269EC">
        <w:rPr>
          <w:rFonts w:cs="Times New Roman"/>
          <w:szCs w:val="24"/>
        </w:rPr>
        <w:t xml:space="preserve">.gada __.____ </w:t>
      </w:r>
      <w:r w:rsidR="00935F99" w:rsidRPr="00F269EC">
        <w:rPr>
          <w:rFonts w:cs="Times New Roman"/>
          <w:szCs w:val="24"/>
        </w:rPr>
        <w:t>rīkojum</w:t>
      </w:r>
      <w:r w:rsidR="00021E6D" w:rsidRPr="00F269EC">
        <w:rPr>
          <w:rFonts w:cs="Times New Roman"/>
          <w:szCs w:val="24"/>
        </w:rPr>
        <w:t>u</w:t>
      </w:r>
      <w:r w:rsidR="00D35503" w:rsidRPr="00F269EC">
        <w:rPr>
          <w:rFonts w:cs="Times New Roman"/>
          <w:szCs w:val="24"/>
        </w:rPr>
        <w:t xml:space="preserve"> Nr.____</w:t>
      </w:r>
    </w:p>
    <w:p w14:paraId="2AD6D752" w14:textId="77777777" w:rsidR="00D35503" w:rsidRPr="00F269EC" w:rsidRDefault="00D35503" w:rsidP="00D56C5F">
      <w:pPr>
        <w:jc w:val="center"/>
        <w:rPr>
          <w:rFonts w:cs="Times New Roman"/>
          <w:b/>
          <w:bCs/>
          <w:szCs w:val="24"/>
        </w:rPr>
      </w:pPr>
    </w:p>
    <w:p w14:paraId="0F0F2C20" w14:textId="338A6394" w:rsidR="00D35503" w:rsidRDefault="007730EB" w:rsidP="00402693">
      <w:pPr>
        <w:spacing w:after="120"/>
        <w:jc w:val="center"/>
        <w:rPr>
          <w:rFonts w:cs="Times New Roman"/>
          <w:b/>
          <w:bCs/>
          <w:szCs w:val="24"/>
        </w:rPr>
      </w:pPr>
      <w:bookmarkStart w:id="0" w:name="_Hlk515440470"/>
      <w:r w:rsidRPr="000B57CC">
        <w:rPr>
          <w:rFonts w:cs="Times New Roman"/>
          <w:b/>
          <w:bCs/>
          <w:szCs w:val="24"/>
        </w:rPr>
        <w:t xml:space="preserve">Plāns </w:t>
      </w:r>
      <w:r w:rsidR="00F24ED0" w:rsidRPr="000B57CC">
        <w:rPr>
          <w:rFonts w:cs="Times New Roman"/>
          <w:b/>
          <w:bCs/>
          <w:szCs w:val="24"/>
        </w:rPr>
        <w:t xml:space="preserve">minimālo ienākumu atbalsta sistēmas pilnveidošanai </w:t>
      </w:r>
      <w:r w:rsidR="00C452E4" w:rsidRPr="000B57CC">
        <w:rPr>
          <w:rFonts w:cs="Times New Roman"/>
          <w:b/>
          <w:bCs/>
          <w:szCs w:val="24"/>
        </w:rPr>
        <w:t>20</w:t>
      </w:r>
      <w:r w:rsidR="00B0687D">
        <w:rPr>
          <w:rFonts w:cs="Times New Roman"/>
          <w:b/>
          <w:bCs/>
          <w:szCs w:val="24"/>
        </w:rPr>
        <w:t>22</w:t>
      </w:r>
      <w:r w:rsidR="00C452E4" w:rsidRPr="000B57CC">
        <w:rPr>
          <w:rFonts w:cs="Times New Roman"/>
          <w:b/>
          <w:bCs/>
          <w:szCs w:val="24"/>
        </w:rPr>
        <w:t>.-20</w:t>
      </w:r>
      <w:r w:rsidR="00B0687D">
        <w:rPr>
          <w:rFonts w:cs="Times New Roman"/>
          <w:b/>
          <w:bCs/>
          <w:szCs w:val="24"/>
        </w:rPr>
        <w:t>24</w:t>
      </w:r>
      <w:r w:rsidR="00D35503" w:rsidRPr="000B57CC">
        <w:rPr>
          <w:rFonts w:cs="Times New Roman"/>
          <w:b/>
          <w:bCs/>
          <w:szCs w:val="24"/>
        </w:rPr>
        <w:t>.gadam</w:t>
      </w:r>
    </w:p>
    <w:p w14:paraId="70719B87" w14:textId="77777777" w:rsidR="004F1ACD" w:rsidRPr="000B57CC" w:rsidRDefault="004F1ACD" w:rsidP="00402693">
      <w:pPr>
        <w:spacing w:after="120"/>
        <w:jc w:val="center"/>
        <w:rPr>
          <w:rFonts w:cs="Times New Roman"/>
          <w:b/>
          <w:bCs/>
          <w:szCs w:val="24"/>
        </w:rPr>
      </w:pPr>
    </w:p>
    <w:p w14:paraId="541C781A" w14:textId="77777777" w:rsidR="00D35503" w:rsidRPr="00827639" w:rsidRDefault="00D35503" w:rsidP="00D15D2D">
      <w:pPr>
        <w:pStyle w:val="Heading1"/>
      </w:pPr>
      <w:r w:rsidRPr="00827639">
        <w:t>I Plāna kopsavilkums</w:t>
      </w:r>
    </w:p>
    <w:p w14:paraId="63386B4A" w14:textId="216529D6" w:rsidR="004F7126" w:rsidRPr="000B57CC" w:rsidRDefault="00DD5FD6" w:rsidP="00ED7F1E">
      <w:pPr>
        <w:spacing w:after="120" w:line="240" w:lineRule="auto"/>
        <w:ind w:firstLine="720"/>
        <w:jc w:val="both"/>
        <w:rPr>
          <w:rFonts w:cs="Times New Roman"/>
          <w:szCs w:val="24"/>
        </w:rPr>
      </w:pPr>
      <w:r w:rsidRPr="000B57CC">
        <w:rPr>
          <w:rFonts w:cs="Times New Roman"/>
          <w:szCs w:val="24"/>
        </w:rPr>
        <w:t>P</w:t>
      </w:r>
      <w:r w:rsidR="00D35503" w:rsidRPr="000B57CC">
        <w:rPr>
          <w:rFonts w:cs="Times New Roman"/>
          <w:szCs w:val="24"/>
        </w:rPr>
        <w:t xml:space="preserve">lāns </w:t>
      </w:r>
      <w:r w:rsidRPr="000B57CC">
        <w:rPr>
          <w:rFonts w:cs="Times New Roman"/>
          <w:szCs w:val="24"/>
        </w:rPr>
        <w:t>minimāl</w:t>
      </w:r>
      <w:r w:rsidR="00D14C48" w:rsidRPr="000B57CC">
        <w:rPr>
          <w:rFonts w:cs="Times New Roman"/>
          <w:szCs w:val="24"/>
        </w:rPr>
        <w:t>o</w:t>
      </w:r>
      <w:r w:rsidRPr="000B57CC">
        <w:rPr>
          <w:rFonts w:cs="Times New Roman"/>
          <w:szCs w:val="24"/>
        </w:rPr>
        <w:t xml:space="preserve"> </w:t>
      </w:r>
      <w:r w:rsidR="00D14C48" w:rsidRPr="000B57CC">
        <w:rPr>
          <w:rFonts w:cs="Times New Roman"/>
          <w:szCs w:val="24"/>
        </w:rPr>
        <w:t xml:space="preserve">ienākumu atbalsta sistēmas pilnveidošanai </w:t>
      </w:r>
      <w:r w:rsidR="00D35503" w:rsidRPr="000B57CC">
        <w:rPr>
          <w:rFonts w:cs="Times New Roman"/>
          <w:szCs w:val="24"/>
        </w:rPr>
        <w:t>20</w:t>
      </w:r>
      <w:r w:rsidR="00BE7485">
        <w:rPr>
          <w:rFonts w:cs="Times New Roman"/>
          <w:szCs w:val="24"/>
        </w:rPr>
        <w:t>22</w:t>
      </w:r>
      <w:r w:rsidR="00D35503" w:rsidRPr="000B57CC">
        <w:rPr>
          <w:rFonts w:cs="Times New Roman"/>
          <w:szCs w:val="24"/>
        </w:rPr>
        <w:t>.–20</w:t>
      </w:r>
      <w:r w:rsidR="00BE7485">
        <w:rPr>
          <w:rFonts w:cs="Times New Roman"/>
          <w:szCs w:val="24"/>
        </w:rPr>
        <w:t>24</w:t>
      </w:r>
      <w:r w:rsidR="00D35503" w:rsidRPr="000B57CC">
        <w:rPr>
          <w:rFonts w:cs="Times New Roman"/>
          <w:szCs w:val="24"/>
        </w:rPr>
        <w:t xml:space="preserve">.gadam </w:t>
      </w:r>
      <w:r w:rsidR="00DA7AC0" w:rsidRPr="000B57CC">
        <w:rPr>
          <w:rFonts w:cs="Times New Roman"/>
          <w:szCs w:val="24"/>
        </w:rPr>
        <w:t>(turpmāk – P</w:t>
      </w:r>
      <w:r w:rsidR="00CB3FFD" w:rsidRPr="000B57CC">
        <w:rPr>
          <w:rFonts w:cs="Times New Roman"/>
          <w:szCs w:val="24"/>
        </w:rPr>
        <w:t xml:space="preserve">lāns) </w:t>
      </w:r>
      <w:r w:rsidR="00D35503" w:rsidRPr="000B57CC">
        <w:rPr>
          <w:rFonts w:cs="Times New Roman"/>
          <w:szCs w:val="24"/>
        </w:rPr>
        <w:t xml:space="preserve">ir </w:t>
      </w:r>
      <w:r w:rsidR="00BE7485">
        <w:rPr>
          <w:rFonts w:cs="Times New Roman"/>
          <w:szCs w:val="24"/>
        </w:rPr>
        <w:t>vidēja</w:t>
      </w:r>
      <w:r w:rsidR="00D35503" w:rsidRPr="000B57CC">
        <w:rPr>
          <w:rFonts w:cs="Times New Roman"/>
          <w:szCs w:val="24"/>
        </w:rPr>
        <w:t xml:space="preserve"> </w:t>
      </w:r>
      <w:r w:rsidR="00075D6E">
        <w:rPr>
          <w:rFonts w:cs="Times New Roman"/>
          <w:szCs w:val="24"/>
        </w:rPr>
        <w:t xml:space="preserve">termiņa </w:t>
      </w:r>
      <w:r w:rsidR="00D35503" w:rsidRPr="000B57CC">
        <w:rPr>
          <w:rFonts w:cs="Times New Roman"/>
          <w:szCs w:val="24"/>
        </w:rPr>
        <w:t xml:space="preserve">politikas plānošanas dokuments, kas izstrādāts, lai </w:t>
      </w:r>
      <w:r w:rsidR="00935F99" w:rsidRPr="000B57CC">
        <w:rPr>
          <w:rFonts w:cs="Times New Roman"/>
          <w:szCs w:val="24"/>
        </w:rPr>
        <w:t xml:space="preserve">noteiktu </w:t>
      </w:r>
      <w:r w:rsidR="00BE7485" w:rsidRPr="00BE7485">
        <w:rPr>
          <w:rFonts w:cs="Times New Roman"/>
          <w:szCs w:val="24"/>
        </w:rPr>
        <w:t>minimālo ienākumu atbalsta sistēmas parametru noteikšanas kritērijus, kārtību un metodi, kā arī pārskatīšanas kārtību, ņemot vēr</w:t>
      </w:r>
      <w:r w:rsidR="00ED7F1E">
        <w:rPr>
          <w:rFonts w:cs="Times New Roman"/>
          <w:szCs w:val="24"/>
        </w:rPr>
        <w:t>ā valsts ekonomikas attīstību.</w:t>
      </w:r>
      <w:r w:rsidR="004F7126" w:rsidRPr="000B57CC">
        <w:rPr>
          <w:rFonts w:cs="Times New Roman"/>
          <w:szCs w:val="24"/>
        </w:rPr>
        <w:t xml:space="preserve"> </w:t>
      </w:r>
    </w:p>
    <w:p w14:paraId="0678DAAA" w14:textId="61DF61C2" w:rsidR="00C243E5" w:rsidRPr="000B57CC" w:rsidRDefault="00B43CC5" w:rsidP="00402693">
      <w:pPr>
        <w:spacing w:after="120" w:line="240" w:lineRule="auto"/>
        <w:ind w:firstLine="720"/>
        <w:jc w:val="both"/>
        <w:rPr>
          <w:rFonts w:cs="Times New Roman"/>
          <w:szCs w:val="24"/>
        </w:rPr>
      </w:pPr>
      <w:r w:rsidRPr="000B57CC">
        <w:rPr>
          <w:rFonts w:cs="Times New Roman"/>
          <w:szCs w:val="24"/>
        </w:rPr>
        <w:t>Plān</w:t>
      </w:r>
      <w:r w:rsidR="00C243E5" w:rsidRPr="000B57CC">
        <w:rPr>
          <w:rFonts w:cs="Times New Roman"/>
          <w:szCs w:val="24"/>
        </w:rPr>
        <w:t>s</w:t>
      </w:r>
      <w:r w:rsidR="0031020D">
        <w:rPr>
          <w:rFonts w:cs="Times New Roman"/>
          <w:szCs w:val="24"/>
        </w:rPr>
        <w:t xml:space="preserve"> ir</w:t>
      </w:r>
      <w:r w:rsidRPr="000B57CC">
        <w:rPr>
          <w:rFonts w:cs="Times New Roman"/>
          <w:szCs w:val="24"/>
        </w:rPr>
        <w:t xml:space="preserve"> </w:t>
      </w:r>
      <w:r w:rsidR="00C243E5" w:rsidRPr="000B57CC">
        <w:rPr>
          <w:rFonts w:cs="Times New Roman"/>
          <w:szCs w:val="24"/>
        </w:rPr>
        <w:t>izstrādāts atbilstoši</w:t>
      </w:r>
      <w:r w:rsidR="00AF3E1D">
        <w:rPr>
          <w:rFonts w:cs="Times New Roman"/>
          <w:szCs w:val="24"/>
        </w:rPr>
        <w:t xml:space="preserve"> šādiem Eiropas Savienības (turpmāk – ES) dokumentiem</w:t>
      </w:r>
      <w:r w:rsidR="006B6936">
        <w:rPr>
          <w:rFonts w:cs="Times New Roman"/>
          <w:szCs w:val="24"/>
        </w:rPr>
        <w:t>,</w:t>
      </w:r>
      <w:r w:rsidR="00AF3E1D">
        <w:rPr>
          <w:rFonts w:cs="Times New Roman"/>
          <w:szCs w:val="24"/>
        </w:rPr>
        <w:t xml:space="preserve"> Latvijas politikas plānošanas dokumentiem</w:t>
      </w:r>
      <w:r w:rsidR="006B6936">
        <w:rPr>
          <w:rFonts w:cs="Times New Roman"/>
          <w:szCs w:val="24"/>
        </w:rPr>
        <w:t xml:space="preserve"> un citiem dokumentiem</w:t>
      </w:r>
      <w:r w:rsidR="00C243E5" w:rsidRPr="000B57CC">
        <w:rPr>
          <w:rFonts w:cs="Times New Roman"/>
          <w:szCs w:val="24"/>
        </w:rPr>
        <w:t>:</w:t>
      </w:r>
    </w:p>
    <w:p w14:paraId="43ADD43D" w14:textId="37F34B32" w:rsidR="00796717" w:rsidRPr="00E45D24" w:rsidRDefault="00796717" w:rsidP="00796717">
      <w:pPr>
        <w:pStyle w:val="ListParagraph"/>
        <w:numPr>
          <w:ilvl w:val="0"/>
          <w:numId w:val="7"/>
        </w:numPr>
        <w:spacing w:after="0" w:line="240" w:lineRule="auto"/>
        <w:jc w:val="both"/>
        <w:rPr>
          <w:rFonts w:eastAsia="Times New Roman" w:cs="Times New Roman"/>
          <w:szCs w:val="24"/>
          <w:lang w:eastAsia="lv-LV"/>
        </w:rPr>
      </w:pPr>
      <w:r w:rsidRPr="00E45D24">
        <w:rPr>
          <w:rFonts w:eastAsia="Times New Roman" w:cs="Times New Roman"/>
          <w:b/>
          <w:bCs/>
          <w:szCs w:val="24"/>
          <w:lang w:eastAsia="lv-LV"/>
        </w:rPr>
        <w:t>Koncepcija</w:t>
      </w:r>
      <w:r>
        <w:rPr>
          <w:rFonts w:eastAsia="Times New Roman" w:cs="Times New Roman"/>
          <w:b/>
          <w:bCs/>
          <w:szCs w:val="24"/>
          <w:lang w:eastAsia="lv-LV"/>
        </w:rPr>
        <w:t>i</w:t>
      </w:r>
      <w:r w:rsidRPr="00E45D24">
        <w:rPr>
          <w:rFonts w:eastAsia="Times New Roman" w:cs="Times New Roman"/>
          <w:b/>
          <w:bCs/>
          <w:szCs w:val="24"/>
          <w:lang w:eastAsia="lv-LV"/>
        </w:rPr>
        <w:t xml:space="preserve"> </w:t>
      </w:r>
      <w:r>
        <w:rPr>
          <w:rFonts w:eastAsia="Times New Roman" w:cs="Times New Roman"/>
          <w:b/>
          <w:bCs/>
          <w:szCs w:val="24"/>
          <w:lang w:eastAsia="lv-LV"/>
        </w:rPr>
        <w:t>p</w:t>
      </w:r>
      <w:r w:rsidRPr="00E45D24">
        <w:rPr>
          <w:rFonts w:eastAsia="Times New Roman" w:cs="Times New Roman"/>
          <w:b/>
          <w:bCs/>
          <w:szCs w:val="24"/>
          <w:lang w:eastAsia="lv-LV"/>
        </w:rPr>
        <w:t>ar minimālā ienākuma līmeņa noteikšanu</w:t>
      </w:r>
      <w:r>
        <w:rPr>
          <w:rFonts w:eastAsia="Times New Roman" w:cs="Times New Roman"/>
          <w:b/>
          <w:bCs/>
          <w:szCs w:val="24"/>
          <w:lang w:eastAsia="lv-LV"/>
        </w:rPr>
        <w:t xml:space="preserve"> </w:t>
      </w:r>
      <w:r w:rsidRPr="00E45D24">
        <w:rPr>
          <w:rFonts w:eastAsia="Times New Roman" w:cs="Times New Roman"/>
          <w:bCs/>
          <w:szCs w:val="24"/>
          <w:lang w:eastAsia="lv-LV"/>
        </w:rPr>
        <w:t>(</w:t>
      </w:r>
      <w:r w:rsidRPr="00D07A59">
        <w:rPr>
          <w:rFonts w:eastAsia="Times New Roman" w:cs="Times New Roman"/>
          <w:bCs/>
          <w:i/>
          <w:szCs w:val="24"/>
          <w:lang w:eastAsia="lv-LV"/>
        </w:rPr>
        <w:t xml:space="preserve">Ministru kabineta 2014.gada 30.oktobra rīkojums </w:t>
      </w:r>
      <w:r w:rsidR="00925984">
        <w:rPr>
          <w:rFonts w:eastAsia="Times New Roman" w:cs="Times New Roman"/>
          <w:bCs/>
          <w:i/>
          <w:szCs w:val="24"/>
          <w:lang w:eastAsia="lv-LV"/>
        </w:rPr>
        <w:t>N</w:t>
      </w:r>
      <w:r w:rsidRPr="00D07A59">
        <w:rPr>
          <w:rFonts w:eastAsia="Times New Roman" w:cs="Times New Roman"/>
          <w:bCs/>
          <w:i/>
          <w:szCs w:val="24"/>
          <w:lang w:eastAsia="lv-LV"/>
        </w:rPr>
        <w:t>r.619</w:t>
      </w:r>
      <w:r w:rsidR="001C0C1D">
        <w:rPr>
          <w:rFonts w:eastAsia="Times New Roman" w:cs="Times New Roman"/>
          <w:bCs/>
          <w:i/>
          <w:szCs w:val="24"/>
          <w:lang w:eastAsia="lv-LV"/>
        </w:rPr>
        <w:t xml:space="preserve">, </w:t>
      </w:r>
      <w:r w:rsidR="001C0C1D">
        <w:rPr>
          <w:rFonts w:eastAsia="Times New Roman" w:cs="Times New Roman"/>
          <w:bCs/>
          <w:szCs w:val="24"/>
          <w:lang w:eastAsia="lv-LV"/>
        </w:rPr>
        <w:t xml:space="preserve">turpmāk </w:t>
      </w:r>
      <w:r w:rsidR="00925984">
        <w:rPr>
          <w:rFonts w:eastAsia="Times New Roman" w:cs="Times New Roman"/>
          <w:bCs/>
          <w:szCs w:val="24"/>
          <w:lang w:eastAsia="lv-LV"/>
        </w:rPr>
        <w:t>–</w:t>
      </w:r>
      <w:r w:rsidR="001C0C1D">
        <w:rPr>
          <w:rFonts w:eastAsia="Times New Roman" w:cs="Times New Roman"/>
          <w:bCs/>
          <w:szCs w:val="24"/>
          <w:lang w:eastAsia="lv-LV"/>
        </w:rPr>
        <w:t xml:space="preserve"> Koncepcija</w:t>
      </w:r>
      <w:r w:rsidRPr="00E45D24">
        <w:rPr>
          <w:rFonts w:eastAsia="Times New Roman" w:cs="Times New Roman"/>
          <w:bCs/>
          <w:szCs w:val="24"/>
          <w:lang w:eastAsia="lv-LV"/>
        </w:rPr>
        <w:t>)</w:t>
      </w:r>
      <w:r>
        <w:rPr>
          <w:rFonts w:eastAsia="Times New Roman" w:cs="Times New Roman"/>
          <w:bCs/>
          <w:szCs w:val="24"/>
          <w:lang w:eastAsia="lv-LV"/>
        </w:rPr>
        <w:t>, kas paredz</w:t>
      </w:r>
      <w:r w:rsidRPr="00E45D24">
        <w:rPr>
          <w:rFonts w:eastAsia="Times New Roman" w:cs="Times New Roman"/>
          <w:bCs/>
          <w:szCs w:val="24"/>
          <w:lang w:eastAsia="lv-LV"/>
        </w:rPr>
        <w:t xml:space="preserve"> </w:t>
      </w:r>
      <w:r>
        <w:rPr>
          <w:rFonts w:eastAsia="Times New Roman" w:cs="Times New Roman"/>
          <w:szCs w:val="24"/>
          <w:lang w:eastAsia="lv-LV"/>
        </w:rPr>
        <w:t>noteikt</w:t>
      </w:r>
      <w:r w:rsidRPr="00E45D24">
        <w:rPr>
          <w:rFonts w:eastAsia="Times New Roman" w:cs="Times New Roman"/>
          <w:szCs w:val="24"/>
          <w:lang w:eastAsia="lv-LV"/>
        </w:rPr>
        <w:t xml:space="preserve"> metodoloģiski pamatotu un sociālekonomiskajai situācijai atbilstošu minimālā ienākuma līmeni (40 % apmērā no rīcībā esošo ienākumu mediānas, pārrēķinātas uz ekvivalento patērētāju, piemērojot ekvivalences skalu (1; 0.7; 0.7)), kas kalpos par atskaites punktu sociālās drošības sistēmas jomu (valsts sociālie pabalsti, sociālā apdrošināšana, sociālā palīdzība) ietvaros noteikto atbalsta pasākumu pilnveidošanai. </w:t>
      </w:r>
    </w:p>
    <w:p w14:paraId="65696AFF" w14:textId="0B98877F" w:rsidR="00C243E5" w:rsidRPr="004F298B" w:rsidRDefault="00796717" w:rsidP="00C83FC2">
      <w:pPr>
        <w:pStyle w:val="Default"/>
        <w:numPr>
          <w:ilvl w:val="0"/>
          <w:numId w:val="7"/>
        </w:numPr>
        <w:spacing w:after="120"/>
        <w:ind w:right="129" w:hanging="357"/>
        <w:jc w:val="both"/>
        <w:rPr>
          <w:rStyle w:val="hps"/>
          <w:color w:val="auto"/>
        </w:rPr>
      </w:pPr>
      <w:r w:rsidRPr="004254E9">
        <w:rPr>
          <w:rFonts w:eastAsia="Times New Roman"/>
          <w:b/>
        </w:rPr>
        <w:t>Latvi</w:t>
      </w:r>
      <w:r w:rsidR="00FE71FF">
        <w:rPr>
          <w:rFonts w:eastAsia="Times New Roman"/>
          <w:b/>
        </w:rPr>
        <w:t>jas Nacionālajam</w:t>
      </w:r>
      <w:r>
        <w:rPr>
          <w:rFonts w:eastAsia="Times New Roman"/>
          <w:b/>
        </w:rPr>
        <w:t xml:space="preserve"> attīstības plānam</w:t>
      </w:r>
      <w:r w:rsidRPr="004254E9">
        <w:rPr>
          <w:rFonts w:eastAsia="Times New Roman"/>
          <w:b/>
        </w:rPr>
        <w:t xml:space="preserve"> 2021. - 2027. gadam</w:t>
      </w:r>
      <w:r w:rsidRPr="00E45D24">
        <w:rPr>
          <w:rFonts w:eastAsia="Times New Roman"/>
          <w:b/>
          <w:bCs/>
        </w:rPr>
        <w:t xml:space="preserve"> </w:t>
      </w:r>
      <w:r w:rsidRPr="00D07A59">
        <w:rPr>
          <w:rFonts w:eastAsia="Times New Roman"/>
          <w:bCs/>
        </w:rPr>
        <w:t>(</w:t>
      </w:r>
      <w:r w:rsidRPr="00D07A59">
        <w:rPr>
          <w:rFonts w:eastAsia="Times New Roman"/>
          <w:bCs/>
          <w:i/>
        </w:rPr>
        <w:t>Saeimas paziņojums, apstiprināts Saeimas 2020.gada 2.jūlija sēdē</w:t>
      </w:r>
      <w:r w:rsidRPr="00D07A59">
        <w:rPr>
          <w:rFonts w:eastAsia="Times New Roman"/>
          <w:bCs/>
        </w:rPr>
        <w:t>)</w:t>
      </w:r>
      <w:r w:rsidR="00FE71FF">
        <w:rPr>
          <w:rFonts w:eastAsia="Times New Roman"/>
          <w:bCs/>
        </w:rPr>
        <w:t>.</w:t>
      </w:r>
      <w:r w:rsidRPr="00E45D24">
        <w:rPr>
          <w:rFonts w:eastAsia="Times New Roman"/>
          <w:b/>
          <w:bCs/>
        </w:rPr>
        <w:t xml:space="preserve"> </w:t>
      </w:r>
      <w:r w:rsidR="00FE71FF" w:rsidRPr="00FE71FF">
        <w:rPr>
          <w:rFonts w:eastAsia="Times New Roman"/>
          <w:bCs/>
        </w:rPr>
        <w:t>P</w:t>
      </w:r>
      <w:r w:rsidRPr="00E45D24">
        <w:rPr>
          <w:rFonts w:eastAsia="Times New Roman"/>
          <w:bCs/>
        </w:rPr>
        <w:t>rioritātes “Sociālā iekļaušana”</w:t>
      </w:r>
      <w:r w:rsidR="004F298B">
        <w:rPr>
          <w:rFonts w:eastAsia="Times New Roman"/>
          <w:bCs/>
        </w:rPr>
        <w:t xml:space="preserve"> rīcības virziena mērķis “</w:t>
      </w:r>
      <w:r w:rsidR="004F298B">
        <w:t>Sociālais atbalsts ir individualizēts, uz cilvēku orientēts, un tas tiek piedāvāts katram, kam tas ir vai varētu būt visvairāk vajadzīgs”</w:t>
      </w:r>
      <w:r w:rsidR="00C243E5" w:rsidRPr="000B57CC">
        <w:rPr>
          <w:rStyle w:val="hps"/>
          <w:iCs/>
          <w:color w:val="auto"/>
        </w:rPr>
        <w:t xml:space="preserve">: </w:t>
      </w:r>
    </w:p>
    <w:p w14:paraId="77BBC8AA" w14:textId="2A49E5F3" w:rsidR="004F298B" w:rsidRPr="000B57CC" w:rsidRDefault="004F298B" w:rsidP="004F298B">
      <w:pPr>
        <w:pStyle w:val="Default"/>
        <w:spacing w:after="120"/>
        <w:ind w:left="360" w:right="129"/>
        <w:jc w:val="both"/>
        <w:rPr>
          <w:color w:val="auto"/>
        </w:rPr>
      </w:pPr>
      <w:r>
        <w:t xml:space="preserve">“Sociālās aizsardzības sistēmas efektivitāti raksturo gan sociālo transfertu ietekme, gan sociālajai aizsardzībai atvēlētais finansējums. Pēdējo gadu laikā turpina samazināties sociālo transfertu ietekme uz iedzīvotāju ienākumiem, turklāt to īpatsvars iedzīvotāju ienākumos Latvijā ir būtiski zemāks nekā vidēji ES. Ņemot vērā nodokļu, pensiju un pabalstu sistēmas pārdales zemo ietekmi, Latvijā joprojām saglabājas viens no augstākajiem ienākumu nevienlīdzības rādītājiem ES. Tādēļ </w:t>
      </w:r>
      <w:r w:rsidRPr="004F298B">
        <w:rPr>
          <w:u w:val="single"/>
        </w:rPr>
        <w:t>nabadzības un ienākumu nevienlīdzības mazināšana, tai skaitā ieviešot minimāl</w:t>
      </w:r>
      <w:r w:rsidR="003339E4">
        <w:rPr>
          <w:u w:val="single"/>
        </w:rPr>
        <w:t>ā</w:t>
      </w:r>
      <w:r w:rsidRPr="004F298B">
        <w:rPr>
          <w:u w:val="single"/>
        </w:rPr>
        <w:t xml:space="preserve"> ienākuma līmeni, ir viens no lielākajiem izaicinājumiem plānošanas periodā</w:t>
      </w:r>
      <w:r>
        <w:t>”</w:t>
      </w:r>
      <w:r w:rsidR="00FE71FF">
        <w:rPr>
          <w:rStyle w:val="FootnoteReference"/>
        </w:rPr>
        <w:footnoteReference w:id="1"/>
      </w:r>
      <w:r>
        <w:t>.</w:t>
      </w:r>
      <w:r w:rsidR="00E60F13">
        <w:t xml:space="preserve"> Un šī rīcības virziena </w:t>
      </w:r>
      <w:r w:rsidR="00E60F13" w:rsidRPr="00E60F13">
        <w:t>[121</w:t>
      </w:r>
      <w:r w:rsidR="00E60F13">
        <w:t>]</w:t>
      </w:r>
      <w:r w:rsidR="00E60F13" w:rsidRPr="00E60F13">
        <w:t xml:space="preserve"> uzdevum</w:t>
      </w:r>
      <w:r w:rsidR="00E60F13">
        <w:t>s</w:t>
      </w:r>
      <w:r w:rsidR="00E60F13" w:rsidRPr="00E60F13">
        <w:t>: “Nabadzības, materiālās nenodrošinātības un ienākumu nevienlīdzības mazināšana, īpaši nabadzības riskam visvairāk pakļautajām iedzīvotāju grupām (pensionāri, personas ar invaliditāti), un labvēlīgāku priekšnoteikumu radīšana materiālajai pietiekamībai nākotnes pensionāriem”</w:t>
      </w:r>
      <w:r w:rsidR="00E60F13">
        <w:t>.</w:t>
      </w:r>
    </w:p>
    <w:p w14:paraId="77E4279A" w14:textId="5072DDB7" w:rsidR="00F87DA2" w:rsidRPr="001D0886" w:rsidRDefault="00942977" w:rsidP="004F298B">
      <w:pPr>
        <w:pStyle w:val="ListParagraph"/>
        <w:numPr>
          <w:ilvl w:val="0"/>
          <w:numId w:val="7"/>
        </w:numPr>
        <w:shd w:val="clear" w:color="auto" w:fill="FFFFFF"/>
        <w:spacing w:after="120" w:line="240" w:lineRule="auto"/>
        <w:jc w:val="both"/>
        <w:rPr>
          <w:rFonts w:cs="Times New Roman"/>
          <w:szCs w:val="24"/>
        </w:rPr>
      </w:pPr>
      <w:r w:rsidRPr="001D0886">
        <w:rPr>
          <w:rFonts w:cs="Times New Roman"/>
          <w:b/>
          <w:szCs w:val="24"/>
        </w:rPr>
        <w:t>Deklarācijā par Artura Krišjāņa Kariņa vadītā Ministru kabineta iecerēto darbību</w:t>
      </w:r>
      <w:r w:rsidR="002477AB" w:rsidRPr="001D0886">
        <w:rPr>
          <w:rStyle w:val="FootnoteReference"/>
          <w:szCs w:val="24"/>
        </w:rPr>
        <w:footnoteReference w:id="2"/>
      </w:r>
      <w:r w:rsidR="00F87DA2" w:rsidRPr="001D0886">
        <w:rPr>
          <w:rFonts w:cs="Times New Roman"/>
          <w:szCs w:val="24"/>
        </w:rPr>
        <w:t xml:space="preserve"> noteiktajiem pasākumiem:</w:t>
      </w:r>
    </w:p>
    <w:p w14:paraId="56DD32D1" w14:textId="1EE88258" w:rsidR="001D0886" w:rsidRPr="001D0886" w:rsidRDefault="00F87DA2" w:rsidP="001D0886">
      <w:pPr>
        <w:pStyle w:val="ListParagraph"/>
        <w:numPr>
          <w:ilvl w:val="1"/>
          <w:numId w:val="7"/>
        </w:numPr>
        <w:shd w:val="clear" w:color="auto" w:fill="FFFFFF"/>
        <w:spacing w:after="120" w:line="240" w:lineRule="auto"/>
        <w:jc w:val="both"/>
        <w:rPr>
          <w:rFonts w:cs="Times New Roman"/>
          <w:szCs w:val="24"/>
        </w:rPr>
      </w:pPr>
      <w:r w:rsidRPr="001D0886">
        <w:rPr>
          <w:rFonts w:cs="Times New Roman"/>
          <w:szCs w:val="24"/>
        </w:rPr>
        <w:t xml:space="preserve"> </w:t>
      </w:r>
      <w:r w:rsidR="001D0886" w:rsidRPr="001D0886">
        <w:rPr>
          <w:rFonts w:cs="Times New Roman"/>
          <w:szCs w:val="24"/>
        </w:rPr>
        <w:t xml:space="preserve">(Nodokļu politika) </w:t>
      </w:r>
      <w:r w:rsidR="001D0886">
        <w:rPr>
          <w:rFonts w:cs="Times New Roman"/>
          <w:szCs w:val="24"/>
        </w:rPr>
        <w:t>Uzdevums:</w:t>
      </w:r>
      <w:r w:rsidR="001D0886" w:rsidRPr="001D0886">
        <w:t xml:space="preserve"> </w:t>
      </w:r>
      <w:r w:rsidR="001D0886">
        <w:rPr>
          <w:rFonts w:cs="Times New Roman"/>
          <w:szCs w:val="24"/>
        </w:rPr>
        <w:t>s</w:t>
      </w:r>
      <w:r w:rsidR="001D0886" w:rsidRPr="001D0886">
        <w:rPr>
          <w:rFonts w:cs="Times New Roman"/>
          <w:szCs w:val="24"/>
        </w:rPr>
        <w:t>tiprinot sociālo politiku un izmantojot nodokļu politikas instrumentus, samazināsim ienākumu nevienlīdzību Latvijā, tai skaitā turpinot pensiju indeksāciju, palielinot pensionāru neapliekamo minimumu un minimālās pensijas, kā arī atvieglojumus par apgādībā esošām personām.</w:t>
      </w:r>
      <w:r w:rsidR="001D0886">
        <w:rPr>
          <w:rFonts w:cs="Times New Roman"/>
          <w:szCs w:val="24"/>
        </w:rPr>
        <w:t xml:space="preserve"> </w:t>
      </w:r>
      <w:r w:rsidR="002F394E">
        <w:rPr>
          <w:rFonts w:cs="Times New Roman"/>
          <w:szCs w:val="24"/>
        </w:rPr>
        <w:t xml:space="preserve">Rīcības plāna pasākums </w:t>
      </w:r>
      <w:r w:rsidR="00FE71FF" w:rsidRPr="001D0886">
        <w:rPr>
          <w:rFonts w:cs="Times New Roman"/>
          <w:szCs w:val="24"/>
        </w:rPr>
        <w:t>Nr.8.2.</w:t>
      </w:r>
      <w:r w:rsidRPr="001D0886">
        <w:rPr>
          <w:rFonts w:cs="Times New Roman"/>
          <w:szCs w:val="24"/>
        </w:rPr>
        <w:t xml:space="preserve"> „</w:t>
      </w:r>
      <w:r w:rsidR="00FE71FF" w:rsidRPr="001D0886">
        <w:rPr>
          <w:rFonts w:cs="Times New Roman"/>
          <w:szCs w:val="24"/>
        </w:rPr>
        <w:t xml:space="preserve">Pārskatīt minimālās pensijas apmēru un noteikšanas </w:t>
      </w:r>
      <w:r w:rsidR="00FE71FF" w:rsidRPr="001D0886">
        <w:rPr>
          <w:rFonts w:cs="Times New Roman"/>
          <w:szCs w:val="24"/>
        </w:rPr>
        <w:lastRenderedPageBreak/>
        <w:t>kārtību. Pilnveidot ienākumu atbalstu iedzīvotāju grupām, kuras visbiežāk pakļautas nabadzības riskam</w:t>
      </w:r>
      <w:r w:rsidRPr="001D0886">
        <w:rPr>
          <w:rFonts w:cs="Times New Roman"/>
          <w:szCs w:val="24"/>
        </w:rPr>
        <w:t>.</w:t>
      </w:r>
      <w:r w:rsidR="00FE71FF" w:rsidRPr="001D0886">
        <w:rPr>
          <w:rFonts w:cs="Times New Roman"/>
          <w:szCs w:val="24"/>
        </w:rPr>
        <w:t xml:space="preserve"> </w:t>
      </w:r>
      <w:r w:rsidR="001D0886" w:rsidRPr="001D0886">
        <w:rPr>
          <w:rFonts w:cs="Times New Roman"/>
          <w:szCs w:val="24"/>
        </w:rPr>
        <w:t>Darbības rezultāts:</w:t>
      </w:r>
    </w:p>
    <w:p w14:paraId="3E009CDD" w14:textId="4ED20A2C" w:rsidR="001D0886" w:rsidRPr="001D0886" w:rsidRDefault="001D0886" w:rsidP="001D0886">
      <w:pPr>
        <w:pStyle w:val="ListParagraph"/>
        <w:numPr>
          <w:ilvl w:val="0"/>
          <w:numId w:val="27"/>
        </w:numPr>
        <w:shd w:val="clear" w:color="auto" w:fill="FFFFFF"/>
        <w:spacing w:after="120" w:line="240" w:lineRule="auto"/>
        <w:jc w:val="both"/>
        <w:rPr>
          <w:rFonts w:cs="Times New Roman"/>
          <w:szCs w:val="24"/>
        </w:rPr>
      </w:pPr>
      <w:r w:rsidRPr="001D0886">
        <w:rPr>
          <w:rFonts w:cs="Times New Roman"/>
          <w:szCs w:val="24"/>
        </w:rPr>
        <w:t>p</w:t>
      </w:r>
      <w:r w:rsidR="00FE71FF" w:rsidRPr="001D0886">
        <w:rPr>
          <w:rFonts w:cs="Times New Roman"/>
          <w:szCs w:val="24"/>
        </w:rPr>
        <w:t>aaugst</w:t>
      </w:r>
      <w:r w:rsidRPr="001D0886">
        <w:rPr>
          <w:rFonts w:cs="Times New Roman"/>
          <w:szCs w:val="24"/>
        </w:rPr>
        <w:t>ināts minimālās pensijas apmērs;</w:t>
      </w:r>
    </w:p>
    <w:p w14:paraId="06D0479E" w14:textId="44508792" w:rsidR="00F87DA2" w:rsidRPr="001D0886" w:rsidRDefault="001D0886" w:rsidP="001D0886">
      <w:pPr>
        <w:pStyle w:val="ListParagraph"/>
        <w:numPr>
          <w:ilvl w:val="0"/>
          <w:numId w:val="27"/>
        </w:numPr>
        <w:shd w:val="clear" w:color="auto" w:fill="FFFFFF"/>
        <w:spacing w:after="120" w:line="240" w:lineRule="auto"/>
        <w:jc w:val="both"/>
        <w:rPr>
          <w:rFonts w:cs="Times New Roman"/>
          <w:szCs w:val="24"/>
        </w:rPr>
      </w:pPr>
      <w:r w:rsidRPr="001D0886">
        <w:rPr>
          <w:rFonts w:cs="Times New Roman"/>
          <w:szCs w:val="24"/>
        </w:rPr>
        <w:t>i</w:t>
      </w:r>
      <w:r w:rsidR="00FE71FF" w:rsidRPr="001D0886">
        <w:rPr>
          <w:rFonts w:cs="Times New Roman"/>
          <w:szCs w:val="24"/>
        </w:rPr>
        <w:t>edzīvotājiem, kuriem ir viszemākais ienākumu līmenis, tiek paaugstināts ienākumu atbalsts, palielinot minimālo valsts pensiju, valsts sociālā nodrošinājuma pabalstu (tai skaitā izskatot tā indeksēšanas iespējas), paaugstinot trūcīgas personas ienākumu līmeni un garantētā minimālā ienākuma līmeni. Lai nodrošinātu, ka cilvēkiem ar zemiem ienākumiem tiek nodrošināts līdzvērtīgs atbalsts, noteikts vienots maznodrošinātai personai atbilstošs ienākuma līmenis, lai saņemtu valsts atbalsta pasākumus, kā arī ir vienotas rekomendācijas par dzīvokļa pabalsta vienotu saturu un aprēķina metodiku</w:t>
      </w:r>
      <w:r w:rsidR="00F87DA2" w:rsidRPr="001D0886">
        <w:rPr>
          <w:rFonts w:cs="Times New Roman"/>
          <w:szCs w:val="24"/>
        </w:rPr>
        <w:t>”;</w:t>
      </w:r>
    </w:p>
    <w:p w14:paraId="3805FEA0" w14:textId="3D9BD6CF" w:rsidR="001D0886" w:rsidRPr="001D0886" w:rsidRDefault="001D0886" w:rsidP="002F394E">
      <w:pPr>
        <w:pStyle w:val="ListParagraph"/>
        <w:numPr>
          <w:ilvl w:val="1"/>
          <w:numId w:val="7"/>
        </w:numPr>
        <w:shd w:val="clear" w:color="auto" w:fill="FFFFFF"/>
        <w:spacing w:after="120" w:line="240" w:lineRule="auto"/>
        <w:jc w:val="both"/>
        <w:rPr>
          <w:rFonts w:cs="Times New Roman"/>
          <w:szCs w:val="24"/>
        </w:rPr>
      </w:pPr>
      <w:r w:rsidRPr="001D0886">
        <w:rPr>
          <w:rFonts w:cs="Times New Roman"/>
          <w:szCs w:val="24"/>
        </w:rPr>
        <w:t xml:space="preserve">(Labklājība) </w:t>
      </w:r>
      <w:r w:rsidR="002F394E">
        <w:rPr>
          <w:rFonts w:cs="Times New Roman"/>
          <w:szCs w:val="24"/>
        </w:rPr>
        <w:t xml:space="preserve">Uzdevums: </w:t>
      </w:r>
      <w:r w:rsidR="002F394E" w:rsidRPr="002F394E">
        <w:rPr>
          <w:rFonts w:cs="Times New Roman"/>
          <w:szCs w:val="24"/>
        </w:rPr>
        <w:t xml:space="preserve">Senioru dzīves kvalitātes uzlabošanai izvērtēsim jautājumu par pensiju mantošanas sistēmas pilnveidošanu. Kāpināsim minimālās pensijas apmēru un pilnveidosim tās noteikšanas kārtību, pārskatīsim piemaksas par darba stāžu. </w:t>
      </w:r>
      <w:r w:rsidR="002F394E">
        <w:rPr>
          <w:rFonts w:cs="Times New Roman"/>
          <w:szCs w:val="24"/>
        </w:rPr>
        <w:t xml:space="preserve">[...] Rīcības plāna pasākums </w:t>
      </w:r>
      <w:r w:rsidRPr="001D0886">
        <w:rPr>
          <w:rFonts w:cs="Times New Roman"/>
          <w:szCs w:val="24"/>
        </w:rPr>
        <w:t>Nr.1</w:t>
      </w:r>
      <w:r w:rsidR="00F87DA2" w:rsidRPr="001D0886">
        <w:rPr>
          <w:rFonts w:cs="Times New Roman"/>
          <w:szCs w:val="24"/>
        </w:rPr>
        <w:t>1</w:t>
      </w:r>
      <w:r w:rsidRPr="001D0886">
        <w:rPr>
          <w:rFonts w:cs="Times New Roman"/>
          <w:szCs w:val="24"/>
        </w:rPr>
        <w:t>0</w:t>
      </w:r>
      <w:r w:rsidR="00F87DA2" w:rsidRPr="001D0886">
        <w:rPr>
          <w:rFonts w:cs="Times New Roman"/>
          <w:szCs w:val="24"/>
        </w:rPr>
        <w:t>.</w:t>
      </w:r>
      <w:r w:rsidR="002477AB" w:rsidRPr="001D0886">
        <w:rPr>
          <w:rFonts w:cs="Times New Roman"/>
          <w:szCs w:val="24"/>
        </w:rPr>
        <w:t>1</w:t>
      </w:r>
      <w:r w:rsidR="00F87DA2" w:rsidRPr="001D0886">
        <w:rPr>
          <w:rFonts w:cs="Times New Roman"/>
          <w:szCs w:val="24"/>
        </w:rPr>
        <w:t xml:space="preserve"> „</w:t>
      </w:r>
      <w:r w:rsidRPr="001D0886">
        <w:rPr>
          <w:rFonts w:cs="Times New Roman"/>
          <w:szCs w:val="24"/>
        </w:rPr>
        <w:t>Pārskatīt minimālās pensijas apmēru un noteikšanas kārtību</w:t>
      </w:r>
      <w:r w:rsidR="00F87DA2" w:rsidRPr="001D0886">
        <w:rPr>
          <w:rFonts w:cs="Times New Roman"/>
          <w:szCs w:val="24"/>
        </w:rPr>
        <w:t>.</w:t>
      </w:r>
      <w:r w:rsidRPr="001D0886">
        <w:rPr>
          <w:rFonts w:cs="Times New Roman"/>
          <w:szCs w:val="24"/>
        </w:rPr>
        <w:t xml:space="preserve"> Darbības rezultāts: </w:t>
      </w:r>
      <w:r>
        <w:rPr>
          <w:rFonts w:cs="Times New Roman"/>
          <w:szCs w:val="24"/>
        </w:rPr>
        <w:t>p</w:t>
      </w:r>
      <w:r w:rsidRPr="001D0886">
        <w:rPr>
          <w:rFonts w:cs="Times New Roman"/>
          <w:szCs w:val="24"/>
        </w:rPr>
        <w:t>aaugstināts minimālās pensijas apmērs.</w:t>
      </w:r>
      <w:r w:rsidR="00F87DA2" w:rsidRPr="001D0886">
        <w:rPr>
          <w:rFonts w:cs="Times New Roman"/>
          <w:szCs w:val="24"/>
        </w:rPr>
        <w:t>”;</w:t>
      </w:r>
    </w:p>
    <w:p w14:paraId="7924008D" w14:textId="364A784B" w:rsidR="001D0886" w:rsidRDefault="001D0886" w:rsidP="002F394E">
      <w:pPr>
        <w:pStyle w:val="ListParagraph"/>
        <w:numPr>
          <w:ilvl w:val="1"/>
          <w:numId w:val="7"/>
        </w:numPr>
        <w:shd w:val="clear" w:color="auto" w:fill="FFFFFF"/>
        <w:spacing w:after="120" w:line="240" w:lineRule="auto"/>
        <w:jc w:val="both"/>
        <w:rPr>
          <w:rFonts w:cs="Times New Roman"/>
          <w:szCs w:val="24"/>
        </w:rPr>
      </w:pPr>
      <w:r w:rsidRPr="001D0886">
        <w:rPr>
          <w:rFonts w:cs="Times New Roman"/>
          <w:szCs w:val="24"/>
        </w:rPr>
        <w:t xml:space="preserve">(Labklājība) </w:t>
      </w:r>
      <w:r w:rsidR="002F394E">
        <w:rPr>
          <w:rFonts w:cs="Times New Roman"/>
          <w:szCs w:val="24"/>
        </w:rPr>
        <w:t xml:space="preserve">Uzdevums: </w:t>
      </w:r>
      <w:r w:rsidR="002F394E" w:rsidRPr="002F394E">
        <w:rPr>
          <w:rFonts w:cs="Times New Roman"/>
          <w:szCs w:val="24"/>
        </w:rPr>
        <w:t xml:space="preserve">Pakāpeniski pilnveidosim minimālo ienākumu atbalsta sistēmu, paaugstinot minimālo valsts pensiju līmeni, palielinot valsts sociālā nodrošinājuma pabalstu, tai skaitā personām ar invaliditāti, veicot valsts sociālā nodrošinājuma pabalsta ikgadēju indeksāciju ar patēriņa cenu indeksu, pārskatot trūcīgas personas statusam atbilstošu ienākumu līmeni un garantēto minimālā ienākuma līmeni, nosakot vienotu maznodrošinātās personas ienākuma līmeni valsts sniegtajam atbalstam un izstrādājot rekomendācijas par dzīvokļa pabalsta vienotu saturu un aprēķina metodiku. Sadarbībā ar pašvaldībām pārskatīsim sociālās palīdzības sistēmu, lai nodrošinātu iedzīvotājiem adekvātu atbalstu un vienlaikus motivētu cilvēkus uzlabot savu situāciju un iesaistīties darba tirgū. </w:t>
      </w:r>
      <w:r w:rsidR="002F394E">
        <w:rPr>
          <w:rFonts w:cs="Times New Roman"/>
          <w:szCs w:val="24"/>
        </w:rPr>
        <w:t xml:space="preserve">Rīcības plāna pasākums </w:t>
      </w:r>
      <w:r w:rsidRPr="001D0886">
        <w:rPr>
          <w:rFonts w:cs="Times New Roman"/>
          <w:szCs w:val="24"/>
        </w:rPr>
        <w:t>Nr.11</w:t>
      </w:r>
      <w:r w:rsidR="002F394E">
        <w:rPr>
          <w:rFonts w:cs="Times New Roman"/>
          <w:szCs w:val="24"/>
        </w:rPr>
        <w:t>1</w:t>
      </w:r>
      <w:r w:rsidRPr="001D0886">
        <w:rPr>
          <w:rFonts w:cs="Times New Roman"/>
          <w:szCs w:val="24"/>
        </w:rPr>
        <w:t xml:space="preserve">.1 </w:t>
      </w:r>
      <w:r w:rsidR="00C82884" w:rsidRPr="001D0886">
        <w:rPr>
          <w:rFonts w:cs="Times New Roman"/>
          <w:szCs w:val="24"/>
        </w:rPr>
        <w:t>„</w:t>
      </w:r>
      <w:r w:rsidRPr="001D0886">
        <w:rPr>
          <w:rFonts w:cs="Times New Roman"/>
          <w:szCs w:val="24"/>
        </w:rPr>
        <w:t>Pilnveidot ienākumu atbalstu iedzīvotāju grupām, kuras visbiežāk pakļautas nabadzības riskam”</w:t>
      </w:r>
      <w:r>
        <w:rPr>
          <w:rFonts w:cs="Times New Roman"/>
          <w:szCs w:val="24"/>
        </w:rPr>
        <w:t xml:space="preserve">. </w:t>
      </w:r>
      <w:r w:rsidRPr="001D0886">
        <w:rPr>
          <w:rFonts w:cs="Times New Roman"/>
          <w:szCs w:val="24"/>
        </w:rPr>
        <w:t xml:space="preserve">Darbības rezultāts: </w:t>
      </w:r>
    </w:p>
    <w:p w14:paraId="427C6CC3" w14:textId="3765F1C3" w:rsidR="00126B70" w:rsidRPr="001D0886" w:rsidRDefault="001D0886" w:rsidP="001D0886">
      <w:pPr>
        <w:pStyle w:val="ListParagraph"/>
        <w:shd w:val="clear" w:color="auto" w:fill="FFFFFF"/>
        <w:spacing w:after="120" w:line="240" w:lineRule="auto"/>
        <w:ind w:left="1080"/>
        <w:jc w:val="both"/>
        <w:rPr>
          <w:rFonts w:cs="Times New Roman"/>
          <w:szCs w:val="24"/>
        </w:rPr>
      </w:pPr>
      <w:r w:rsidRPr="001D0886">
        <w:rPr>
          <w:rFonts w:cs="Times New Roman"/>
          <w:szCs w:val="24"/>
        </w:rPr>
        <w:t>- Iedzīvotājiem, kuriem ir viszemākais ienākumu līmenis, tiek paaugstināts ienākumu atbalsts, palielinot minimālo valsts pensiju, valsts sociālā nodrošinājuma pabalstu (tai skaitā izskatot tā indeksēšanas iespējas), paaugstinot trūcīgas personas ienākumu līmeni un garantētā minimālā ienākuma līmeni. Lai nodrošinātu, ka cilvēkiem ar zemiem ienākumiem tiek nodrošināts līdzvērtīgs atbalsts, noteikts vienots maznodrošinātai personai atbilstošs ienākuma līmenis, lai saņemtu valsts atbalsta pasākumus, kā arī ir vienotas rekomendācijas par dzīvokļa pabalsta vienotu saturu un aprēķina metodiku”</w:t>
      </w:r>
      <w:r>
        <w:rPr>
          <w:rFonts w:cs="Times New Roman"/>
          <w:szCs w:val="24"/>
        </w:rPr>
        <w:t>.</w:t>
      </w:r>
    </w:p>
    <w:p w14:paraId="1F592A3C" w14:textId="410F85A4" w:rsidR="00A10C50" w:rsidRPr="00071B95" w:rsidRDefault="006A01E2" w:rsidP="00071B95">
      <w:pPr>
        <w:pStyle w:val="ListParagraph"/>
        <w:numPr>
          <w:ilvl w:val="0"/>
          <w:numId w:val="7"/>
        </w:numPr>
        <w:autoSpaceDE w:val="0"/>
        <w:autoSpaceDN w:val="0"/>
        <w:adjustRightInd w:val="0"/>
        <w:spacing w:after="0" w:line="293" w:lineRule="atLeast"/>
        <w:ind w:right="129"/>
        <w:jc w:val="both"/>
        <w:rPr>
          <w:rFonts w:cs="Times New Roman"/>
          <w:iCs/>
          <w:szCs w:val="24"/>
        </w:rPr>
      </w:pPr>
      <w:r>
        <w:rPr>
          <w:rFonts w:cs="Times New Roman"/>
          <w:szCs w:val="24"/>
        </w:rPr>
        <w:t xml:space="preserve">Latvijas Republikas </w:t>
      </w:r>
      <w:r w:rsidRPr="00071B95">
        <w:rPr>
          <w:rFonts w:cs="Times New Roman"/>
          <w:szCs w:val="24"/>
        </w:rPr>
        <w:t xml:space="preserve">Satversmes tiesas </w:t>
      </w:r>
      <w:r>
        <w:rPr>
          <w:rFonts w:cs="Times New Roman"/>
          <w:szCs w:val="24"/>
        </w:rPr>
        <w:t xml:space="preserve">(turpmāk – Satversmes tiesa) </w:t>
      </w:r>
      <w:r w:rsidR="00675339" w:rsidRPr="00071B95">
        <w:rPr>
          <w:rFonts w:cs="Times New Roman"/>
          <w:szCs w:val="24"/>
        </w:rPr>
        <w:t xml:space="preserve">spriedumiem: </w:t>
      </w:r>
    </w:p>
    <w:p w14:paraId="50E5D9D2" w14:textId="55AD0984" w:rsidR="00A10C50" w:rsidRPr="00A10C50" w:rsidRDefault="00A10C50" w:rsidP="00B42768">
      <w:pPr>
        <w:pStyle w:val="ListParagraph"/>
        <w:numPr>
          <w:ilvl w:val="1"/>
          <w:numId w:val="7"/>
        </w:numPr>
        <w:autoSpaceDE w:val="0"/>
        <w:autoSpaceDN w:val="0"/>
        <w:adjustRightInd w:val="0"/>
        <w:spacing w:after="0" w:line="293" w:lineRule="atLeast"/>
        <w:ind w:right="129"/>
        <w:jc w:val="both"/>
        <w:rPr>
          <w:rFonts w:cs="Times New Roman"/>
          <w:szCs w:val="24"/>
        </w:rPr>
      </w:pPr>
      <w:r w:rsidRPr="00A10C50">
        <w:rPr>
          <w:rFonts w:cs="Times New Roman"/>
          <w:szCs w:val="24"/>
        </w:rPr>
        <w:t xml:space="preserve">Satversmes tiesas spriedums </w:t>
      </w:r>
      <w:r w:rsidR="00B42768" w:rsidRPr="00827639">
        <w:rPr>
          <w:rFonts w:cs="Times New Roman"/>
        </w:rPr>
        <w:t xml:space="preserve">2020.gada 25.jūnijā lietā Nr. 2019-24-03 </w:t>
      </w:r>
      <w:r w:rsidR="00B42768" w:rsidRPr="00B42768">
        <w:rPr>
          <w:rFonts w:cs="Times New Roman"/>
          <w:szCs w:val="24"/>
        </w:rPr>
        <w:t>„Par</w:t>
      </w:r>
      <w:r w:rsidR="00B42768">
        <w:rPr>
          <w:rFonts w:cs="Times New Roman"/>
          <w:szCs w:val="24"/>
        </w:rPr>
        <w:t xml:space="preserve"> </w:t>
      </w:r>
      <w:r w:rsidR="00B42768" w:rsidRPr="00B42768">
        <w:rPr>
          <w:rFonts w:cs="Times New Roman"/>
          <w:szCs w:val="24"/>
        </w:rPr>
        <w:t>Ministru</w:t>
      </w:r>
      <w:r w:rsidR="00B42768">
        <w:rPr>
          <w:rFonts w:cs="Times New Roman"/>
          <w:szCs w:val="24"/>
        </w:rPr>
        <w:t xml:space="preserve"> </w:t>
      </w:r>
      <w:r w:rsidR="00B42768" w:rsidRPr="00B42768">
        <w:rPr>
          <w:rFonts w:cs="Times New Roman"/>
          <w:szCs w:val="24"/>
        </w:rPr>
        <w:t>kabineta</w:t>
      </w:r>
      <w:r w:rsidR="00B42768">
        <w:rPr>
          <w:rFonts w:cs="Times New Roman"/>
          <w:szCs w:val="24"/>
        </w:rPr>
        <w:t xml:space="preserve"> </w:t>
      </w:r>
      <w:r w:rsidR="00B42768" w:rsidRPr="00B42768">
        <w:rPr>
          <w:rFonts w:cs="Times New Roman"/>
          <w:szCs w:val="24"/>
        </w:rPr>
        <w:t>2012.gada</w:t>
      </w:r>
      <w:r w:rsidR="00B42768">
        <w:rPr>
          <w:rFonts w:cs="Times New Roman"/>
          <w:szCs w:val="24"/>
        </w:rPr>
        <w:t xml:space="preserve"> </w:t>
      </w:r>
      <w:r w:rsidR="00B42768" w:rsidRPr="00B42768">
        <w:rPr>
          <w:rFonts w:cs="Times New Roman"/>
          <w:szCs w:val="24"/>
        </w:rPr>
        <w:t>18.decembra</w:t>
      </w:r>
      <w:r w:rsidR="00B42768">
        <w:rPr>
          <w:rFonts w:cs="Times New Roman"/>
          <w:szCs w:val="24"/>
        </w:rPr>
        <w:t xml:space="preserve"> </w:t>
      </w:r>
      <w:r w:rsidR="00B42768" w:rsidRPr="00B42768">
        <w:rPr>
          <w:rFonts w:cs="Times New Roman"/>
          <w:szCs w:val="24"/>
        </w:rPr>
        <w:t>noteikumu</w:t>
      </w:r>
      <w:r w:rsidR="00B42768">
        <w:rPr>
          <w:rFonts w:cs="Times New Roman"/>
          <w:szCs w:val="24"/>
        </w:rPr>
        <w:t xml:space="preserve"> </w:t>
      </w:r>
      <w:r w:rsidR="00B42768" w:rsidRPr="00B42768">
        <w:rPr>
          <w:rFonts w:cs="Times New Roman"/>
          <w:szCs w:val="24"/>
        </w:rPr>
        <w:t>Nr.913</w:t>
      </w:r>
      <w:r w:rsidR="00B42768">
        <w:rPr>
          <w:rFonts w:cs="Times New Roman"/>
          <w:szCs w:val="24"/>
        </w:rPr>
        <w:t xml:space="preserve"> </w:t>
      </w:r>
      <w:r w:rsidR="00B42768" w:rsidRPr="00B42768">
        <w:rPr>
          <w:rFonts w:cs="Times New Roman"/>
          <w:szCs w:val="24"/>
        </w:rPr>
        <w:t>„Noteikumi</w:t>
      </w:r>
      <w:r w:rsidR="00B42768">
        <w:rPr>
          <w:rFonts w:cs="Times New Roman"/>
          <w:szCs w:val="24"/>
        </w:rPr>
        <w:t xml:space="preserve"> </w:t>
      </w:r>
      <w:r w:rsidR="00B42768" w:rsidRPr="00B42768">
        <w:rPr>
          <w:rFonts w:cs="Times New Roman"/>
          <w:szCs w:val="24"/>
        </w:rPr>
        <w:t>par</w:t>
      </w:r>
      <w:r w:rsidR="00B42768">
        <w:rPr>
          <w:rFonts w:cs="Times New Roman"/>
          <w:szCs w:val="24"/>
        </w:rPr>
        <w:t xml:space="preserve"> </w:t>
      </w:r>
      <w:r w:rsidR="00B42768" w:rsidRPr="00B42768">
        <w:rPr>
          <w:rFonts w:cs="Times New Roman"/>
          <w:szCs w:val="24"/>
        </w:rPr>
        <w:t>garantēto</w:t>
      </w:r>
      <w:r w:rsidR="00B42768">
        <w:rPr>
          <w:rFonts w:cs="Times New Roman"/>
          <w:szCs w:val="24"/>
        </w:rPr>
        <w:t xml:space="preserve"> </w:t>
      </w:r>
      <w:r w:rsidR="00B42768" w:rsidRPr="00B42768">
        <w:rPr>
          <w:rFonts w:cs="Times New Roman"/>
          <w:szCs w:val="24"/>
        </w:rPr>
        <w:t>minimālo</w:t>
      </w:r>
      <w:r w:rsidR="00B42768">
        <w:rPr>
          <w:rFonts w:cs="Times New Roman"/>
          <w:szCs w:val="24"/>
        </w:rPr>
        <w:t xml:space="preserve"> </w:t>
      </w:r>
      <w:r w:rsidR="00B42768" w:rsidRPr="00B42768">
        <w:rPr>
          <w:rFonts w:cs="Times New Roman"/>
          <w:szCs w:val="24"/>
        </w:rPr>
        <w:t>ienākumu</w:t>
      </w:r>
      <w:r w:rsidR="00B42768">
        <w:rPr>
          <w:rFonts w:cs="Times New Roman"/>
          <w:szCs w:val="24"/>
        </w:rPr>
        <w:t xml:space="preserve"> </w:t>
      </w:r>
      <w:r w:rsidR="00B42768" w:rsidRPr="00B42768">
        <w:rPr>
          <w:rFonts w:cs="Times New Roman"/>
          <w:szCs w:val="24"/>
        </w:rPr>
        <w:t>līmeni”</w:t>
      </w:r>
      <w:r w:rsidR="00B42768">
        <w:rPr>
          <w:rFonts w:cs="Times New Roman"/>
          <w:szCs w:val="24"/>
        </w:rPr>
        <w:t xml:space="preserve"> </w:t>
      </w:r>
      <w:r w:rsidR="00B42768" w:rsidRPr="00B42768">
        <w:rPr>
          <w:rFonts w:cs="Times New Roman"/>
          <w:szCs w:val="24"/>
        </w:rPr>
        <w:t>2.punkta</w:t>
      </w:r>
      <w:r w:rsidR="00B42768">
        <w:rPr>
          <w:rFonts w:cs="Times New Roman"/>
          <w:szCs w:val="24"/>
        </w:rPr>
        <w:t xml:space="preserve"> </w:t>
      </w:r>
      <w:r w:rsidR="00B42768" w:rsidRPr="00B42768">
        <w:rPr>
          <w:rFonts w:cs="Times New Roman"/>
          <w:szCs w:val="24"/>
        </w:rPr>
        <w:t>atbilstību</w:t>
      </w:r>
      <w:r w:rsidR="00B42768">
        <w:rPr>
          <w:rFonts w:cs="Times New Roman"/>
          <w:szCs w:val="24"/>
        </w:rPr>
        <w:t xml:space="preserve"> </w:t>
      </w:r>
      <w:r w:rsidR="00B42768" w:rsidRPr="00B42768">
        <w:rPr>
          <w:rFonts w:cs="Times New Roman"/>
          <w:szCs w:val="24"/>
        </w:rPr>
        <w:t>Latvijas</w:t>
      </w:r>
      <w:r w:rsidR="00B42768">
        <w:rPr>
          <w:rFonts w:cs="Times New Roman"/>
          <w:szCs w:val="24"/>
        </w:rPr>
        <w:t xml:space="preserve"> </w:t>
      </w:r>
      <w:r w:rsidR="00B42768" w:rsidRPr="00B42768">
        <w:rPr>
          <w:rFonts w:cs="Times New Roman"/>
          <w:szCs w:val="24"/>
        </w:rPr>
        <w:t>Republikas</w:t>
      </w:r>
      <w:r w:rsidR="00B42768">
        <w:rPr>
          <w:rFonts w:cs="Times New Roman"/>
          <w:szCs w:val="24"/>
        </w:rPr>
        <w:t xml:space="preserve"> </w:t>
      </w:r>
      <w:r w:rsidR="00B42768" w:rsidRPr="00B42768">
        <w:rPr>
          <w:rFonts w:cs="Times New Roman"/>
          <w:szCs w:val="24"/>
        </w:rPr>
        <w:t>Satversmes</w:t>
      </w:r>
      <w:r w:rsidR="00B42768">
        <w:rPr>
          <w:rFonts w:cs="Times New Roman"/>
          <w:szCs w:val="24"/>
        </w:rPr>
        <w:t xml:space="preserve"> </w:t>
      </w:r>
      <w:r w:rsidR="00B42768" w:rsidRPr="00B42768">
        <w:rPr>
          <w:rFonts w:cs="Times New Roman"/>
          <w:szCs w:val="24"/>
        </w:rPr>
        <w:t>1.</w:t>
      </w:r>
      <w:r w:rsidR="00B42768">
        <w:rPr>
          <w:rFonts w:cs="Times New Roman"/>
          <w:szCs w:val="24"/>
        </w:rPr>
        <w:t xml:space="preserve"> </w:t>
      </w:r>
      <w:r w:rsidR="00B42768" w:rsidRPr="00B42768">
        <w:rPr>
          <w:rFonts w:cs="Times New Roman"/>
          <w:szCs w:val="24"/>
        </w:rPr>
        <w:t>un</w:t>
      </w:r>
      <w:r w:rsidR="00B42768">
        <w:rPr>
          <w:rFonts w:cs="Times New Roman"/>
          <w:szCs w:val="24"/>
        </w:rPr>
        <w:t xml:space="preserve"> </w:t>
      </w:r>
      <w:r w:rsidR="00B42768" w:rsidRPr="00B42768">
        <w:rPr>
          <w:rFonts w:cs="Times New Roman"/>
          <w:szCs w:val="24"/>
        </w:rPr>
        <w:t>109.pantam”</w:t>
      </w:r>
      <w:r w:rsidR="00B42768">
        <w:rPr>
          <w:rStyle w:val="FootnoteReference"/>
          <w:szCs w:val="24"/>
        </w:rPr>
        <w:footnoteReference w:id="3"/>
      </w:r>
      <w:r w:rsidR="009F61AA">
        <w:rPr>
          <w:rFonts w:cs="Times New Roman"/>
          <w:szCs w:val="24"/>
        </w:rPr>
        <w:t>;</w:t>
      </w:r>
    </w:p>
    <w:p w14:paraId="2D820586" w14:textId="06884E6F" w:rsidR="00A10C50" w:rsidRPr="00A10C50" w:rsidRDefault="00A10C50" w:rsidP="00A10C50">
      <w:pPr>
        <w:pStyle w:val="ListParagraph"/>
        <w:numPr>
          <w:ilvl w:val="1"/>
          <w:numId w:val="7"/>
        </w:numPr>
        <w:autoSpaceDE w:val="0"/>
        <w:autoSpaceDN w:val="0"/>
        <w:adjustRightInd w:val="0"/>
        <w:spacing w:after="0" w:line="293" w:lineRule="atLeast"/>
        <w:ind w:right="129"/>
        <w:jc w:val="both"/>
        <w:rPr>
          <w:rFonts w:cs="Times New Roman"/>
          <w:szCs w:val="24"/>
        </w:rPr>
      </w:pPr>
      <w:r w:rsidRPr="00A10C50">
        <w:rPr>
          <w:rFonts w:cs="Times New Roman"/>
          <w:szCs w:val="24"/>
        </w:rPr>
        <w:t xml:space="preserve">Satversmes tiesas spriedums </w:t>
      </w:r>
      <w:r w:rsidR="009F61AA" w:rsidRPr="00827639">
        <w:rPr>
          <w:rFonts w:cs="Times New Roman"/>
        </w:rPr>
        <w:t xml:space="preserve">2020.gada 16.jūlijā lietā Nr.2019-25-03 </w:t>
      </w:r>
      <w:r w:rsidR="00B42768" w:rsidRPr="00B42768">
        <w:rPr>
          <w:rFonts w:cs="Times New Roman"/>
          <w:szCs w:val="24"/>
        </w:rPr>
        <w:t>“</w:t>
      </w:r>
      <w:r w:rsidR="00B42768" w:rsidRPr="00B42768">
        <w:rPr>
          <w:rFonts w:cs="Times New Roman"/>
          <w:szCs w:val="24"/>
          <w:shd w:val="clear" w:color="auto" w:fill="FFFFFF"/>
        </w:rPr>
        <w:t xml:space="preserve">Par Ministru kabineta 2010.gada 30.marta noteikumu Nr.299 „Noteikumi par ģimenes vai atsevišķi dzīvojošas personas atzīšanu par trūcīgu” 2.punkta vārdu „ja tās vidējie </w:t>
      </w:r>
      <w:r w:rsidR="00B42768" w:rsidRPr="00B42768">
        <w:rPr>
          <w:rFonts w:cs="Times New Roman"/>
          <w:szCs w:val="24"/>
          <w:shd w:val="clear" w:color="auto" w:fill="FFFFFF"/>
        </w:rPr>
        <w:lastRenderedPageBreak/>
        <w:t>ienākumi katram ģimenes loceklim mēnesī pēdējo triju mēnešu laikā nepārsniedz 128,06</w:t>
      </w:r>
      <w:r w:rsidR="009F61AA">
        <w:rPr>
          <w:rFonts w:cs="Times New Roman"/>
          <w:szCs w:val="24"/>
          <w:shd w:val="clear" w:color="auto" w:fill="FFFFFF"/>
        </w:rPr>
        <w:t xml:space="preserve"> </w:t>
      </w:r>
      <w:r w:rsidR="00B42768" w:rsidRPr="00B42768">
        <w:rPr>
          <w:rFonts w:cs="Times New Roman"/>
          <w:szCs w:val="24"/>
          <w:shd w:val="clear" w:color="auto" w:fill="FFFFFF"/>
        </w:rPr>
        <w:t>euro” atbilstību Latvijas Republikas Satversmes 1.</w:t>
      </w:r>
      <w:r w:rsidR="00B42768">
        <w:rPr>
          <w:rFonts w:cs="Times New Roman"/>
          <w:szCs w:val="24"/>
          <w:shd w:val="clear" w:color="auto" w:fill="FFFFFF"/>
        </w:rPr>
        <w:t xml:space="preserve"> </w:t>
      </w:r>
      <w:r w:rsidR="00B42768" w:rsidRPr="00B42768">
        <w:rPr>
          <w:rFonts w:cs="Times New Roman"/>
          <w:szCs w:val="24"/>
          <w:shd w:val="clear" w:color="auto" w:fill="FFFFFF"/>
        </w:rPr>
        <w:t>un 109.pantam”</w:t>
      </w:r>
      <w:r w:rsidR="00B42768">
        <w:rPr>
          <w:rStyle w:val="FootnoteReference"/>
          <w:szCs w:val="24"/>
          <w:shd w:val="clear" w:color="auto" w:fill="FFFFFF"/>
        </w:rPr>
        <w:footnoteReference w:id="4"/>
      </w:r>
      <w:r w:rsidR="009F61AA">
        <w:rPr>
          <w:rFonts w:cs="Times New Roman"/>
          <w:szCs w:val="24"/>
          <w:shd w:val="clear" w:color="auto" w:fill="FFFFFF"/>
        </w:rPr>
        <w:t>;</w:t>
      </w:r>
    </w:p>
    <w:p w14:paraId="701AAA9C" w14:textId="2BF5F125" w:rsidR="00A10C50" w:rsidRPr="00A10C50" w:rsidRDefault="00A10C50" w:rsidP="00B42768">
      <w:pPr>
        <w:pStyle w:val="ListParagraph"/>
        <w:numPr>
          <w:ilvl w:val="1"/>
          <w:numId w:val="7"/>
        </w:numPr>
        <w:autoSpaceDE w:val="0"/>
        <w:autoSpaceDN w:val="0"/>
        <w:adjustRightInd w:val="0"/>
        <w:spacing w:after="0" w:line="293" w:lineRule="atLeast"/>
        <w:ind w:right="129"/>
        <w:jc w:val="both"/>
        <w:rPr>
          <w:rFonts w:cs="Times New Roman"/>
          <w:szCs w:val="24"/>
        </w:rPr>
      </w:pPr>
      <w:r w:rsidRPr="00A10C50">
        <w:rPr>
          <w:rFonts w:cs="Times New Roman"/>
          <w:szCs w:val="24"/>
        </w:rPr>
        <w:t xml:space="preserve">Satversmes tiesas spriedums </w:t>
      </w:r>
      <w:r w:rsidR="00B42768" w:rsidRPr="00827639">
        <w:rPr>
          <w:rFonts w:cs="Times New Roman"/>
        </w:rPr>
        <w:t xml:space="preserve">2020.gada 10.decembrī lietā Nr.2020-07-03 </w:t>
      </w:r>
      <w:r w:rsidR="00B42768" w:rsidRPr="00B42768">
        <w:rPr>
          <w:rFonts w:cs="Times New Roman"/>
          <w:szCs w:val="24"/>
        </w:rPr>
        <w:t>“Par</w:t>
      </w:r>
      <w:r w:rsidR="00B42768">
        <w:rPr>
          <w:rFonts w:cs="Times New Roman"/>
          <w:szCs w:val="24"/>
        </w:rPr>
        <w:t xml:space="preserve"> </w:t>
      </w:r>
      <w:r w:rsidR="00B42768" w:rsidRPr="00B42768">
        <w:rPr>
          <w:rFonts w:cs="Times New Roman"/>
          <w:szCs w:val="24"/>
        </w:rPr>
        <w:t>Ministru</w:t>
      </w:r>
      <w:r w:rsidR="00B42768">
        <w:rPr>
          <w:rFonts w:cs="Times New Roman"/>
          <w:szCs w:val="24"/>
        </w:rPr>
        <w:t xml:space="preserve"> </w:t>
      </w:r>
      <w:r w:rsidR="00B42768" w:rsidRPr="00B42768">
        <w:rPr>
          <w:rFonts w:cs="Times New Roman"/>
          <w:szCs w:val="24"/>
        </w:rPr>
        <w:t>kabineta</w:t>
      </w:r>
      <w:r w:rsidR="00B42768">
        <w:rPr>
          <w:rFonts w:cs="Times New Roman"/>
          <w:szCs w:val="24"/>
        </w:rPr>
        <w:t xml:space="preserve"> </w:t>
      </w:r>
      <w:r w:rsidR="00B42768" w:rsidRPr="00B42768">
        <w:rPr>
          <w:rFonts w:cs="Times New Roman"/>
          <w:szCs w:val="24"/>
        </w:rPr>
        <w:t>2011.gada</w:t>
      </w:r>
      <w:r w:rsidR="00B42768">
        <w:rPr>
          <w:rFonts w:cs="Times New Roman"/>
          <w:szCs w:val="24"/>
        </w:rPr>
        <w:t xml:space="preserve"> </w:t>
      </w:r>
      <w:r w:rsidR="00B42768" w:rsidRPr="00B42768">
        <w:rPr>
          <w:rFonts w:cs="Times New Roman"/>
          <w:szCs w:val="24"/>
        </w:rPr>
        <w:t>5.decembra</w:t>
      </w:r>
      <w:r w:rsidR="00B42768">
        <w:rPr>
          <w:rFonts w:cs="Times New Roman"/>
          <w:szCs w:val="24"/>
        </w:rPr>
        <w:t xml:space="preserve"> </w:t>
      </w:r>
      <w:r w:rsidR="00B42768" w:rsidRPr="00B42768">
        <w:rPr>
          <w:rFonts w:cs="Times New Roman"/>
          <w:szCs w:val="24"/>
        </w:rPr>
        <w:t>noteikumu</w:t>
      </w:r>
      <w:r w:rsidR="00B42768">
        <w:rPr>
          <w:rFonts w:cs="Times New Roman"/>
          <w:szCs w:val="24"/>
        </w:rPr>
        <w:t xml:space="preserve"> </w:t>
      </w:r>
      <w:r w:rsidR="00B42768" w:rsidRPr="00B42768">
        <w:rPr>
          <w:rFonts w:cs="Times New Roman"/>
          <w:szCs w:val="24"/>
        </w:rPr>
        <w:t>Nr.924</w:t>
      </w:r>
      <w:r w:rsidR="00B42768">
        <w:rPr>
          <w:rFonts w:cs="Times New Roman"/>
          <w:szCs w:val="24"/>
        </w:rPr>
        <w:t xml:space="preserve"> </w:t>
      </w:r>
      <w:r w:rsidR="00B42768" w:rsidRPr="00B42768">
        <w:rPr>
          <w:rFonts w:cs="Times New Roman"/>
          <w:szCs w:val="24"/>
        </w:rPr>
        <w:t>“Noteikumi</w:t>
      </w:r>
      <w:r w:rsidR="00B42768">
        <w:rPr>
          <w:rFonts w:cs="Times New Roman"/>
          <w:szCs w:val="24"/>
        </w:rPr>
        <w:t xml:space="preserve"> </w:t>
      </w:r>
      <w:r w:rsidR="00B42768" w:rsidRPr="00B42768">
        <w:rPr>
          <w:rFonts w:cs="Times New Roman"/>
          <w:szCs w:val="24"/>
        </w:rPr>
        <w:t>par</w:t>
      </w:r>
      <w:r w:rsidR="00B42768">
        <w:rPr>
          <w:rFonts w:cs="Times New Roman"/>
          <w:szCs w:val="24"/>
        </w:rPr>
        <w:t xml:space="preserve"> </w:t>
      </w:r>
      <w:r w:rsidR="00B42768" w:rsidRPr="00B42768">
        <w:rPr>
          <w:rFonts w:cs="Times New Roman"/>
          <w:szCs w:val="24"/>
        </w:rPr>
        <w:t>vecuma</w:t>
      </w:r>
      <w:r w:rsidR="00B42768">
        <w:rPr>
          <w:rFonts w:cs="Times New Roman"/>
          <w:szCs w:val="24"/>
        </w:rPr>
        <w:t xml:space="preserve"> </w:t>
      </w:r>
      <w:r w:rsidR="00B42768" w:rsidRPr="00B42768">
        <w:rPr>
          <w:rFonts w:cs="Times New Roman"/>
          <w:szCs w:val="24"/>
        </w:rPr>
        <w:t>pensijas</w:t>
      </w:r>
      <w:r w:rsidR="00B42768">
        <w:rPr>
          <w:rFonts w:cs="Times New Roman"/>
          <w:szCs w:val="24"/>
        </w:rPr>
        <w:t xml:space="preserve"> </w:t>
      </w:r>
      <w:r w:rsidR="00B42768" w:rsidRPr="00B42768">
        <w:rPr>
          <w:rFonts w:cs="Times New Roman"/>
          <w:szCs w:val="24"/>
        </w:rPr>
        <w:t>minimālo</w:t>
      </w:r>
      <w:r w:rsidR="00B42768">
        <w:rPr>
          <w:rFonts w:cs="Times New Roman"/>
          <w:szCs w:val="24"/>
        </w:rPr>
        <w:t xml:space="preserve"> </w:t>
      </w:r>
      <w:r w:rsidR="00B42768" w:rsidRPr="00B42768">
        <w:rPr>
          <w:rFonts w:cs="Times New Roman"/>
          <w:szCs w:val="24"/>
        </w:rPr>
        <w:t>apmēru”</w:t>
      </w:r>
      <w:r w:rsidR="00B42768">
        <w:rPr>
          <w:rFonts w:cs="Times New Roman"/>
          <w:szCs w:val="24"/>
        </w:rPr>
        <w:t xml:space="preserve"> </w:t>
      </w:r>
      <w:r w:rsidR="00B42768" w:rsidRPr="00B42768">
        <w:rPr>
          <w:rFonts w:cs="Times New Roman"/>
          <w:szCs w:val="24"/>
        </w:rPr>
        <w:t>2.2.apakšpunkta,</w:t>
      </w:r>
      <w:r w:rsidR="00B42768">
        <w:rPr>
          <w:rFonts w:cs="Times New Roman"/>
          <w:szCs w:val="24"/>
        </w:rPr>
        <w:t xml:space="preserve"> </w:t>
      </w:r>
      <w:r w:rsidR="00B42768" w:rsidRPr="00B42768">
        <w:rPr>
          <w:rFonts w:cs="Times New Roman"/>
          <w:szCs w:val="24"/>
        </w:rPr>
        <w:t>Ministru</w:t>
      </w:r>
      <w:r w:rsidR="00B42768">
        <w:rPr>
          <w:rFonts w:cs="Times New Roman"/>
          <w:szCs w:val="24"/>
        </w:rPr>
        <w:t xml:space="preserve"> </w:t>
      </w:r>
      <w:r w:rsidR="00B42768" w:rsidRPr="00B42768">
        <w:rPr>
          <w:rFonts w:cs="Times New Roman"/>
          <w:szCs w:val="24"/>
        </w:rPr>
        <w:t>kabineta</w:t>
      </w:r>
      <w:r w:rsidR="00B42768">
        <w:rPr>
          <w:rFonts w:cs="Times New Roman"/>
          <w:szCs w:val="24"/>
        </w:rPr>
        <w:t xml:space="preserve"> </w:t>
      </w:r>
      <w:r w:rsidR="00B42768" w:rsidRPr="00B42768">
        <w:rPr>
          <w:rFonts w:cs="Times New Roman"/>
          <w:szCs w:val="24"/>
        </w:rPr>
        <w:t>2009.gada</w:t>
      </w:r>
      <w:r w:rsidR="00B42768">
        <w:rPr>
          <w:rFonts w:cs="Times New Roman"/>
          <w:szCs w:val="24"/>
        </w:rPr>
        <w:t xml:space="preserve"> </w:t>
      </w:r>
      <w:r w:rsidR="00B42768" w:rsidRPr="00B42768">
        <w:rPr>
          <w:rFonts w:cs="Times New Roman"/>
          <w:szCs w:val="24"/>
        </w:rPr>
        <w:t>22.decembra</w:t>
      </w:r>
      <w:r w:rsidR="00B42768">
        <w:rPr>
          <w:rFonts w:cs="Times New Roman"/>
          <w:szCs w:val="24"/>
        </w:rPr>
        <w:t xml:space="preserve"> </w:t>
      </w:r>
      <w:r w:rsidR="00B42768" w:rsidRPr="00B42768">
        <w:rPr>
          <w:rFonts w:cs="Times New Roman"/>
          <w:szCs w:val="24"/>
        </w:rPr>
        <w:t>noteikumu</w:t>
      </w:r>
      <w:r w:rsidR="00B42768">
        <w:rPr>
          <w:rFonts w:cs="Times New Roman"/>
          <w:szCs w:val="24"/>
        </w:rPr>
        <w:t xml:space="preserve"> </w:t>
      </w:r>
      <w:r w:rsidR="00B42768" w:rsidRPr="00B42768">
        <w:rPr>
          <w:rFonts w:cs="Times New Roman"/>
          <w:szCs w:val="24"/>
        </w:rPr>
        <w:t>Nr.1605</w:t>
      </w:r>
      <w:r w:rsidR="00B42768">
        <w:rPr>
          <w:rFonts w:cs="Times New Roman"/>
          <w:szCs w:val="24"/>
        </w:rPr>
        <w:t xml:space="preserve"> </w:t>
      </w:r>
      <w:r w:rsidR="00B42768" w:rsidRPr="00B42768">
        <w:rPr>
          <w:rFonts w:cs="Times New Roman"/>
          <w:szCs w:val="24"/>
        </w:rPr>
        <w:t>“Noteikumi</w:t>
      </w:r>
      <w:r w:rsidR="00B42768">
        <w:rPr>
          <w:rFonts w:cs="Times New Roman"/>
          <w:szCs w:val="24"/>
        </w:rPr>
        <w:t xml:space="preserve"> </w:t>
      </w:r>
      <w:r w:rsidR="00B42768" w:rsidRPr="00B42768">
        <w:rPr>
          <w:rFonts w:cs="Times New Roman"/>
          <w:szCs w:val="24"/>
        </w:rPr>
        <w:t>par</w:t>
      </w:r>
      <w:r w:rsidR="00B42768">
        <w:rPr>
          <w:rFonts w:cs="Times New Roman"/>
          <w:szCs w:val="24"/>
        </w:rPr>
        <w:t xml:space="preserve"> </w:t>
      </w:r>
      <w:r w:rsidR="00B42768" w:rsidRPr="00B42768">
        <w:rPr>
          <w:rFonts w:cs="Times New Roman"/>
          <w:szCs w:val="24"/>
        </w:rPr>
        <w:t>valsts</w:t>
      </w:r>
      <w:r w:rsidR="00B42768">
        <w:rPr>
          <w:rFonts w:cs="Times New Roman"/>
          <w:szCs w:val="24"/>
        </w:rPr>
        <w:t xml:space="preserve"> </w:t>
      </w:r>
      <w:r w:rsidR="00B42768" w:rsidRPr="00B42768">
        <w:rPr>
          <w:rFonts w:cs="Times New Roman"/>
          <w:szCs w:val="24"/>
        </w:rPr>
        <w:t>sociālā</w:t>
      </w:r>
      <w:r w:rsidR="00B42768">
        <w:rPr>
          <w:rFonts w:cs="Times New Roman"/>
          <w:szCs w:val="24"/>
        </w:rPr>
        <w:t xml:space="preserve"> </w:t>
      </w:r>
      <w:r w:rsidR="00B42768" w:rsidRPr="00B42768">
        <w:rPr>
          <w:rFonts w:cs="Times New Roman"/>
          <w:szCs w:val="24"/>
        </w:rPr>
        <w:t>nodrošinājuma</w:t>
      </w:r>
      <w:r w:rsidR="00B42768">
        <w:rPr>
          <w:rFonts w:cs="Times New Roman"/>
          <w:szCs w:val="24"/>
        </w:rPr>
        <w:t xml:space="preserve"> </w:t>
      </w:r>
      <w:r w:rsidR="00B42768" w:rsidRPr="00B42768">
        <w:rPr>
          <w:rFonts w:cs="Times New Roman"/>
          <w:szCs w:val="24"/>
        </w:rPr>
        <w:t>pabalsta</w:t>
      </w:r>
      <w:r w:rsidR="00B42768">
        <w:rPr>
          <w:rFonts w:cs="Times New Roman"/>
          <w:szCs w:val="24"/>
        </w:rPr>
        <w:t xml:space="preserve"> </w:t>
      </w:r>
      <w:r w:rsidR="00B42768" w:rsidRPr="00B42768">
        <w:rPr>
          <w:rFonts w:cs="Times New Roman"/>
          <w:szCs w:val="24"/>
        </w:rPr>
        <w:t>un</w:t>
      </w:r>
      <w:r w:rsidR="00B42768">
        <w:rPr>
          <w:rFonts w:cs="Times New Roman"/>
          <w:szCs w:val="24"/>
        </w:rPr>
        <w:t xml:space="preserve"> </w:t>
      </w:r>
      <w:r w:rsidR="00B42768" w:rsidRPr="00B42768">
        <w:rPr>
          <w:rFonts w:cs="Times New Roman"/>
          <w:szCs w:val="24"/>
        </w:rPr>
        <w:t>apbedīšanas</w:t>
      </w:r>
      <w:r w:rsidR="00B42768">
        <w:rPr>
          <w:rFonts w:cs="Times New Roman"/>
          <w:szCs w:val="24"/>
        </w:rPr>
        <w:t xml:space="preserve"> </w:t>
      </w:r>
      <w:r w:rsidR="00B42768" w:rsidRPr="00B42768">
        <w:rPr>
          <w:rFonts w:cs="Times New Roman"/>
          <w:szCs w:val="24"/>
        </w:rPr>
        <w:t>pabalsta</w:t>
      </w:r>
      <w:r w:rsidR="00B42768">
        <w:rPr>
          <w:rFonts w:cs="Times New Roman"/>
          <w:szCs w:val="24"/>
        </w:rPr>
        <w:t xml:space="preserve"> </w:t>
      </w:r>
      <w:r w:rsidR="00B42768" w:rsidRPr="00B42768">
        <w:rPr>
          <w:rFonts w:cs="Times New Roman"/>
          <w:szCs w:val="24"/>
        </w:rPr>
        <w:t>apmēru,</w:t>
      </w:r>
      <w:r w:rsidR="00B42768">
        <w:rPr>
          <w:rFonts w:cs="Times New Roman"/>
          <w:szCs w:val="24"/>
        </w:rPr>
        <w:t xml:space="preserve"> </w:t>
      </w:r>
      <w:r w:rsidR="00B42768" w:rsidRPr="00B42768">
        <w:rPr>
          <w:rFonts w:cs="Times New Roman"/>
          <w:szCs w:val="24"/>
        </w:rPr>
        <w:t>tā</w:t>
      </w:r>
      <w:r w:rsidR="00B42768">
        <w:rPr>
          <w:rFonts w:cs="Times New Roman"/>
          <w:szCs w:val="24"/>
        </w:rPr>
        <w:t xml:space="preserve"> </w:t>
      </w:r>
      <w:r w:rsidR="00B42768" w:rsidRPr="00B42768">
        <w:rPr>
          <w:rFonts w:cs="Times New Roman"/>
          <w:szCs w:val="24"/>
        </w:rPr>
        <w:t>pārskatīšanas</w:t>
      </w:r>
      <w:r w:rsidR="00B42768">
        <w:rPr>
          <w:rFonts w:cs="Times New Roman"/>
          <w:szCs w:val="24"/>
        </w:rPr>
        <w:t xml:space="preserve"> </w:t>
      </w:r>
      <w:r w:rsidR="00B42768" w:rsidRPr="00B42768">
        <w:rPr>
          <w:rFonts w:cs="Times New Roman"/>
          <w:szCs w:val="24"/>
        </w:rPr>
        <w:t>kārtību</w:t>
      </w:r>
      <w:r w:rsidR="00B42768">
        <w:rPr>
          <w:rFonts w:cs="Times New Roman"/>
          <w:szCs w:val="24"/>
        </w:rPr>
        <w:t xml:space="preserve"> </w:t>
      </w:r>
      <w:r w:rsidR="00B42768" w:rsidRPr="00B42768">
        <w:rPr>
          <w:rFonts w:cs="Times New Roman"/>
          <w:szCs w:val="24"/>
        </w:rPr>
        <w:t>un</w:t>
      </w:r>
      <w:r w:rsidR="00B42768">
        <w:rPr>
          <w:rFonts w:cs="Times New Roman"/>
          <w:szCs w:val="24"/>
        </w:rPr>
        <w:t xml:space="preserve"> </w:t>
      </w:r>
      <w:r w:rsidR="00B42768" w:rsidRPr="00B42768">
        <w:rPr>
          <w:rFonts w:cs="Times New Roman"/>
          <w:szCs w:val="24"/>
        </w:rPr>
        <w:t>pabalstu</w:t>
      </w:r>
      <w:r w:rsidR="00B42768">
        <w:rPr>
          <w:rFonts w:cs="Times New Roman"/>
          <w:szCs w:val="24"/>
        </w:rPr>
        <w:t xml:space="preserve"> </w:t>
      </w:r>
      <w:r w:rsidR="00B42768" w:rsidRPr="00B42768">
        <w:rPr>
          <w:rFonts w:cs="Times New Roman"/>
          <w:szCs w:val="24"/>
        </w:rPr>
        <w:t>piešķiršanas</w:t>
      </w:r>
      <w:r w:rsidR="00B42768">
        <w:rPr>
          <w:rFonts w:cs="Times New Roman"/>
          <w:szCs w:val="24"/>
        </w:rPr>
        <w:t xml:space="preserve"> </w:t>
      </w:r>
      <w:r w:rsidR="00B42768" w:rsidRPr="00B42768">
        <w:rPr>
          <w:rFonts w:cs="Times New Roman"/>
          <w:szCs w:val="24"/>
        </w:rPr>
        <w:t>un</w:t>
      </w:r>
      <w:r w:rsidR="00B42768">
        <w:rPr>
          <w:rFonts w:cs="Times New Roman"/>
          <w:szCs w:val="24"/>
        </w:rPr>
        <w:t xml:space="preserve"> </w:t>
      </w:r>
      <w:r w:rsidR="00B42768" w:rsidRPr="00B42768">
        <w:rPr>
          <w:rFonts w:cs="Times New Roman"/>
          <w:szCs w:val="24"/>
        </w:rPr>
        <w:t>izmaksas</w:t>
      </w:r>
      <w:r w:rsidR="00B42768">
        <w:rPr>
          <w:rFonts w:cs="Times New Roman"/>
          <w:szCs w:val="24"/>
        </w:rPr>
        <w:t xml:space="preserve"> </w:t>
      </w:r>
      <w:r w:rsidR="00B42768" w:rsidRPr="00B42768">
        <w:rPr>
          <w:rFonts w:cs="Times New Roman"/>
          <w:szCs w:val="24"/>
        </w:rPr>
        <w:t>kārtību”</w:t>
      </w:r>
      <w:r w:rsidR="00B42768">
        <w:rPr>
          <w:rFonts w:cs="Times New Roman"/>
          <w:szCs w:val="24"/>
        </w:rPr>
        <w:t xml:space="preserve"> </w:t>
      </w:r>
      <w:r w:rsidR="00B42768" w:rsidRPr="00B42768">
        <w:rPr>
          <w:rFonts w:cs="Times New Roman"/>
          <w:szCs w:val="24"/>
        </w:rPr>
        <w:t>2.1.apakšpunkta</w:t>
      </w:r>
      <w:r w:rsidR="00B42768">
        <w:rPr>
          <w:rFonts w:cs="Times New Roman"/>
          <w:szCs w:val="24"/>
        </w:rPr>
        <w:t xml:space="preserve"> </w:t>
      </w:r>
      <w:r w:rsidR="00B42768" w:rsidRPr="00B42768">
        <w:rPr>
          <w:rFonts w:cs="Times New Roman"/>
          <w:szCs w:val="24"/>
        </w:rPr>
        <w:t>(redakcijā,</w:t>
      </w:r>
      <w:r w:rsidR="00B42768">
        <w:rPr>
          <w:rFonts w:cs="Times New Roman"/>
          <w:szCs w:val="24"/>
        </w:rPr>
        <w:t xml:space="preserve"> </w:t>
      </w:r>
      <w:r w:rsidR="00B42768" w:rsidRPr="00B42768">
        <w:rPr>
          <w:rFonts w:cs="Times New Roman"/>
          <w:szCs w:val="24"/>
        </w:rPr>
        <w:t>kas</w:t>
      </w:r>
      <w:r w:rsidR="00B42768">
        <w:rPr>
          <w:rFonts w:cs="Times New Roman"/>
          <w:szCs w:val="24"/>
        </w:rPr>
        <w:t xml:space="preserve"> </w:t>
      </w:r>
      <w:r w:rsidR="00B42768" w:rsidRPr="00B42768">
        <w:rPr>
          <w:rFonts w:cs="Times New Roman"/>
          <w:szCs w:val="24"/>
        </w:rPr>
        <w:t>bija</w:t>
      </w:r>
      <w:r w:rsidR="00B42768">
        <w:rPr>
          <w:rFonts w:cs="Times New Roman"/>
          <w:szCs w:val="24"/>
        </w:rPr>
        <w:t xml:space="preserve"> </w:t>
      </w:r>
      <w:r w:rsidR="00B42768" w:rsidRPr="00B42768">
        <w:rPr>
          <w:rFonts w:cs="Times New Roman"/>
          <w:szCs w:val="24"/>
        </w:rPr>
        <w:t>spēkā</w:t>
      </w:r>
      <w:r w:rsidR="00B42768">
        <w:rPr>
          <w:rFonts w:cs="Times New Roman"/>
          <w:szCs w:val="24"/>
        </w:rPr>
        <w:t xml:space="preserve"> </w:t>
      </w:r>
      <w:r w:rsidR="00B42768" w:rsidRPr="00B42768">
        <w:rPr>
          <w:rFonts w:cs="Times New Roman"/>
          <w:szCs w:val="24"/>
        </w:rPr>
        <w:t>līdz</w:t>
      </w:r>
      <w:r w:rsidR="00B42768">
        <w:rPr>
          <w:rFonts w:cs="Times New Roman"/>
          <w:szCs w:val="24"/>
        </w:rPr>
        <w:t xml:space="preserve"> </w:t>
      </w:r>
      <w:r w:rsidR="00B42768" w:rsidRPr="00B42768">
        <w:rPr>
          <w:rFonts w:cs="Times New Roman"/>
          <w:szCs w:val="24"/>
        </w:rPr>
        <w:t>2019.gada</w:t>
      </w:r>
      <w:r w:rsidR="00B42768">
        <w:rPr>
          <w:rFonts w:cs="Times New Roman"/>
          <w:szCs w:val="24"/>
        </w:rPr>
        <w:t xml:space="preserve"> </w:t>
      </w:r>
      <w:r w:rsidR="00B42768" w:rsidRPr="00B42768">
        <w:rPr>
          <w:rFonts w:cs="Times New Roman"/>
          <w:szCs w:val="24"/>
        </w:rPr>
        <w:t>31.decembrim),</w:t>
      </w:r>
      <w:r w:rsidR="00B42768">
        <w:rPr>
          <w:rFonts w:cs="Times New Roman"/>
          <w:szCs w:val="24"/>
        </w:rPr>
        <w:t xml:space="preserve"> </w:t>
      </w:r>
      <w:r w:rsidR="00B42768" w:rsidRPr="00B42768">
        <w:rPr>
          <w:rFonts w:cs="Times New Roman"/>
          <w:szCs w:val="24"/>
        </w:rPr>
        <w:t>kā</w:t>
      </w:r>
      <w:r w:rsidR="00B42768">
        <w:rPr>
          <w:rFonts w:cs="Times New Roman"/>
          <w:szCs w:val="24"/>
        </w:rPr>
        <w:t xml:space="preserve"> </w:t>
      </w:r>
      <w:r w:rsidR="00B42768" w:rsidRPr="00B42768">
        <w:rPr>
          <w:rFonts w:cs="Times New Roman"/>
          <w:szCs w:val="24"/>
        </w:rPr>
        <w:t>arī</w:t>
      </w:r>
      <w:r w:rsidR="00B42768">
        <w:rPr>
          <w:rFonts w:cs="Times New Roman"/>
          <w:szCs w:val="24"/>
        </w:rPr>
        <w:t xml:space="preserve"> </w:t>
      </w:r>
      <w:r w:rsidR="00B42768" w:rsidRPr="00B42768">
        <w:rPr>
          <w:rFonts w:cs="Times New Roman"/>
          <w:szCs w:val="24"/>
        </w:rPr>
        <w:t>Ministru</w:t>
      </w:r>
      <w:r w:rsidR="00B42768">
        <w:rPr>
          <w:rFonts w:cs="Times New Roman"/>
          <w:szCs w:val="24"/>
        </w:rPr>
        <w:t xml:space="preserve"> </w:t>
      </w:r>
      <w:r w:rsidR="00B42768" w:rsidRPr="00B42768">
        <w:rPr>
          <w:rFonts w:cs="Times New Roman"/>
          <w:szCs w:val="24"/>
        </w:rPr>
        <w:t>kabineta</w:t>
      </w:r>
      <w:r w:rsidR="00B42768">
        <w:rPr>
          <w:rFonts w:cs="Times New Roman"/>
          <w:szCs w:val="24"/>
        </w:rPr>
        <w:t xml:space="preserve"> </w:t>
      </w:r>
      <w:r w:rsidR="00B42768" w:rsidRPr="00B42768">
        <w:rPr>
          <w:rFonts w:cs="Times New Roman"/>
          <w:szCs w:val="24"/>
        </w:rPr>
        <w:t>2019.gada</w:t>
      </w:r>
      <w:r w:rsidR="00B42768">
        <w:rPr>
          <w:rFonts w:cs="Times New Roman"/>
          <w:szCs w:val="24"/>
        </w:rPr>
        <w:t xml:space="preserve"> </w:t>
      </w:r>
      <w:r w:rsidR="00B42768" w:rsidRPr="00B42768">
        <w:rPr>
          <w:rFonts w:cs="Times New Roman"/>
          <w:szCs w:val="24"/>
        </w:rPr>
        <w:t>3.decembra</w:t>
      </w:r>
      <w:r w:rsidR="00B42768">
        <w:rPr>
          <w:rFonts w:cs="Times New Roman"/>
          <w:szCs w:val="24"/>
        </w:rPr>
        <w:t xml:space="preserve"> </w:t>
      </w:r>
      <w:r w:rsidR="00B42768" w:rsidRPr="00B42768">
        <w:rPr>
          <w:rFonts w:cs="Times New Roman"/>
          <w:szCs w:val="24"/>
        </w:rPr>
        <w:t>noteikumu</w:t>
      </w:r>
      <w:r w:rsidR="00B42768">
        <w:rPr>
          <w:rFonts w:cs="Times New Roman"/>
          <w:szCs w:val="24"/>
        </w:rPr>
        <w:t xml:space="preserve"> </w:t>
      </w:r>
      <w:r w:rsidR="00B42768" w:rsidRPr="00B42768">
        <w:rPr>
          <w:rFonts w:cs="Times New Roman"/>
          <w:szCs w:val="24"/>
        </w:rPr>
        <w:t>Nr.579</w:t>
      </w:r>
      <w:r w:rsidR="00B42768">
        <w:rPr>
          <w:rFonts w:cs="Times New Roman"/>
          <w:szCs w:val="24"/>
        </w:rPr>
        <w:t xml:space="preserve"> </w:t>
      </w:r>
      <w:r w:rsidR="00B42768" w:rsidRPr="00B42768">
        <w:rPr>
          <w:rFonts w:cs="Times New Roman"/>
          <w:szCs w:val="24"/>
        </w:rPr>
        <w:t>“Noteikumi</w:t>
      </w:r>
      <w:r w:rsidR="00B42768">
        <w:rPr>
          <w:rFonts w:cs="Times New Roman"/>
          <w:szCs w:val="24"/>
        </w:rPr>
        <w:t xml:space="preserve"> </w:t>
      </w:r>
      <w:r w:rsidR="00B42768" w:rsidRPr="00B42768">
        <w:rPr>
          <w:rFonts w:cs="Times New Roman"/>
          <w:szCs w:val="24"/>
        </w:rPr>
        <w:t>par</w:t>
      </w:r>
      <w:r w:rsidR="00B42768">
        <w:rPr>
          <w:rFonts w:cs="Times New Roman"/>
          <w:szCs w:val="24"/>
        </w:rPr>
        <w:t xml:space="preserve"> </w:t>
      </w:r>
      <w:r w:rsidR="00B42768" w:rsidRPr="00B42768">
        <w:rPr>
          <w:rFonts w:cs="Times New Roman"/>
          <w:szCs w:val="24"/>
        </w:rPr>
        <w:t>minimālās</w:t>
      </w:r>
      <w:r w:rsidR="00B42768">
        <w:rPr>
          <w:rFonts w:cs="Times New Roman"/>
          <w:szCs w:val="24"/>
        </w:rPr>
        <w:t xml:space="preserve"> </w:t>
      </w:r>
      <w:r w:rsidR="00B42768" w:rsidRPr="00B42768">
        <w:rPr>
          <w:rFonts w:cs="Times New Roman"/>
          <w:szCs w:val="24"/>
        </w:rPr>
        <w:t>valsts</w:t>
      </w:r>
      <w:r w:rsidR="00B42768">
        <w:rPr>
          <w:rFonts w:cs="Times New Roman"/>
          <w:szCs w:val="24"/>
        </w:rPr>
        <w:t xml:space="preserve"> </w:t>
      </w:r>
      <w:r w:rsidR="00B42768" w:rsidRPr="00B42768">
        <w:rPr>
          <w:rFonts w:cs="Times New Roman"/>
          <w:szCs w:val="24"/>
        </w:rPr>
        <w:t>vecuma</w:t>
      </w:r>
      <w:r w:rsidR="00B42768">
        <w:rPr>
          <w:rFonts w:cs="Times New Roman"/>
          <w:szCs w:val="24"/>
        </w:rPr>
        <w:t xml:space="preserve"> </w:t>
      </w:r>
      <w:r w:rsidR="00B42768" w:rsidRPr="00B42768">
        <w:rPr>
          <w:rFonts w:cs="Times New Roman"/>
          <w:szCs w:val="24"/>
        </w:rPr>
        <w:t>pensijas</w:t>
      </w:r>
      <w:r w:rsidR="00B42768">
        <w:rPr>
          <w:rFonts w:cs="Times New Roman"/>
          <w:szCs w:val="24"/>
        </w:rPr>
        <w:t xml:space="preserve"> </w:t>
      </w:r>
      <w:r w:rsidR="00B42768" w:rsidRPr="00B42768">
        <w:rPr>
          <w:rFonts w:cs="Times New Roman"/>
          <w:szCs w:val="24"/>
        </w:rPr>
        <w:t>apmēru”</w:t>
      </w:r>
      <w:r w:rsidR="00B42768">
        <w:rPr>
          <w:rFonts w:cs="Times New Roman"/>
          <w:szCs w:val="24"/>
        </w:rPr>
        <w:t xml:space="preserve"> </w:t>
      </w:r>
      <w:r w:rsidR="00B42768" w:rsidRPr="00B42768">
        <w:rPr>
          <w:rFonts w:cs="Times New Roman"/>
          <w:szCs w:val="24"/>
        </w:rPr>
        <w:t>2.punkta</w:t>
      </w:r>
      <w:r w:rsidR="00B42768">
        <w:rPr>
          <w:rFonts w:cs="Times New Roman"/>
          <w:szCs w:val="24"/>
        </w:rPr>
        <w:t xml:space="preserve"> </w:t>
      </w:r>
      <w:r w:rsidR="00B42768" w:rsidRPr="00B42768">
        <w:rPr>
          <w:rFonts w:cs="Times New Roman"/>
          <w:szCs w:val="24"/>
        </w:rPr>
        <w:t>un</w:t>
      </w:r>
      <w:r w:rsidR="00B42768">
        <w:rPr>
          <w:rFonts w:cs="Times New Roman"/>
          <w:szCs w:val="24"/>
        </w:rPr>
        <w:t xml:space="preserve"> </w:t>
      </w:r>
      <w:r w:rsidR="00B42768" w:rsidRPr="00B42768">
        <w:rPr>
          <w:rFonts w:cs="Times New Roman"/>
          <w:szCs w:val="24"/>
        </w:rPr>
        <w:t>3.2.apakšpunkta</w:t>
      </w:r>
      <w:r w:rsidR="00B42768">
        <w:rPr>
          <w:rFonts w:cs="Times New Roman"/>
          <w:szCs w:val="24"/>
        </w:rPr>
        <w:t xml:space="preserve"> </w:t>
      </w:r>
      <w:r w:rsidR="00B42768" w:rsidRPr="00B42768">
        <w:rPr>
          <w:rFonts w:cs="Times New Roman"/>
          <w:szCs w:val="24"/>
        </w:rPr>
        <w:t>atbilstību</w:t>
      </w:r>
      <w:r w:rsidR="00B42768">
        <w:rPr>
          <w:rFonts w:cs="Times New Roman"/>
          <w:szCs w:val="24"/>
        </w:rPr>
        <w:t xml:space="preserve"> </w:t>
      </w:r>
      <w:r w:rsidR="00B42768" w:rsidRPr="00B42768">
        <w:rPr>
          <w:rFonts w:cs="Times New Roman"/>
          <w:szCs w:val="24"/>
        </w:rPr>
        <w:t>Latvijas</w:t>
      </w:r>
      <w:r w:rsidR="00B42768">
        <w:rPr>
          <w:rFonts w:cs="Times New Roman"/>
          <w:szCs w:val="24"/>
        </w:rPr>
        <w:t xml:space="preserve"> </w:t>
      </w:r>
      <w:r w:rsidR="00B42768" w:rsidRPr="00B42768">
        <w:rPr>
          <w:rFonts w:cs="Times New Roman"/>
          <w:szCs w:val="24"/>
        </w:rPr>
        <w:t>Republikas</w:t>
      </w:r>
      <w:r w:rsidR="00B42768">
        <w:rPr>
          <w:rFonts w:cs="Times New Roman"/>
          <w:szCs w:val="24"/>
        </w:rPr>
        <w:t xml:space="preserve"> </w:t>
      </w:r>
      <w:r w:rsidR="00B42768" w:rsidRPr="00B42768">
        <w:rPr>
          <w:rFonts w:cs="Times New Roman"/>
          <w:szCs w:val="24"/>
        </w:rPr>
        <w:t>Satversmes</w:t>
      </w:r>
      <w:r w:rsidR="00B42768">
        <w:rPr>
          <w:rFonts w:cs="Times New Roman"/>
          <w:szCs w:val="24"/>
        </w:rPr>
        <w:t xml:space="preserve"> </w:t>
      </w:r>
      <w:r w:rsidR="00B42768" w:rsidRPr="00B42768">
        <w:rPr>
          <w:rFonts w:cs="Times New Roman"/>
          <w:szCs w:val="24"/>
        </w:rPr>
        <w:t>109.pantam”</w:t>
      </w:r>
      <w:r w:rsidR="009F61AA">
        <w:rPr>
          <w:rStyle w:val="FootnoteReference"/>
          <w:szCs w:val="24"/>
        </w:rPr>
        <w:footnoteReference w:id="5"/>
      </w:r>
      <w:r w:rsidR="009F61AA">
        <w:rPr>
          <w:rFonts w:cs="Times New Roman"/>
          <w:szCs w:val="24"/>
        </w:rPr>
        <w:t>;</w:t>
      </w:r>
    </w:p>
    <w:p w14:paraId="4A102712" w14:textId="145F2E88" w:rsidR="00A10C50" w:rsidRPr="00A10C50" w:rsidRDefault="00A10C50" w:rsidP="00A10C50">
      <w:pPr>
        <w:pStyle w:val="ListParagraph"/>
        <w:numPr>
          <w:ilvl w:val="1"/>
          <w:numId w:val="7"/>
        </w:numPr>
        <w:autoSpaceDE w:val="0"/>
        <w:autoSpaceDN w:val="0"/>
        <w:adjustRightInd w:val="0"/>
        <w:spacing w:after="0" w:line="293" w:lineRule="atLeast"/>
        <w:ind w:right="129"/>
        <w:jc w:val="both"/>
        <w:rPr>
          <w:rFonts w:cs="Times New Roman"/>
          <w:szCs w:val="24"/>
        </w:rPr>
      </w:pPr>
      <w:r w:rsidRPr="00A10C50">
        <w:rPr>
          <w:rFonts w:cs="Times New Roman"/>
          <w:szCs w:val="24"/>
        </w:rPr>
        <w:t xml:space="preserve">Satversmes tiesas spriedums </w:t>
      </w:r>
      <w:r w:rsidR="00B42768" w:rsidRPr="00827639">
        <w:rPr>
          <w:rFonts w:cs="Times New Roman"/>
        </w:rPr>
        <w:t xml:space="preserve">2020.gada 9.jūlijā lietā Nr.2019-27-03 </w:t>
      </w:r>
      <w:r w:rsidR="009F61AA">
        <w:rPr>
          <w:rFonts w:cs="Times New Roman"/>
        </w:rPr>
        <w:t>‘P</w:t>
      </w:r>
      <w:r w:rsidRPr="00A10C50">
        <w:rPr>
          <w:rFonts w:cs="Times New Roman"/>
          <w:szCs w:val="24"/>
        </w:rPr>
        <w:t>ar</w:t>
      </w:r>
      <w:r w:rsidR="009F61AA">
        <w:rPr>
          <w:rFonts w:cs="Times New Roman"/>
          <w:szCs w:val="24"/>
        </w:rPr>
        <w:t xml:space="preserve"> </w:t>
      </w:r>
      <w:r w:rsidR="009F61AA" w:rsidRPr="00B42768">
        <w:rPr>
          <w:rFonts w:cs="Times New Roman"/>
          <w:szCs w:val="24"/>
        </w:rPr>
        <w:t>Ministru</w:t>
      </w:r>
      <w:r w:rsidR="009F61AA">
        <w:rPr>
          <w:rFonts w:cs="Times New Roman"/>
          <w:szCs w:val="24"/>
        </w:rPr>
        <w:t xml:space="preserve"> </w:t>
      </w:r>
      <w:r w:rsidR="009F61AA" w:rsidRPr="00B42768">
        <w:rPr>
          <w:rFonts w:cs="Times New Roman"/>
          <w:szCs w:val="24"/>
        </w:rPr>
        <w:t>kabineta</w:t>
      </w:r>
      <w:r w:rsidR="009F61AA">
        <w:rPr>
          <w:rFonts w:cs="Times New Roman"/>
          <w:szCs w:val="24"/>
        </w:rPr>
        <w:t xml:space="preserve"> </w:t>
      </w:r>
      <w:r w:rsidR="009F61AA" w:rsidRPr="00B42768">
        <w:rPr>
          <w:rFonts w:cs="Times New Roman"/>
          <w:szCs w:val="24"/>
        </w:rPr>
        <w:t>2009.gada</w:t>
      </w:r>
      <w:r w:rsidR="009F61AA">
        <w:rPr>
          <w:rFonts w:cs="Times New Roman"/>
          <w:szCs w:val="24"/>
        </w:rPr>
        <w:t xml:space="preserve"> </w:t>
      </w:r>
      <w:r w:rsidR="009F61AA" w:rsidRPr="00B42768">
        <w:rPr>
          <w:rFonts w:cs="Times New Roman"/>
          <w:szCs w:val="24"/>
        </w:rPr>
        <w:t>22.decembra</w:t>
      </w:r>
      <w:r w:rsidR="009F61AA">
        <w:rPr>
          <w:rFonts w:cs="Times New Roman"/>
          <w:szCs w:val="24"/>
        </w:rPr>
        <w:t xml:space="preserve"> </w:t>
      </w:r>
      <w:r w:rsidR="009F61AA" w:rsidRPr="00B42768">
        <w:rPr>
          <w:rFonts w:cs="Times New Roman"/>
          <w:szCs w:val="24"/>
        </w:rPr>
        <w:t>noteikumu</w:t>
      </w:r>
      <w:r w:rsidR="009F61AA">
        <w:rPr>
          <w:rFonts w:cs="Times New Roman"/>
          <w:szCs w:val="24"/>
        </w:rPr>
        <w:t xml:space="preserve"> </w:t>
      </w:r>
      <w:r w:rsidR="009F61AA" w:rsidRPr="00B42768">
        <w:rPr>
          <w:rFonts w:cs="Times New Roman"/>
          <w:szCs w:val="24"/>
        </w:rPr>
        <w:t>Nr.1605</w:t>
      </w:r>
      <w:r w:rsidR="009F61AA">
        <w:rPr>
          <w:rFonts w:cs="Times New Roman"/>
          <w:szCs w:val="24"/>
        </w:rPr>
        <w:t xml:space="preserve"> </w:t>
      </w:r>
      <w:r w:rsidR="009F61AA" w:rsidRPr="00B42768">
        <w:rPr>
          <w:rFonts w:cs="Times New Roman"/>
          <w:szCs w:val="24"/>
        </w:rPr>
        <w:t>“Noteikumi</w:t>
      </w:r>
      <w:r w:rsidR="009F61AA">
        <w:rPr>
          <w:rFonts w:cs="Times New Roman"/>
          <w:szCs w:val="24"/>
        </w:rPr>
        <w:t xml:space="preserve"> </w:t>
      </w:r>
      <w:r w:rsidR="009F61AA" w:rsidRPr="00B42768">
        <w:rPr>
          <w:rFonts w:cs="Times New Roman"/>
          <w:szCs w:val="24"/>
        </w:rPr>
        <w:t>par</w:t>
      </w:r>
      <w:r w:rsidR="009F61AA">
        <w:rPr>
          <w:rFonts w:cs="Times New Roman"/>
          <w:szCs w:val="24"/>
        </w:rPr>
        <w:t xml:space="preserve"> </w:t>
      </w:r>
      <w:r w:rsidR="009F61AA" w:rsidRPr="00B42768">
        <w:rPr>
          <w:rFonts w:cs="Times New Roman"/>
          <w:szCs w:val="24"/>
        </w:rPr>
        <w:t>valsts</w:t>
      </w:r>
      <w:r w:rsidR="009F61AA">
        <w:rPr>
          <w:rFonts w:cs="Times New Roman"/>
          <w:szCs w:val="24"/>
        </w:rPr>
        <w:t xml:space="preserve"> </w:t>
      </w:r>
      <w:r w:rsidR="009F61AA" w:rsidRPr="00B42768">
        <w:rPr>
          <w:rFonts w:cs="Times New Roman"/>
          <w:szCs w:val="24"/>
        </w:rPr>
        <w:t>sociālā</w:t>
      </w:r>
      <w:r w:rsidR="009F61AA">
        <w:rPr>
          <w:rFonts w:cs="Times New Roman"/>
          <w:szCs w:val="24"/>
        </w:rPr>
        <w:t xml:space="preserve"> </w:t>
      </w:r>
      <w:r w:rsidR="009F61AA" w:rsidRPr="00B42768">
        <w:rPr>
          <w:rFonts w:cs="Times New Roman"/>
          <w:szCs w:val="24"/>
        </w:rPr>
        <w:t>nodrošinājuma</w:t>
      </w:r>
      <w:r w:rsidR="009F61AA">
        <w:rPr>
          <w:rFonts w:cs="Times New Roman"/>
          <w:szCs w:val="24"/>
        </w:rPr>
        <w:t xml:space="preserve"> </w:t>
      </w:r>
      <w:r w:rsidR="009F61AA" w:rsidRPr="00B42768">
        <w:rPr>
          <w:rFonts w:cs="Times New Roman"/>
          <w:szCs w:val="24"/>
        </w:rPr>
        <w:t>pabalsta</w:t>
      </w:r>
      <w:r w:rsidR="009F61AA">
        <w:rPr>
          <w:rFonts w:cs="Times New Roman"/>
          <w:szCs w:val="24"/>
        </w:rPr>
        <w:t xml:space="preserve"> </w:t>
      </w:r>
      <w:r w:rsidR="009F61AA" w:rsidRPr="00B42768">
        <w:rPr>
          <w:rFonts w:cs="Times New Roman"/>
          <w:szCs w:val="24"/>
        </w:rPr>
        <w:t>un</w:t>
      </w:r>
      <w:r w:rsidR="009F61AA">
        <w:rPr>
          <w:rFonts w:cs="Times New Roman"/>
          <w:szCs w:val="24"/>
        </w:rPr>
        <w:t xml:space="preserve"> </w:t>
      </w:r>
      <w:r w:rsidR="009F61AA" w:rsidRPr="00B42768">
        <w:rPr>
          <w:rFonts w:cs="Times New Roman"/>
          <w:szCs w:val="24"/>
        </w:rPr>
        <w:t>apbedīšanas</w:t>
      </w:r>
      <w:r w:rsidR="009F61AA">
        <w:rPr>
          <w:rFonts w:cs="Times New Roman"/>
          <w:szCs w:val="24"/>
        </w:rPr>
        <w:t xml:space="preserve"> </w:t>
      </w:r>
      <w:r w:rsidR="009F61AA" w:rsidRPr="00B42768">
        <w:rPr>
          <w:rFonts w:cs="Times New Roman"/>
          <w:szCs w:val="24"/>
        </w:rPr>
        <w:t>pabalsta</w:t>
      </w:r>
      <w:r w:rsidR="009F61AA">
        <w:rPr>
          <w:rFonts w:cs="Times New Roman"/>
          <w:szCs w:val="24"/>
        </w:rPr>
        <w:t xml:space="preserve"> </w:t>
      </w:r>
      <w:r w:rsidR="009F61AA" w:rsidRPr="00B42768">
        <w:rPr>
          <w:rFonts w:cs="Times New Roman"/>
          <w:szCs w:val="24"/>
        </w:rPr>
        <w:t>apmēru,</w:t>
      </w:r>
      <w:r w:rsidR="009F61AA">
        <w:rPr>
          <w:rFonts w:cs="Times New Roman"/>
          <w:szCs w:val="24"/>
        </w:rPr>
        <w:t xml:space="preserve"> </w:t>
      </w:r>
      <w:r w:rsidR="009F61AA" w:rsidRPr="00B42768">
        <w:rPr>
          <w:rFonts w:cs="Times New Roman"/>
          <w:szCs w:val="24"/>
        </w:rPr>
        <w:t>tā</w:t>
      </w:r>
      <w:r w:rsidR="009F61AA">
        <w:rPr>
          <w:rFonts w:cs="Times New Roman"/>
          <w:szCs w:val="24"/>
        </w:rPr>
        <w:t xml:space="preserve"> </w:t>
      </w:r>
      <w:r w:rsidR="009F61AA" w:rsidRPr="00B42768">
        <w:rPr>
          <w:rFonts w:cs="Times New Roman"/>
          <w:szCs w:val="24"/>
        </w:rPr>
        <w:t>pārskatīšanas</w:t>
      </w:r>
      <w:r w:rsidR="009F61AA">
        <w:rPr>
          <w:rFonts w:cs="Times New Roman"/>
          <w:szCs w:val="24"/>
        </w:rPr>
        <w:t xml:space="preserve"> </w:t>
      </w:r>
      <w:r w:rsidR="009F61AA" w:rsidRPr="00B42768">
        <w:rPr>
          <w:rFonts w:cs="Times New Roman"/>
          <w:szCs w:val="24"/>
        </w:rPr>
        <w:t>kārtību</w:t>
      </w:r>
      <w:r w:rsidR="009F61AA">
        <w:rPr>
          <w:rFonts w:cs="Times New Roman"/>
          <w:szCs w:val="24"/>
        </w:rPr>
        <w:t xml:space="preserve"> </w:t>
      </w:r>
      <w:r w:rsidR="009F61AA" w:rsidRPr="00B42768">
        <w:rPr>
          <w:rFonts w:cs="Times New Roman"/>
          <w:szCs w:val="24"/>
        </w:rPr>
        <w:t>un</w:t>
      </w:r>
      <w:r w:rsidR="009F61AA">
        <w:rPr>
          <w:rFonts w:cs="Times New Roman"/>
          <w:szCs w:val="24"/>
        </w:rPr>
        <w:t xml:space="preserve"> </w:t>
      </w:r>
      <w:r w:rsidR="009F61AA" w:rsidRPr="00B42768">
        <w:rPr>
          <w:rFonts w:cs="Times New Roman"/>
          <w:szCs w:val="24"/>
        </w:rPr>
        <w:t>pabalstu</w:t>
      </w:r>
      <w:r w:rsidR="009F61AA">
        <w:rPr>
          <w:rFonts w:cs="Times New Roman"/>
          <w:szCs w:val="24"/>
        </w:rPr>
        <w:t xml:space="preserve"> </w:t>
      </w:r>
      <w:r w:rsidR="009F61AA" w:rsidRPr="00B42768">
        <w:rPr>
          <w:rFonts w:cs="Times New Roman"/>
          <w:szCs w:val="24"/>
        </w:rPr>
        <w:t>piešķiršanas</w:t>
      </w:r>
      <w:r w:rsidR="009F61AA">
        <w:rPr>
          <w:rFonts w:cs="Times New Roman"/>
          <w:szCs w:val="24"/>
        </w:rPr>
        <w:t xml:space="preserve"> </w:t>
      </w:r>
      <w:r w:rsidR="009F61AA" w:rsidRPr="00B42768">
        <w:rPr>
          <w:rFonts w:cs="Times New Roman"/>
          <w:szCs w:val="24"/>
        </w:rPr>
        <w:t>un</w:t>
      </w:r>
      <w:r w:rsidR="009F61AA">
        <w:rPr>
          <w:rFonts w:cs="Times New Roman"/>
          <w:szCs w:val="24"/>
        </w:rPr>
        <w:t xml:space="preserve"> </w:t>
      </w:r>
      <w:r w:rsidR="009F61AA" w:rsidRPr="00B42768">
        <w:rPr>
          <w:rFonts w:cs="Times New Roman"/>
          <w:szCs w:val="24"/>
        </w:rPr>
        <w:t>izmaksas</w:t>
      </w:r>
      <w:r w:rsidR="009F61AA">
        <w:rPr>
          <w:rFonts w:cs="Times New Roman"/>
          <w:szCs w:val="24"/>
        </w:rPr>
        <w:t xml:space="preserve"> </w:t>
      </w:r>
      <w:r w:rsidR="009F61AA" w:rsidRPr="00B42768">
        <w:rPr>
          <w:rFonts w:cs="Times New Roman"/>
          <w:szCs w:val="24"/>
        </w:rPr>
        <w:t>kārtību”</w:t>
      </w:r>
      <w:r w:rsidR="009F61AA">
        <w:rPr>
          <w:rFonts w:cs="Times New Roman"/>
          <w:szCs w:val="24"/>
        </w:rPr>
        <w:t xml:space="preserve"> 2.</w:t>
      </w:r>
      <w:r w:rsidR="009F61AA" w:rsidRPr="00B42768">
        <w:rPr>
          <w:rFonts w:cs="Times New Roman"/>
          <w:szCs w:val="24"/>
        </w:rPr>
        <w:t>punkta</w:t>
      </w:r>
      <w:r w:rsidR="009F61AA">
        <w:rPr>
          <w:rFonts w:cs="Times New Roman"/>
          <w:szCs w:val="24"/>
        </w:rPr>
        <w:t xml:space="preserve"> </w:t>
      </w:r>
      <w:r w:rsidR="009F61AA" w:rsidRPr="00B42768">
        <w:rPr>
          <w:rFonts w:cs="Times New Roman"/>
          <w:szCs w:val="24"/>
          <w:shd w:val="clear" w:color="auto" w:fill="FFFFFF"/>
        </w:rPr>
        <w:t>atbilstību Latvijas Republikas Satversmes 1.</w:t>
      </w:r>
      <w:r w:rsidR="009F61AA">
        <w:rPr>
          <w:rFonts w:cs="Times New Roman"/>
          <w:szCs w:val="24"/>
          <w:shd w:val="clear" w:color="auto" w:fill="FFFFFF"/>
        </w:rPr>
        <w:t xml:space="preserve">pantam, 91.panta otrajam teikumam </w:t>
      </w:r>
      <w:r w:rsidR="009F61AA" w:rsidRPr="00B42768">
        <w:rPr>
          <w:rFonts w:cs="Times New Roman"/>
          <w:szCs w:val="24"/>
          <w:shd w:val="clear" w:color="auto" w:fill="FFFFFF"/>
        </w:rPr>
        <w:t>un 109.pantam”</w:t>
      </w:r>
      <w:r w:rsidR="009F61AA">
        <w:rPr>
          <w:rStyle w:val="FootnoteReference"/>
          <w:szCs w:val="24"/>
          <w:shd w:val="clear" w:color="auto" w:fill="FFFFFF"/>
        </w:rPr>
        <w:footnoteReference w:id="6"/>
      </w:r>
      <w:r w:rsidR="009F61AA">
        <w:rPr>
          <w:rFonts w:cs="Times New Roman"/>
          <w:szCs w:val="24"/>
          <w:shd w:val="clear" w:color="auto" w:fill="FFFFFF"/>
        </w:rPr>
        <w:t>.</w:t>
      </w:r>
    </w:p>
    <w:p w14:paraId="531910FD" w14:textId="519D96B0" w:rsidR="00582D27" w:rsidRPr="00582D27" w:rsidRDefault="00582D27" w:rsidP="00582D27">
      <w:pPr>
        <w:pStyle w:val="ListParagraph"/>
        <w:numPr>
          <w:ilvl w:val="0"/>
          <w:numId w:val="7"/>
        </w:numPr>
        <w:autoSpaceDE w:val="0"/>
        <w:autoSpaceDN w:val="0"/>
        <w:adjustRightInd w:val="0"/>
        <w:spacing w:after="0" w:line="293" w:lineRule="atLeast"/>
        <w:ind w:right="129"/>
        <w:jc w:val="both"/>
        <w:rPr>
          <w:rFonts w:cs="Times New Roman"/>
          <w:iCs/>
          <w:szCs w:val="24"/>
        </w:rPr>
      </w:pPr>
      <w:r w:rsidRPr="00071B95">
        <w:rPr>
          <w:rFonts w:cs="Times New Roman"/>
          <w:iCs/>
          <w:szCs w:val="24"/>
        </w:rPr>
        <w:t xml:space="preserve">Saskaņā ar likuma </w:t>
      </w:r>
      <w:r>
        <w:rPr>
          <w:rFonts w:cs="Times New Roman"/>
          <w:iCs/>
          <w:szCs w:val="24"/>
        </w:rPr>
        <w:t>“P</w:t>
      </w:r>
      <w:r w:rsidRPr="00071B95">
        <w:rPr>
          <w:rFonts w:cs="Times New Roman"/>
          <w:iCs/>
          <w:szCs w:val="24"/>
        </w:rPr>
        <w:t>ar valst</w:t>
      </w:r>
      <w:r>
        <w:rPr>
          <w:rFonts w:cs="Times New Roman"/>
          <w:iCs/>
          <w:szCs w:val="24"/>
        </w:rPr>
        <w:t xml:space="preserve">s budžetu 2021.gadam” 59. pantu </w:t>
      </w:r>
      <w:r w:rsidRPr="00071B95">
        <w:rPr>
          <w:rFonts w:cs="Times New Roman"/>
          <w:iCs/>
          <w:szCs w:val="24"/>
        </w:rPr>
        <w:t xml:space="preserve">līdz 2021. gada 1. jūlijam Ministru kabinetā </w:t>
      </w:r>
      <w:r>
        <w:rPr>
          <w:rFonts w:cs="Times New Roman"/>
          <w:iCs/>
          <w:szCs w:val="24"/>
        </w:rPr>
        <w:t>jāiesniedz</w:t>
      </w:r>
      <w:r w:rsidRPr="00071B95">
        <w:rPr>
          <w:rFonts w:cs="Times New Roman"/>
          <w:iCs/>
          <w:szCs w:val="24"/>
        </w:rPr>
        <w:t xml:space="preserve"> apstiprināšanai plāns minimālo ienākumu atbalsta sistēmas pilnveidošanai un</w:t>
      </w:r>
      <w:r>
        <w:rPr>
          <w:rFonts w:cs="Times New Roman"/>
          <w:iCs/>
          <w:szCs w:val="24"/>
        </w:rPr>
        <w:t xml:space="preserve">, </w:t>
      </w:r>
      <w:r w:rsidRPr="00071B95">
        <w:rPr>
          <w:rFonts w:cs="Times New Roman"/>
          <w:iCs/>
          <w:szCs w:val="24"/>
        </w:rPr>
        <w:t>gatavojot likumprojektu par valsts budžetu 2022.</w:t>
      </w:r>
      <w:r>
        <w:rPr>
          <w:rFonts w:cs="Times New Roman"/>
          <w:iCs/>
          <w:szCs w:val="24"/>
        </w:rPr>
        <w:t> </w:t>
      </w:r>
      <w:r w:rsidRPr="00071B95">
        <w:rPr>
          <w:rFonts w:cs="Times New Roman"/>
          <w:iCs/>
          <w:szCs w:val="24"/>
        </w:rPr>
        <w:t xml:space="preserve"> gadam un likumprojektu par vidēja termiņa budžeta ietvaru 2022., 2023. un 2024. gadam, budžeta likumprojektu paketē Labklājības ministrija</w:t>
      </w:r>
      <w:r>
        <w:rPr>
          <w:rFonts w:cs="Times New Roman"/>
          <w:iCs/>
          <w:szCs w:val="24"/>
        </w:rPr>
        <w:t>i</w:t>
      </w:r>
      <w:r w:rsidRPr="00071B95">
        <w:rPr>
          <w:rFonts w:cs="Times New Roman"/>
          <w:iCs/>
          <w:szCs w:val="24"/>
        </w:rPr>
        <w:t xml:space="preserve"> </w:t>
      </w:r>
      <w:r>
        <w:rPr>
          <w:rFonts w:cs="Times New Roman"/>
          <w:iCs/>
          <w:szCs w:val="24"/>
        </w:rPr>
        <w:t>jāiesniedz</w:t>
      </w:r>
      <w:r w:rsidRPr="00071B95">
        <w:rPr>
          <w:rFonts w:cs="Times New Roman"/>
          <w:iCs/>
          <w:szCs w:val="24"/>
        </w:rPr>
        <w:t xml:space="preserve"> attiecīgos normatīvo aktu grozījumus, tai skaitā nosakot minimālo ienākumu atbalsta sistēmas parametru noteikšanas kritērijus, kārtību un metodi, kā arī pārskatīšanas kārtību, ņemot vērā valsts ekonomikas attīstību.</w:t>
      </w:r>
    </w:p>
    <w:p w14:paraId="15123002" w14:textId="151195AC" w:rsidR="00AE1011" w:rsidRDefault="004B474F" w:rsidP="00AE1011">
      <w:pPr>
        <w:pStyle w:val="ListParagraph"/>
        <w:numPr>
          <w:ilvl w:val="0"/>
          <w:numId w:val="7"/>
        </w:numPr>
        <w:autoSpaceDE w:val="0"/>
        <w:autoSpaceDN w:val="0"/>
        <w:adjustRightInd w:val="0"/>
        <w:spacing w:after="120" w:line="240" w:lineRule="auto"/>
        <w:ind w:right="129"/>
        <w:jc w:val="both"/>
        <w:rPr>
          <w:rFonts w:cs="Times New Roman"/>
          <w:szCs w:val="24"/>
        </w:rPr>
      </w:pPr>
      <w:r w:rsidRPr="00B0725C">
        <w:rPr>
          <w:rFonts w:cs="Times New Roman"/>
          <w:b/>
          <w:szCs w:val="24"/>
        </w:rPr>
        <w:t>Latvijas Atveseļošanas un noturības mehānisma plāna 2021.-2026.gadam</w:t>
      </w:r>
      <w:r>
        <w:rPr>
          <w:rFonts w:cs="Times New Roman"/>
          <w:szCs w:val="24"/>
        </w:rPr>
        <w:t xml:space="preserve"> 3.komponentei “Nevienlīdzības mazināšana”. </w:t>
      </w:r>
    </w:p>
    <w:p w14:paraId="6E84F73B" w14:textId="44884395" w:rsidR="00C243E5" w:rsidRPr="000B57CC" w:rsidRDefault="00942977" w:rsidP="004F298B">
      <w:pPr>
        <w:pStyle w:val="ListParagraph"/>
        <w:numPr>
          <w:ilvl w:val="0"/>
          <w:numId w:val="7"/>
        </w:numPr>
        <w:autoSpaceDE w:val="0"/>
        <w:autoSpaceDN w:val="0"/>
        <w:adjustRightInd w:val="0"/>
        <w:spacing w:after="120" w:line="240" w:lineRule="auto"/>
        <w:ind w:right="129"/>
        <w:jc w:val="both"/>
        <w:rPr>
          <w:rFonts w:cs="Times New Roman"/>
          <w:szCs w:val="24"/>
        </w:rPr>
      </w:pPr>
      <w:r w:rsidRPr="00A10C50">
        <w:rPr>
          <w:rFonts w:cs="Times New Roman"/>
          <w:szCs w:val="24"/>
        </w:rPr>
        <w:t>Eiropas Parlamenta</w:t>
      </w:r>
      <w:r w:rsidRPr="00E45D24">
        <w:rPr>
          <w:rFonts w:cs="Times New Roman"/>
          <w:szCs w:val="24"/>
        </w:rPr>
        <w:t>, Padomes un Ko</w:t>
      </w:r>
      <w:r>
        <w:rPr>
          <w:rFonts w:cs="Times New Roman"/>
          <w:szCs w:val="24"/>
        </w:rPr>
        <w:t xml:space="preserve">misijas 2017. gada 17. novembra </w:t>
      </w:r>
      <w:r>
        <w:rPr>
          <w:rFonts w:cs="Times New Roman"/>
          <w:b/>
          <w:szCs w:val="24"/>
        </w:rPr>
        <w:t>Eiropas Sociālo tiesību pīlār</w:t>
      </w:r>
      <w:r w:rsidR="004B3C4D">
        <w:rPr>
          <w:rFonts w:cs="Times New Roman"/>
          <w:b/>
          <w:szCs w:val="24"/>
        </w:rPr>
        <w:t>am</w:t>
      </w:r>
      <w:r>
        <w:rPr>
          <w:rFonts w:cs="Times New Roman"/>
          <w:szCs w:val="24"/>
        </w:rPr>
        <w:t xml:space="preserve">, </w:t>
      </w:r>
      <w:r w:rsidR="004B3C4D">
        <w:rPr>
          <w:rFonts w:cs="Times New Roman"/>
          <w:szCs w:val="24"/>
        </w:rPr>
        <w:t>kas</w:t>
      </w:r>
      <w:r>
        <w:rPr>
          <w:rFonts w:cs="Times New Roman"/>
          <w:szCs w:val="24"/>
        </w:rPr>
        <w:t xml:space="preserve">, cita starpā, </w:t>
      </w:r>
      <w:r w:rsidR="004B3C4D">
        <w:rPr>
          <w:rFonts w:cs="Times New Roman"/>
          <w:szCs w:val="24"/>
        </w:rPr>
        <w:t xml:space="preserve">paredz noteikt </w:t>
      </w:r>
      <w:r w:rsidRPr="00E45D24">
        <w:rPr>
          <w:rFonts w:cs="Times New Roman"/>
          <w:szCs w:val="24"/>
        </w:rPr>
        <w:t>tiesības uz pienācīgu minimālo ienākumu pabalstu līdzekļu trūkuma gadījumā</w:t>
      </w:r>
      <w:r w:rsidR="00C243E5" w:rsidRPr="000B57CC">
        <w:rPr>
          <w:rFonts w:cs="Times New Roman"/>
          <w:szCs w:val="24"/>
        </w:rPr>
        <w:t>.</w:t>
      </w:r>
    </w:p>
    <w:p w14:paraId="6940CEA6" w14:textId="1F4F6101" w:rsidR="0048136A" w:rsidRPr="001A725E" w:rsidRDefault="00DE6C9F" w:rsidP="001A725E">
      <w:pPr>
        <w:pStyle w:val="ListParagraph"/>
        <w:numPr>
          <w:ilvl w:val="0"/>
          <w:numId w:val="7"/>
        </w:numPr>
        <w:autoSpaceDE w:val="0"/>
        <w:autoSpaceDN w:val="0"/>
        <w:adjustRightInd w:val="0"/>
        <w:spacing w:after="120" w:line="240" w:lineRule="auto"/>
        <w:ind w:right="129"/>
        <w:jc w:val="both"/>
        <w:rPr>
          <w:rFonts w:cs="Times New Roman"/>
          <w:szCs w:val="24"/>
        </w:rPr>
      </w:pPr>
      <w:r w:rsidRPr="00B02BFF">
        <w:rPr>
          <w:rFonts w:cs="Times New Roman"/>
          <w:b/>
          <w:szCs w:val="24"/>
        </w:rPr>
        <w:t>ES</w:t>
      </w:r>
      <w:r w:rsidR="00A25399" w:rsidRPr="00B02BFF">
        <w:rPr>
          <w:rFonts w:cs="Times New Roman"/>
          <w:b/>
          <w:szCs w:val="24"/>
        </w:rPr>
        <w:t xml:space="preserve"> </w:t>
      </w:r>
      <w:r w:rsidR="003A167C" w:rsidRPr="00B02BFF">
        <w:rPr>
          <w:rFonts w:cs="Times New Roman"/>
          <w:b/>
          <w:szCs w:val="24"/>
        </w:rPr>
        <w:t>Padomes ieteikumam Latvijai 20</w:t>
      </w:r>
      <w:r w:rsidR="001A725E" w:rsidRPr="00B02BFF">
        <w:rPr>
          <w:rFonts w:cs="Times New Roman"/>
          <w:b/>
          <w:szCs w:val="24"/>
        </w:rPr>
        <w:t>20</w:t>
      </w:r>
      <w:r w:rsidR="003A167C" w:rsidRPr="00B02BFF">
        <w:rPr>
          <w:rFonts w:cs="Times New Roman"/>
          <w:b/>
          <w:szCs w:val="24"/>
        </w:rPr>
        <w:t>.</w:t>
      </w:r>
      <w:r w:rsidR="001A725E" w:rsidRPr="00B02BFF">
        <w:rPr>
          <w:rFonts w:cs="Times New Roman"/>
          <w:b/>
          <w:szCs w:val="24"/>
        </w:rPr>
        <w:t xml:space="preserve"> un 2021.</w:t>
      </w:r>
      <w:r w:rsidR="00F43BD9" w:rsidRPr="00B02BFF">
        <w:rPr>
          <w:rFonts w:cs="Times New Roman"/>
          <w:b/>
          <w:szCs w:val="24"/>
        </w:rPr>
        <w:t>gadam</w:t>
      </w:r>
      <w:r w:rsidR="00DE03CE" w:rsidRPr="001A725E">
        <w:rPr>
          <w:rStyle w:val="FootnoteReference"/>
          <w:szCs w:val="24"/>
        </w:rPr>
        <w:footnoteReference w:id="7"/>
      </w:r>
      <w:r w:rsidR="003A167C" w:rsidRPr="001A725E">
        <w:rPr>
          <w:rFonts w:cs="Times New Roman"/>
          <w:szCs w:val="24"/>
        </w:rPr>
        <w:t>: “</w:t>
      </w:r>
      <w:r w:rsidR="001A725E" w:rsidRPr="001A725E">
        <w:rPr>
          <w:rFonts w:cs="Times New Roman"/>
          <w:szCs w:val="24"/>
        </w:rPr>
        <w:t>Paredzēt pienācīgu ienākumu atbalstu krīzes vissmagāk skartajām iedzīvotāju grupām un stiprināt sociālās drošības tīklu.</w:t>
      </w:r>
      <w:r w:rsidR="003C035D" w:rsidRPr="001A725E">
        <w:rPr>
          <w:rFonts w:cs="Times New Roman"/>
          <w:szCs w:val="24"/>
        </w:rPr>
        <w:t>”</w:t>
      </w:r>
      <w:r w:rsidR="00F33AA4" w:rsidRPr="001A725E">
        <w:rPr>
          <w:rFonts w:cs="Times New Roman"/>
          <w:szCs w:val="24"/>
        </w:rPr>
        <w:t>.</w:t>
      </w:r>
    </w:p>
    <w:p w14:paraId="3B3650C8" w14:textId="77777777" w:rsidR="00C83FC2" w:rsidRPr="003F2F7E" w:rsidRDefault="00C83FC2" w:rsidP="003F2F7E">
      <w:pPr>
        <w:pStyle w:val="ListParagraph"/>
        <w:autoSpaceDE w:val="0"/>
        <w:autoSpaceDN w:val="0"/>
        <w:adjustRightInd w:val="0"/>
        <w:spacing w:after="0" w:line="293" w:lineRule="atLeast"/>
        <w:ind w:left="360" w:right="129"/>
        <w:jc w:val="both"/>
        <w:rPr>
          <w:rFonts w:cs="Times New Roman"/>
          <w:szCs w:val="24"/>
        </w:rPr>
      </w:pPr>
    </w:p>
    <w:p w14:paraId="037F561B" w14:textId="1D7C0AF5" w:rsidR="003A1FD5" w:rsidRPr="0008210D" w:rsidRDefault="003A1FD5" w:rsidP="0093244D">
      <w:pPr>
        <w:spacing w:after="0" w:line="240" w:lineRule="auto"/>
        <w:ind w:firstLine="720"/>
        <w:jc w:val="both"/>
        <w:rPr>
          <w:rFonts w:eastAsia="Times New Roman" w:cs="Times New Roman"/>
          <w:szCs w:val="24"/>
          <w:lang w:eastAsia="lv-LV"/>
        </w:rPr>
      </w:pPr>
      <w:r w:rsidRPr="0008210D">
        <w:rPr>
          <w:rFonts w:cs="Times New Roman"/>
          <w:szCs w:val="24"/>
          <w:lang w:eastAsia="lv-LV"/>
        </w:rPr>
        <w:t xml:space="preserve">Plāna īstenošanai plānots </w:t>
      </w:r>
      <w:r w:rsidR="00075D6E">
        <w:rPr>
          <w:rFonts w:cs="Times New Roman"/>
          <w:szCs w:val="24"/>
          <w:lang w:eastAsia="lv-LV"/>
        </w:rPr>
        <w:t>ieguldīt</w:t>
      </w:r>
      <w:r w:rsidR="00075D6E" w:rsidRPr="0008210D">
        <w:rPr>
          <w:rFonts w:cs="Times New Roman"/>
          <w:szCs w:val="24"/>
          <w:lang w:eastAsia="lv-LV"/>
        </w:rPr>
        <w:t xml:space="preserve"> </w:t>
      </w:r>
      <w:r w:rsidRPr="0008210D">
        <w:rPr>
          <w:rFonts w:cs="Times New Roman"/>
          <w:szCs w:val="24"/>
          <w:lang w:eastAsia="lv-LV"/>
        </w:rPr>
        <w:t>valsts u</w:t>
      </w:r>
      <w:r w:rsidR="00AE0BFB" w:rsidRPr="0008210D">
        <w:rPr>
          <w:rFonts w:cs="Times New Roman"/>
          <w:szCs w:val="24"/>
          <w:lang w:eastAsia="lv-LV"/>
        </w:rPr>
        <w:t xml:space="preserve">n pašvaldību </w:t>
      </w:r>
      <w:r w:rsidR="00075D6E" w:rsidRPr="0008210D">
        <w:rPr>
          <w:rFonts w:cs="Times New Roman"/>
          <w:szCs w:val="24"/>
          <w:lang w:eastAsia="lv-LV"/>
        </w:rPr>
        <w:t>finanšu resursus</w:t>
      </w:r>
      <w:r w:rsidR="00AE0BFB" w:rsidRPr="0008210D">
        <w:rPr>
          <w:rFonts w:cs="Times New Roman"/>
          <w:szCs w:val="24"/>
          <w:lang w:eastAsia="lv-LV"/>
        </w:rPr>
        <w:t xml:space="preserve">. Jautājums </w:t>
      </w:r>
      <w:r w:rsidRPr="0008210D">
        <w:rPr>
          <w:rFonts w:cs="Times New Roman"/>
          <w:szCs w:val="24"/>
          <w:lang w:eastAsia="lv-LV"/>
        </w:rPr>
        <w:t>par papildu valsts budžeta līdzekļu piešķiršanu Plānā m</w:t>
      </w:r>
      <w:r w:rsidR="00AE0BFB" w:rsidRPr="0008210D">
        <w:rPr>
          <w:rFonts w:cs="Times New Roman"/>
          <w:szCs w:val="24"/>
          <w:lang w:eastAsia="lv-LV"/>
        </w:rPr>
        <w:t xml:space="preserve">inētajām institūcijām izskatāms </w:t>
      </w:r>
      <w:r w:rsidRPr="0008210D">
        <w:rPr>
          <w:rFonts w:cs="Times New Roman"/>
          <w:szCs w:val="24"/>
          <w:lang w:eastAsia="lv-LV"/>
        </w:rPr>
        <w:t xml:space="preserve">Ministru </w:t>
      </w:r>
      <w:r w:rsidR="00266F01" w:rsidRPr="0008210D">
        <w:rPr>
          <w:rFonts w:cs="Times New Roman"/>
          <w:szCs w:val="24"/>
          <w:lang w:eastAsia="lv-LV"/>
        </w:rPr>
        <w:t xml:space="preserve">kabinetā </w:t>
      </w:r>
      <w:r w:rsidR="00032E6C" w:rsidRPr="0008210D">
        <w:rPr>
          <w:rFonts w:cs="Times New Roman"/>
          <w:szCs w:val="24"/>
          <w:lang w:eastAsia="lv-LV"/>
        </w:rPr>
        <w:t xml:space="preserve">kopā ar visu ministriju un </w:t>
      </w:r>
      <w:r w:rsidR="00215664" w:rsidRPr="0008210D">
        <w:rPr>
          <w:rFonts w:cs="Times New Roman"/>
          <w:szCs w:val="24"/>
          <w:lang w:eastAsia="lv-LV"/>
        </w:rPr>
        <w:t xml:space="preserve">citu </w:t>
      </w:r>
      <w:r w:rsidR="00032E6C" w:rsidRPr="0008210D">
        <w:rPr>
          <w:rFonts w:cs="Times New Roman"/>
          <w:szCs w:val="24"/>
          <w:lang w:eastAsia="lv-LV"/>
        </w:rPr>
        <w:t xml:space="preserve">centrālo valsts iestāžu </w:t>
      </w:r>
      <w:r w:rsidR="00AE0BFB" w:rsidRPr="0008210D">
        <w:rPr>
          <w:rFonts w:eastAsia="Times New Roman" w:cs="Times New Roman"/>
          <w:szCs w:val="24"/>
          <w:lang w:eastAsia="lv-LV"/>
        </w:rPr>
        <w:t>priekšlikumiem prioritārajiem pasākumiem likumprojekta „Par valsts budžetu 20</w:t>
      </w:r>
      <w:r w:rsidR="007A3132" w:rsidRPr="0008210D">
        <w:rPr>
          <w:rFonts w:eastAsia="Times New Roman" w:cs="Times New Roman"/>
          <w:szCs w:val="24"/>
          <w:lang w:eastAsia="lv-LV"/>
        </w:rPr>
        <w:t>2</w:t>
      </w:r>
      <w:r w:rsidR="0093244D">
        <w:rPr>
          <w:rFonts w:eastAsia="Times New Roman" w:cs="Times New Roman"/>
          <w:szCs w:val="24"/>
          <w:lang w:eastAsia="lv-LV"/>
        </w:rPr>
        <w:t>3</w:t>
      </w:r>
      <w:r w:rsidR="00AE0BFB" w:rsidRPr="0008210D">
        <w:rPr>
          <w:rFonts w:eastAsia="Times New Roman" w:cs="Times New Roman"/>
          <w:szCs w:val="24"/>
          <w:lang w:eastAsia="lv-LV"/>
        </w:rPr>
        <w:t>. gadam” un likumprojekta „Par vidēja termiņa budžeta ietvaru 20</w:t>
      </w:r>
      <w:r w:rsidR="007A3132" w:rsidRPr="0008210D">
        <w:rPr>
          <w:rFonts w:eastAsia="Times New Roman" w:cs="Times New Roman"/>
          <w:szCs w:val="24"/>
          <w:lang w:eastAsia="lv-LV"/>
        </w:rPr>
        <w:t>22</w:t>
      </w:r>
      <w:r w:rsidR="00AE0BFB" w:rsidRPr="0008210D">
        <w:rPr>
          <w:rFonts w:eastAsia="Times New Roman" w:cs="Times New Roman"/>
          <w:szCs w:val="24"/>
          <w:lang w:eastAsia="lv-LV"/>
        </w:rPr>
        <w:t>., 202</w:t>
      </w:r>
      <w:r w:rsidR="007A3132" w:rsidRPr="0008210D">
        <w:rPr>
          <w:rFonts w:eastAsia="Times New Roman" w:cs="Times New Roman"/>
          <w:szCs w:val="24"/>
          <w:lang w:eastAsia="lv-LV"/>
        </w:rPr>
        <w:t>3</w:t>
      </w:r>
      <w:r w:rsidR="00AE0BFB" w:rsidRPr="0008210D">
        <w:rPr>
          <w:rFonts w:eastAsia="Times New Roman" w:cs="Times New Roman"/>
          <w:szCs w:val="24"/>
          <w:lang w:eastAsia="lv-LV"/>
        </w:rPr>
        <w:t>. un 202</w:t>
      </w:r>
      <w:r w:rsidR="007A3132" w:rsidRPr="0008210D">
        <w:rPr>
          <w:rFonts w:eastAsia="Times New Roman" w:cs="Times New Roman"/>
          <w:szCs w:val="24"/>
          <w:lang w:eastAsia="lv-LV"/>
        </w:rPr>
        <w:t>4</w:t>
      </w:r>
      <w:r w:rsidR="00AE0BFB" w:rsidRPr="0008210D">
        <w:rPr>
          <w:rFonts w:eastAsia="Times New Roman" w:cs="Times New Roman"/>
          <w:szCs w:val="24"/>
          <w:lang w:eastAsia="lv-LV"/>
        </w:rPr>
        <w:t>. gadam” sagatavošanas un izskatīšanas procesā atbilstoši valsts budžeta finansiālajām iespējām.</w:t>
      </w:r>
      <w:r w:rsidR="00007300" w:rsidRPr="0008210D">
        <w:rPr>
          <w:rFonts w:cs="Times New Roman"/>
          <w:szCs w:val="24"/>
          <w:lang w:eastAsia="lv-LV"/>
        </w:rPr>
        <w:t xml:space="preserve"> </w:t>
      </w:r>
      <w:r w:rsidR="00007300" w:rsidRPr="0008210D">
        <w:rPr>
          <w:rFonts w:cs="Times New Roman"/>
          <w:color w:val="000000"/>
          <w:szCs w:val="24"/>
          <w:lang w:eastAsia="lv-LV" w:bidi="lo-LA"/>
        </w:rPr>
        <w:t>Detalizēts papildu nepieciešamā finansējuma apmēra aprēķins tiks veikts, izstrādājot attiecīgo</w:t>
      </w:r>
      <w:r w:rsidR="0093244D">
        <w:rPr>
          <w:rFonts w:cs="Times New Roman"/>
          <w:color w:val="000000"/>
          <w:szCs w:val="24"/>
          <w:lang w:eastAsia="lv-LV" w:bidi="lo-LA"/>
        </w:rPr>
        <w:t xml:space="preserve"> </w:t>
      </w:r>
      <w:r w:rsidR="00007300" w:rsidRPr="0008210D">
        <w:rPr>
          <w:rFonts w:cs="Times New Roman"/>
          <w:color w:val="000000"/>
          <w:szCs w:val="24"/>
          <w:lang w:eastAsia="lv-LV" w:bidi="lo-LA"/>
        </w:rPr>
        <w:t>normatīvo aktu anotācijas un iekļauts anotācijas III sadaļā "Tiesību akta projekta ietekme uz valsts budžetu un pašvaldību budžetiem".</w:t>
      </w:r>
    </w:p>
    <w:p w14:paraId="5A35F1B7" w14:textId="00578BC5" w:rsidR="004D611B" w:rsidRDefault="003D45A2" w:rsidP="004B3C4D">
      <w:pPr>
        <w:spacing w:after="120" w:line="240" w:lineRule="auto"/>
        <w:ind w:firstLine="720"/>
        <w:jc w:val="both"/>
        <w:rPr>
          <w:rFonts w:cs="Times New Roman"/>
          <w:bCs/>
          <w:szCs w:val="24"/>
        </w:rPr>
      </w:pPr>
      <w:r w:rsidRPr="0008210D">
        <w:rPr>
          <w:rFonts w:cs="Times New Roman"/>
          <w:bCs/>
          <w:szCs w:val="24"/>
        </w:rPr>
        <w:t xml:space="preserve">Informācija par Plāna </w:t>
      </w:r>
      <w:r w:rsidRPr="009D4963">
        <w:rPr>
          <w:rFonts w:cs="Times New Roman"/>
          <w:bCs/>
          <w:szCs w:val="24"/>
        </w:rPr>
        <w:t xml:space="preserve">izstrādi </w:t>
      </w:r>
      <w:r w:rsidR="0008210D" w:rsidRPr="009D4963">
        <w:rPr>
          <w:rFonts w:cs="Times New Roman"/>
          <w:bCs/>
          <w:szCs w:val="24"/>
        </w:rPr>
        <w:t>2021</w:t>
      </w:r>
      <w:r w:rsidR="00EA57BF" w:rsidRPr="009D4963">
        <w:rPr>
          <w:rFonts w:cs="Times New Roman"/>
          <w:bCs/>
          <w:szCs w:val="24"/>
        </w:rPr>
        <w:t>.gada</w:t>
      </w:r>
      <w:r w:rsidR="00911282" w:rsidRPr="009D4963">
        <w:rPr>
          <w:rFonts w:cs="Times New Roman"/>
          <w:bCs/>
          <w:szCs w:val="24"/>
        </w:rPr>
        <w:t xml:space="preserve"> </w:t>
      </w:r>
      <w:r w:rsidR="009D4963" w:rsidRPr="009D4963">
        <w:rPr>
          <w:rFonts w:cs="Times New Roman"/>
          <w:bCs/>
          <w:szCs w:val="24"/>
        </w:rPr>
        <w:t>30</w:t>
      </w:r>
      <w:r w:rsidR="0008210D" w:rsidRPr="009D4963">
        <w:rPr>
          <w:rFonts w:cs="Times New Roman"/>
          <w:bCs/>
          <w:szCs w:val="24"/>
        </w:rPr>
        <w:t>.aprīlī</w:t>
      </w:r>
      <w:r w:rsidR="00911282" w:rsidRPr="009D4963">
        <w:rPr>
          <w:rFonts w:cs="Times New Roman"/>
          <w:bCs/>
          <w:szCs w:val="24"/>
        </w:rPr>
        <w:t xml:space="preserve"> </w:t>
      </w:r>
      <w:r w:rsidR="00565E6D" w:rsidRPr="009D4963">
        <w:rPr>
          <w:rFonts w:cs="Times New Roman"/>
          <w:bCs/>
          <w:szCs w:val="24"/>
        </w:rPr>
        <w:t>tika</w:t>
      </w:r>
      <w:r w:rsidR="00565E6D" w:rsidRPr="0008210D">
        <w:rPr>
          <w:rFonts w:cs="Times New Roman"/>
          <w:bCs/>
          <w:szCs w:val="24"/>
        </w:rPr>
        <w:t xml:space="preserve"> </w:t>
      </w:r>
      <w:r w:rsidR="00290C7B" w:rsidRPr="0008210D">
        <w:rPr>
          <w:rFonts w:cs="Times New Roman"/>
          <w:bCs/>
          <w:szCs w:val="24"/>
        </w:rPr>
        <w:t xml:space="preserve">ievietota </w:t>
      </w:r>
      <w:r w:rsidR="004B3C4D">
        <w:rPr>
          <w:rFonts w:cs="Times New Roman"/>
          <w:bCs/>
          <w:szCs w:val="24"/>
        </w:rPr>
        <w:t xml:space="preserve">Labklājības ministrijas (turpmāk – </w:t>
      </w:r>
      <w:r w:rsidR="00E56DEA" w:rsidRPr="0008210D">
        <w:rPr>
          <w:rFonts w:cs="Times New Roman"/>
          <w:bCs/>
          <w:szCs w:val="24"/>
        </w:rPr>
        <w:t>LM</w:t>
      </w:r>
      <w:r w:rsidR="004B3C4D">
        <w:rPr>
          <w:rFonts w:cs="Times New Roman"/>
          <w:bCs/>
          <w:szCs w:val="24"/>
        </w:rPr>
        <w:t>)</w:t>
      </w:r>
      <w:r w:rsidR="000C4FDF">
        <w:rPr>
          <w:rFonts w:cs="Times New Roman"/>
          <w:bCs/>
          <w:szCs w:val="24"/>
        </w:rPr>
        <w:t xml:space="preserve"> un Valsts kancelejas</w:t>
      </w:r>
      <w:r w:rsidR="004B3C4D">
        <w:rPr>
          <w:rFonts w:cs="Times New Roman"/>
          <w:bCs/>
          <w:szCs w:val="24"/>
        </w:rPr>
        <w:t xml:space="preserve"> tīmekļa vietnē</w:t>
      </w:r>
      <w:r w:rsidR="000C4FDF">
        <w:rPr>
          <w:rFonts w:cs="Times New Roman"/>
          <w:bCs/>
          <w:szCs w:val="24"/>
        </w:rPr>
        <w:t>s</w:t>
      </w:r>
      <w:r w:rsidR="004B3C4D">
        <w:rPr>
          <w:rFonts w:cs="Times New Roman"/>
          <w:bCs/>
          <w:szCs w:val="24"/>
        </w:rPr>
        <w:t xml:space="preserve"> </w:t>
      </w:r>
      <w:r w:rsidRPr="0008210D">
        <w:rPr>
          <w:rFonts w:cs="Times New Roman"/>
          <w:bCs/>
          <w:szCs w:val="24"/>
        </w:rPr>
        <w:t>sabiedriskai apspriešanai</w:t>
      </w:r>
      <w:r w:rsidR="00711131" w:rsidRPr="0008210D">
        <w:rPr>
          <w:rFonts w:cs="Times New Roman"/>
          <w:bCs/>
          <w:szCs w:val="24"/>
        </w:rPr>
        <w:t xml:space="preserve"> un </w:t>
      </w:r>
      <w:r w:rsidR="0008210D">
        <w:rPr>
          <w:rFonts w:cs="Times New Roman"/>
          <w:bCs/>
          <w:szCs w:val="24"/>
        </w:rPr>
        <w:t>nosūtīta</w:t>
      </w:r>
      <w:r w:rsidR="00711131" w:rsidRPr="0008210D">
        <w:rPr>
          <w:rFonts w:cs="Times New Roman"/>
          <w:bCs/>
          <w:szCs w:val="24"/>
        </w:rPr>
        <w:t xml:space="preserve"> </w:t>
      </w:r>
      <w:r w:rsidR="00E56DEA" w:rsidRPr="0008210D">
        <w:rPr>
          <w:rFonts w:cs="Times New Roman"/>
          <w:bCs/>
          <w:szCs w:val="24"/>
        </w:rPr>
        <w:t>LM</w:t>
      </w:r>
      <w:r w:rsidR="00711131" w:rsidRPr="0008210D">
        <w:rPr>
          <w:rFonts w:cs="Times New Roman"/>
          <w:bCs/>
          <w:szCs w:val="24"/>
        </w:rPr>
        <w:t xml:space="preserve"> Sociālās iekļaušanas politikas koordinācijas komiteja</w:t>
      </w:r>
      <w:r w:rsidR="0008210D">
        <w:rPr>
          <w:rFonts w:cs="Times New Roman"/>
          <w:bCs/>
          <w:szCs w:val="24"/>
        </w:rPr>
        <w:t>i</w:t>
      </w:r>
      <w:r w:rsidR="0093244D">
        <w:rPr>
          <w:rStyle w:val="FootnoteReference"/>
          <w:bCs/>
          <w:szCs w:val="24"/>
        </w:rPr>
        <w:footnoteReference w:id="8"/>
      </w:r>
      <w:r w:rsidR="00711131" w:rsidRPr="0008210D">
        <w:rPr>
          <w:rFonts w:cs="Times New Roman"/>
          <w:bCs/>
          <w:szCs w:val="24"/>
        </w:rPr>
        <w:t xml:space="preserve"> </w:t>
      </w:r>
      <w:r w:rsidR="004B3C4D">
        <w:rPr>
          <w:rFonts w:cs="Times New Roman"/>
          <w:bCs/>
          <w:szCs w:val="24"/>
        </w:rPr>
        <w:t xml:space="preserve">viedokļa sniegšanai </w:t>
      </w:r>
      <w:r w:rsidR="00653202" w:rsidRPr="0008210D">
        <w:rPr>
          <w:rFonts w:cs="Times New Roman"/>
          <w:bCs/>
          <w:szCs w:val="24"/>
        </w:rPr>
        <w:t>rakstveid</w:t>
      </w:r>
      <w:r w:rsidR="004B3C4D">
        <w:rPr>
          <w:rFonts w:cs="Times New Roman"/>
          <w:bCs/>
          <w:szCs w:val="24"/>
        </w:rPr>
        <w:t>ā</w:t>
      </w:r>
      <w:r w:rsidR="00962BA9" w:rsidRPr="0008210D">
        <w:rPr>
          <w:rFonts w:cs="Times New Roman"/>
          <w:bCs/>
          <w:szCs w:val="24"/>
        </w:rPr>
        <w:t>.</w:t>
      </w:r>
      <w:r w:rsidR="00711131" w:rsidRPr="0008210D">
        <w:rPr>
          <w:rFonts w:cs="Times New Roman"/>
          <w:bCs/>
          <w:szCs w:val="24"/>
        </w:rPr>
        <w:t xml:space="preserve"> </w:t>
      </w:r>
      <w:r w:rsidR="002A05EF" w:rsidRPr="0008210D">
        <w:rPr>
          <w:rFonts w:cs="Times New Roman"/>
          <w:bCs/>
          <w:szCs w:val="24"/>
        </w:rPr>
        <w:t xml:space="preserve">Sabiedriskās </w:t>
      </w:r>
      <w:r w:rsidR="00D14138" w:rsidRPr="0008210D">
        <w:rPr>
          <w:rFonts w:cs="Times New Roman"/>
          <w:bCs/>
          <w:szCs w:val="24"/>
        </w:rPr>
        <w:t>apspriedes</w:t>
      </w:r>
      <w:r w:rsidR="002A05EF" w:rsidRPr="0008210D">
        <w:rPr>
          <w:rFonts w:cs="Times New Roman"/>
          <w:bCs/>
          <w:szCs w:val="24"/>
        </w:rPr>
        <w:t xml:space="preserve"> </w:t>
      </w:r>
      <w:r w:rsidR="00CC01DE">
        <w:rPr>
          <w:rFonts w:cs="Times New Roman"/>
          <w:bCs/>
          <w:szCs w:val="24"/>
        </w:rPr>
        <w:t xml:space="preserve">un rakstveida procedūras </w:t>
      </w:r>
      <w:r w:rsidR="002A05EF" w:rsidRPr="0008210D">
        <w:rPr>
          <w:rFonts w:cs="Times New Roman"/>
          <w:bCs/>
          <w:szCs w:val="24"/>
        </w:rPr>
        <w:t xml:space="preserve">rezultātā tika </w:t>
      </w:r>
      <w:r w:rsidR="002A05EF" w:rsidRPr="00033AEE">
        <w:rPr>
          <w:rFonts w:cs="Times New Roman"/>
          <w:bCs/>
          <w:szCs w:val="24"/>
        </w:rPr>
        <w:t>sa</w:t>
      </w:r>
      <w:r w:rsidR="00C877A4" w:rsidRPr="00033AEE">
        <w:rPr>
          <w:rFonts w:cs="Times New Roman"/>
          <w:bCs/>
          <w:szCs w:val="24"/>
        </w:rPr>
        <w:t xml:space="preserve">ņemti viedokļi </w:t>
      </w:r>
      <w:r w:rsidR="00582D27">
        <w:rPr>
          <w:rFonts w:cs="Times New Roman"/>
          <w:bCs/>
          <w:szCs w:val="24"/>
        </w:rPr>
        <w:t>no</w:t>
      </w:r>
      <w:r w:rsidR="009E69D4">
        <w:rPr>
          <w:rFonts w:cs="Times New Roman"/>
          <w:bCs/>
          <w:szCs w:val="24"/>
        </w:rPr>
        <w:t xml:space="preserve"> Latvijas Sociālo darbinieku biedrības, Vidzemes plānošanas reģiona, Ekonomikas ministrijas</w:t>
      </w:r>
      <w:r w:rsidR="009E69D4" w:rsidRPr="009E69D4">
        <w:rPr>
          <w:rFonts w:cs="Times New Roman"/>
          <w:bCs/>
          <w:szCs w:val="24"/>
        </w:rPr>
        <w:t xml:space="preserve"> </w:t>
      </w:r>
      <w:r w:rsidR="009E69D4">
        <w:rPr>
          <w:rFonts w:cs="Times New Roman"/>
          <w:bCs/>
          <w:szCs w:val="24"/>
        </w:rPr>
        <w:t>un biedrības</w:t>
      </w:r>
      <w:r w:rsidR="009E69D4" w:rsidRPr="009E69D4">
        <w:rPr>
          <w:rFonts w:cs="Times New Roman"/>
          <w:bCs/>
          <w:szCs w:val="24"/>
        </w:rPr>
        <w:t xml:space="preserve"> PINS</w:t>
      </w:r>
      <w:r w:rsidR="009E69D4">
        <w:rPr>
          <w:rFonts w:cs="Times New Roman"/>
          <w:bCs/>
          <w:szCs w:val="24"/>
        </w:rPr>
        <w:t xml:space="preserve">. </w:t>
      </w:r>
      <w:r w:rsidR="007B17AC">
        <w:rPr>
          <w:rFonts w:cs="Times New Roman"/>
          <w:bCs/>
          <w:szCs w:val="24"/>
        </w:rPr>
        <w:t xml:space="preserve">Visi sadarbības partneri </w:t>
      </w:r>
      <w:r w:rsidR="000C4FDF">
        <w:rPr>
          <w:rFonts w:cs="Times New Roman"/>
          <w:bCs/>
          <w:szCs w:val="24"/>
        </w:rPr>
        <w:t>atbalstīja Plānā ietvertos uzdevumus</w:t>
      </w:r>
      <w:r w:rsidR="007B17AC">
        <w:rPr>
          <w:rFonts w:cs="Times New Roman"/>
          <w:bCs/>
          <w:szCs w:val="24"/>
        </w:rPr>
        <w:t xml:space="preserve">, izsakot priekšlikumu uzsvērt Plāna pasākumu ietekmi uz tautsaimniecību un ekonomiskajiem ieguvumiem, kā arī Plāna pasākumu aizvien minimālo nodrošinājumu iedzīvotājiem ar viszemākajiem ienākumiem. </w:t>
      </w:r>
    </w:p>
    <w:p w14:paraId="6286CCA6" w14:textId="77777777" w:rsidR="00653202" w:rsidRPr="000B57CC" w:rsidRDefault="00653202" w:rsidP="00C960F4">
      <w:pPr>
        <w:spacing w:after="120" w:line="240" w:lineRule="auto"/>
        <w:ind w:firstLine="720"/>
        <w:jc w:val="both"/>
        <w:rPr>
          <w:rFonts w:cs="Times New Roman"/>
          <w:bCs/>
          <w:szCs w:val="24"/>
        </w:rPr>
      </w:pPr>
    </w:p>
    <w:p w14:paraId="6865EDF8" w14:textId="77777777" w:rsidR="00D35503" w:rsidRPr="000B57CC" w:rsidRDefault="00D35503" w:rsidP="00F5085D">
      <w:pPr>
        <w:pStyle w:val="Heading1"/>
      </w:pPr>
      <w:r w:rsidRPr="000B57CC">
        <w:t>II Esošās situācijas raksturojums</w:t>
      </w:r>
    </w:p>
    <w:p w14:paraId="302400F0" w14:textId="77777777" w:rsidR="004F1ACD" w:rsidRPr="0008210D" w:rsidRDefault="004F1ACD" w:rsidP="004F1ACD">
      <w:pPr>
        <w:pStyle w:val="ListParagraph"/>
        <w:autoSpaceDE w:val="0"/>
        <w:autoSpaceDN w:val="0"/>
        <w:adjustRightInd w:val="0"/>
        <w:spacing w:after="0" w:line="293" w:lineRule="atLeast"/>
        <w:ind w:left="0" w:right="129" w:firstLine="426"/>
        <w:jc w:val="both"/>
        <w:rPr>
          <w:rFonts w:cs="Times New Roman"/>
          <w:szCs w:val="24"/>
        </w:rPr>
      </w:pPr>
      <w:r w:rsidRPr="0008210D">
        <w:rPr>
          <w:rFonts w:cs="Times New Roman"/>
          <w:szCs w:val="24"/>
        </w:rPr>
        <w:t xml:space="preserve">Latvijas Republikas Satversmes tiesa (turpmāk – Satversmes tiesa) savos spriedumos lietās Nr. 2019-24-03, Nr. 2019-25-03, Nr.2019-27- 03 ir uzsvērusi, ka valstij ir pienākums regulāri vērtēt sniegtā sociālās palīdzības apmēra pietiekamību, lai garantētu, ka tas ir cieņpilns, atbilst sociālajai realitātei un iedzīvotājiem ar zemiem ienākumiem tiek nodrošināta tām nepieciešamā palīdzība. Visus iepriekšminētos Satversmes tiesas spriedumus caurvij tādi uzsvari kā: </w:t>
      </w:r>
    </w:p>
    <w:p w14:paraId="13C2F962" w14:textId="77777777" w:rsidR="004F1ACD" w:rsidRDefault="004F1ACD" w:rsidP="004F1ACD">
      <w:pPr>
        <w:pStyle w:val="ListParagraph"/>
        <w:numPr>
          <w:ilvl w:val="1"/>
          <w:numId w:val="29"/>
        </w:numPr>
        <w:autoSpaceDE w:val="0"/>
        <w:autoSpaceDN w:val="0"/>
        <w:adjustRightInd w:val="0"/>
        <w:spacing w:after="0" w:line="293" w:lineRule="atLeast"/>
        <w:ind w:left="426" w:right="129"/>
        <w:jc w:val="both"/>
        <w:rPr>
          <w:rFonts w:cs="Times New Roman"/>
          <w:szCs w:val="24"/>
        </w:rPr>
      </w:pPr>
      <w:r w:rsidRPr="0008210D">
        <w:rPr>
          <w:rFonts w:cs="Times New Roman"/>
          <w:szCs w:val="24"/>
        </w:rPr>
        <w:t xml:space="preserve">likumdevēja pienākums noteikt vienotu metodi minimālo ienākumu sliekšņu noteikšanā un izstrādāt konkrētu kritēriju kopu sociālās palīdzības minimuma noteikšanā; </w:t>
      </w:r>
    </w:p>
    <w:p w14:paraId="7044D346" w14:textId="39E5DD8C" w:rsidR="004F1ACD" w:rsidRPr="0008210D" w:rsidRDefault="004F1ACD" w:rsidP="004F1ACD">
      <w:pPr>
        <w:pStyle w:val="ListParagraph"/>
        <w:numPr>
          <w:ilvl w:val="1"/>
          <w:numId w:val="29"/>
        </w:numPr>
        <w:autoSpaceDE w:val="0"/>
        <w:autoSpaceDN w:val="0"/>
        <w:adjustRightInd w:val="0"/>
        <w:spacing w:after="0" w:line="293" w:lineRule="atLeast"/>
        <w:ind w:left="426" w:right="129"/>
        <w:jc w:val="both"/>
        <w:rPr>
          <w:rFonts w:cs="Times New Roman"/>
          <w:szCs w:val="24"/>
        </w:rPr>
      </w:pPr>
      <w:r w:rsidRPr="0008210D">
        <w:rPr>
          <w:rFonts w:cs="Times New Roman"/>
          <w:szCs w:val="24"/>
        </w:rPr>
        <w:t xml:space="preserve">līdzsvara saglabāšana starp personas un sabiedrības vajadzībām; </w:t>
      </w:r>
    </w:p>
    <w:p w14:paraId="1B6A0756" w14:textId="2ACE7CF9" w:rsidR="004F1ACD" w:rsidRPr="0008210D" w:rsidRDefault="004F1ACD" w:rsidP="004F1ACD">
      <w:pPr>
        <w:pStyle w:val="ListParagraph"/>
        <w:numPr>
          <w:ilvl w:val="1"/>
          <w:numId w:val="29"/>
        </w:numPr>
        <w:autoSpaceDE w:val="0"/>
        <w:autoSpaceDN w:val="0"/>
        <w:adjustRightInd w:val="0"/>
        <w:spacing w:after="0" w:line="293" w:lineRule="atLeast"/>
        <w:ind w:left="426" w:right="129"/>
        <w:jc w:val="both"/>
        <w:rPr>
          <w:rFonts w:cs="Times New Roman"/>
          <w:szCs w:val="24"/>
        </w:rPr>
      </w:pPr>
      <w:r w:rsidRPr="0008210D">
        <w:rPr>
          <w:rFonts w:cs="Times New Roman"/>
          <w:szCs w:val="24"/>
        </w:rPr>
        <w:t xml:space="preserve">sociālās nevienlīdzības mazināšana kā būtisks aspekts sabiedrības ilgtspējai; </w:t>
      </w:r>
    </w:p>
    <w:p w14:paraId="4DA83F17" w14:textId="19A6AAA7" w:rsidR="004F1ACD" w:rsidRPr="0008210D" w:rsidRDefault="004F1ACD" w:rsidP="004F1ACD">
      <w:pPr>
        <w:pStyle w:val="ListParagraph"/>
        <w:numPr>
          <w:ilvl w:val="1"/>
          <w:numId w:val="29"/>
        </w:numPr>
        <w:autoSpaceDE w:val="0"/>
        <w:autoSpaceDN w:val="0"/>
        <w:adjustRightInd w:val="0"/>
        <w:spacing w:after="0" w:line="293" w:lineRule="atLeast"/>
        <w:ind w:left="426" w:right="129"/>
        <w:jc w:val="both"/>
        <w:rPr>
          <w:rFonts w:cs="Times New Roman"/>
          <w:szCs w:val="24"/>
        </w:rPr>
      </w:pPr>
      <w:r w:rsidRPr="0008210D">
        <w:rPr>
          <w:rFonts w:cs="Times New Roman"/>
          <w:szCs w:val="24"/>
        </w:rPr>
        <w:t>nepieciešamība minimālo ienākumu sliekšņus piesaistīt konkrētam sociālekonomiskajam rādītājam, lai nodrošinātu to adekvātumu attiecībā pret reālo sociālekonomisko situāciju valstī</w:t>
      </w:r>
      <w:r w:rsidR="00AB2F84">
        <w:rPr>
          <w:rFonts w:cs="Times New Roman"/>
          <w:szCs w:val="24"/>
        </w:rPr>
        <w:t>, kā arī nodrošināt regulāru to pārskatīšanu</w:t>
      </w:r>
      <w:r w:rsidRPr="0008210D">
        <w:rPr>
          <w:rFonts w:cs="Times New Roman"/>
          <w:szCs w:val="24"/>
        </w:rPr>
        <w:t>.</w:t>
      </w:r>
    </w:p>
    <w:p w14:paraId="0D83DB2E" w14:textId="77777777" w:rsidR="004F1ACD" w:rsidRDefault="004F1ACD" w:rsidP="004F1ACD">
      <w:pPr>
        <w:pStyle w:val="FootnoteText"/>
        <w:jc w:val="both"/>
        <w:rPr>
          <w:rFonts w:cs="Times New Roman"/>
          <w:sz w:val="24"/>
          <w:szCs w:val="24"/>
        </w:rPr>
      </w:pPr>
    </w:p>
    <w:p w14:paraId="6962678F" w14:textId="190A9605" w:rsidR="004F1ACD" w:rsidRDefault="004F1ACD" w:rsidP="004F1ACD">
      <w:pPr>
        <w:pStyle w:val="FootnoteText"/>
        <w:ind w:firstLine="426"/>
        <w:jc w:val="both"/>
        <w:rPr>
          <w:rFonts w:cs="Times New Roman"/>
          <w:sz w:val="24"/>
          <w:szCs w:val="24"/>
        </w:rPr>
      </w:pPr>
      <w:r w:rsidRPr="0008210D">
        <w:rPr>
          <w:rFonts w:cs="Times New Roman"/>
          <w:sz w:val="24"/>
          <w:szCs w:val="24"/>
        </w:rPr>
        <w:t xml:space="preserve">Latvijas Bankas pārstāvis tiesas sēdē norādīja, </w:t>
      </w:r>
      <w:r>
        <w:rPr>
          <w:rFonts w:cs="Times New Roman"/>
          <w:sz w:val="24"/>
          <w:szCs w:val="24"/>
        </w:rPr>
        <w:t>“</w:t>
      </w:r>
      <w:r w:rsidRPr="0008210D">
        <w:rPr>
          <w:rFonts w:cs="Times New Roman"/>
          <w:sz w:val="24"/>
          <w:szCs w:val="24"/>
        </w:rPr>
        <w:t>ka sociālās palīdzības minimuma noteikšanā var tikt izmantotas divas metodes – absolūtā un relatīvā metode. Absolūtās metodes piemērošanas gadījumā katrai pamatvajadzībai, kura šim minimumam ir jānodrošina, tiek noteiktas konkrētas izmaksas. Tomēr iedzīvotāju vajadzības mainās, tāpēc ir nepieciešama regulāra šo izdevumu pārskatīšana. Savukārt relatīvās metodes piemērošanas gadījumā sociālās palīdzības minimums tiek noteikts kā konstanta proporcija no mājsaimniecību rīcībā esošo ienākumu mediānas vienam ekvivalentajam patērētājam vai no mājsaimniecību vidējiem ienākumiem. Pēc Latvijas Bankas un vairāku citu</w:t>
      </w:r>
      <w:r w:rsidR="00FA3373">
        <w:rPr>
          <w:rFonts w:cs="Times New Roman"/>
          <w:sz w:val="24"/>
          <w:szCs w:val="24"/>
        </w:rPr>
        <w:t xml:space="preserve"> pieaicināto personu ieskata, relatīvā</w:t>
      </w:r>
      <w:r w:rsidRPr="0008210D">
        <w:rPr>
          <w:rFonts w:cs="Times New Roman"/>
          <w:sz w:val="24"/>
          <w:szCs w:val="24"/>
        </w:rPr>
        <w:t xml:space="preserve"> metode ir vislabāk piemērota sociālās palīdzības minimuma noteikšanai, jo nodrošina to, ka, mainoties ekonomiskajai situācijai valstī, mainās arī šis minimums. Relatīvā metode ļauj noteikt tādu līmeni, kas atbilst ekonomiskajai rea</w:t>
      </w:r>
      <w:r>
        <w:rPr>
          <w:rFonts w:cs="Times New Roman"/>
          <w:sz w:val="24"/>
          <w:szCs w:val="24"/>
        </w:rPr>
        <w:t>litātei valstī konkrētajā brīdī</w:t>
      </w:r>
      <w:r w:rsidR="00304479">
        <w:rPr>
          <w:rFonts w:cs="Times New Roman"/>
          <w:sz w:val="24"/>
          <w:szCs w:val="24"/>
        </w:rPr>
        <w:t>”</w:t>
      </w:r>
      <w:r w:rsidRPr="0008210D">
        <w:rPr>
          <w:rStyle w:val="FootnoteReference"/>
          <w:sz w:val="24"/>
          <w:szCs w:val="24"/>
        </w:rPr>
        <w:footnoteReference w:id="9"/>
      </w:r>
      <w:r>
        <w:rPr>
          <w:rFonts w:cs="Times New Roman"/>
          <w:sz w:val="24"/>
          <w:szCs w:val="24"/>
        </w:rPr>
        <w:t>.</w:t>
      </w:r>
    </w:p>
    <w:p w14:paraId="19140BAA" w14:textId="59D0A627" w:rsidR="00F91EFF" w:rsidRDefault="004F1ACD" w:rsidP="00684498">
      <w:pPr>
        <w:spacing w:after="0" w:line="240" w:lineRule="auto"/>
        <w:ind w:firstLine="426"/>
        <w:jc w:val="both"/>
        <w:rPr>
          <w:rFonts w:eastAsia="Times New Roman" w:cs="Times New Roman"/>
          <w:szCs w:val="24"/>
        </w:rPr>
      </w:pPr>
      <w:r>
        <w:rPr>
          <w:rFonts w:cs="Times New Roman"/>
          <w:szCs w:val="24"/>
        </w:rPr>
        <w:t>Minētais viedoklis saskan arī ar 2014.gadā L</w:t>
      </w:r>
      <w:r w:rsidR="00827639">
        <w:rPr>
          <w:rFonts w:cs="Times New Roman"/>
          <w:szCs w:val="24"/>
        </w:rPr>
        <w:t>M</w:t>
      </w:r>
      <w:r>
        <w:rPr>
          <w:rFonts w:cs="Times New Roman"/>
          <w:szCs w:val="24"/>
        </w:rPr>
        <w:t xml:space="preserve"> piedāvājumu</w:t>
      </w:r>
      <w:r>
        <w:rPr>
          <w:rStyle w:val="FootnoteReference"/>
          <w:szCs w:val="24"/>
        </w:rPr>
        <w:footnoteReference w:id="10"/>
      </w:r>
      <w:r>
        <w:rPr>
          <w:rFonts w:cs="Times New Roman"/>
          <w:szCs w:val="24"/>
        </w:rPr>
        <w:t xml:space="preserve"> </w:t>
      </w:r>
      <w:r>
        <w:rPr>
          <w:rFonts w:eastAsia="Times New Roman" w:cs="Times New Roman"/>
          <w:szCs w:val="24"/>
        </w:rPr>
        <w:t>noteikt</w:t>
      </w:r>
      <w:r w:rsidRPr="00E45D24">
        <w:rPr>
          <w:rFonts w:eastAsia="Times New Roman" w:cs="Times New Roman"/>
          <w:szCs w:val="24"/>
        </w:rPr>
        <w:t xml:space="preserve"> metodoloģiski pamatotu un sociālekonomiskajai situācijai atbilstošu minimālā ienākuma līmeni</w:t>
      </w:r>
      <w:r>
        <w:rPr>
          <w:rFonts w:eastAsia="Times New Roman" w:cs="Times New Roman"/>
          <w:szCs w:val="24"/>
        </w:rPr>
        <w:t xml:space="preserve">, izmantojot relatīvo metodi, t.i., procentuālo apmēru </w:t>
      </w:r>
      <w:r w:rsidRPr="00E45D24">
        <w:rPr>
          <w:rFonts w:eastAsia="Times New Roman" w:cs="Times New Roman"/>
          <w:szCs w:val="24"/>
        </w:rPr>
        <w:t xml:space="preserve">no </w:t>
      </w:r>
      <w:r w:rsidR="003339E4">
        <w:rPr>
          <w:rFonts w:eastAsia="Times New Roman" w:cs="Times New Roman"/>
          <w:szCs w:val="24"/>
        </w:rPr>
        <w:t xml:space="preserve">mājsaimniecību </w:t>
      </w:r>
      <w:r w:rsidRPr="00E45D24">
        <w:rPr>
          <w:rFonts w:eastAsia="Times New Roman" w:cs="Times New Roman"/>
          <w:szCs w:val="24"/>
        </w:rPr>
        <w:t>rīcībā esošo ienākumu mediānas, pārrēķinātas uz ekvivalento patērēt</w:t>
      </w:r>
      <w:r>
        <w:rPr>
          <w:rFonts w:eastAsia="Times New Roman" w:cs="Times New Roman"/>
          <w:szCs w:val="24"/>
        </w:rPr>
        <w:t xml:space="preserve">āju. </w:t>
      </w:r>
      <w:r w:rsidR="00EC21FB">
        <w:rPr>
          <w:rFonts w:eastAsia="Times New Roman" w:cs="Times New Roman"/>
          <w:szCs w:val="24"/>
        </w:rPr>
        <w:t>Minētais minim</w:t>
      </w:r>
      <w:r w:rsidR="00C055AE">
        <w:rPr>
          <w:rFonts w:eastAsia="Times New Roman" w:cs="Times New Roman"/>
          <w:szCs w:val="24"/>
        </w:rPr>
        <w:t>ālā</w:t>
      </w:r>
      <w:r w:rsidR="00EC21FB">
        <w:rPr>
          <w:rFonts w:eastAsia="Times New Roman" w:cs="Times New Roman"/>
          <w:szCs w:val="24"/>
        </w:rPr>
        <w:t xml:space="preserve"> ienākum</w:t>
      </w:r>
      <w:r w:rsidR="003339E4">
        <w:rPr>
          <w:rFonts w:eastAsia="Times New Roman" w:cs="Times New Roman"/>
          <w:szCs w:val="24"/>
        </w:rPr>
        <w:t>a</w:t>
      </w:r>
      <w:r w:rsidRPr="00E45D24">
        <w:rPr>
          <w:rFonts w:eastAsia="Times New Roman" w:cs="Times New Roman"/>
          <w:szCs w:val="24"/>
        </w:rPr>
        <w:t xml:space="preserve"> </w:t>
      </w:r>
      <w:r w:rsidR="00EC21FB">
        <w:rPr>
          <w:rFonts w:eastAsia="Times New Roman" w:cs="Times New Roman"/>
          <w:szCs w:val="24"/>
        </w:rPr>
        <w:t xml:space="preserve">līmenis </w:t>
      </w:r>
      <w:r w:rsidRPr="00E45D24">
        <w:rPr>
          <w:rFonts w:eastAsia="Times New Roman" w:cs="Times New Roman"/>
          <w:szCs w:val="24"/>
        </w:rPr>
        <w:t>kalpo</w:t>
      </w:r>
      <w:r w:rsidR="00865EB6">
        <w:rPr>
          <w:rFonts w:eastAsia="Times New Roman" w:cs="Times New Roman"/>
          <w:szCs w:val="24"/>
        </w:rPr>
        <w:t xml:space="preserve"> par atskaites punktu</w:t>
      </w:r>
      <w:r w:rsidRPr="00E45D24">
        <w:rPr>
          <w:rFonts w:eastAsia="Times New Roman" w:cs="Times New Roman"/>
          <w:szCs w:val="24"/>
        </w:rPr>
        <w:t xml:space="preserve"> sociālās </w:t>
      </w:r>
      <w:r w:rsidR="00FA3373">
        <w:rPr>
          <w:rFonts w:eastAsia="Times New Roman" w:cs="Times New Roman"/>
          <w:szCs w:val="24"/>
        </w:rPr>
        <w:t>aizsardzības</w:t>
      </w:r>
      <w:r w:rsidRPr="00E45D24">
        <w:rPr>
          <w:rFonts w:eastAsia="Times New Roman" w:cs="Times New Roman"/>
          <w:szCs w:val="24"/>
        </w:rPr>
        <w:t xml:space="preserve"> sistēmas jomu (valsts sociālie pabalsti, sociālā apdrošināšana, sociālā palīdzība) ietvaros noteikto atbalsta pasākumu pilnveidošanai.</w:t>
      </w:r>
      <w:r>
        <w:rPr>
          <w:rFonts w:eastAsia="Times New Roman" w:cs="Times New Roman"/>
          <w:szCs w:val="24"/>
        </w:rPr>
        <w:t xml:space="preserve"> </w:t>
      </w:r>
      <w:r w:rsidR="00EC21FB">
        <w:rPr>
          <w:rFonts w:eastAsia="Times New Roman" w:cs="Times New Roman"/>
          <w:szCs w:val="24"/>
        </w:rPr>
        <w:t xml:space="preserve">Tādējādi minimālā ienākuma līmenis tika apstiprināts 40% apmērā </w:t>
      </w:r>
      <w:r w:rsidR="00EC21FB" w:rsidRPr="00E45D24">
        <w:rPr>
          <w:rFonts w:eastAsia="Times New Roman" w:cs="Times New Roman"/>
          <w:szCs w:val="24"/>
        </w:rPr>
        <w:t>no rīcībā esošo ienākumu mediānas, pārrēķinātas uz ekvivalento patērēt</w:t>
      </w:r>
      <w:r w:rsidR="00EC21FB">
        <w:rPr>
          <w:rFonts w:eastAsia="Times New Roman" w:cs="Times New Roman"/>
          <w:szCs w:val="24"/>
        </w:rPr>
        <w:t>āju,</w:t>
      </w:r>
      <w:r w:rsidR="00EC21FB" w:rsidRPr="00EC21FB">
        <w:rPr>
          <w:rFonts w:eastAsia="Times New Roman" w:cs="Times New Roman"/>
          <w:szCs w:val="24"/>
        </w:rPr>
        <w:t xml:space="preserve"> </w:t>
      </w:r>
      <w:r w:rsidR="00EC21FB" w:rsidRPr="00E45D24">
        <w:rPr>
          <w:rFonts w:eastAsia="Times New Roman" w:cs="Times New Roman"/>
          <w:szCs w:val="24"/>
          <w:lang w:eastAsia="lv-LV"/>
        </w:rPr>
        <w:t>piemērojot ek</w:t>
      </w:r>
      <w:r w:rsidR="00EC21FB">
        <w:rPr>
          <w:rFonts w:eastAsia="Times New Roman" w:cs="Times New Roman"/>
          <w:szCs w:val="24"/>
        </w:rPr>
        <w:t>vivalences skalu (1; 0.7; 0.7)</w:t>
      </w:r>
      <w:r w:rsidR="00D51FDF">
        <w:rPr>
          <w:rFonts w:eastAsia="Times New Roman" w:cs="Times New Roman"/>
          <w:szCs w:val="24"/>
        </w:rPr>
        <w:t xml:space="preserve">, </w:t>
      </w:r>
      <w:r w:rsidR="00FA3373">
        <w:rPr>
          <w:rFonts w:eastAsia="Times New Roman" w:cs="Times New Roman"/>
          <w:szCs w:val="24"/>
        </w:rPr>
        <w:t>savukārt</w:t>
      </w:r>
      <w:r w:rsidR="00D51FDF">
        <w:rPr>
          <w:rFonts w:eastAsia="Times New Roman" w:cs="Times New Roman"/>
          <w:szCs w:val="24"/>
        </w:rPr>
        <w:t xml:space="preserve"> </w:t>
      </w:r>
      <w:r w:rsidR="00FA3373" w:rsidRPr="00E45D24">
        <w:rPr>
          <w:rFonts w:eastAsia="Times New Roman" w:cs="Times New Roman"/>
          <w:szCs w:val="24"/>
        </w:rPr>
        <w:t xml:space="preserve">sociālās </w:t>
      </w:r>
      <w:r w:rsidR="00FA3373">
        <w:rPr>
          <w:rFonts w:eastAsia="Times New Roman" w:cs="Times New Roman"/>
          <w:szCs w:val="24"/>
        </w:rPr>
        <w:t xml:space="preserve">aizsardzības sistēmas jomu </w:t>
      </w:r>
      <w:r w:rsidR="00FA3373" w:rsidRPr="00E45D24">
        <w:rPr>
          <w:rFonts w:eastAsia="Times New Roman" w:cs="Times New Roman"/>
          <w:szCs w:val="24"/>
        </w:rPr>
        <w:t>ietvaros noteikto atbalsta pasākumu pilnveidošanai</w:t>
      </w:r>
      <w:r w:rsidR="00FA3373">
        <w:rPr>
          <w:rFonts w:eastAsia="Times New Roman" w:cs="Times New Roman"/>
          <w:szCs w:val="24"/>
        </w:rPr>
        <w:t xml:space="preserve"> tika noteikti minimālie ienākumu sliekšņi un to </w:t>
      </w:r>
      <w:r w:rsidR="00D51FDF">
        <w:rPr>
          <w:rFonts w:eastAsia="Times New Roman" w:cs="Times New Roman"/>
          <w:szCs w:val="24"/>
        </w:rPr>
        <w:t xml:space="preserve">reāla </w:t>
      </w:r>
      <w:r w:rsidR="00FA3373">
        <w:rPr>
          <w:rFonts w:eastAsia="Times New Roman" w:cs="Times New Roman"/>
          <w:szCs w:val="24"/>
        </w:rPr>
        <w:t xml:space="preserve">ieviešana tika īstenota tikai </w:t>
      </w:r>
      <w:r w:rsidR="003339E4">
        <w:rPr>
          <w:rFonts w:eastAsia="Times New Roman" w:cs="Times New Roman"/>
          <w:szCs w:val="24"/>
        </w:rPr>
        <w:t xml:space="preserve">2021.gadā </w:t>
      </w:r>
      <w:r w:rsidR="00D51FDF">
        <w:rPr>
          <w:rFonts w:eastAsia="Times New Roman" w:cs="Times New Roman"/>
          <w:szCs w:val="24"/>
        </w:rPr>
        <w:t>pēc Satversmes tiesas spriedumiem</w:t>
      </w:r>
      <w:r w:rsidR="00EC21FB">
        <w:rPr>
          <w:rFonts w:eastAsia="Times New Roman" w:cs="Times New Roman"/>
          <w:szCs w:val="24"/>
        </w:rPr>
        <w:t xml:space="preserve">. </w:t>
      </w:r>
    </w:p>
    <w:p w14:paraId="1963E32F" w14:textId="77777777" w:rsidR="00C25BA2" w:rsidRDefault="00C25BA2" w:rsidP="00C25BA2">
      <w:pPr>
        <w:spacing w:after="120" w:line="240" w:lineRule="auto"/>
        <w:jc w:val="both"/>
        <w:rPr>
          <w:rFonts w:cs="Times New Roman"/>
          <w:b/>
          <w:i/>
          <w:szCs w:val="24"/>
        </w:rPr>
      </w:pPr>
    </w:p>
    <w:p w14:paraId="3619DDEF" w14:textId="19FE8D4F" w:rsidR="00C25BA2" w:rsidRPr="00827639" w:rsidRDefault="00C25BA2" w:rsidP="009F4120">
      <w:pPr>
        <w:pStyle w:val="Heading2"/>
      </w:pPr>
      <w:r w:rsidRPr="00827639">
        <w:t>Minimālo ienākumu sliekšņu noteikšanas metodoloģija</w:t>
      </w:r>
    </w:p>
    <w:p w14:paraId="7C6956E8" w14:textId="61E706B2" w:rsidR="00F61770" w:rsidRPr="00F61770" w:rsidRDefault="00F91EFF" w:rsidP="00C25BA2">
      <w:pPr>
        <w:spacing w:after="0" w:line="240" w:lineRule="auto"/>
        <w:ind w:firstLine="426"/>
        <w:jc w:val="both"/>
        <w:rPr>
          <w:rFonts w:cs="Times New Roman"/>
          <w:iCs/>
          <w:szCs w:val="24"/>
        </w:rPr>
      </w:pPr>
      <w:r>
        <w:rPr>
          <w:rFonts w:cs="Times New Roman"/>
          <w:iCs/>
          <w:szCs w:val="24"/>
        </w:rPr>
        <w:t>Pēc</w:t>
      </w:r>
      <w:r w:rsidR="00C055AE">
        <w:rPr>
          <w:rFonts w:cs="Times New Roman"/>
          <w:iCs/>
          <w:szCs w:val="24"/>
        </w:rPr>
        <w:t xml:space="preserve"> Satversmes tiesas spriedumiem no 2021.gada 1.janvāra spēkā stājās jaunie minimālo ienākumu sliekšņi </w:t>
      </w:r>
      <w:r w:rsidR="00C055AE">
        <w:rPr>
          <w:rFonts w:eastAsia="Times New Roman" w:cs="Times New Roman"/>
          <w:szCs w:val="24"/>
        </w:rPr>
        <w:t xml:space="preserve">sociālās </w:t>
      </w:r>
      <w:r w:rsidR="004B731F">
        <w:rPr>
          <w:rFonts w:eastAsia="Times New Roman" w:cs="Times New Roman"/>
          <w:szCs w:val="24"/>
        </w:rPr>
        <w:t>aizsardzības</w:t>
      </w:r>
      <w:r w:rsidR="00C055AE">
        <w:rPr>
          <w:rFonts w:eastAsia="Times New Roman" w:cs="Times New Roman"/>
          <w:szCs w:val="24"/>
        </w:rPr>
        <w:t xml:space="preserve"> sistēmas jomās, kur atbalsts tika noteikts diferencēt</w:t>
      </w:r>
      <w:r w:rsidR="00865EB6">
        <w:rPr>
          <w:rFonts w:eastAsia="Times New Roman" w:cs="Times New Roman"/>
          <w:szCs w:val="24"/>
        </w:rPr>
        <w:t>ā apmērā</w:t>
      </w:r>
      <w:r w:rsidR="00C055AE">
        <w:rPr>
          <w:rFonts w:eastAsia="Times New Roman" w:cs="Times New Roman"/>
          <w:szCs w:val="24"/>
        </w:rPr>
        <w:t xml:space="preserve"> </w:t>
      </w:r>
      <w:r w:rsidR="003339E4">
        <w:rPr>
          <w:rFonts w:eastAsia="Times New Roman" w:cs="Times New Roman"/>
          <w:szCs w:val="24"/>
        </w:rPr>
        <w:t>–</w:t>
      </w:r>
      <w:r w:rsidR="00C055AE">
        <w:rPr>
          <w:rFonts w:eastAsia="Times New Roman" w:cs="Times New Roman"/>
          <w:szCs w:val="24"/>
        </w:rPr>
        <w:t xml:space="preserve"> 20%</w:t>
      </w:r>
      <w:r>
        <w:rPr>
          <w:rFonts w:eastAsia="Times New Roman" w:cs="Times New Roman"/>
          <w:szCs w:val="24"/>
        </w:rPr>
        <w:t xml:space="preserve"> līdz </w:t>
      </w:r>
      <w:r w:rsidR="00C055AE">
        <w:rPr>
          <w:rFonts w:eastAsia="Times New Roman" w:cs="Times New Roman"/>
          <w:szCs w:val="24"/>
        </w:rPr>
        <w:t xml:space="preserve">80% </w:t>
      </w:r>
      <w:r w:rsidR="00865EB6">
        <w:rPr>
          <w:rFonts w:eastAsia="Times New Roman" w:cs="Times New Roman"/>
          <w:szCs w:val="24"/>
        </w:rPr>
        <w:t xml:space="preserve">apmērā </w:t>
      </w:r>
      <w:r w:rsidR="00C055AE" w:rsidRPr="00E45D24">
        <w:rPr>
          <w:rFonts w:eastAsia="Times New Roman" w:cs="Times New Roman"/>
          <w:szCs w:val="24"/>
        </w:rPr>
        <w:t>no rīcībā esošo ienākumu mediānas, pārrēķinātas uz ekvivalento patērēt</w:t>
      </w:r>
      <w:r w:rsidR="00C055AE">
        <w:rPr>
          <w:rFonts w:eastAsia="Times New Roman" w:cs="Times New Roman"/>
          <w:szCs w:val="24"/>
        </w:rPr>
        <w:t>āju</w:t>
      </w:r>
      <w:r w:rsidR="00C055AE">
        <w:rPr>
          <w:rFonts w:cs="Times New Roman"/>
          <w:iCs/>
          <w:szCs w:val="24"/>
        </w:rPr>
        <w:t xml:space="preserve"> (skat. 1.tabulu).</w:t>
      </w:r>
      <w:r w:rsidR="00594FE7">
        <w:rPr>
          <w:rFonts w:cs="Times New Roman"/>
          <w:iCs/>
          <w:szCs w:val="24"/>
        </w:rPr>
        <w:t xml:space="preserve"> Tādējādi </w:t>
      </w:r>
      <w:r w:rsidR="00F93942">
        <w:rPr>
          <w:rFonts w:cs="Times New Roman"/>
          <w:iCs/>
          <w:szCs w:val="24"/>
        </w:rPr>
        <w:t xml:space="preserve">saskaņā ar Koncepciju </w:t>
      </w:r>
      <w:r w:rsidR="00594FE7">
        <w:rPr>
          <w:rFonts w:cs="Times New Roman"/>
          <w:iCs/>
          <w:szCs w:val="24"/>
        </w:rPr>
        <w:t xml:space="preserve">minimālā ienākuma līmenis ir noteikts 40% </w:t>
      </w:r>
      <w:r w:rsidR="00594FE7">
        <w:rPr>
          <w:rFonts w:eastAsia="Times New Roman" w:cs="Times New Roman"/>
          <w:szCs w:val="24"/>
        </w:rPr>
        <w:t xml:space="preserve">apmērā </w:t>
      </w:r>
      <w:r w:rsidR="00594FE7" w:rsidRPr="00E45D24">
        <w:rPr>
          <w:rFonts w:eastAsia="Times New Roman" w:cs="Times New Roman"/>
          <w:szCs w:val="24"/>
        </w:rPr>
        <w:t>no rīcībā esošo ienākumu mediānas</w:t>
      </w:r>
      <w:r w:rsidR="00594FE7">
        <w:rPr>
          <w:rFonts w:eastAsia="Times New Roman" w:cs="Times New Roman"/>
          <w:szCs w:val="24"/>
        </w:rPr>
        <w:t xml:space="preserve">, savukārt sociālās </w:t>
      </w:r>
      <w:r w:rsidR="00684498">
        <w:rPr>
          <w:rFonts w:eastAsia="Times New Roman" w:cs="Times New Roman"/>
          <w:szCs w:val="24"/>
        </w:rPr>
        <w:t>aizsardzības</w:t>
      </w:r>
      <w:r w:rsidR="00594FE7">
        <w:rPr>
          <w:rFonts w:eastAsia="Times New Roman" w:cs="Times New Roman"/>
          <w:szCs w:val="24"/>
        </w:rPr>
        <w:t xml:space="preserve"> sistēmas jomās noteikti diferencēti </w:t>
      </w:r>
      <w:r w:rsidR="00594FE7">
        <w:rPr>
          <w:rFonts w:cs="Times New Roman"/>
          <w:iCs/>
          <w:szCs w:val="24"/>
        </w:rPr>
        <w:t>minimālo ienākumu sliekšņi</w:t>
      </w:r>
      <w:r w:rsidR="00D912EC">
        <w:rPr>
          <w:rFonts w:cs="Times New Roman"/>
          <w:iCs/>
          <w:szCs w:val="24"/>
        </w:rPr>
        <w:t>, lai saglabātu līdzsvaru starp personas un sabiedrības vajadzībām</w:t>
      </w:r>
      <w:r w:rsidR="008D2736">
        <w:rPr>
          <w:rFonts w:cs="Times New Roman"/>
          <w:iCs/>
          <w:szCs w:val="24"/>
        </w:rPr>
        <w:t xml:space="preserve"> (par līdzsvaru skat</w:t>
      </w:r>
      <w:r w:rsidR="00BC04E7">
        <w:rPr>
          <w:rFonts w:cs="Times New Roman"/>
          <w:iCs/>
          <w:szCs w:val="24"/>
        </w:rPr>
        <w:t>īt arī sadaļu</w:t>
      </w:r>
      <w:r w:rsidR="008D2736">
        <w:rPr>
          <w:rFonts w:cs="Times New Roman"/>
          <w:iCs/>
          <w:szCs w:val="24"/>
        </w:rPr>
        <w:t xml:space="preserve"> </w:t>
      </w:r>
      <w:r w:rsidR="003F0733">
        <w:rPr>
          <w:rFonts w:cs="Times New Roman"/>
          <w:i/>
          <w:iCs/>
          <w:szCs w:val="24"/>
        </w:rPr>
        <w:t>“</w:t>
      </w:r>
      <w:r w:rsidR="008D2736" w:rsidRPr="003F0733">
        <w:rPr>
          <w:rFonts w:cs="Times New Roman"/>
          <w:i/>
          <w:szCs w:val="24"/>
        </w:rPr>
        <w:t>Minimālo ienākumu sliekšņu pārskatīšanas nosacījumi</w:t>
      </w:r>
      <w:r w:rsidR="00A6145B">
        <w:rPr>
          <w:rFonts w:cs="Times New Roman"/>
          <w:i/>
          <w:szCs w:val="24"/>
        </w:rPr>
        <w:t>”</w:t>
      </w:r>
      <w:r w:rsidR="008D2736">
        <w:rPr>
          <w:rFonts w:cs="Times New Roman"/>
          <w:iCs/>
          <w:szCs w:val="24"/>
        </w:rPr>
        <w:t>)</w:t>
      </w:r>
      <w:r w:rsidR="007207B8">
        <w:rPr>
          <w:rFonts w:cs="Times New Roman"/>
          <w:iCs/>
          <w:szCs w:val="24"/>
        </w:rPr>
        <w:t>.</w:t>
      </w:r>
      <w:r w:rsidR="00CA6B03">
        <w:rPr>
          <w:rFonts w:cs="Times New Roman"/>
          <w:iCs/>
          <w:szCs w:val="24"/>
        </w:rPr>
        <w:t xml:space="preserve"> </w:t>
      </w:r>
    </w:p>
    <w:p w14:paraId="20966171" w14:textId="52E4B306" w:rsidR="00C055AE" w:rsidRDefault="00865EB6" w:rsidP="00865EB6">
      <w:pPr>
        <w:spacing w:after="120" w:line="240" w:lineRule="auto"/>
        <w:ind w:firstLine="426"/>
        <w:jc w:val="both"/>
        <w:rPr>
          <w:rFonts w:cs="Times New Roman"/>
          <w:iCs/>
          <w:szCs w:val="24"/>
        </w:rPr>
      </w:pPr>
      <w:r>
        <w:rPr>
          <w:rFonts w:cs="Times New Roman"/>
          <w:b/>
          <w:iCs/>
          <w:szCs w:val="24"/>
        </w:rPr>
        <w:t>T</w:t>
      </w:r>
      <w:r w:rsidR="006D6F94" w:rsidRPr="006D6F94">
        <w:rPr>
          <w:rFonts w:cs="Times New Roman"/>
          <w:b/>
          <w:iCs/>
          <w:szCs w:val="24"/>
        </w:rPr>
        <w:t xml:space="preserve">omēr attiecīgajos sociālās </w:t>
      </w:r>
      <w:r w:rsidR="00684498">
        <w:rPr>
          <w:rFonts w:cs="Times New Roman"/>
          <w:b/>
          <w:iCs/>
          <w:szCs w:val="24"/>
        </w:rPr>
        <w:t>aizsardzības</w:t>
      </w:r>
      <w:r w:rsidR="006D6F94" w:rsidRPr="006D6F94">
        <w:rPr>
          <w:rFonts w:cs="Times New Roman"/>
          <w:b/>
          <w:iCs/>
          <w:szCs w:val="24"/>
        </w:rPr>
        <w:t xml:space="preserve"> jomu regulējošos likumos tika noteikta nevis </w:t>
      </w:r>
      <w:r w:rsidR="00F61770">
        <w:rPr>
          <w:rFonts w:cs="Times New Roman"/>
          <w:b/>
          <w:iCs/>
          <w:szCs w:val="24"/>
        </w:rPr>
        <w:t xml:space="preserve">minimālo ienākumu sliekšņu </w:t>
      </w:r>
      <w:r w:rsidR="000112C2">
        <w:rPr>
          <w:rFonts w:cs="Times New Roman"/>
          <w:b/>
          <w:iCs/>
          <w:szCs w:val="24"/>
        </w:rPr>
        <w:t xml:space="preserve">aprēķināšanas </w:t>
      </w:r>
      <w:r w:rsidR="00146EF1">
        <w:rPr>
          <w:rFonts w:cs="Times New Roman"/>
          <w:b/>
          <w:iCs/>
          <w:szCs w:val="24"/>
        </w:rPr>
        <w:t>metode</w:t>
      </w:r>
      <w:r w:rsidR="006D6F94" w:rsidRPr="006D6F94">
        <w:rPr>
          <w:rFonts w:cs="Times New Roman"/>
          <w:b/>
          <w:iCs/>
          <w:szCs w:val="24"/>
        </w:rPr>
        <w:t xml:space="preserve">, bet </w:t>
      </w:r>
      <w:r w:rsidR="006D6F94">
        <w:rPr>
          <w:rFonts w:cs="Times New Roman"/>
          <w:b/>
          <w:iCs/>
          <w:szCs w:val="24"/>
        </w:rPr>
        <w:t>apmēri</w:t>
      </w:r>
      <w:r w:rsidR="00BC04E7">
        <w:rPr>
          <w:rFonts w:cs="Times New Roman"/>
          <w:b/>
          <w:iCs/>
          <w:szCs w:val="24"/>
        </w:rPr>
        <w:t xml:space="preserve"> absolūtā izteiksmē</w:t>
      </w:r>
      <w:r w:rsidR="006D6F94">
        <w:rPr>
          <w:rFonts w:cs="Times New Roman"/>
          <w:b/>
          <w:iCs/>
          <w:szCs w:val="24"/>
        </w:rPr>
        <w:t>, kuri</w:t>
      </w:r>
      <w:r w:rsidR="006D6F94" w:rsidRPr="006D6F94">
        <w:rPr>
          <w:rFonts w:cs="Times New Roman"/>
          <w:b/>
          <w:iCs/>
          <w:szCs w:val="24"/>
        </w:rPr>
        <w:t xml:space="preserve"> izriet no </w:t>
      </w:r>
      <w:r w:rsidR="00F61770">
        <w:rPr>
          <w:rFonts w:cs="Times New Roman"/>
          <w:b/>
          <w:iCs/>
          <w:szCs w:val="24"/>
        </w:rPr>
        <w:t xml:space="preserve">šīs </w:t>
      </w:r>
      <w:r w:rsidR="00146EF1">
        <w:rPr>
          <w:rFonts w:cs="Times New Roman"/>
          <w:b/>
          <w:iCs/>
          <w:szCs w:val="24"/>
        </w:rPr>
        <w:t>metodes</w:t>
      </w:r>
      <w:r w:rsidR="006D6F94" w:rsidRPr="006D6F94">
        <w:rPr>
          <w:rFonts w:cs="Times New Roman"/>
          <w:b/>
          <w:iCs/>
          <w:szCs w:val="24"/>
        </w:rPr>
        <w:t xml:space="preserve">, </w:t>
      </w:r>
      <w:r w:rsidR="00146EF1">
        <w:rPr>
          <w:rFonts w:cs="Times New Roman"/>
          <w:b/>
          <w:iCs/>
          <w:szCs w:val="24"/>
        </w:rPr>
        <w:t>to</w:t>
      </w:r>
      <w:r w:rsidR="006D6F94" w:rsidRPr="006D6F94">
        <w:rPr>
          <w:rFonts w:cs="Times New Roman"/>
          <w:b/>
          <w:iCs/>
          <w:szCs w:val="24"/>
        </w:rPr>
        <w:t xml:space="preserve"> aprakstot tikai attiecīgā normatīvā akta</w:t>
      </w:r>
      <w:r w:rsidR="006F3C02">
        <w:rPr>
          <w:rFonts w:cs="Times New Roman"/>
          <w:b/>
          <w:iCs/>
          <w:szCs w:val="24"/>
        </w:rPr>
        <w:t xml:space="preserve"> projekta </w:t>
      </w:r>
      <w:r w:rsidR="006D6F94" w:rsidRPr="006D6F94">
        <w:rPr>
          <w:rFonts w:cs="Times New Roman"/>
          <w:b/>
          <w:iCs/>
          <w:szCs w:val="24"/>
        </w:rPr>
        <w:t>anotācijā</w:t>
      </w:r>
      <w:r w:rsidR="00C32FF7">
        <w:rPr>
          <w:rFonts w:cs="Times New Roman"/>
          <w:b/>
          <w:iCs/>
          <w:szCs w:val="24"/>
        </w:rPr>
        <w:t xml:space="preserve"> </w:t>
      </w:r>
      <w:r w:rsidR="00C32FF7" w:rsidRPr="00C32FF7">
        <w:rPr>
          <w:rFonts w:cs="Times New Roman"/>
          <w:iCs/>
          <w:szCs w:val="24"/>
        </w:rPr>
        <w:t>(skat. 1.tab</w:t>
      </w:r>
      <w:r w:rsidR="00E33243">
        <w:rPr>
          <w:rFonts w:cs="Times New Roman"/>
          <w:iCs/>
          <w:szCs w:val="24"/>
        </w:rPr>
        <w:t>u</w:t>
      </w:r>
      <w:r w:rsidR="00C32FF7" w:rsidRPr="00C32FF7">
        <w:rPr>
          <w:rFonts w:cs="Times New Roman"/>
          <w:iCs/>
          <w:szCs w:val="24"/>
        </w:rPr>
        <w:t>lu)</w:t>
      </w:r>
      <w:r w:rsidR="006D6F94" w:rsidRPr="00C32FF7">
        <w:rPr>
          <w:rFonts w:cs="Times New Roman"/>
          <w:iCs/>
          <w:szCs w:val="24"/>
        </w:rPr>
        <w:t>.</w:t>
      </w:r>
      <w:r w:rsidR="006D6F94">
        <w:rPr>
          <w:rFonts w:cs="Times New Roman"/>
          <w:iCs/>
          <w:szCs w:val="24"/>
        </w:rPr>
        <w:t xml:space="preserve"> </w:t>
      </w:r>
    </w:p>
    <w:p w14:paraId="11F40D65" w14:textId="08FD11AD" w:rsidR="006B7E36" w:rsidRDefault="006B7E36" w:rsidP="00E95CA1">
      <w:pPr>
        <w:spacing w:after="0" w:line="240" w:lineRule="auto"/>
        <w:jc w:val="both"/>
        <w:rPr>
          <w:rFonts w:cs="Times New Roman"/>
          <w:i/>
          <w:szCs w:val="24"/>
        </w:rPr>
      </w:pPr>
      <w:r w:rsidRPr="00E95CA1">
        <w:rPr>
          <w:rFonts w:cs="Times New Roman"/>
          <w:i/>
          <w:szCs w:val="24"/>
        </w:rPr>
        <w:t>1.tabula</w:t>
      </w:r>
      <w:r w:rsidR="00662709" w:rsidRPr="00E95CA1">
        <w:rPr>
          <w:rFonts w:cs="Times New Roman"/>
          <w:i/>
          <w:szCs w:val="24"/>
        </w:rPr>
        <w:t>.</w:t>
      </w:r>
      <w:r w:rsidRPr="00E95CA1">
        <w:rPr>
          <w:rFonts w:cs="Times New Roman"/>
          <w:i/>
          <w:szCs w:val="24"/>
        </w:rPr>
        <w:t xml:space="preserve"> Satversmes tiesas spriedumu rezultātā veiktie grozījumi tiesību aktos, nosakot minimālos ienākumu sliekšņus</w:t>
      </w:r>
      <w:r w:rsidR="000112C2" w:rsidRPr="00E95CA1">
        <w:rPr>
          <w:rFonts w:cs="Times New Roman"/>
          <w:i/>
          <w:szCs w:val="24"/>
        </w:rPr>
        <w:t>, kuri ir spēkā no 2021.gada 1.janvāra</w:t>
      </w:r>
      <w:r w:rsidRPr="00E95CA1">
        <w:rPr>
          <w:rFonts w:cs="Times New Roman"/>
          <w:i/>
          <w:szCs w:val="24"/>
        </w:rPr>
        <w:t>.</w:t>
      </w:r>
    </w:p>
    <w:p w14:paraId="20C12DA1" w14:textId="77777777" w:rsidR="00E95CA1" w:rsidRPr="00E95CA1" w:rsidRDefault="00E95CA1" w:rsidP="00E95CA1">
      <w:pPr>
        <w:spacing w:after="0" w:line="240" w:lineRule="auto"/>
        <w:jc w:val="both"/>
        <w:rPr>
          <w:rFonts w:cs="Times New Roman"/>
          <w:i/>
          <w:szCs w:val="24"/>
        </w:rPr>
      </w:pPr>
    </w:p>
    <w:tbl>
      <w:tblPr>
        <w:tblStyle w:val="TableGrid"/>
        <w:tblW w:w="9634" w:type="dxa"/>
        <w:tblLayout w:type="fixed"/>
        <w:tblLook w:val="04A0" w:firstRow="1" w:lastRow="0" w:firstColumn="1" w:lastColumn="0" w:noHBand="0" w:noVBand="1"/>
      </w:tblPr>
      <w:tblGrid>
        <w:gridCol w:w="1413"/>
        <w:gridCol w:w="1701"/>
        <w:gridCol w:w="6520"/>
      </w:tblGrid>
      <w:tr w:rsidR="006B7E36" w:rsidRPr="00A144FF" w14:paraId="3B6C5837" w14:textId="77777777" w:rsidTr="004C4D2F">
        <w:tc>
          <w:tcPr>
            <w:tcW w:w="1413" w:type="dxa"/>
          </w:tcPr>
          <w:p w14:paraId="5AB2A425" w14:textId="77777777" w:rsidR="006B7E36" w:rsidRPr="00A144FF" w:rsidRDefault="006B7E36" w:rsidP="00AD6E16">
            <w:pPr>
              <w:spacing w:after="0" w:line="240" w:lineRule="auto"/>
              <w:rPr>
                <w:rFonts w:cs="Times New Roman"/>
                <w:szCs w:val="24"/>
              </w:rPr>
            </w:pPr>
          </w:p>
        </w:tc>
        <w:tc>
          <w:tcPr>
            <w:tcW w:w="1701" w:type="dxa"/>
            <w:vAlign w:val="center"/>
          </w:tcPr>
          <w:p w14:paraId="12501216" w14:textId="11A88145" w:rsidR="006B7E36" w:rsidRPr="001410F5" w:rsidRDefault="006B7E36" w:rsidP="00AD6E16">
            <w:pPr>
              <w:spacing w:after="0" w:line="240" w:lineRule="auto"/>
              <w:jc w:val="center"/>
              <w:rPr>
                <w:rFonts w:cs="Times New Roman"/>
                <w:b/>
                <w:szCs w:val="24"/>
              </w:rPr>
            </w:pPr>
            <w:r w:rsidRPr="001410F5">
              <w:rPr>
                <w:rFonts w:cs="Times New Roman"/>
                <w:b/>
                <w:szCs w:val="24"/>
              </w:rPr>
              <w:t>Tiesību akta nosaukums</w:t>
            </w:r>
          </w:p>
        </w:tc>
        <w:tc>
          <w:tcPr>
            <w:tcW w:w="6520" w:type="dxa"/>
            <w:vAlign w:val="center"/>
          </w:tcPr>
          <w:p w14:paraId="24D28606" w14:textId="716CA4E2" w:rsidR="006B7E36" w:rsidRPr="001410F5" w:rsidRDefault="006B7E36" w:rsidP="00AD6E16">
            <w:pPr>
              <w:spacing w:after="0" w:line="240" w:lineRule="auto"/>
              <w:jc w:val="center"/>
              <w:rPr>
                <w:rFonts w:cs="Times New Roman"/>
                <w:b/>
                <w:szCs w:val="24"/>
              </w:rPr>
            </w:pPr>
            <w:r w:rsidRPr="001410F5">
              <w:rPr>
                <w:rFonts w:cs="Times New Roman"/>
                <w:b/>
                <w:szCs w:val="24"/>
              </w:rPr>
              <w:t>Ar minimālo ienākumu slieksni saistītā</w:t>
            </w:r>
            <w:r w:rsidR="001410F5" w:rsidRPr="001410F5">
              <w:rPr>
                <w:rFonts w:cs="Times New Roman"/>
                <w:b/>
                <w:szCs w:val="24"/>
              </w:rPr>
              <w:t xml:space="preserve"> likuma redakcija</w:t>
            </w:r>
          </w:p>
        </w:tc>
      </w:tr>
      <w:tr w:rsidR="00B1239C" w:rsidRPr="00A144FF" w14:paraId="2C7A0E11" w14:textId="77777777" w:rsidTr="00B1239C">
        <w:tc>
          <w:tcPr>
            <w:tcW w:w="1413" w:type="dxa"/>
            <w:vMerge w:val="restart"/>
            <w:vAlign w:val="center"/>
          </w:tcPr>
          <w:p w14:paraId="46810D1F" w14:textId="4D1F8D91" w:rsidR="00B1239C" w:rsidRPr="00A144FF" w:rsidRDefault="00B1239C" w:rsidP="00AD6E16">
            <w:pPr>
              <w:spacing w:after="0" w:line="240" w:lineRule="auto"/>
              <w:jc w:val="center"/>
              <w:rPr>
                <w:rFonts w:cs="Times New Roman"/>
                <w:szCs w:val="24"/>
              </w:rPr>
            </w:pPr>
            <w:r>
              <w:rPr>
                <w:rFonts w:cs="Times New Roman"/>
                <w:szCs w:val="24"/>
              </w:rPr>
              <w:t>Minimālo ienākumu sliekšņi</w:t>
            </w:r>
          </w:p>
        </w:tc>
        <w:tc>
          <w:tcPr>
            <w:tcW w:w="1701" w:type="dxa"/>
            <w:vAlign w:val="center"/>
          </w:tcPr>
          <w:p w14:paraId="5FE1419D" w14:textId="77777777" w:rsidR="00B1239C" w:rsidRPr="00A144FF" w:rsidRDefault="00B1239C" w:rsidP="00AD6E16">
            <w:pPr>
              <w:spacing w:after="0" w:line="240" w:lineRule="auto"/>
              <w:jc w:val="center"/>
              <w:rPr>
                <w:rFonts w:cs="Times New Roman"/>
                <w:szCs w:val="24"/>
              </w:rPr>
            </w:pPr>
            <w:r w:rsidRPr="00A144FF">
              <w:rPr>
                <w:rFonts w:cs="Times New Roman"/>
                <w:szCs w:val="24"/>
              </w:rPr>
              <w:t>Likums “Par sociālo drošību”</w:t>
            </w:r>
          </w:p>
        </w:tc>
        <w:tc>
          <w:tcPr>
            <w:tcW w:w="6520" w:type="dxa"/>
          </w:tcPr>
          <w:p w14:paraId="5F9F1EB1" w14:textId="77777777" w:rsidR="00B1239C" w:rsidRPr="00A144FF" w:rsidRDefault="00B1239C" w:rsidP="00AD6E16">
            <w:pPr>
              <w:pStyle w:val="tv213"/>
              <w:shd w:val="clear" w:color="auto" w:fill="FFFFFF"/>
              <w:spacing w:before="0" w:beforeAutospacing="0" w:after="0" w:afterAutospacing="0"/>
              <w:ind w:firstLine="300"/>
              <w:jc w:val="both"/>
            </w:pPr>
            <w:r w:rsidRPr="00A144FF">
              <w:rPr>
                <w:b/>
                <w:bCs/>
              </w:rPr>
              <w:t>2.</w:t>
            </w:r>
            <w:r w:rsidRPr="00A144FF">
              <w:rPr>
                <w:b/>
                <w:bCs/>
                <w:vertAlign w:val="superscript"/>
              </w:rPr>
              <w:t>2</w:t>
            </w:r>
            <w:r w:rsidRPr="00A144FF">
              <w:rPr>
                <w:b/>
                <w:bCs/>
              </w:rPr>
              <w:t> pants. Minimālo ienākumu sliekšņi</w:t>
            </w:r>
          </w:p>
          <w:p w14:paraId="76695366" w14:textId="32045792" w:rsidR="00B1239C" w:rsidRPr="00A144FF" w:rsidRDefault="00B1239C" w:rsidP="00AD6E16">
            <w:pPr>
              <w:pStyle w:val="tv213"/>
              <w:shd w:val="clear" w:color="auto" w:fill="FFFFFF"/>
              <w:spacing w:before="0" w:beforeAutospacing="0" w:after="0" w:afterAutospacing="0"/>
              <w:ind w:firstLine="300"/>
              <w:jc w:val="both"/>
            </w:pPr>
            <w:r w:rsidRPr="00A144FF">
              <w:t>(1) Minimālo ienākumu sliekšņi ir atsevišķai personai vai vienas personas mājsaimniecībā dzīvojošai personai sniegtā atbalsta apmērs sociālās aizsardzības jomā (noapaļots līdz pilniem</w:t>
            </w:r>
            <w:r w:rsidR="00BC04E7">
              <w:t xml:space="preserve"> </w:t>
            </w:r>
            <w:r w:rsidRPr="00A144FF">
              <w:rPr>
                <w:i/>
                <w:iCs/>
              </w:rPr>
              <w:t>euro</w:t>
            </w:r>
            <w:r w:rsidRPr="00A144FF">
              <w:t>). Minimālo ienākumu sliekšņu apmērus noteic attiecīgus sociālos pakalpojumus reglamentējošos normatīvajos aktos, nosakot šo sliekšņu piemērošanas kritērijus, pakalpojumu piešķiršanas un izmaksas kārtību.</w:t>
            </w:r>
          </w:p>
          <w:p w14:paraId="41B16DDC" w14:textId="77777777" w:rsidR="00B1239C" w:rsidRPr="00A144FF" w:rsidRDefault="00B1239C" w:rsidP="00AD6E16">
            <w:pPr>
              <w:pStyle w:val="tv213"/>
              <w:shd w:val="clear" w:color="auto" w:fill="FFFFFF"/>
              <w:spacing w:before="0" w:beforeAutospacing="0" w:after="0" w:afterAutospacing="0"/>
              <w:ind w:firstLine="300"/>
              <w:jc w:val="both"/>
            </w:pPr>
            <w:r w:rsidRPr="00A144FF">
              <w:t>(2) Minimālo ienākumu slieksnis nav zemāks par 109 </w:t>
            </w:r>
            <w:r w:rsidRPr="00A144FF">
              <w:rPr>
                <w:i/>
                <w:iCs/>
              </w:rPr>
              <w:t>euro</w:t>
            </w:r>
            <w:r w:rsidRPr="00A144FF">
              <w:t>.</w:t>
            </w:r>
          </w:p>
          <w:p w14:paraId="4ED069DC" w14:textId="77777777" w:rsidR="00B1239C" w:rsidRPr="00A144FF" w:rsidRDefault="00B1239C" w:rsidP="00AD6E16">
            <w:pPr>
              <w:pStyle w:val="tv213"/>
              <w:shd w:val="clear" w:color="auto" w:fill="FFFFFF"/>
              <w:spacing w:before="0" w:beforeAutospacing="0" w:after="0" w:afterAutospacing="0"/>
              <w:ind w:firstLine="300"/>
              <w:jc w:val="both"/>
            </w:pPr>
            <w:r w:rsidRPr="00A144FF">
              <w:t>(3) Minimālo ienākumu sliekšņus pārskata vienlaikus ne retāk kā reizi trijos gados.</w:t>
            </w:r>
          </w:p>
        </w:tc>
      </w:tr>
      <w:tr w:rsidR="00B1239C" w:rsidRPr="00A144FF" w14:paraId="61D228BE" w14:textId="77777777" w:rsidTr="00B1239C">
        <w:tc>
          <w:tcPr>
            <w:tcW w:w="1413" w:type="dxa"/>
            <w:vMerge/>
          </w:tcPr>
          <w:p w14:paraId="59C7726F" w14:textId="77777777" w:rsidR="00B1239C" w:rsidRDefault="00B1239C" w:rsidP="00AD6E16">
            <w:pPr>
              <w:spacing w:after="0" w:line="240" w:lineRule="auto"/>
              <w:rPr>
                <w:rFonts w:cs="Times New Roman"/>
                <w:szCs w:val="24"/>
              </w:rPr>
            </w:pPr>
          </w:p>
        </w:tc>
        <w:tc>
          <w:tcPr>
            <w:tcW w:w="1701" w:type="dxa"/>
            <w:vAlign w:val="center"/>
          </w:tcPr>
          <w:p w14:paraId="537DEB08" w14:textId="6D260572" w:rsidR="00B1239C" w:rsidRPr="00A144FF" w:rsidRDefault="00B1239C" w:rsidP="00AD6E16">
            <w:pPr>
              <w:spacing w:after="0" w:line="240" w:lineRule="auto"/>
              <w:jc w:val="center"/>
              <w:rPr>
                <w:rFonts w:cs="Times New Roman"/>
                <w:szCs w:val="24"/>
              </w:rPr>
            </w:pPr>
            <w:r>
              <w:rPr>
                <w:rFonts w:cs="Times New Roman"/>
                <w:szCs w:val="24"/>
              </w:rPr>
              <w:t>Anotācija</w:t>
            </w:r>
            <w:r>
              <w:rPr>
                <w:rStyle w:val="FootnoteReference"/>
                <w:szCs w:val="24"/>
              </w:rPr>
              <w:footnoteReference w:id="11"/>
            </w:r>
          </w:p>
        </w:tc>
        <w:tc>
          <w:tcPr>
            <w:tcW w:w="6520" w:type="dxa"/>
          </w:tcPr>
          <w:p w14:paraId="20AE8287" w14:textId="4FF384C5" w:rsidR="00B1239C" w:rsidRPr="008278E9" w:rsidRDefault="00B1239C" w:rsidP="00AD6E16">
            <w:pPr>
              <w:pStyle w:val="tv213"/>
              <w:shd w:val="clear" w:color="auto" w:fill="FFFFFF"/>
              <w:spacing w:before="0" w:beforeAutospacing="0" w:after="0" w:afterAutospacing="0"/>
              <w:jc w:val="both"/>
              <w:rPr>
                <w:bCs/>
              </w:rPr>
            </w:pPr>
            <w:r w:rsidRPr="008278E9">
              <w:rPr>
                <w:bCs/>
              </w:rPr>
              <w:t>Noteikt minimālo ienākumu sliekšņu zemāko iespējamo  apmēru, tādējādi paredzot, ka šā Likuma panta ietvaros  noteikto minimālo ienākumu sliekšņu apmērs nedrīkst būt  zemāks par 109 euro, kas atbilstoši relatīvajai metodei ir 20% no aktuālās (2018.gada) ienākumu mediānas</w:t>
            </w:r>
            <w:r>
              <w:rPr>
                <w:bCs/>
              </w:rPr>
              <w:t>.</w:t>
            </w:r>
          </w:p>
        </w:tc>
      </w:tr>
      <w:tr w:rsidR="00B1239C" w:rsidRPr="00A144FF" w14:paraId="4B41E36F" w14:textId="77777777" w:rsidTr="00B1239C">
        <w:tc>
          <w:tcPr>
            <w:tcW w:w="1413" w:type="dxa"/>
            <w:vMerge w:val="restart"/>
            <w:vAlign w:val="center"/>
          </w:tcPr>
          <w:p w14:paraId="617A604A" w14:textId="53D112F0" w:rsidR="00B1239C" w:rsidRPr="00A144FF" w:rsidRDefault="00B1239C" w:rsidP="00AD6E16">
            <w:pPr>
              <w:spacing w:after="0" w:line="240" w:lineRule="auto"/>
              <w:jc w:val="center"/>
              <w:rPr>
                <w:rFonts w:cs="Times New Roman"/>
                <w:szCs w:val="24"/>
              </w:rPr>
            </w:pPr>
            <w:r w:rsidRPr="00A144FF">
              <w:rPr>
                <w:rFonts w:cs="Times New Roman"/>
                <w:szCs w:val="24"/>
              </w:rPr>
              <w:t>Minimālā vecuma pensija</w:t>
            </w:r>
          </w:p>
        </w:tc>
        <w:tc>
          <w:tcPr>
            <w:tcW w:w="1701" w:type="dxa"/>
            <w:vAlign w:val="center"/>
          </w:tcPr>
          <w:p w14:paraId="2ECCE6FA" w14:textId="77777777" w:rsidR="00B1239C" w:rsidRPr="00A144FF" w:rsidRDefault="00B1239C" w:rsidP="00AD6E16">
            <w:pPr>
              <w:spacing w:after="0" w:line="240" w:lineRule="auto"/>
              <w:jc w:val="center"/>
              <w:rPr>
                <w:rFonts w:cs="Times New Roman"/>
                <w:szCs w:val="24"/>
              </w:rPr>
            </w:pPr>
            <w:r w:rsidRPr="00A144FF">
              <w:rPr>
                <w:rFonts w:cs="Times New Roman"/>
                <w:szCs w:val="24"/>
              </w:rPr>
              <w:t>Likums “Par valsts pensijām”</w:t>
            </w:r>
          </w:p>
        </w:tc>
        <w:tc>
          <w:tcPr>
            <w:tcW w:w="6520" w:type="dxa"/>
          </w:tcPr>
          <w:p w14:paraId="05C5D479" w14:textId="77777777" w:rsidR="00B1239C" w:rsidRPr="00A144FF" w:rsidRDefault="00B1239C" w:rsidP="00AD6E16">
            <w:pPr>
              <w:pStyle w:val="tv213"/>
              <w:shd w:val="clear" w:color="auto" w:fill="FFFFFF"/>
              <w:spacing w:before="0" w:beforeAutospacing="0" w:after="0" w:afterAutospacing="0"/>
              <w:ind w:firstLine="300"/>
              <w:jc w:val="both"/>
            </w:pPr>
            <w:r w:rsidRPr="00A144FF">
              <w:t>(2</w:t>
            </w:r>
            <w:r w:rsidRPr="00A144FF">
              <w:rPr>
                <w:vertAlign w:val="superscript"/>
              </w:rPr>
              <w:t>1</w:t>
            </w:r>
            <w:r w:rsidRPr="00A144FF">
              <w:t>) Minimālās vecuma pensijas aprēķina bāze ir 136 </w:t>
            </w:r>
            <w:r w:rsidRPr="00A144FF">
              <w:rPr>
                <w:i/>
                <w:iCs/>
              </w:rPr>
              <w:t>euro</w:t>
            </w:r>
            <w:r w:rsidRPr="00A144FF">
              <w:t>, personām ar invaliditāti kopš bērnības — 163 </w:t>
            </w:r>
            <w:r w:rsidRPr="00A144FF">
              <w:rPr>
                <w:i/>
                <w:iCs/>
              </w:rPr>
              <w:t>euro</w:t>
            </w:r>
            <w:r w:rsidRPr="00A144FF">
              <w:t>. Minimālās vecuma pensijas apmēru nosaka, minimālās vecuma pensijas aprēķina bāzei piemērojot koeficientu 1,1 un par katru nākamo gadu, kas pārsniedz šajā likumā noteikto vecuma pensijas piešķiršanai nepieciešamo apdrošināšanas stāžu, apmēru palielinot par diviem procentiem no minimālās vecuma pensijas aprēķina bāzes. Mainoties vecuma pensijas piešķiršanai nepieciešamā apdrošināšanas stāža lielumam, minimālās vecuma pensijas apmērs nedrīkst būt mazāks par iepriekš noteikto minimālās vecuma pensijas apmēru atbilstoši konkrētajam apdrošināšanas stāžam.</w:t>
            </w:r>
          </w:p>
          <w:p w14:paraId="1174DCA8" w14:textId="77777777" w:rsidR="00B1239C" w:rsidRPr="00A144FF" w:rsidRDefault="00B1239C" w:rsidP="00AD6E16">
            <w:pPr>
              <w:pStyle w:val="tv213"/>
              <w:shd w:val="clear" w:color="auto" w:fill="FFFFFF"/>
              <w:spacing w:before="0" w:beforeAutospacing="0" w:after="0" w:afterAutospacing="0"/>
              <w:ind w:firstLine="300"/>
              <w:jc w:val="both"/>
            </w:pPr>
            <w:r w:rsidRPr="00A144FF">
              <w:t>(2</w:t>
            </w:r>
            <w:r w:rsidRPr="00A144FF">
              <w:rPr>
                <w:vertAlign w:val="superscript"/>
              </w:rPr>
              <w:t>2</w:t>
            </w:r>
            <w:r w:rsidRPr="00A144FF">
              <w:t>) Minimālās vecuma pensijas apmēru nosaka pensijas piešķiršanas (pārrēķināšanas) dienā, kā arī pārskatot minimālās vecuma pensijas aprēķina bāzi. Minimālās vecuma pensijas aprēķina bāzi pārskata atbilstoši likumā "</w:t>
            </w:r>
            <w:hyperlink r:id="rId8" w:tgtFrame="_blank" w:history="1">
              <w:r w:rsidRPr="00A144FF">
                <w:rPr>
                  <w:rStyle w:val="Hyperlink"/>
                </w:rPr>
                <w:t>Par sociālo drošību</w:t>
              </w:r>
            </w:hyperlink>
            <w:r w:rsidRPr="00A144FF">
              <w:t>" noteiktajai minimālo ienākumu sliekšņu pārskatīšanas kārtībai.</w:t>
            </w:r>
          </w:p>
        </w:tc>
      </w:tr>
      <w:tr w:rsidR="00B1239C" w:rsidRPr="00A144FF" w14:paraId="521F302B" w14:textId="77777777" w:rsidTr="00B1239C">
        <w:tc>
          <w:tcPr>
            <w:tcW w:w="1413" w:type="dxa"/>
            <w:vMerge/>
          </w:tcPr>
          <w:p w14:paraId="6C653B18" w14:textId="77777777" w:rsidR="00B1239C" w:rsidRPr="00A144FF" w:rsidRDefault="00B1239C" w:rsidP="00AD6E16">
            <w:pPr>
              <w:spacing w:after="0" w:line="240" w:lineRule="auto"/>
              <w:rPr>
                <w:rFonts w:cs="Times New Roman"/>
                <w:szCs w:val="24"/>
              </w:rPr>
            </w:pPr>
          </w:p>
        </w:tc>
        <w:tc>
          <w:tcPr>
            <w:tcW w:w="1701" w:type="dxa"/>
            <w:vAlign w:val="center"/>
          </w:tcPr>
          <w:p w14:paraId="02990886" w14:textId="66ABE651" w:rsidR="00B1239C" w:rsidRPr="00A144FF" w:rsidRDefault="00B1239C" w:rsidP="00AD6E16">
            <w:pPr>
              <w:spacing w:after="0" w:line="240" w:lineRule="auto"/>
              <w:jc w:val="center"/>
              <w:rPr>
                <w:rFonts w:cs="Times New Roman"/>
                <w:szCs w:val="24"/>
              </w:rPr>
            </w:pPr>
            <w:r>
              <w:rPr>
                <w:rFonts w:cs="Times New Roman"/>
                <w:szCs w:val="24"/>
              </w:rPr>
              <w:t>Anotācija</w:t>
            </w:r>
            <w:r>
              <w:rPr>
                <w:rStyle w:val="FootnoteReference"/>
                <w:szCs w:val="24"/>
              </w:rPr>
              <w:footnoteReference w:id="12"/>
            </w:r>
          </w:p>
        </w:tc>
        <w:tc>
          <w:tcPr>
            <w:tcW w:w="6520" w:type="dxa"/>
          </w:tcPr>
          <w:p w14:paraId="0F66FA6C" w14:textId="4CBC99B8" w:rsidR="00B1239C" w:rsidRDefault="00B1239C" w:rsidP="00AD6E16">
            <w:pPr>
              <w:pStyle w:val="tv213"/>
              <w:shd w:val="clear" w:color="auto" w:fill="FFFFFF"/>
              <w:spacing w:before="0" w:beforeAutospacing="0" w:after="0" w:afterAutospacing="0"/>
              <w:jc w:val="both"/>
            </w:pPr>
            <w:r w:rsidRPr="00530E9E">
              <w:t>Ņemot vērā Satversmes tiesas spriedumus, kā arī Satversmes tiesā tiesvedībā esošās lietas, plānots palielināt valsts sociālā nodrošinājuma pabalsta apmēru, kā arī palielināt minimālās pensijas un atlīdzības apmērus, tā</w:t>
            </w:r>
            <w:r>
              <w:t xml:space="preserve"> </w:t>
            </w:r>
            <w:r w:rsidRPr="00530E9E">
              <w:t>nostiprinot likumprojektā  “Grozījumi likumā “Par sociālo drošību””</w:t>
            </w:r>
            <w:r>
              <w:t xml:space="preserve"> </w:t>
            </w:r>
            <w:r w:rsidRPr="00530E9E">
              <w:t>noteikto</w:t>
            </w:r>
            <w:r>
              <w:t xml:space="preserve"> </w:t>
            </w:r>
            <w:r w:rsidRPr="00530E9E">
              <w:t>pieeju minimālo ienākumu sliekšņu noteikšanā. Proti, ņemot vērā, ka atbilstoši likumprojekta</w:t>
            </w:r>
            <w:r>
              <w:t xml:space="preserve"> </w:t>
            </w:r>
            <w:r w:rsidRPr="00530E9E">
              <w:t>“Grozījumi likumā “Par sociālo drošību””</w:t>
            </w:r>
            <w:r>
              <w:t xml:space="preserve"> </w:t>
            </w:r>
            <w:r w:rsidRPr="00530E9E">
              <w:t>izpratnē</w:t>
            </w:r>
            <w:r>
              <w:t xml:space="preserve"> </w:t>
            </w:r>
            <w:r w:rsidRPr="00530E9E">
              <w:t>pensijas</w:t>
            </w:r>
            <w:r>
              <w:t xml:space="preserve"> </w:t>
            </w:r>
            <w:r w:rsidRPr="00530E9E">
              <w:t>ir viens no minimālo ienākumu sliekšņiem, atbilstoši tā anotācijai, tā apmērs tiek noteikts, ņemot vērā 25%  vai 30%, kas</w:t>
            </w:r>
            <w:r>
              <w:t xml:space="preserve"> </w:t>
            </w:r>
            <w:r w:rsidRPr="00530E9E">
              <w:t xml:space="preserve">noapaļoti līdz veseliem </w:t>
            </w:r>
            <w:r w:rsidRPr="009F4120">
              <w:rPr>
                <w:i/>
              </w:rPr>
              <w:t>euro</w:t>
            </w:r>
            <w:r w:rsidRPr="00530E9E">
              <w:t>, no Centrālās statistikas pārvaldes tīmekļa vietnē pārskata gadā publicētās ienākumu mediānas.</w:t>
            </w:r>
          </w:p>
          <w:p w14:paraId="43E8B972" w14:textId="520A93F5" w:rsidR="00B1239C" w:rsidRPr="00A144FF" w:rsidRDefault="00B1239C" w:rsidP="00AD6E16">
            <w:pPr>
              <w:spacing w:after="0" w:line="240" w:lineRule="auto"/>
              <w:jc w:val="both"/>
            </w:pPr>
            <w:r w:rsidRPr="00EE07FD">
              <w:rPr>
                <w:rFonts w:eastAsia="Times New Roman" w:cs="Times New Roman"/>
                <w:szCs w:val="24"/>
                <w:lang w:eastAsia="lv-LV"/>
              </w:rPr>
              <w:t>Likumprojekts paredz:</w:t>
            </w:r>
            <w:r>
              <w:rPr>
                <w:rFonts w:eastAsia="Times New Roman" w:cs="Times New Roman"/>
                <w:szCs w:val="24"/>
                <w:lang w:eastAsia="lv-LV"/>
              </w:rPr>
              <w:t xml:space="preserve"> </w:t>
            </w:r>
            <w:r w:rsidRPr="00EE07FD">
              <w:rPr>
                <w:rFonts w:eastAsia="Times New Roman" w:cs="Times New Roman"/>
                <w:szCs w:val="24"/>
                <w:lang w:eastAsia="lv-LV"/>
              </w:rPr>
              <w:t>minimālās vecuma pensijas</w:t>
            </w:r>
            <w:r>
              <w:rPr>
                <w:rFonts w:eastAsia="Times New Roman" w:cs="Times New Roman"/>
                <w:szCs w:val="24"/>
                <w:lang w:eastAsia="lv-LV"/>
              </w:rPr>
              <w:t xml:space="preserve"> </w:t>
            </w:r>
            <w:r w:rsidRPr="00EE07FD">
              <w:rPr>
                <w:rFonts w:eastAsia="Times New Roman" w:cs="Times New Roman"/>
                <w:szCs w:val="24"/>
                <w:lang w:eastAsia="lv-LV"/>
              </w:rPr>
              <w:t xml:space="preserve">aprēķina bāzi noteikt 136 </w:t>
            </w:r>
            <w:r w:rsidRPr="009F4120">
              <w:rPr>
                <w:rFonts w:eastAsia="Times New Roman" w:cs="Times New Roman"/>
                <w:i/>
                <w:szCs w:val="24"/>
                <w:lang w:eastAsia="lv-LV"/>
              </w:rPr>
              <w:t>euro</w:t>
            </w:r>
            <w:r>
              <w:rPr>
                <w:rFonts w:eastAsia="Times New Roman" w:cs="Times New Roman"/>
                <w:szCs w:val="24"/>
                <w:lang w:eastAsia="lv-LV"/>
              </w:rPr>
              <w:t xml:space="preserve"> </w:t>
            </w:r>
            <w:r w:rsidRPr="00EE07FD">
              <w:rPr>
                <w:rFonts w:eastAsia="Times New Roman" w:cs="Times New Roman"/>
                <w:szCs w:val="24"/>
                <w:lang w:eastAsia="lv-LV"/>
              </w:rPr>
              <w:t xml:space="preserve">(25% no ienākumu mediānas), savukārt personām ar </w:t>
            </w:r>
            <w:r w:rsidRPr="00EE07FD">
              <w:rPr>
                <w:rFonts w:cs="Times New Roman"/>
                <w:szCs w:val="24"/>
              </w:rPr>
              <w:t>invaliditāti kopš bērnības –</w:t>
            </w:r>
            <w:r>
              <w:rPr>
                <w:rFonts w:cs="Times New Roman"/>
                <w:szCs w:val="24"/>
              </w:rPr>
              <w:t xml:space="preserve"> </w:t>
            </w:r>
            <w:r w:rsidRPr="00EE07FD">
              <w:rPr>
                <w:rFonts w:cs="Times New Roman"/>
                <w:szCs w:val="24"/>
              </w:rPr>
              <w:t xml:space="preserve">163 </w:t>
            </w:r>
            <w:r w:rsidRPr="009F4120">
              <w:rPr>
                <w:rFonts w:cs="Times New Roman"/>
                <w:i/>
                <w:szCs w:val="24"/>
              </w:rPr>
              <w:t>euro</w:t>
            </w:r>
            <w:r>
              <w:rPr>
                <w:rFonts w:cs="Times New Roman"/>
                <w:szCs w:val="24"/>
              </w:rPr>
              <w:t xml:space="preserve"> </w:t>
            </w:r>
            <w:r w:rsidRPr="00EE07FD">
              <w:rPr>
                <w:rFonts w:cs="Times New Roman"/>
                <w:szCs w:val="24"/>
              </w:rPr>
              <w:t>(30% no ienākumu mediānas);</w:t>
            </w:r>
            <w:r>
              <w:rPr>
                <w:rFonts w:cs="Times New Roman"/>
                <w:szCs w:val="24"/>
              </w:rPr>
              <w:t xml:space="preserve"> </w:t>
            </w:r>
            <w:r w:rsidRPr="00EE07FD">
              <w:rPr>
                <w:rFonts w:cs="Times New Roman"/>
                <w:szCs w:val="24"/>
              </w:rPr>
              <w:t xml:space="preserve">noteikt, ka III grupas invaliditātes gadījumā invaliditātes pensija tiek noteikta invaliditātes pensijas aprēķina bāzes līmenī, kas ir 136 </w:t>
            </w:r>
            <w:r w:rsidRPr="009F4120">
              <w:rPr>
                <w:rFonts w:cs="Times New Roman"/>
                <w:i/>
                <w:szCs w:val="24"/>
              </w:rPr>
              <w:t>euro</w:t>
            </w:r>
            <w:r>
              <w:rPr>
                <w:rFonts w:cs="Times New Roman"/>
                <w:szCs w:val="24"/>
              </w:rPr>
              <w:t xml:space="preserve"> </w:t>
            </w:r>
            <w:r w:rsidRPr="00EE07FD">
              <w:rPr>
                <w:rFonts w:cs="Times New Roman"/>
                <w:szCs w:val="24"/>
              </w:rPr>
              <w:t>(25% no ienākumu mediānas), bet personām ar invaliditāti kopš bērnības –</w:t>
            </w:r>
            <w:r>
              <w:rPr>
                <w:rFonts w:cs="Times New Roman"/>
                <w:szCs w:val="24"/>
              </w:rPr>
              <w:t xml:space="preserve"> </w:t>
            </w:r>
            <w:r w:rsidRPr="00EE07FD">
              <w:rPr>
                <w:rFonts w:cs="Times New Roman"/>
                <w:szCs w:val="24"/>
              </w:rPr>
              <w:t xml:space="preserve">163 </w:t>
            </w:r>
            <w:r w:rsidRPr="009F4120">
              <w:rPr>
                <w:rFonts w:cs="Times New Roman"/>
                <w:i/>
                <w:szCs w:val="24"/>
              </w:rPr>
              <w:t>euro</w:t>
            </w:r>
            <w:r>
              <w:rPr>
                <w:rFonts w:cs="Times New Roman"/>
                <w:szCs w:val="24"/>
              </w:rPr>
              <w:t xml:space="preserve"> </w:t>
            </w:r>
            <w:r w:rsidRPr="00EE07FD">
              <w:rPr>
                <w:rFonts w:cs="Times New Roman"/>
                <w:szCs w:val="24"/>
              </w:rPr>
              <w:t xml:space="preserve">(30% no ienākumu mediānas); I un II grupas invaliditātes pensijas apmērs nedrīkst būt mazāks par invaliditātes pensijas aprēķina bāzi 136 </w:t>
            </w:r>
            <w:r w:rsidRPr="009F4120">
              <w:rPr>
                <w:rFonts w:cs="Times New Roman"/>
                <w:i/>
                <w:szCs w:val="24"/>
              </w:rPr>
              <w:t>euro</w:t>
            </w:r>
            <w:r>
              <w:rPr>
                <w:rFonts w:cs="Times New Roman"/>
                <w:szCs w:val="24"/>
              </w:rPr>
              <w:t xml:space="preserve"> </w:t>
            </w:r>
            <w:r w:rsidRPr="00EE07FD">
              <w:rPr>
                <w:rFonts w:cs="Times New Roman"/>
                <w:szCs w:val="24"/>
              </w:rPr>
              <w:t>(25% no ienākumu mediānas), personām ar invaliditāti kopš bērnības –</w:t>
            </w:r>
            <w:r>
              <w:rPr>
                <w:rFonts w:cs="Times New Roman"/>
                <w:szCs w:val="24"/>
              </w:rPr>
              <w:t xml:space="preserve"> </w:t>
            </w:r>
            <w:r w:rsidRPr="00EE07FD">
              <w:rPr>
                <w:rFonts w:cs="Times New Roman"/>
                <w:szCs w:val="24"/>
              </w:rPr>
              <w:t xml:space="preserve">163 </w:t>
            </w:r>
            <w:r w:rsidRPr="009F4120">
              <w:rPr>
                <w:rFonts w:cs="Times New Roman"/>
                <w:i/>
                <w:szCs w:val="24"/>
              </w:rPr>
              <w:t>euro</w:t>
            </w:r>
            <w:r>
              <w:rPr>
                <w:rFonts w:cs="Times New Roman"/>
                <w:szCs w:val="24"/>
              </w:rPr>
              <w:t xml:space="preserve"> </w:t>
            </w:r>
            <w:r w:rsidRPr="00EE07FD">
              <w:rPr>
                <w:rFonts w:cs="Times New Roman"/>
                <w:szCs w:val="24"/>
              </w:rPr>
              <w:t>(30% no ienākumu mediānas), kurai piemērots koeficients 1,6 I grupas invaliditātes gadījumā un 1,4 II grupas invaliditātes gadījumā;</w:t>
            </w:r>
            <w:r>
              <w:rPr>
                <w:rFonts w:cs="Times New Roman"/>
                <w:szCs w:val="24"/>
              </w:rPr>
              <w:t xml:space="preserve"> </w:t>
            </w:r>
            <w:r w:rsidRPr="00EE07FD">
              <w:rPr>
                <w:rFonts w:cs="Times New Roman"/>
                <w:szCs w:val="24"/>
              </w:rPr>
              <w:t xml:space="preserve">paaugstināt apgādnieka zaudējuma pensiju minimālo apmēru, nosakot to 136 </w:t>
            </w:r>
            <w:r w:rsidRPr="009F4120">
              <w:rPr>
                <w:rFonts w:cs="Times New Roman"/>
                <w:i/>
                <w:szCs w:val="24"/>
              </w:rPr>
              <w:t>euro</w:t>
            </w:r>
            <w:r>
              <w:rPr>
                <w:rFonts w:cs="Times New Roman"/>
                <w:szCs w:val="24"/>
              </w:rPr>
              <w:t xml:space="preserve"> </w:t>
            </w:r>
            <w:r w:rsidRPr="00EE07FD">
              <w:rPr>
                <w:rFonts w:cs="Times New Roman"/>
                <w:szCs w:val="24"/>
              </w:rPr>
              <w:t xml:space="preserve">(25% no ienākumu mediānas) bērniem līdz 7 gadu vecumam un 163 </w:t>
            </w:r>
            <w:r w:rsidRPr="009F4120">
              <w:rPr>
                <w:rFonts w:cs="Times New Roman"/>
                <w:i/>
                <w:szCs w:val="24"/>
              </w:rPr>
              <w:t>euro</w:t>
            </w:r>
            <w:r>
              <w:rPr>
                <w:rFonts w:cs="Times New Roman"/>
                <w:szCs w:val="24"/>
              </w:rPr>
              <w:t xml:space="preserve"> </w:t>
            </w:r>
            <w:r w:rsidRPr="00EE07FD">
              <w:rPr>
                <w:rFonts w:cs="Times New Roman"/>
                <w:szCs w:val="24"/>
              </w:rPr>
              <w:t>(30% no ienākumu mediānas) bērniem no 7 gadu vecuma</w:t>
            </w:r>
            <w:r>
              <w:rPr>
                <w:rFonts w:cs="Times New Roman"/>
                <w:szCs w:val="24"/>
              </w:rPr>
              <w:t>.</w:t>
            </w:r>
          </w:p>
        </w:tc>
      </w:tr>
      <w:tr w:rsidR="00B1239C" w:rsidRPr="00A144FF" w14:paraId="1516BA22" w14:textId="77777777" w:rsidTr="00B1239C">
        <w:tc>
          <w:tcPr>
            <w:tcW w:w="1413" w:type="dxa"/>
            <w:vMerge w:val="restart"/>
            <w:vAlign w:val="center"/>
          </w:tcPr>
          <w:p w14:paraId="39BF0153" w14:textId="7E1D0474" w:rsidR="00B1239C" w:rsidRPr="00A144FF" w:rsidRDefault="00B1239C" w:rsidP="00AD6E16">
            <w:pPr>
              <w:spacing w:after="0" w:line="240" w:lineRule="auto"/>
              <w:jc w:val="center"/>
              <w:rPr>
                <w:rFonts w:cs="Times New Roman"/>
                <w:szCs w:val="24"/>
              </w:rPr>
            </w:pPr>
            <w:r>
              <w:rPr>
                <w:rFonts w:cs="Times New Roman"/>
                <w:szCs w:val="24"/>
              </w:rPr>
              <w:t>Valsts sociālā nodrošinā-juma pabalsts</w:t>
            </w:r>
          </w:p>
        </w:tc>
        <w:tc>
          <w:tcPr>
            <w:tcW w:w="1701" w:type="dxa"/>
            <w:vAlign w:val="center"/>
          </w:tcPr>
          <w:p w14:paraId="6FA2AB7C" w14:textId="77777777" w:rsidR="00B1239C" w:rsidRPr="00A144FF" w:rsidRDefault="00B1239C" w:rsidP="00AD6E16">
            <w:pPr>
              <w:spacing w:after="0" w:line="240" w:lineRule="auto"/>
              <w:jc w:val="center"/>
              <w:rPr>
                <w:rFonts w:cs="Times New Roman"/>
                <w:szCs w:val="24"/>
              </w:rPr>
            </w:pPr>
            <w:r w:rsidRPr="00A144FF">
              <w:rPr>
                <w:rFonts w:cs="Times New Roman"/>
                <w:szCs w:val="24"/>
              </w:rPr>
              <w:t>Valsts sociālo pabalstu likums</w:t>
            </w:r>
          </w:p>
        </w:tc>
        <w:tc>
          <w:tcPr>
            <w:tcW w:w="6520" w:type="dxa"/>
          </w:tcPr>
          <w:p w14:paraId="4E99A82F" w14:textId="77777777" w:rsidR="00B1239C" w:rsidRPr="00A144FF" w:rsidRDefault="00B1239C" w:rsidP="00AD6E16">
            <w:pPr>
              <w:pStyle w:val="tv213"/>
              <w:shd w:val="clear" w:color="auto" w:fill="FFFFFF"/>
              <w:spacing w:before="0" w:beforeAutospacing="0" w:after="0" w:afterAutospacing="0"/>
              <w:jc w:val="both"/>
            </w:pPr>
            <w:r w:rsidRPr="00A144FF">
              <w:rPr>
                <w:b/>
                <w:bCs/>
                <w:shd w:val="clear" w:color="auto" w:fill="FFFFFF"/>
              </w:rPr>
              <w:t>13.pants. Valsts sociālā nodrošinājuma pabalsts</w:t>
            </w:r>
          </w:p>
          <w:p w14:paraId="77D601E4" w14:textId="77777777" w:rsidR="00B1239C" w:rsidRPr="00A144FF" w:rsidRDefault="00B1239C" w:rsidP="00AD6E16">
            <w:pPr>
              <w:pStyle w:val="tv213"/>
              <w:shd w:val="clear" w:color="auto" w:fill="FFFFFF"/>
              <w:spacing w:before="0" w:beforeAutospacing="0" w:after="0" w:afterAutospacing="0"/>
              <w:ind w:firstLine="300"/>
              <w:jc w:val="both"/>
            </w:pPr>
            <w:r w:rsidRPr="00A144FF">
              <w:t>(1</w:t>
            </w:r>
            <w:r w:rsidRPr="00A144FF">
              <w:rPr>
                <w:vertAlign w:val="superscript"/>
              </w:rPr>
              <w:t>2</w:t>
            </w:r>
            <w:r w:rsidRPr="00A144FF">
              <w:t>) Šā panta pirmās daļas 2. punktā minētajai personai ar III grupas invaliditāti neatkarīgi no nodarbinātības valsts sociālā nodrošinājuma pabalsts ir:</w:t>
            </w:r>
          </w:p>
          <w:p w14:paraId="68137A77" w14:textId="77777777" w:rsidR="00B1239C" w:rsidRPr="00A144FF" w:rsidRDefault="00B1239C" w:rsidP="00AD6E16">
            <w:pPr>
              <w:pStyle w:val="tv213"/>
              <w:shd w:val="clear" w:color="auto" w:fill="FFFFFF"/>
              <w:spacing w:before="0" w:beforeAutospacing="0" w:after="0" w:afterAutospacing="0"/>
              <w:ind w:left="600"/>
              <w:jc w:val="both"/>
            </w:pPr>
            <w:r w:rsidRPr="00A144FF">
              <w:t>1) 109 </w:t>
            </w:r>
            <w:r w:rsidRPr="00A144FF">
              <w:rPr>
                <w:i/>
                <w:iCs/>
              </w:rPr>
              <w:t>euro</w:t>
            </w:r>
            <w:r w:rsidRPr="00A144FF">
              <w:t>;</w:t>
            </w:r>
          </w:p>
          <w:p w14:paraId="4E4E2423" w14:textId="77777777" w:rsidR="00B1239C" w:rsidRPr="00A144FF" w:rsidRDefault="00B1239C" w:rsidP="00AD6E16">
            <w:pPr>
              <w:pStyle w:val="tv213"/>
              <w:shd w:val="clear" w:color="auto" w:fill="FFFFFF"/>
              <w:spacing w:before="0" w:beforeAutospacing="0" w:after="0" w:afterAutospacing="0"/>
              <w:ind w:left="600"/>
              <w:jc w:val="both"/>
            </w:pPr>
            <w:r w:rsidRPr="00A144FF">
              <w:t>2) ja invaliditātes cēlonis ir slimība no bērnības, — 136 </w:t>
            </w:r>
            <w:r w:rsidRPr="00A144FF">
              <w:rPr>
                <w:i/>
                <w:iCs/>
              </w:rPr>
              <w:t>euro</w:t>
            </w:r>
            <w:r w:rsidRPr="00A144FF">
              <w:t>.</w:t>
            </w:r>
          </w:p>
          <w:p w14:paraId="26CD24B0" w14:textId="77777777" w:rsidR="00B1239C" w:rsidRPr="00A144FF" w:rsidRDefault="00B1239C" w:rsidP="00AD6E16">
            <w:pPr>
              <w:pStyle w:val="tv213"/>
              <w:shd w:val="clear" w:color="auto" w:fill="FFFFFF"/>
              <w:spacing w:before="0" w:beforeAutospacing="0" w:after="0" w:afterAutospacing="0"/>
              <w:ind w:firstLine="300"/>
              <w:jc w:val="both"/>
            </w:pPr>
            <w:r w:rsidRPr="00A144FF">
              <w:t>(1</w:t>
            </w:r>
            <w:r w:rsidRPr="00A144FF">
              <w:rPr>
                <w:vertAlign w:val="superscript"/>
              </w:rPr>
              <w:t>3</w:t>
            </w:r>
            <w:r w:rsidRPr="00A144FF">
              <w:t>) Šā panta pirmās daļas 2. punktā minētajai personai ar I un II grupas invaliditāti valsts sociālā nodrošinājuma pabalsts ir:</w:t>
            </w:r>
          </w:p>
          <w:p w14:paraId="270542D7" w14:textId="77777777" w:rsidR="00B1239C" w:rsidRPr="00A144FF" w:rsidRDefault="00B1239C" w:rsidP="00AD6E16">
            <w:pPr>
              <w:pStyle w:val="tv213"/>
              <w:shd w:val="clear" w:color="auto" w:fill="FFFFFF"/>
              <w:spacing w:before="0" w:beforeAutospacing="0" w:after="0" w:afterAutospacing="0"/>
              <w:ind w:left="600"/>
              <w:jc w:val="both"/>
            </w:pPr>
            <w:r w:rsidRPr="00A144FF">
              <w:t>1) 109 </w:t>
            </w:r>
            <w:r w:rsidRPr="00A144FF">
              <w:rPr>
                <w:i/>
                <w:iCs/>
              </w:rPr>
              <w:t>euro</w:t>
            </w:r>
            <w:r w:rsidRPr="00A144FF">
              <w:t>, kuram piemēro koeficientu 1,4 personai ar I grupas invaliditāti un koeficientu 1,2 personai ar II grupas invaliditāti;</w:t>
            </w:r>
          </w:p>
          <w:p w14:paraId="0FE1EFDA" w14:textId="77777777" w:rsidR="00B1239C" w:rsidRPr="00A144FF" w:rsidRDefault="00B1239C" w:rsidP="00AD6E16">
            <w:pPr>
              <w:pStyle w:val="tv213"/>
              <w:shd w:val="clear" w:color="auto" w:fill="FFFFFF"/>
              <w:spacing w:before="0" w:beforeAutospacing="0" w:after="0" w:afterAutospacing="0"/>
              <w:ind w:left="600"/>
              <w:jc w:val="both"/>
            </w:pPr>
            <w:r w:rsidRPr="00A144FF">
              <w:t>2) ja invaliditātes cēlonis ir slimība no bērnības, — 136 </w:t>
            </w:r>
            <w:r w:rsidRPr="00A144FF">
              <w:rPr>
                <w:i/>
                <w:iCs/>
              </w:rPr>
              <w:t>euro</w:t>
            </w:r>
            <w:r w:rsidRPr="00A144FF">
              <w:t>, kuram piemēro koeficientu 1,4 personai ar I grupas invaliditāti un koeficientu 1,2 personai ar II grupas invaliditāti.</w:t>
            </w:r>
          </w:p>
          <w:p w14:paraId="69BB2515" w14:textId="77777777" w:rsidR="00B1239C" w:rsidRPr="00A144FF" w:rsidRDefault="00B1239C" w:rsidP="00AD6E16">
            <w:pPr>
              <w:pStyle w:val="tv213"/>
              <w:shd w:val="clear" w:color="auto" w:fill="FFFFFF"/>
              <w:spacing w:before="0" w:beforeAutospacing="0" w:after="0" w:afterAutospacing="0"/>
              <w:ind w:firstLine="300"/>
              <w:jc w:val="both"/>
            </w:pPr>
            <w:r w:rsidRPr="00A144FF">
              <w:t>(1</w:t>
            </w:r>
            <w:r w:rsidRPr="00A144FF">
              <w:rPr>
                <w:vertAlign w:val="superscript"/>
              </w:rPr>
              <w:t>4</w:t>
            </w:r>
            <w:r w:rsidRPr="00A144FF">
              <w:t>) Šā panta pirmās daļas 2. punktā minētajai personai ar I un II grupas invaliditāti, ja persona nav nodarbināta (nav uzskatāma par darba ņēmēju vai pašnodarbināto saskaņā ar likumu "</w:t>
            </w:r>
            <w:hyperlink r:id="rId9" w:tgtFrame="_blank" w:history="1">
              <w:r w:rsidRPr="00A144FF">
                <w:rPr>
                  <w:rStyle w:val="Hyperlink"/>
                </w:rPr>
                <w:t>Par valsts sociālo apdrošināšanu</w:t>
              </w:r>
            </w:hyperlink>
            <w:r w:rsidRPr="00A144FF">
              <w:t>"), valsts sociālā nodrošinājuma pabalstam nosaka piemaksu procentos no šā panta 1.</w:t>
            </w:r>
            <w:r w:rsidRPr="00A144FF">
              <w:rPr>
                <w:vertAlign w:val="superscript"/>
              </w:rPr>
              <w:t>3</w:t>
            </w:r>
            <w:r w:rsidRPr="00A144FF">
              <w:t> daļā noteiktā valsts sociālā nodrošinājuma pabalsta apmēra:</w:t>
            </w:r>
          </w:p>
          <w:p w14:paraId="4B8A7AE2" w14:textId="77777777" w:rsidR="00B1239C" w:rsidRPr="00A144FF" w:rsidRDefault="00B1239C" w:rsidP="00AD6E16">
            <w:pPr>
              <w:pStyle w:val="tv213"/>
              <w:shd w:val="clear" w:color="auto" w:fill="FFFFFF"/>
              <w:spacing w:before="0" w:beforeAutospacing="0" w:after="0" w:afterAutospacing="0"/>
              <w:ind w:left="600"/>
              <w:jc w:val="both"/>
            </w:pPr>
            <w:r w:rsidRPr="00A144FF">
              <w:t>1) personai ar I grupas invaliditāti — 30 procentu apmērā;</w:t>
            </w:r>
          </w:p>
          <w:p w14:paraId="1A990B4B" w14:textId="77777777" w:rsidR="00B1239C" w:rsidRPr="00A144FF" w:rsidRDefault="00B1239C" w:rsidP="00AD6E16">
            <w:pPr>
              <w:pStyle w:val="tv213"/>
              <w:shd w:val="clear" w:color="auto" w:fill="FFFFFF"/>
              <w:spacing w:before="0" w:beforeAutospacing="0" w:after="0" w:afterAutospacing="0"/>
              <w:ind w:left="600"/>
              <w:jc w:val="both"/>
            </w:pPr>
            <w:r w:rsidRPr="00A144FF">
              <w:t>2) personai ar II grupas invaliditāti — 20 procentu apmērā.</w:t>
            </w:r>
          </w:p>
          <w:p w14:paraId="7C52F1E4" w14:textId="7A62068D" w:rsidR="00B1239C" w:rsidRPr="00A144FF" w:rsidRDefault="00B1239C" w:rsidP="00AD6E16">
            <w:pPr>
              <w:pStyle w:val="tv213"/>
              <w:shd w:val="clear" w:color="auto" w:fill="FFFFFF"/>
              <w:spacing w:before="0" w:beforeAutospacing="0" w:after="0" w:afterAutospacing="0"/>
              <w:ind w:firstLine="300"/>
              <w:jc w:val="both"/>
            </w:pPr>
            <w:r w:rsidRPr="00A144FF">
              <w:t>(1</w:t>
            </w:r>
            <w:r w:rsidRPr="00A144FF">
              <w:rPr>
                <w:vertAlign w:val="superscript"/>
              </w:rPr>
              <w:t>5</w:t>
            </w:r>
            <w:r w:rsidRPr="00A144FF">
              <w:t>) Šā panta pirmās daļas 3. punktā minētajai personai līdz septiņu gadu vecuma sasniegšanai valsts sociālā nodrošinājuma pabalsts ir 136 </w:t>
            </w:r>
            <w:r w:rsidRPr="00A144FF">
              <w:rPr>
                <w:i/>
                <w:iCs/>
              </w:rPr>
              <w:t>euro</w:t>
            </w:r>
            <w:r w:rsidR="00BC04E7">
              <w:t xml:space="preserve"> </w:t>
            </w:r>
            <w:r w:rsidRPr="00A144FF">
              <w:t>un personai no septiņu gadu vecuma — 163 </w:t>
            </w:r>
            <w:r w:rsidRPr="00A144FF">
              <w:rPr>
                <w:i/>
                <w:iCs/>
              </w:rPr>
              <w:t>euro</w:t>
            </w:r>
            <w:r w:rsidRPr="00A144FF">
              <w:t>.</w:t>
            </w:r>
          </w:p>
        </w:tc>
      </w:tr>
      <w:tr w:rsidR="00B1239C" w:rsidRPr="00A144FF" w14:paraId="63E08317" w14:textId="77777777" w:rsidTr="00B1239C">
        <w:tc>
          <w:tcPr>
            <w:tcW w:w="1413" w:type="dxa"/>
            <w:vMerge/>
          </w:tcPr>
          <w:p w14:paraId="45871592" w14:textId="77777777" w:rsidR="00B1239C" w:rsidRDefault="00B1239C" w:rsidP="00AD6E16">
            <w:pPr>
              <w:spacing w:after="0" w:line="240" w:lineRule="auto"/>
              <w:rPr>
                <w:rFonts w:cs="Times New Roman"/>
                <w:szCs w:val="24"/>
              </w:rPr>
            </w:pPr>
          </w:p>
        </w:tc>
        <w:tc>
          <w:tcPr>
            <w:tcW w:w="1701" w:type="dxa"/>
            <w:vAlign w:val="center"/>
          </w:tcPr>
          <w:p w14:paraId="6A535296" w14:textId="6BAF8DA9" w:rsidR="00B1239C" w:rsidRPr="00A144FF" w:rsidRDefault="00B1239C" w:rsidP="00AD6E16">
            <w:pPr>
              <w:spacing w:after="0" w:line="240" w:lineRule="auto"/>
              <w:jc w:val="center"/>
              <w:rPr>
                <w:rFonts w:cs="Times New Roman"/>
                <w:szCs w:val="24"/>
              </w:rPr>
            </w:pPr>
            <w:r>
              <w:rPr>
                <w:rFonts w:cs="Times New Roman"/>
                <w:szCs w:val="24"/>
              </w:rPr>
              <w:t>Anotācija</w:t>
            </w:r>
            <w:r>
              <w:rPr>
                <w:rStyle w:val="FootnoteReference"/>
                <w:szCs w:val="24"/>
              </w:rPr>
              <w:footnoteReference w:id="13"/>
            </w:r>
          </w:p>
        </w:tc>
        <w:tc>
          <w:tcPr>
            <w:tcW w:w="6520" w:type="dxa"/>
          </w:tcPr>
          <w:p w14:paraId="299202AE" w14:textId="0B823099" w:rsidR="00B1239C" w:rsidRDefault="00B1239C" w:rsidP="00AD6E16">
            <w:pPr>
              <w:pStyle w:val="tv213"/>
              <w:shd w:val="clear" w:color="auto" w:fill="FFFFFF"/>
              <w:spacing w:before="0" w:beforeAutospacing="0" w:after="0" w:afterAutospacing="0"/>
              <w:jc w:val="both"/>
              <w:rPr>
                <w:bCs/>
                <w:shd w:val="clear" w:color="auto" w:fill="FFFFFF"/>
              </w:rPr>
            </w:pPr>
            <w:r w:rsidRPr="00905FEA">
              <w:rPr>
                <w:bCs/>
                <w:shd w:val="clear" w:color="auto" w:fill="FFFFFF"/>
              </w:rPr>
              <w:t xml:space="preserve">Nodrošinājuma pabalsta apmērs pensijas vecumu  sasniegušajām personām ir 109 </w:t>
            </w:r>
            <w:r w:rsidRPr="009F4120">
              <w:rPr>
                <w:bCs/>
                <w:i/>
                <w:shd w:val="clear" w:color="auto" w:fill="FFFFFF"/>
              </w:rPr>
              <w:t>euro</w:t>
            </w:r>
            <w:r w:rsidRPr="00905FEA">
              <w:rPr>
                <w:bCs/>
                <w:shd w:val="clear" w:color="auto" w:fill="FFFFFF"/>
              </w:rPr>
              <w:t xml:space="preserve"> mēnesī  jeb 20% no ienākumu mediānas</w:t>
            </w:r>
            <w:r>
              <w:rPr>
                <w:bCs/>
                <w:shd w:val="clear" w:color="auto" w:fill="FFFFFF"/>
              </w:rPr>
              <w:t>.</w:t>
            </w:r>
          </w:p>
          <w:p w14:paraId="791D3443" w14:textId="31E7181F" w:rsidR="00B1239C" w:rsidRDefault="00B1239C" w:rsidP="00AD6E16">
            <w:pPr>
              <w:pStyle w:val="tv213"/>
              <w:shd w:val="clear" w:color="auto" w:fill="FFFFFF"/>
              <w:spacing w:before="0" w:beforeAutospacing="0" w:after="0" w:afterAutospacing="0"/>
              <w:jc w:val="both"/>
              <w:rPr>
                <w:bCs/>
                <w:shd w:val="clear" w:color="auto" w:fill="FFFFFF"/>
              </w:rPr>
            </w:pPr>
            <w:r w:rsidRPr="00905FEA">
              <w:rPr>
                <w:bCs/>
                <w:shd w:val="clear" w:color="auto" w:fill="FFFFFF"/>
              </w:rPr>
              <w:t>Nodrošinājuma pabalsta apmērs personām ar invaliditāti ir 109</w:t>
            </w:r>
            <w:r w:rsidR="00BC04E7">
              <w:rPr>
                <w:bCs/>
                <w:shd w:val="clear" w:color="auto" w:fill="FFFFFF"/>
              </w:rPr>
              <w:t> </w:t>
            </w:r>
            <w:r w:rsidRPr="00905FEA">
              <w:rPr>
                <w:bCs/>
                <w:shd w:val="clear" w:color="auto" w:fill="FFFFFF"/>
              </w:rPr>
              <w:t>euro</w:t>
            </w:r>
            <w:r w:rsidR="00BC04E7">
              <w:rPr>
                <w:bCs/>
                <w:shd w:val="clear" w:color="auto" w:fill="FFFFFF"/>
              </w:rPr>
              <w:t xml:space="preserve"> </w:t>
            </w:r>
            <w:r w:rsidRPr="00905FEA">
              <w:rPr>
                <w:bCs/>
                <w:shd w:val="clear" w:color="auto" w:fill="FFFFFF"/>
              </w:rPr>
              <w:t>mēnesī jeb 20% no ienākumu mediānas, savukārt personām ar invaliditāti kopš bērnības –</w:t>
            </w:r>
            <w:r w:rsidR="00BC04E7">
              <w:rPr>
                <w:bCs/>
                <w:shd w:val="clear" w:color="auto" w:fill="FFFFFF"/>
              </w:rPr>
              <w:t xml:space="preserve"> </w:t>
            </w:r>
            <w:r w:rsidRPr="00905FEA">
              <w:rPr>
                <w:bCs/>
                <w:shd w:val="clear" w:color="auto" w:fill="FFFFFF"/>
              </w:rPr>
              <w:t xml:space="preserve">136 </w:t>
            </w:r>
            <w:r w:rsidRPr="009F4120">
              <w:rPr>
                <w:bCs/>
                <w:i/>
                <w:shd w:val="clear" w:color="auto" w:fill="FFFFFF"/>
              </w:rPr>
              <w:t>euro</w:t>
            </w:r>
            <w:r>
              <w:rPr>
                <w:bCs/>
                <w:shd w:val="clear" w:color="auto" w:fill="FFFFFF"/>
              </w:rPr>
              <w:t xml:space="preserve"> </w:t>
            </w:r>
            <w:r w:rsidRPr="00905FEA">
              <w:rPr>
                <w:bCs/>
                <w:shd w:val="clear" w:color="auto" w:fill="FFFFFF"/>
              </w:rPr>
              <w:t>mēnesī jeb 25% no ienākumu mediānas</w:t>
            </w:r>
            <w:r>
              <w:rPr>
                <w:bCs/>
                <w:shd w:val="clear" w:color="auto" w:fill="FFFFFF"/>
              </w:rPr>
              <w:t>.</w:t>
            </w:r>
          </w:p>
          <w:p w14:paraId="19942873" w14:textId="44D0738A" w:rsidR="00B1239C" w:rsidRPr="00905FEA" w:rsidRDefault="00B1239C" w:rsidP="00AD6E16">
            <w:pPr>
              <w:pStyle w:val="tv213"/>
              <w:shd w:val="clear" w:color="auto" w:fill="FFFFFF"/>
              <w:spacing w:before="0" w:beforeAutospacing="0" w:after="0" w:afterAutospacing="0"/>
              <w:jc w:val="both"/>
              <w:rPr>
                <w:bCs/>
                <w:shd w:val="clear" w:color="auto" w:fill="FFFFFF"/>
              </w:rPr>
            </w:pPr>
            <w:r w:rsidRPr="00905FEA">
              <w:rPr>
                <w:bCs/>
                <w:shd w:val="clear" w:color="auto" w:fill="FFFFFF"/>
              </w:rPr>
              <w:t xml:space="preserve">Nodrošinājuma pabalsta apmērs apgādnieka zaudējuma gadījumā bērniem līdz septiņu gadu vecumam ir 136 </w:t>
            </w:r>
            <w:r w:rsidRPr="009F4120">
              <w:rPr>
                <w:bCs/>
                <w:i/>
                <w:shd w:val="clear" w:color="auto" w:fill="FFFFFF"/>
              </w:rPr>
              <w:t>euro</w:t>
            </w:r>
            <w:r>
              <w:rPr>
                <w:bCs/>
                <w:shd w:val="clear" w:color="auto" w:fill="FFFFFF"/>
              </w:rPr>
              <w:t xml:space="preserve"> </w:t>
            </w:r>
            <w:r w:rsidRPr="00905FEA">
              <w:rPr>
                <w:bCs/>
                <w:shd w:val="clear" w:color="auto" w:fill="FFFFFF"/>
              </w:rPr>
              <w:t xml:space="preserve">mēnesī jeb 25% no ienākumu mediānas un 163 </w:t>
            </w:r>
            <w:r w:rsidRPr="009F4120">
              <w:rPr>
                <w:bCs/>
                <w:i/>
                <w:shd w:val="clear" w:color="auto" w:fill="FFFFFF"/>
              </w:rPr>
              <w:t>euro</w:t>
            </w:r>
            <w:r w:rsidRPr="00905FEA">
              <w:rPr>
                <w:bCs/>
                <w:shd w:val="clear" w:color="auto" w:fill="FFFFFF"/>
              </w:rPr>
              <w:t xml:space="preserve"> mēnesī jeb 30 % no  ienākumu mediānas</w:t>
            </w:r>
            <w:r>
              <w:rPr>
                <w:bCs/>
                <w:shd w:val="clear" w:color="auto" w:fill="FFFFFF"/>
              </w:rPr>
              <w:t xml:space="preserve"> bērniem no septiņu gadu vecuma. </w:t>
            </w:r>
          </w:p>
        </w:tc>
      </w:tr>
      <w:tr w:rsidR="00A04179" w:rsidRPr="00A144FF" w14:paraId="13E9A5B6" w14:textId="77777777" w:rsidTr="00B1239C">
        <w:tc>
          <w:tcPr>
            <w:tcW w:w="1413" w:type="dxa"/>
            <w:vMerge w:val="restart"/>
          </w:tcPr>
          <w:p w14:paraId="303767F7" w14:textId="71ACA873" w:rsidR="00A04179" w:rsidRPr="001410F5" w:rsidRDefault="00A04179" w:rsidP="00AD6E16">
            <w:pPr>
              <w:spacing w:after="0" w:line="240" w:lineRule="auto"/>
              <w:rPr>
                <w:rFonts w:cs="Times New Roman"/>
                <w:szCs w:val="24"/>
              </w:rPr>
            </w:pPr>
            <w:r w:rsidRPr="001410F5">
              <w:rPr>
                <w:rFonts w:cs="Times New Roman"/>
                <w:szCs w:val="24"/>
              </w:rPr>
              <w:t xml:space="preserve">Garantētais minimālais ienākumu slieksnis </w:t>
            </w:r>
          </w:p>
          <w:p w14:paraId="7DCFA3C3" w14:textId="469F569C" w:rsidR="00A04179" w:rsidRPr="001410F5" w:rsidRDefault="00A04179" w:rsidP="00AD6E16">
            <w:pPr>
              <w:spacing w:after="0" w:line="240" w:lineRule="auto"/>
              <w:rPr>
                <w:rFonts w:cs="Times New Roman"/>
                <w:szCs w:val="24"/>
              </w:rPr>
            </w:pPr>
            <w:r w:rsidRPr="001410F5">
              <w:rPr>
                <w:rFonts w:cs="Times New Roman"/>
                <w:szCs w:val="24"/>
              </w:rPr>
              <w:t>Trūcīgas mājsaim</w:t>
            </w:r>
            <w:r>
              <w:rPr>
                <w:rFonts w:cs="Times New Roman"/>
                <w:szCs w:val="24"/>
              </w:rPr>
              <w:t>-</w:t>
            </w:r>
            <w:r w:rsidRPr="001410F5">
              <w:rPr>
                <w:rFonts w:cs="Times New Roman"/>
                <w:szCs w:val="24"/>
              </w:rPr>
              <w:t xml:space="preserve">niecības ienākumu slieksnis </w:t>
            </w:r>
          </w:p>
          <w:p w14:paraId="21CA5D2A" w14:textId="3564D62A" w:rsidR="00A04179" w:rsidRPr="00A144FF" w:rsidRDefault="00A04179" w:rsidP="00AD6E16">
            <w:pPr>
              <w:spacing w:after="0" w:line="240" w:lineRule="auto"/>
              <w:rPr>
                <w:rFonts w:cs="Times New Roman"/>
                <w:szCs w:val="24"/>
              </w:rPr>
            </w:pPr>
            <w:r w:rsidRPr="001410F5">
              <w:rPr>
                <w:rFonts w:cs="Times New Roman"/>
                <w:szCs w:val="24"/>
              </w:rPr>
              <w:t>Maznodro</w:t>
            </w:r>
            <w:r>
              <w:rPr>
                <w:rFonts w:cs="Times New Roman"/>
                <w:szCs w:val="24"/>
              </w:rPr>
              <w:t>-</w:t>
            </w:r>
            <w:r w:rsidRPr="001410F5">
              <w:rPr>
                <w:rFonts w:cs="Times New Roman"/>
                <w:szCs w:val="24"/>
              </w:rPr>
              <w:t>šinātas mājsaim</w:t>
            </w:r>
            <w:r>
              <w:rPr>
                <w:rFonts w:cs="Times New Roman"/>
                <w:szCs w:val="24"/>
              </w:rPr>
              <w:t>-</w:t>
            </w:r>
            <w:r w:rsidRPr="001410F5">
              <w:rPr>
                <w:rFonts w:cs="Times New Roman"/>
                <w:szCs w:val="24"/>
              </w:rPr>
              <w:t>niecības ienākumu slieksni</w:t>
            </w:r>
            <w:r w:rsidR="002A2AC0">
              <w:rPr>
                <w:rFonts w:cs="Times New Roman"/>
                <w:szCs w:val="24"/>
              </w:rPr>
              <w:t>s</w:t>
            </w:r>
          </w:p>
        </w:tc>
        <w:tc>
          <w:tcPr>
            <w:tcW w:w="1701" w:type="dxa"/>
            <w:vAlign w:val="center"/>
          </w:tcPr>
          <w:p w14:paraId="6B64C855" w14:textId="77777777" w:rsidR="00A04179" w:rsidRPr="00A144FF" w:rsidRDefault="00A04179" w:rsidP="00AD6E16">
            <w:pPr>
              <w:spacing w:after="0" w:line="240" w:lineRule="auto"/>
              <w:jc w:val="center"/>
              <w:rPr>
                <w:rFonts w:cs="Times New Roman"/>
                <w:szCs w:val="24"/>
              </w:rPr>
            </w:pPr>
            <w:r>
              <w:rPr>
                <w:rFonts w:cs="Times New Roman"/>
                <w:szCs w:val="24"/>
              </w:rPr>
              <w:t>Sociālo pakalpojumu un sociālās palīdzības likums</w:t>
            </w:r>
          </w:p>
        </w:tc>
        <w:tc>
          <w:tcPr>
            <w:tcW w:w="6520" w:type="dxa"/>
          </w:tcPr>
          <w:p w14:paraId="146647F0" w14:textId="77777777" w:rsidR="00A04179" w:rsidRPr="000C13E5" w:rsidRDefault="00A04179" w:rsidP="00AD6E16">
            <w:pPr>
              <w:pStyle w:val="tv213"/>
              <w:shd w:val="clear" w:color="auto" w:fill="FFFFFF"/>
              <w:spacing w:before="0" w:beforeAutospacing="0" w:after="0" w:afterAutospacing="0"/>
              <w:ind w:firstLine="300"/>
              <w:jc w:val="both"/>
            </w:pPr>
            <w:r w:rsidRPr="000C13E5">
              <w:rPr>
                <w:b/>
                <w:bCs/>
              </w:rPr>
              <w:t>33.</w:t>
            </w:r>
            <w:r w:rsidRPr="000C13E5">
              <w:rPr>
                <w:b/>
                <w:bCs/>
                <w:vertAlign w:val="superscript"/>
              </w:rPr>
              <w:t> </w:t>
            </w:r>
            <w:r w:rsidRPr="000C13E5">
              <w:rPr>
                <w:b/>
                <w:bCs/>
              </w:rPr>
              <w:t>pants. Minimālo ienākumu sliekšņi sociālās palīdzības sniegšanai</w:t>
            </w:r>
          </w:p>
          <w:p w14:paraId="32E27AC2" w14:textId="2915827A" w:rsidR="00A04179" w:rsidRPr="000C13E5" w:rsidRDefault="00A04179" w:rsidP="00AD6E16">
            <w:pPr>
              <w:pStyle w:val="tv213"/>
              <w:shd w:val="clear" w:color="auto" w:fill="FFFFFF"/>
              <w:spacing w:before="0" w:beforeAutospacing="0" w:after="0" w:afterAutospacing="0"/>
              <w:ind w:firstLine="300"/>
              <w:jc w:val="both"/>
            </w:pPr>
            <w:r w:rsidRPr="000C13E5">
              <w:t>(1) Garantētais minimālais ienākumu slieksnis ir 109 </w:t>
            </w:r>
            <w:r w:rsidRPr="000C13E5">
              <w:rPr>
                <w:i/>
                <w:iCs/>
              </w:rPr>
              <w:t>euro</w:t>
            </w:r>
            <w:r w:rsidR="00BC04E7">
              <w:t xml:space="preserve"> </w:t>
            </w:r>
            <w:r w:rsidRPr="000C13E5">
              <w:t>pirmajai vai vienīgajai personai mājsaimniecībā un 76 </w:t>
            </w:r>
            <w:r w:rsidRPr="000C13E5">
              <w:rPr>
                <w:i/>
                <w:iCs/>
              </w:rPr>
              <w:t>euro</w:t>
            </w:r>
            <w:r w:rsidR="00BC04E7">
              <w:t xml:space="preserve"> </w:t>
            </w:r>
            <w:r w:rsidRPr="000C13E5">
              <w:t>pārējām personām mājsaimniecībā.</w:t>
            </w:r>
          </w:p>
          <w:p w14:paraId="358C43A3" w14:textId="32E43E3E" w:rsidR="00A04179" w:rsidRPr="000C13E5" w:rsidRDefault="00A04179" w:rsidP="00AD6E16">
            <w:pPr>
              <w:pStyle w:val="tv213"/>
              <w:shd w:val="clear" w:color="auto" w:fill="FFFFFF"/>
              <w:spacing w:before="0" w:beforeAutospacing="0" w:after="0" w:afterAutospacing="0"/>
              <w:ind w:firstLine="300"/>
              <w:jc w:val="both"/>
            </w:pPr>
            <w:r w:rsidRPr="000C13E5">
              <w:t>(2) Trūcīgas mājsaimniecības ienākumu slieksnis ir 272 </w:t>
            </w:r>
            <w:r w:rsidRPr="000C13E5">
              <w:rPr>
                <w:i/>
                <w:iCs/>
              </w:rPr>
              <w:t>euro</w:t>
            </w:r>
            <w:r w:rsidR="00BC04E7">
              <w:t xml:space="preserve"> </w:t>
            </w:r>
            <w:r w:rsidRPr="000C13E5">
              <w:t>pirmajai vai vienīgajai personai mājsaimniecībā un 190 </w:t>
            </w:r>
            <w:r w:rsidRPr="000C13E5">
              <w:rPr>
                <w:i/>
                <w:iCs/>
              </w:rPr>
              <w:t>euro</w:t>
            </w:r>
            <w:r w:rsidR="00BC04E7">
              <w:t xml:space="preserve"> </w:t>
            </w:r>
            <w:r w:rsidRPr="000C13E5">
              <w:t>pārējām personām mājsaimniecībā.</w:t>
            </w:r>
          </w:p>
          <w:p w14:paraId="610B91EA" w14:textId="74560502" w:rsidR="00A04179" w:rsidRPr="000C13E5" w:rsidRDefault="00A04179" w:rsidP="00AD6E16">
            <w:pPr>
              <w:pStyle w:val="tv213"/>
              <w:shd w:val="clear" w:color="auto" w:fill="FFFFFF"/>
              <w:spacing w:before="0" w:beforeAutospacing="0" w:after="0" w:afterAutospacing="0"/>
              <w:ind w:firstLine="300"/>
              <w:jc w:val="both"/>
              <w:rPr>
                <w:rFonts w:ascii="Arial" w:hAnsi="Arial" w:cs="Arial"/>
                <w:color w:val="414142"/>
                <w:sz w:val="20"/>
                <w:szCs w:val="20"/>
              </w:rPr>
            </w:pPr>
            <w:r w:rsidRPr="000C13E5">
              <w:t>(3) Maznodrošinātas mājsaimniecības ienākumu slieksni katra pašvaldība ir tiesīga noteikt ne augstāku par 436 </w:t>
            </w:r>
            <w:r w:rsidRPr="000C13E5">
              <w:rPr>
                <w:i/>
                <w:iCs/>
              </w:rPr>
              <w:t>euro</w:t>
            </w:r>
            <w:r w:rsidR="00BC04E7">
              <w:t xml:space="preserve"> </w:t>
            </w:r>
            <w:r w:rsidRPr="000C13E5">
              <w:t>pirmajai vai vienīgajai personai mājsaimniecībā un 305 </w:t>
            </w:r>
            <w:r w:rsidRPr="000C13E5">
              <w:rPr>
                <w:i/>
                <w:iCs/>
              </w:rPr>
              <w:t>euro</w:t>
            </w:r>
            <w:r w:rsidR="00BC04E7">
              <w:t xml:space="preserve"> </w:t>
            </w:r>
            <w:r w:rsidRPr="000C13E5">
              <w:t>pārējām personām mājsaimniecībā, bet ne zemāku par šā panta otrajā daļā noteikto trūcīgas mājsaimniecības ienākumu slieksni.</w:t>
            </w:r>
          </w:p>
        </w:tc>
      </w:tr>
      <w:tr w:rsidR="00A04179" w:rsidRPr="00A144FF" w14:paraId="074C68A1" w14:textId="77777777" w:rsidTr="00B1239C">
        <w:tc>
          <w:tcPr>
            <w:tcW w:w="1413" w:type="dxa"/>
            <w:vMerge/>
          </w:tcPr>
          <w:p w14:paraId="04AFABFB" w14:textId="77777777" w:rsidR="00A04179" w:rsidRPr="001410F5" w:rsidRDefault="00A04179" w:rsidP="00AD6E16">
            <w:pPr>
              <w:spacing w:after="0" w:line="240" w:lineRule="auto"/>
              <w:rPr>
                <w:rFonts w:cs="Times New Roman"/>
                <w:szCs w:val="24"/>
              </w:rPr>
            </w:pPr>
          </w:p>
        </w:tc>
        <w:tc>
          <w:tcPr>
            <w:tcW w:w="1701" w:type="dxa"/>
            <w:vAlign w:val="center"/>
          </w:tcPr>
          <w:p w14:paraId="62656D8F" w14:textId="48DA7D3D" w:rsidR="00A04179" w:rsidRDefault="00A04179" w:rsidP="00AD6E16">
            <w:pPr>
              <w:spacing w:after="0" w:line="240" w:lineRule="auto"/>
              <w:jc w:val="center"/>
              <w:rPr>
                <w:rFonts w:cs="Times New Roman"/>
                <w:szCs w:val="24"/>
              </w:rPr>
            </w:pPr>
            <w:r>
              <w:rPr>
                <w:rFonts w:cs="Times New Roman"/>
                <w:szCs w:val="24"/>
              </w:rPr>
              <w:t>Anotācija</w:t>
            </w:r>
            <w:r>
              <w:rPr>
                <w:rStyle w:val="FootnoteReference"/>
                <w:szCs w:val="24"/>
              </w:rPr>
              <w:footnoteReference w:id="14"/>
            </w:r>
          </w:p>
        </w:tc>
        <w:tc>
          <w:tcPr>
            <w:tcW w:w="6520" w:type="dxa"/>
          </w:tcPr>
          <w:p w14:paraId="6C1B7DF0" w14:textId="7A85FC82" w:rsidR="00E014F3" w:rsidRDefault="00A04179" w:rsidP="00AD6E16">
            <w:pPr>
              <w:pStyle w:val="tv213"/>
              <w:shd w:val="clear" w:color="auto" w:fill="FFFFFF"/>
              <w:spacing w:before="0" w:beforeAutospacing="0" w:after="0" w:afterAutospacing="0"/>
              <w:jc w:val="both"/>
              <w:rPr>
                <w:bCs/>
              </w:rPr>
            </w:pPr>
            <w:r w:rsidRPr="00282FBB">
              <w:rPr>
                <w:bCs/>
              </w:rPr>
              <w:t>Tād</w:t>
            </w:r>
            <w:r w:rsidR="00F2711B">
              <w:rPr>
                <w:bCs/>
              </w:rPr>
              <w:t>ē</w:t>
            </w:r>
            <w:r w:rsidRPr="00282FBB">
              <w:rPr>
                <w:bCs/>
              </w:rPr>
              <w:t xml:space="preserve">jādi likumprojektā tiek noteikts, ka GMI slieksnis ir 109 </w:t>
            </w:r>
            <w:r w:rsidRPr="009F4120">
              <w:rPr>
                <w:bCs/>
                <w:i/>
              </w:rPr>
              <w:t>euro</w:t>
            </w:r>
            <w:r>
              <w:rPr>
                <w:bCs/>
              </w:rPr>
              <w:t xml:space="preserve"> </w:t>
            </w:r>
            <w:r w:rsidRPr="00282FBB">
              <w:rPr>
                <w:bCs/>
              </w:rPr>
              <w:t xml:space="preserve">pirmajai vai vienīgajai personai mājsaimniecībā un 76 </w:t>
            </w:r>
            <w:r w:rsidRPr="009F4120">
              <w:rPr>
                <w:bCs/>
                <w:i/>
              </w:rPr>
              <w:t>euro</w:t>
            </w:r>
            <w:r>
              <w:rPr>
                <w:bCs/>
              </w:rPr>
              <w:t xml:space="preserve"> </w:t>
            </w:r>
            <w:r w:rsidRPr="00282FBB">
              <w:rPr>
                <w:bCs/>
              </w:rPr>
              <w:t>pārējām personām mājsaimniecībā, jo, atbilstoši likumprojekta “Grozījumi likumā “Par sociālo drošību”” anotācijā noteiktajai metodei, pirmajai vai vienīgajai personai mājsaimniecībā tiek piemērots koeficients 1 un pārējām personām mājsaimniecībā -koeficient</w:t>
            </w:r>
            <w:r w:rsidR="00827639">
              <w:rPr>
                <w:bCs/>
              </w:rPr>
              <w:t>s</w:t>
            </w:r>
            <w:r w:rsidRPr="00282FBB">
              <w:rPr>
                <w:bCs/>
              </w:rPr>
              <w:t xml:space="preserve"> 0,7.</w:t>
            </w:r>
            <w:r w:rsidR="00827639">
              <w:rPr>
                <w:bCs/>
              </w:rPr>
              <w:t xml:space="preserve"> </w:t>
            </w:r>
          </w:p>
          <w:p w14:paraId="4006F73F" w14:textId="75BB5A3E" w:rsidR="00A04179" w:rsidRDefault="00A04179" w:rsidP="00AD6E16">
            <w:pPr>
              <w:pStyle w:val="tv213"/>
              <w:shd w:val="clear" w:color="auto" w:fill="FFFFFF"/>
              <w:spacing w:before="0" w:beforeAutospacing="0" w:after="0" w:afterAutospacing="0"/>
              <w:jc w:val="both"/>
              <w:rPr>
                <w:bCs/>
              </w:rPr>
            </w:pPr>
            <w:r w:rsidRPr="00282FBB">
              <w:rPr>
                <w:bCs/>
              </w:rPr>
              <w:t xml:space="preserve">109 </w:t>
            </w:r>
            <w:r w:rsidRPr="009F4120">
              <w:rPr>
                <w:bCs/>
                <w:i/>
              </w:rPr>
              <w:t>euro</w:t>
            </w:r>
            <w:r>
              <w:rPr>
                <w:bCs/>
              </w:rPr>
              <w:t xml:space="preserve"> </w:t>
            </w:r>
            <w:r w:rsidRPr="00282FBB">
              <w:rPr>
                <w:bCs/>
              </w:rPr>
              <w:t>jeb 20% no ienākumu mediānas noteikšana, kā zemākā iespējamā min</w:t>
            </w:r>
            <w:r w:rsidR="002A2AC0">
              <w:rPr>
                <w:bCs/>
              </w:rPr>
              <w:t xml:space="preserve">imālā ienākuma sliekšņa vērtība, </w:t>
            </w:r>
            <w:r w:rsidR="002A2AC0">
              <w:t>sniegs papildu iespēju iedzīvotājiem ar zemiem un ļoti zemiem ienākumiem sekmēt savu pamatvajadzību apmierināšanu, turklāt izmantojot dažādus atbalsta veidus.</w:t>
            </w:r>
          </w:p>
          <w:p w14:paraId="66C20F19" w14:textId="2F81F8AE" w:rsidR="00A04179" w:rsidRDefault="00A04179" w:rsidP="00AD6E16">
            <w:pPr>
              <w:pStyle w:val="tv213"/>
              <w:shd w:val="clear" w:color="auto" w:fill="FFFFFF"/>
              <w:spacing w:before="0" w:beforeAutospacing="0" w:after="0" w:afterAutospacing="0"/>
              <w:jc w:val="both"/>
              <w:rPr>
                <w:bCs/>
              </w:rPr>
            </w:pPr>
            <w:r w:rsidRPr="00747466">
              <w:rPr>
                <w:bCs/>
              </w:rPr>
              <w:t xml:space="preserve">Trūcīgas mājsaimniecības ienākumu slieksnis tiek noteikts 272 euro, kas ir 50 procenti no ienākumu mediānas, pirmajai vai vienīgajai personai mājsaimniecībā un 190 </w:t>
            </w:r>
            <w:r w:rsidRPr="009F4120">
              <w:rPr>
                <w:bCs/>
                <w:i/>
              </w:rPr>
              <w:t>euro</w:t>
            </w:r>
            <w:r>
              <w:rPr>
                <w:bCs/>
              </w:rPr>
              <w:t xml:space="preserve"> </w:t>
            </w:r>
            <w:r w:rsidRPr="00747466">
              <w:rPr>
                <w:bCs/>
              </w:rPr>
              <w:t>katrai nākamajai personai mājsaimniecībā.</w:t>
            </w:r>
            <w:r>
              <w:rPr>
                <w:bCs/>
              </w:rPr>
              <w:t xml:space="preserve"> </w:t>
            </w:r>
          </w:p>
          <w:p w14:paraId="6828FBAF" w14:textId="69EC5E65" w:rsidR="00A04179" w:rsidRPr="00282FBB" w:rsidRDefault="00A04179" w:rsidP="00F2711B">
            <w:pPr>
              <w:pStyle w:val="tv213"/>
              <w:shd w:val="clear" w:color="auto" w:fill="FFFFFF"/>
              <w:spacing w:before="0" w:beforeAutospacing="0" w:after="0" w:afterAutospacing="0"/>
              <w:jc w:val="both"/>
              <w:rPr>
                <w:bCs/>
              </w:rPr>
            </w:pPr>
            <w:r w:rsidRPr="00747466">
              <w:rPr>
                <w:bCs/>
              </w:rPr>
              <w:t>Tād</w:t>
            </w:r>
            <w:r w:rsidR="00F2711B">
              <w:rPr>
                <w:bCs/>
              </w:rPr>
              <w:t>ē</w:t>
            </w:r>
            <w:r w:rsidRPr="00747466">
              <w:rPr>
                <w:bCs/>
              </w:rPr>
              <w:t>jādi likumprojektā pašvaldībām deleģētas tiesības noteikt maznodrošinātas</w:t>
            </w:r>
            <w:r>
              <w:rPr>
                <w:bCs/>
              </w:rPr>
              <w:t xml:space="preserve"> </w:t>
            </w:r>
            <w:r w:rsidRPr="00747466">
              <w:rPr>
                <w:bCs/>
              </w:rPr>
              <w:t>mājsaimniecības ienākumu slieksni</w:t>
            </w:r>
            <w:r>
              <w:rPr>
                <w:bCs/>
              </w:rPr>
              <w:t xml:space="preserve"> </w:t>
            </w:r>
            <w:r w:rsidRPr="00747466">
              <w:rPr>
                <w:bCs/>
              </w:rPr>
              <w:t xml:space="preserve">līdz 436 </w:t>
            </w:r>
            <w:r w:rsidRPr="009F4120">
              <w:rPr>
                <w:bCs/>
                <w:i/>
              </w:rPr>
              <w:t>euro</w:t>
            </w:r>
            <w:r>
              <w:rPr>
                <w:bCs/>
              </w:rPr>
              <w:t xml:space="preserve"> </w:t>
            </w:r>
            <w:r w:rsidRPr="00747466">
              <w:rPr>
                <w:bCs/>
              </w:rPr>
              <w:t xml:space="preserve">pirmajai vai vienīgajai personai mājsaimniecībā, kas ir 80 </w:t>
            </w:r>
            <w:r w:rsidR="00827639">
              <w:rPr>
                <w:bCs/>
              </w:rPr>
              <w:t xml:space="preserve">% </w:t>
            </w:r>
            <w:r w:rsidRPr="00747466">
              <w:rPr>
                <w:bCs/>
              </w:rPr>
              <w:t xml:space="preserve">no ienākumu mediānas, un 305 </w:t>
            </w:r>
            <w:r w:rsidRPr="009F4120">
              <w:rPr>
                <w:bCs/>
                <w:i/>
              </w:rPr>
              <w:t>euro</w:t>
            </w:r>
            <w:r>
              <w:rPr>
                <w:bCs/>
              </w:rPr>
              <w:t xml:space="preserve"> </w:t>
            </w:r>
            <w:r w:rsidRPr="00747466">
              <w:rPr>
                <w:bCs/>
              </w:rPr>
              <w:t>katrai nākamajai personai mājsaimniecībā</w:t>
            </w:r>
            <w:r>
              <w:rPr>
                <w:bCs/>
              </w:rPr>
              <w:t xml:space="preserve">. </w:t>
            </w:r>
          </w:p>
        </w:tc>
      </w:tr>
    </w:tbl>
    <w:p w14:paraId="56B65E09" w14:textId="77777777" w:rsidR="003F0733" w:rsidRDefault="003F0733" w:rsidP="001A18E7">
      <w:pPr>
        <w:spacing w:after="120" w:line="240" w:lineRule="auto"/>
        <w:ind w:firstLine="426"/>
        <w:jc w:val="both"/>
        <w:rPr>
          <w:rFonts w:cs="Times New Roman"/>
          <w:iCs/>
          <w:szCs w:val="24"/>
        </w:rPr>
      </w:pPr>
    </w:p>
    <w:p w14:paraId="77C8F3C5" w14:textId="2FCB8DB2" w:rsidR="001A18E7" w:rsidRDefault="001A18E7" w:rsidP="001A18E7">
      <w:pPr>
        <w:spacing w:after="120" w:line="240" w:lineRule="auto"/>
        <w:ind w:firstLine="426"/>
        <w:jc w:val="both"/>
        <w:rPr>
          <w:rFonts w:cs="Times New Roman"/>
          <w:iCs/>
          <w:szCs w:val="24"/>
        </w:rPr>
      </w:pPr>
      <w:r>
        <w:rPr>
          <w:rFonts w:cs="Times New Roman"/>
          <w:iCs/>
          <w:szCs w:val="24"/>
        </w:rPr>
        <w:t xml:space="preserve">Normatīvajos aktos saglabājot minimālo ienākumu sliekšņu </w:t>
      </w:r>
      <w:r w:rsidR="00807169">
        <w:rPr>
          <w:rFonts w:cs="Times New Roman"/>
          <w:iCs/>
          <w:szCs w:val="24"/>
        </w:rPr>
        <w:t xml:space="preserve">absolūtos </w:t>
      </w:r>
      <w:r w:rsidR="00B441B1">
        <w:rPr>
          <w:rFonts w:cs="Times New Roman"/>
          <w:iCs/>
          <w:szCs w:val="24"/>
        </w:rPr>
        <w:t>apmērus, pastā</w:t>
      </w:r>
      <w:r w:rsidR="00C25BA2">
        <w:rPr>
          <w:rFonts w:cs="Times New Roman"/>
          <w:iCs/>
          <w:szCs w:val="24"/>
        </w:rPr>
        <w:t>v</w:t>
      </w:r>
      <w:r w:rsidR="00B441B1">
        <w:rPr>
          <w:rFonts w:cs="Times New Roman"/>
          <w:iCs/>
          <w:szCs w:val="24"/>
        </w:rPr>
        <w:t xml:space="preserve"> risks, ka</w:t>
      </w:r>
      <w:r>
        <w:rPr>
          <w:rFonts w:cs="Times New Roman"/>
          <w:iCs/>
          <w:szCs w:val="24"/>
        </w:rPr>
        <w:t xml:space="preserve"> </w:t>
      </w:r>
      <w:r w:rsidR="00D471A3">
        <w:rPr>
          <w:rFonts w:cs="Times New Roman"/>
          <w:iCs/>
          <w:szCs w:val="24"/>
        </w:rPr>
        <w:t xml:space="preserve">šos </w:t>
      </w:r>
      <w:r>
        <w:rPr>
          <w:rFonts w:cs="Times New Roman"/>
          <w:iCs/>
          <w:szCs w:val="24"/>
        </w:rPr>
        <w:t xml:space="preserve">apmērus var pārskatīt, neņemot vērā </w:t>
      </w:r>
      <w:r w:rsidR="00807169">
        <w:rPr>
          <w:rFonts w:cs="Times New Roman"/>
          <w:iCs/>
          <w:szCs w:val="24"/>
        </w:rPr>
        <w:t xml:space="preserve">iedzīvotāju rīcībā esošo </w:t>
      </w:r>
      <w:r>
        <w:rPr>
          <w:rFonts w:cs="Times New Roman"/>
          <w:iCs/>
          <w:szCs w:val="24"/>
        </w:rPr>
        <w:t xml:space="preserve">ienākumu </w:t>
      </w:r>
      <w:r w:rsidR="00827639">
        <w:rPr>
          <w:rFonts w:cs="Times New Roman"/>
          <w:iCs/>
          <w:szCs w:val="24"/>
        </w:rPr>
        <w:t xml:space="preserve">reālo </w:t>
      </w:r>
      <w:r>
        <w:rPr>
          <w:rFonts w:cs="Times New Roman"/>
          <w:iCs/>
          <w:szCs w:val="24"/>
        </w:rPr>
        <w:t>pieaugumu</w:t>
      </w:r>
      <w:r w:rsidR="00807169">
        <w:rPr>
          <w:rFonts w:cs="Times New Roman"/>
          <w:iCs/>
          <w:szCs w:val="24"/>
        </w:rPr>
        <w:t xml:space="preserve">, </w:t>
      </w:r>
      <w:r w:rsidR="00D471A3">
        <w:rPr>
          <w:rFonts w:cs="Times New Roman"/>
          <w:iCs/>
          <w:szCs w:val="24"/>
        </w:rPr>
        <w:t xml:space="preserve">attiecīgi tos </w:t>
      </w:r>
      <w:r w:rsidR="00807169">
        <w:rPr>
          <w:rFonts w:cs="Times New Roman"/>
          <w:iCs/>
          <w:szCs w:val="24"/>
        </w:rPr>
        <w:t>nosakot bez sociālekonomiskā pamatojuma</w:t>
      </w:r>
      <w:r w:rsidR="00B441B1">
        <w:rPr>
          <w:rFonts w:cs="Times New Roman"/>
          <w:iCs/>
          <w:szCs w:val="24"/>
        </w:rPr>
        <w:t>, vai</w:t>
      </w:r>
      <w:r w:rsidR="00D471A3">
        <w:rPr>
          <w:rFonts w:cs="Times New Roman"/>
          <w:iCs/>
          <w:szCs w:val="24"/>
        </w:rPr>
        <w:t xml:space="preserve"> tos var nepārskatīt vispār. Abas izvēles būtu pretrunā ar Satversmes tiesas spriedumu</w:t>
      </w:r>
      <w:r w:rsidR="00AB2F84">
        <w:rPr>
          <w:rFonts w:cs="Times New Roman"/>
          <w:iCs/>
          <w:szCs w:val="24"/>
        </w:rPr>
        <w:t xml:space="preserve"> un pēc būtības nenovērstu šajos spriedumos identificētos trūkumus</w:t>
      </w:r>
      <w:r w:rsidR="00D471A3">
        <w:rPr>
          <w:rFonts w:cs="Times New Roman"/>
          <w:iCs/>
          <w:szCs w:val="24"/>
        </w:rPr>
        <w:t xml:space="preserve">. </w:t>
      </w:r>
      <w:r>
        <w:rPr>
          <w:rFonts w:cs="Times New Roman"/>
          <w:iCs/>
          <w:szCs w:val="24"/>
        </w:rPr>
        <w:t>Tādējādi ir nepieciešams</w:t>
      </w:r>
      <w:r w:rsidR="00D471A3">
        <w:rPr>
          <w:rFonts w:cs="Times New Roman"/>
          <w:iCs/>
          <w:szCs w:val="24"/>
        </w:rPr>
        <w:t xml:space="preserve"> </w:t>
      </w:r>
      <w:r w:rsidR="00D471A3" w:rsidRPr="003F0733">
        <w:rPr>
          <w:rFonts w:cs="Times New Roman"/>
          <w:b/>
          <w:iCs/>
          <w:szCs w:val="24"/>
        </w:rPr>
        <w:t xml:space="preserve">veikt grozījumus </w:t>
      </w:r>
      <w:r w:rsidRPr="003F0733">
        <w:rPr>
          <w:rFonts w:cs="Times New Roman"/>
          <w:b/>
          <w:iCs/>
          <w:szCs w:val="24"/>
        </w:rPr>
        <w:t>normatīvajos aktos</w:t>
      </w:r>
      <w:r w:rsidR="00D471A3" w:rsidRPr="003F0733">
        <w:rPr>
          <w:rFonts w:cs="Times New Roman"/>
          <w:b/>
          <w:iCs/>
          <w:szCs w:val="24"/>
        </w:rPr>
        <w:t>,</w:t>
      </w:r>
      <w:r w:rsidRPr="003F0733">
        <w:rPr>
          <w:rFonts w:cs="Times New Roman"/>
          <w:b/>
          <w:iCs/>
          <w:szCs w:val="24"/>
        </w:rPr>
        <w:t xml:space="preserve"> nosakot minimālo ienākumu sliekšņu </w:t>
      </w:r>
      <w:r w:rsidR="00684498">
        <w:rPr>
          <w:rFonts w:cs="Times New Roman"/>
          <w:b/>
          <w:iCs/>
          <w:szCs w:val="24"/>
        </w:rPr>
        <w:t>aprēķināšanas</w:t>
      </w:r>
      <w:r w:rsidR="00D471A3" w:rsidRPr="003F0733">
        <w:rPr>
          <w:rFonts w:cs="Times New Roman"/>
          <w:b/>
          <w:iCs/>
          <w:szCs w:val="24"/>
        </w:rPr>
        <w:t xml:space="preserve"> </w:t>
      </w:r>
      <w:r w:rsidRPr="003F0733">
        <w:rPr>
          <w:rFonts w:cs="Times New Roman"/>
          <w:b/>
          <w:iCs/>
          <w:szCs w:val="24"/>
        </w:rPr>
        <w:t>metodoloģiju</w:t>
      </w:r>
      <w:r>
        <w:rPr>
          <w:rFonts w:cs="Times New Roman"/>
          <w:iCs/>
          <w:szCs w:val="24"/>
        </w:rPr>
        <w:t xml:space="preserve">. </w:t>
      </w:r>
    </w:p>
    <w:p w14:paraId="56E2F308" w14:textId="2584335D" w:rsidR="00C50705" w:rsidRDefault="00C25BA2" w:rsidP="007B552E">
      <w:pPr>
        <w:spacing w:after="120" w:line="240" w:lineRule="auto"/>
        <w:jc w:val="both"/>
        <w:rPr>
          <w:rFonts w:cs="Times New Roman"/>
          <w:iCs/>
          <w:szCs w:val="24"/>
        </w:rPr>
      </w:pPr>
      <w:r>
        <w:tab/>
      </w:r>
      <w:r w:rsidR="00432A46">
        <w:rPr>
          <w:rFonts w:cs="Times New Roman"/>
          <w:iCs/>
          <w:szCs w:val="24"/>
        </w:rPr>
        <w:t xml:space="preserve"> </w:t>
      </w:r>
    </w:p>
    <w:p w14:paraId="2B443CD6" w14:textId="2F174B6F" w:rsidR="00C25BA2" w:rsidRPr="00C25BA2" w:rsidRDefault="00C25BA2" w:rsidP="009F4120">
      <w:pPr>
        <w:pStyle w:val="Heading2"/>
      </w:pPr>
      <w:r w:rsidRPr="00C25BA2">
        <w:t>Prognozes par minimālo ienākumu sliekšņu apmēriem un to ietekmi uz nabadzības risku un ienākumu nevienlīdzību</w:t>
      </w:r>
    </w:p>
    <w:p w14:paraId="6FC4BEE3" w14:textId="3969BB63" w:rsidR="00350D29"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 xml:space="preserve">Lai prognozētu minimālo ienākumu sliekšņu apmērus līdz 2024.gadam (2.tabula), </w:t>
      </w:r>
      <w:r w:rsidR="00BB64CE">
        <w:rPr>
          <w:rFonts w:cs="Times New Roman"/>
          <w:iCs/>
          <w:szCs w:val="24"/>
        </w:rPr>
        <w:t>LM</w:t>
      </w:r>
      <w:r>
        <w:rPr>
          <w:rFonts w:cs="Times New Roman"/>
          <w:iCs/>
          <w:szCs w:val="24"/>
        </w:rPr>
        <w:t xml:space="preserve"> veica aprēķinus, pamatojoties uz Finanšu ministrijas (turpmāk – FM) </w:t>
      </w:r>
      <w:r w:rsidR="001129D2" w:rsidRPr="001129D2">
        <w:rPr>
          <w:rFonts w:cs="Times New Roman"/>
          <w:iCs/>
          <w:szCs w:val="24"/>
        </w:rPr>
        <w:t>bruto darba samaksas pieauguma prognozēm</w:t>
      </w:r>
      <w:r>
        <w:rPr>
          <w:rFonts w:cs="Times New Roman"/>
          <w:iCs/>
          <w:szCs w:val="24"/>
        </w:rPr>
        <w:t xml:space="preserve"> līdz 2024.gadam</w:t>
      </w:r>
      <w:r w:rsidR="00561276">
        <w:rPr>
          <w:rFonts w:cs="Times New Roman"/>
          <w:iCs/>
          <w:szCs w:val="24"/>
        </w:rPr>
        <w:t xml:space="preserve">, kur </w:t>
      </w:r>
      <w:r>
        <w:rPr>
          <w:rFonts w:cs="Times New Roman"/>
          <w:iCs/>
          <w:szCs w:val="24"/>
        </w:rPr>
        <w:t xml:space="preserve">2021.gadā pieaugums sasniegs 4%, savukārt no 2022.-2024.gadam paredzams ikgadējs 5% pieaugums.   </w:t>
      </w:r>
    </w:p>
    <w:p w14:paraId="69DC0CFD" w14:textId="77777777" w:rsidR="00350D29" w:rsidRPr="00E95CA1" w:rsidRDefault="00350D29" w:rsidP="00350D29">
      <w:pPr>
        <w:autoSpaceDE w:val="0"/>
        <w:autoSpaceDN w:val="0"/>
        <w:adjustRightInd w:val="0"/>
        <w:spacing w:after="120" w:line="240" w:lineRule="auto"/>
        <w:jc w:val="both"/>
        <w:rPr>
          <w:rFonts w:cs="Times New Roman"/>
          <w:i/>
          <w:iCs/>
          <w:szCs w:val="24"/>
        </w:rPr>
      </w:pPr>
      <w:r w:rsidRPr="00E95CA1">
        <w:rPr>
          <w:rFonts w:cs="Times New Roman"/>
          <w:i/>
          <w:iCs/>
          <w:szCs w:val="24"/>
        </w:rPr>
        <w:t>2.tabula. Mājsaimniecību rīcībā esošo ienākumu mediānas un procentuālo vērtību no mediānas apmēri, EUR.</w:t>
      </w:r>
    </w:p>
    <w:tbl>
      <w:tblPr>
        <w:tblW w:w="8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G08. Minimālā ienākuma (MIL) mediāna (ekvivalentais ienākums uz vienu mājsaimmniecības locekli; skala 1, 0,7, 0,7) (euro) - Gads un Periods"/>
      </w:tblPr>
      <w:tblGrid>
        <w:gridCol w:w="1010"/>
        <w:gridCol w:w="1250"/>
        <w:gridCol w:w="951"/>
        <w:gridCol w:w="952"/>
        <w:gridCol w:w="952"/>
        <w:gridCol w:w="952"/>
        <w:gridCol w:w="952"/>
        <w:gridCol w:w="952"/>
        <w:gridCol w:w="952"/>
      </w:tblGrid>
      <w:tr w:rsidR="00350D29" w:rsidRPr="00F052B6" w14:paraId="4613FC85" w14:textId="77777777" w:rsidTr="00C0114D">
        <w:trPr>
          <w:trHeight w:val="300"/>
        </w:trPr>
        <w:tc>
          <w:tcPr>
            <w:tcW w:w="1010" w:type="dxa"/>
            <w:shd w:val="clear" w:color="auto" w:fill="D9D9D9" w:themeFill="background1" w:themeFillShade="D9"/>
            <w:noWrap/>
            <w:vAlign w:val="bottom"/>
            <w:hideMark/>
          </w:tcPr>
          <w:p w14:paraId="39EB2FEF" w14:textId="77777777" w:rsidR="00350D29" w:rsidRPr="00F052B6" w:rsidRDefault="00350D29" w:rsidP="00C0114D">
            <w:pPr>
              <w:spacing w:after="0" w:line="240" w:lineRule="auto"/>
              <w:jc w:val="both"/>
              <w:rPr>
                <w:rFonts w:eastAsia="Times New Roman" w:cs="Times New Roman"/>
                <w:color w:val="000000"/>
                <w:szCs w:val="24"/>
                <w:lang w:eastAsia="lv-LV"/>
              </w:rPr>
            </w:pPr>
          </w:p>
        </w:tc>
        <w:tc>
          <w:tcPr>
            <w:tcW w:w="1250" w:type="dxa"/>
            <w:shd w:val="clear" w:color="auto" w:fill="D9D9D9" w:themeFill="background1" w:themeFillShade="D9"/>
            <w:noWrap/>
            <w:vAlign w:val="center"/>
          </w:tcPr>
          <w:p w14:paraId="0E9ABE7E" w14:textId="77777777" w:rsidR="00350D29" w:rsidRPr="00F052B6"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Mediāna</w:t>
            </w:r>
          </w:p>
        </w:tc>
        <w:tc>
          <w:tcPr>
            <w:tcW w:w="951" w:type="dxa"/>
            <w:shd w:val="clear" w:color="auto" w:fill="D9D9D9" w:themeFill="background1" w:themeFillShade="D9"/>
            <w:vAlign w:val="center"/>
          </w:tcPr>
          <w:p w14:paraId="618A9301" w14:textId="77777777" w:rsidR="00350D29" w:rsidRPr="00F052B6"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w:t>
            </w:r>
          </w:p>
        </w:tc>
        <w:tc>
          <w:tcPr>
            <w:tcW w:w="952" w:type="dxa"/>
            <w:shd w:val="clear" w:color="auto" w:fill="D9D9D9" w:themeFill="background1" w:themeFillShade="D9"/>
            <w:vAlign w:val="center"/>
          </w:tcPr>
          <w:p w14:paraId="1C368626" w14:textId="77777777" w:rsidR="00350D29" w:rsidRPr="00F052B6"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25%</w:t>
            </w:r>
          </w:p>
        </w:tc>
        <w:tc>
          <w:tcPr>
            <w:tcW w:w="952" w:type="dxa"/>
            <w:shd w:val="clear" w:color="auto" w:fill="D9D9D9" w:themeFill="background1" w:themeFillShade="D9"/>
            <w:vAlign w:val="center"/>
          </w:tcPr>
          <w:p w14:paraId="72C53226" w14:textId="77777777" w:rsidR="00350D29" w:rsidRPr="00F052B6"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30%</w:t>
            </w:r>
          </w:p>
        </w:tc>
        <w:tc>
          <w:tcPr>
            <w:tcW w:w="952" w:type="dxa"/>
            <w:shd w:val="clear" w:color="auto" w:fill="D9D9D9" w:themeFill="background1" w:themeFillShade="D9"/>
            <w:vAlign w:val="center"/>
          </w:tcPr>
          <w:p w14:paraId="1221CD8D" w14:textId="77777777" w:rsidR="00350D29"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40%</w:t>
            </w:r>
          </w:p>
        </w:tc>
        <w:tc>
          <w:tcPr>
            <w:tcW w:w="952" w:type="dxa"/>
            <w:shd w:val="clear" w:color="auto" w:fill="D9D9D9" w:themeFill="background1" w:themeFillShade="D9"/>
            <w:vAlign w:val="center"/>
          </w:tcPr>
          <w:p w14:paraId="35D74382" w14:textId="77777777" w:rsidR="00350D29"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50%</w:t>
            </w:r>
          </w:p>
        </w:tc>
        <w:tc>
          <w:tcPr>
            <w:tcW w:w="952" w:type="dxa"/>
            <w:shd w:val="clear" w:color="auto" w:fill="D9D9D9" w:themeFill="background1" w:themeFillShade="D9"/>
            <w:vAlign w:val="center"/>
          </w:tcPr>
          <w:p w14:paraId="1E45AF4A" w14:textId="77777777" w:rsidR="00350D29"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60%</w:t>
            </w:r>
          </w:p>
        </w:tc>
        <w:tc>
          <w:tcPr>
            <w:tcW w:w="952" w:type="dxa"/>
            <w:shd w:val="clear" w:color="auto" w:fill="D9D9D9" w:themeFill="background1" w:themeFillShade="D9"/>
            <w:vAlign w:val="center"/>
          </w:tcPr>
          <w:p w14:paraId="72627449" w14:textId="77777777" w:rsidR="00350D29"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80%</w:t>
            </w:r>
          </w:p>
        </w:tc>
      </w:tr>
      <w:tr w:rsidR="00350D29" w:rsidRPr="00F052B6" w14:paraId="419A18BB" w14:textId="77777777" w:rsidTr="00C0114D">
        <w:trPr>
          <w:trHeight w:val="300"/>
        </w:trPr>
        <w:tc>
          <w:tcPr>
            <w:tcW w:w="1010" w:type="dxa"/>
            <w:shd w:val="clear" w:color="auto" w:fill="auto"/>
            <w:noWrap/>
            <w:vAlign w:val="bottom"/>
          </w:tcPr>
          <w:p w14:paraId="07CB58A8" w14:textId="77777777" w:rsidR="00350D29" w:rsidRPr="00F052B6" w:rsidRDefault="00350D29" w:rsidP="00C0114D">
            <w:pPr>
              <w:spacing w:after="0" w:line="240" w:lineRule="auto"/>
              <w:jc w:val="both"/>
              <w:rPr>
                <w:rFonts w:eastAsia="Times New Roman" w:cs="Times New Roman"/>
                <w:b/>
                <w:bCs/>
                <w:color w:val="000000"/>
                <w:szCs w:val="24"/>
                <w:lang w:eastAsia="lv-LV"/>
              </w:rPr>
            </w:pPr>
            <w:r w:rsidRPr="00F052B6">
              <w:rPr>
                <w:rFonts w:eastAsia="Times New Roman" w:cs="Times New Roman"/>
                <w:b/>
                <w:bCs/>
                <w:color w:val="000000"/>
                <w:szCs w:val="24"/>
                <w:lang w:eastAsia="lv-LV"/>
              </w:rPr>
              <w:t>2018</w:t>
            </w:r>
          </w:p>
        </w:tc>
        <w:tc>
          <w:tcPr>
            <w:tcW w:w="1250" w:type="dxa"/>
            <w:shd w:val="clear" w:color="auto" w:fill="auto"/>
            <w:noWrap/>
            <w:vAlign w:val="bottom"/>
          </w:tcPr>
          <w:p w14:paraId="1F14CC72" w14:textId="77777777" w:rsidR="00350D29" w:rsidRPr="00F052B6"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544,41</w:t>
            </w:r>
          </w:p>
        </w:tc>
        <w:tc>
          <w:tcPr>
            <w:tcW w:w="951" w:type="dxa"/>
            <w:shd w:val="clear" w:color="auto" w:fill="auto"/>
          </w:tcPr>
          <w:p w14:paraId="7BF3F9B7"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109</w:t>
            </w:r>
          </w:p>
        </w:tc>
        <w:tc>
          <w:tcPr>
            <w:tcW w:w="952" w:type="dxa"/>
            <w:shd w:val="clear" w:color="auto" w:fill="auto"/>
          </w:tcPr>
          <w:p w14:paraId="59BFEC8C"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136</w:t>
            </w:r>
          </w:p>
        </w:tc>
        <w:tc>
          <w:tcPr>
            <w:tcW w:w="952" w:type="dxa"/>
            <w:shd w:val="clear" w:color="auto" w:fill="auto"/>
          </w:tcPr>
          <w:p w14:paraId="32E2957F"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163</w:t>
            </w:r>
          </w:p>
        </w:tc>
        <w:tc>
          <w:tcPr>
            <w:tcW w:w="952" w:type="dxa"/>
            <w:shd w:val="clear" w:color="auto" w:fill="auto"/>
            <w:vAlign w:val="bottom"/>
          </w:tcPr>
          <w:p w14:paraId="398DEC6C" w14:textId="77777777" w:rsidR="00350D29" w:rsidRDefault="00350D29" w:rsidP="00C0114D">
            <w:pPr>
              <w:spacing w:after="0" w:line="240" w:lineRule="auto"/>
              <w:jc w:val="center"/>
              <w:rPr>
                <w:rFonts w:eastAsia="Times New Roman" w:cs="Times New Roman"/>
                <w:szCs w:val="24"/>
                <w:lang w:eastAsia="lv-LV"/>
              </w:rPr>
            </w:pPr>
            <w:r w:rsidRPr="00F052B6">
              <w:rPr>
                <w:rFonts w:eastAsia="Times New Roman" w:cs="Times New Roman"/>
                <w:color w:val="000000"/>
                <w:szCs w:val="24"/>
                <w:lang w:eastAsia="lv-LV"/>
              </w:rPr>
              <w:t>218</w:t>
            </w:r>
          </w:p>
        </w:tc>
        <w:tc>
          <w:tcPr>
            <w:tcW w:w="952" w:type="dxa"/>
            <w:shd w:val="clear" w:color="auto" w:fill="auto"/>
          </w:tcPr>
          <w:p w14:paraId="14B3C96C"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272</w:t>
            </w:r>
          </w:p>
        </w:tc>
        <w:tc>
          <w:tcPr>
            <w:tcW w:w="952" w:type="dxa"/>
            <w:shd w:val="clear" w:color="auto" w:fill="auto"/>
          </w:tcPr>
          <w:p w14:paraId="5042F413" w14:textId="77777777" w:rsidR="00350D29"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327</w:t>
            </w:r>
          </w:p>
        </w:tc>
        <w:tc>
          <w:tcPr>
            <w:tcW w:w="952" w:type="dxa"/>
            <w:shd w:val="clear" w:color="auto" w:fill="auto"/>
          </w:tcPr>
          <w:p w14:paraId="339A4D74"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436</w:t>
            </w:r>
          </w:p>
        </w:tc>
      </w:tr>
      <w:tr w:rsidR="00350D29" w:rsidRPr="00F052B6" w14:paraId="4C9CF336" w14:textId="77777777" w:rsidTr="00C0114D">
        <w:trPr>
          <w:trHeight w:val="300"/>
        </w:trPr>
        <w:tc>
          <w:tcPr>
            <w:tcW w:w="1010" w:type="dxa"/>
            <w:shd w:val="clear" w:color="auto" w:fill="auto"/>
            <w:noWrap/>
            <w:vAlign w:val="bottom"/>
          </w:tcPr>
          <w:p w14:paraId="4FB3A39C" w14:textId="77777777" w:rsidR="00350D29" w:rsidRPr="00F052B6" w:rsidRDefault="00350D29" w:rsidP="00C0114D">
            <w:pPr>
              <w:spacing w:after="0" w:line="240" w:lineRule="auto"/>
              <w:jc w:val="both"/>
              <w:rPr>
                <w:rFonts w:eastAsia="Times New Roman" w:cs="Times New Roman"/>
                <w:b/>
                <w:bCs/>
                <w:color w:val="000000"/>
                <w:szCs w:val="24"/>
                <w:lang w:eastAsia="lv-LV"/>
              </w:rPr>
            </w:pPr>
            <w:r w:rsidRPr="00F052B6">
              <w:rPr>
                <w:rFonts w:eastAsia="Times New Roman" w:cs="Times New Roman"/>
                <w:b/>
                <w:bCs/>
                <w:color w:val="000000"/>
                <w:szCs w:val="24"/>
                <w:lang w:eastAsia="lv-LV"/>
              </w:rPr>
              <w:t>2019</w:t>
            </w:r>
          </w:p>
        </w:tc>
        <w:tc>
          <w:tcPr>
            <w:tcW w:w="1250" w:type="dxa"/>
            <w:shd w:val="clear" w:color="auto" w:fill="auto"/>
            <w:noWrap/>
            <w:vAlign w:val="bottom"/>
          </w:tcPr>
          <w:p w14:paraId="3998842B" w14:textId="77777777" w:rsidR="00350D29" w:rsidRPr="00F052B6"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581,86</w:t>
            </w:r>
          </w:p>
        </w:tc>
        <w:tc>
          <w:tcPr>
            <w:tcW w:w="951" w:type="dxa"/>
          </w:tcPr>
          <w:p w14:paraId="2B134010" w14:textId="77777777" w:rsidR="00350D29" w:rsidRPr="00F052B6" w:rsidRDefault="00350D29" w:rsidP="00C0114D">
            <w:pPr>
              <w:spacing w:after="0" w:line="240" w:lineRule="auto"/>
              <w:jc w:val="center"/>
              <w:rPr>
                <w:rFonts w:eastAsia="Times New Roman" w:cs="Times New Roman"/>
                <w:color w:val="000000"/>
                <w:szCs w:val="24"/>
                <w:highlight w:val="yellow"/>
                <w:lang w:eastAsia="lv-LV"/>
              </w:rPr>
            </w:pPr>
            <w:r w:rsidRPr="00B27CF5">
              <w:rPr>
                <w:rFonts w:eastAsia="Times New Roman" w:cs="Times New Roman"/>
                <w:color w:val="000000"/>
                <w:szCs w:val="24"/>
                <w:lang w:eastAsia="lv-LV"/>
              </w:rPr>
              <w:t>116</w:t>
            </w:r>
          </w:p>
        </w:tc>
        <w:tc>
          <w:tcPr>
            <w:tcW w:w="952" w:type="dxa"/>
          </w:tcPr>
          <w:p w14:paraId="1C8D6282" w14:textId="77777777" w:rsidR="00350D29" w:rsidRPr="0055741A" w:rsidRDefault="00350D29" w:rsidP="00C0114D">
            <w:pPr>
              <w:spacing w:after="0" w:line="240" w:lineRule="auto"/>
              <w:jc w:val="center"/>
              <w:rPr>
                <w:rFonts w:eastAsia="Times New Roman" w:cs="Times New Roman"/>
                <w:color w:val="000000"/>
                <w:szCs w:val="24"/>
                <w:lang w:eastAsia="lv-LV"/>
              </w:rPr>
            </w:pPr>
            <w:r w:rsidRPr="0055741A">
              <w:rPr>
                <w:rFonts w:eastAsia="Times New Roman" w:cs="Times New Roman"/>
                <w:color w:val="000000"/>
                <w:szCs w:val="24"/>
                <w:lang w:eastAsia="lv-LV"/>
              </w:rPr>
              <w:t>145</w:t>
            </w:r>
          </w:p>
        </w:tc>
        <w:tc>
          <w:tcPr>
            <w:tcW w:w="952" w:type="dxa"/>
          </w:tcPr>
          <w:p w14:paraId="7708CDA5" w14:textId="77777777" w:rsidR="00350D29" w:rsidRPr="0055741A" w:rsidRDefault="00350D29" w:rsidP="00C0114D">
            <w:pPr>
              <w:spacing w:after="0" w:line="240" w:lineRule="auto"/>
              <w:jc w:val="center"/>
              <w:rPr>
                <w:rFonts w:eastAsia="Times New Roman" w:cs="Times New Roman"/>
                <w:color w:val="000000"/>
                <w:szCs w:val="24"/>
                <w:lang w:eastAsia="lv-LV"/>
              </w:rPr>
            </w:pPr>
            <w:r w:rsidRPr="0055741A">
              <w:rPr>
                <w:rFonts w:eastAsia="Times New Roman" w:cs="Times New Roman"/>
                <w:color w:val="000000"/>
                <w:szCs w:val="24"/>
                <w:lang w:eastAsia="lv-LV"/>
              </w:rPr>
              <w:t>175</w:t>
            </w:r>
          </w:p>
        </w:tc>
        <w:tc>
          <w:tcPr>
            <w:tcW w:w="952" w:type="dxa"/>
            <w:vAlign w:val="bottom"/>
          </w:tcPr>
          <w:p w14:paraId="27C62A87"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233</w:t>
            </w:r>
          </w:p>
        </w:tc>
        <w:tc>
          <w:tcPr>
            <w:tcW w:w="952" w:type="dxa"/>
          </w:tcPr>
          <w:p w14:paraId="785A52FC" w14:textId="77777777" w:rsidR="00350D29" w:rsidRPr="0055741A" w:rsidRDefault="00350D29" w:rsidP="00C0114D">
            <w:pPr>
              <w:spacing w:after="0" w:line="240" w:lineRule="auto"/>
              <w:jc w:val="center"/>
              <w:rPr>
                <w:rFonts w:eastAsia="Times New Roman" w:cs="Times New Roman"/>
                <w:color w:val="000000"/>
                <w:szCs w:val="24"/>
                <w:lang w:eastAsia="lv-LV"/>
              </w:rPr>
            </w:pPr>
            <w:r w:rsidRPr="0055741A">
              <w:rPr>
                <w:rFonts w:eastAsia="Times New Roman" w:cs="Times New Roman"/>
                <w:color w:val="000000"/>
                <w:szCs w:val="24"/>
                <w:lang w:eastAsia="lv-LV"/>
              </w:rPr>
              <w:t>291</w:t>
            </w:r>
          </w:p>
        </w:tc>
        <w:tc>
          <w:tcPr>
            <w:tcW w:w="952" w:type="dxa"/>
          </w:tcPr>
          <w:p w14:paraId="3C2E7480"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349</w:t>
            </w:r>
          </w:p>
        </w:tc>
        <w:tc>
          <w:tcPr>
            <w:tcW w:w="952" w:type="dxa"/>
          </w:tcPr>
          <w:p w14:paraId="5D381C27" w14:textId="77777777" w:rsidR="00350D29" w:rsidRPr="0055741A" w:rsidRDefault="00350D29" w:rsidP="00C0114D">
            <w:pPr>
              <w:spacing w:after="0" w:line="240" w:lineRule="auto"/>
              <w:jc w:val="center"/>
              <w:rPr>
                <w:rFonts w:eastAsia="Times New Roman" w:cs="Times New Roman"/>
                <w:color w:val="000000"/>
                <w:szCs w:val="24"/>
                <w:lang w:eastAsia="lv-LV"/>
              </w:rPr>
            </w:pPr>
            <w:r w:rsidRPr="0055741A">
              <w:rPr>
                <w:rFonts w:eastAsia="Times New Roman" w:cs="Times New Roman"/>
                <w:color w:val="000000"/>
                <w:szCs w:val="24"/>
                <w:lang w:eastAsia="lv-LV"/>
              </w:rPr>
              <w:t>465</w:t>
            </w:r>
          </w:p>
        </w:tc>
      </w:tr>
      <w:tr w:rsidR="00350D29" w:rsidRPr="00F052B6" w14:paraId="44A9A465" w14:textId="77777777" w:rsidTr="00C0114D">
        <w:trPr>
          <w:trHeight w:val="300"/>
        </w:trPr>
        <w:tc>
          <w:tcPr>
            <w:tcW w:w="1010" w:type="dxa"/>
            <w:shd w:val="clear" w:color="auto" w:fill="auto"/>
            <w:noWrap/>
            <w:vAlign w:val="bottom"/>
          </w:tcPr>
          <w:p w14:paraId="3C2B3FCD" w14:textId="77777777" w:rsidR="00350D29" w:rsidRPr="00F052B6"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2020*</w:t>
            </w:r>
          </w:p>
        </w:tc>
        <w:tc>
          <w:tcPr>
            <w:tcW w:w="1250" w:type="dxa"/>
            <w:shd w:val="clear" w:color="auto" w:fill="auto"/>
            <w:noWrap/>
            <w:vAlign w:val="bottom"/>
          </w:tcPr>
          <w:p w14:paraId="623B6580"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610,95</w:t>
            </w:r>
          </w:p>
        </w:tc>
        <w:tc>
          <w:tcPr>
            <w:tcW w:w="951" w:type="dxa"/>
          </w:tcPr>
          <w:p w14:paraId="1BB1CB06"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122</w:t>
            </w:r>
          </w:p>
        </w:tc>
        <w:tc>
          <w:tcPr>
            <w:tcW w:w="952" w:type="dxa"/>
          </w:tcPr>
          <w:p w14:paraId="0EC671C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153</w:t>
            </w:r>
          </w:p>
        </w:tc>
        <w:tc>
          <w:tcPr>
            <w:tcW w:w="952" w:type="dxa"/>
          </w:tcPr>
          <w:p w14:paraId="6E06EB60"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183</w:t>
            </w:r>
          </w:p>
        </w:tc>
        <w:tc>
          <w:tcPr>
            <w:tcW w:w="952" w:type="dxa"/>
            <w:vAlign w:val="bottom"/>
          </w:tcPr>
          <w:p w14:paraId="1A80C228"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244</w:t>
            </w:r>
          </w:p>
        </w:tc>
        <w:tc>
          <w:tcPr>
            <w:tcW w:w="952" w:type="dxa"/>
          </w:tcPr>
          <w:p w14:paraId="58A52ACF"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305</w:t>
            </w:r>
          </w:p>
        </w:tc>
        <w:tc>
          <w:tcPr>
            <w:tcW w:w="952" w:type="dxa"/>
          </w:tcPr>
          <w:p w14:paraId="53681C77"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367</w:t>
            </w:r>
          </w:p>
        </w:tc>
        <w:tc>
          <w:tcPr>
            <w:tcW w:w="952" w:type="dxa"/>
          </w:tcPr>
          <w:p w14:paraId="5C18F631"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489</w:t>
            </w:r>
          </w:p>
        </w:tc>
      </w:tr>
      <w:tr w:rsidR="00350D29" w:rsidRPr="00F052B6" w14:paraId="69772FCD" w14:textId="77777777" w:rsidTr="00C0114D">
        <w:trPr>
          <w:trHeight w:val="300"/>
        </w:trPr>
        <w:tc>
          <w:tcPr>
            <w:tcW w:w="1010" w:type="dxa"/>
            <w:shd w:val="clear" w:color="auto" w:fill="auto"/>
            <w:noWrap/>
            <w:vAlign w:val="bottom"/>
          </w:tcPr>
          <w:p w14:paraId="3B14946D" w14:textId="77777777" w:rsidR="00350D29" w:rsidRPr="00F052B6"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2021*</w:t>
            </w:r>
          </w:p>
        </w:tc>
        <w:tc>
          <w:tcPr>
            <w:tcW w:w="1250" w:type="dxa"/>
            <w:shd w:val="clear" w:color="auto" w:fill="auto"/>
            <w:noWrap/>
            <w:vAlign w:val="bottom"/>
          </w:tcPr>
          <w:p w14:paraId="1F8EFC5B"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635,38</w:t>
            </w:r>
          </w:p>
        </w:tc>
        <w:tc>
          <w:tcPr>
            <w:tcW w:w="951" w:type="dxa"/>
          </w:tcPr>
          <w:p w14:paraId="4B73F1F8"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127</w:t>
            </w:r>
          </w:p>
        </w:tc>
        <w:tc>
          <w:tcPr>
            <w:tcW w:w="952" w:type="dxa"/>
          </w:tcPr>
          <w:p w14:paraId="3A1698CD"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159</w:t>
            </w:r>
          </w:p>
        </w:tc>
        <w:tc>
          <w:tcPr>
            <w:tcW w:w="952" w:type="dxa"/>
          </w:tcPr>
          <w:p w14:paraId="0FF0C4EC"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191</w:t>
            </w:r>
          </w:p>
        </w:tc>
        <w:tc>
          <w:tcPr>
            <w:tcW w:w="952" w:type="dxa"/>
            <w:vAlign w:val="bottom"/>
          </w:tcPr>
          <w:p w14:paraId="22BF3A0C"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254</w:t>
            </w:r>
          </w:p>
        </w:tc>
        <w:tc>
          <w:tcPr>
            <w:tcW w:w="952" w:type="dxa"/>
          </w:tcPr>
          <w:p w14:paraId="1D22AD90"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318</w:t>
            </w:r>
          </w:p>
        </w:tc>
        <w:tc>
          <w:tcPr>
            <w:tcW w:w="952" w:type="dxa"/>
          </w:tcPr>
          <w:p w14:paraId="56692090"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381</w:t>
            </w:r>
          </w:p>
        </w:tc>
        <w:tc>
          <w:tcPr>
            <w:tcW w:w="952" w:type="dxa"/>
          </w:tcPr>
          <w:p w14:paraId="1A13177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508</w:t>
            </w:r>
          </w:p>
        </w:tc>
      </w:tr>
      <w:tr w:rsidR="00350D29" w:rsidRPr="00F052B6" w14:paraId="59D6B754" w14:textId="77777777" w:rsidTr="00C0114D">
        <w:trPr>
          <w:trHeight w:val="300"/>
        </w:trPr>
        <w:tc>
          <w:tcPr>
            <w:tcW w:w="1010" w:type="dxa"/>
            <w:shd w:val="clear" w:color="auto" w:fill="auto"/>
            <w:noWrap/>
            <w:vAlign w:val="bottom"/>
          </w:tcPr>
          <w:p w14:paraId="1C71BEF1" w14:textId="77777777" w:rsidR="00350D29" w:rsidRPr="00F052B6"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2022*</w:t>
            </w:r>
          </w:p>
        </w:tc>
        <w:tc>
          <w:tcPr>
            <w:tcW w:w="1250" w:type="dxa"/>
            <w:shd w:val="clear" w:color="auto" w:fill="auto"/>
            <w:noWrap/>
            <w:vAlign w:val="bottom"/>
          </w:tcPr>
          <w:p w14:paraId="52B6D381"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667,15</w:t>
            </w:r>
          </w:p>
        </w:tc>
        <w:tc>
          <w:tcPr>
            <w:tcW w:w="951" w:type="dxa"/>
          </w:tcPr>
          <w:p w14:paraId="4ADCDF4B"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133</w:t>
            </w:r>
          </w:p>
        </w:tc>
        <w:tc>
          <w:tcPr>
            <w:tcW w:w="952" w:type="dxa"/>
          </w:tcPr>
          <w:p w14:paraId="166F1B83"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167</w:t>
            </w:r>
          </w:p>
        </w:tc>
        <w:tc>
          <w:tcPr>
            <w:tcW w:w="952" w:type="dxa"/>
          </w:tcPr>
          <w:p w14:paraId="3F7F2D35"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200</w:t>
            </w:r>
          </w:p>
        </w:tc>
        <w:tc>
          <w:tcPr>
            <w:tcW w:w="952" w:type="dxa"/>
            <w:vAlign w:val="bottom"/>
          </w:tcPr>
          <w:p w14:paraId="0CF62213"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267</w:t>
            </w:r>
          </w:p>
        </w:tc>
        <w:tc>
          <w:tcPr>
            <w:tcW w:w="952" w:type="dxa"/>
          </w:tcPr>
          <w:p w14:paraId="5985E1E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334</w:t>
            </w:r>
          </w:p>
        </w:tc>
        <w:tc>
          <w:tcPr>
            <w:tcW w:w="952" w:type="dxa"/>
          </w:tcPr>
          <w:p w14:paraId="003770AD"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400</w:t>
            </w:r>
          </w:p>
        </w:tc>
        <w:tc>
          <w:tcPr>
            <w:tcW w:w="952" w:type="dxa"/>
          </w:tcPr>
          <w:p w14:paraId="69EA3A98"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534</w:t>
            </w:r>
          </w:p>
        </w:tc>
      </w:tr>
      <w:tr w:rsidR="00350D29" w:rsidRPr="00F052B6" w14:paraId="2ADA259F" w14:textId="77777777" w:rsidTr="00C0114D">
        <w:trPr>
          <w:trHeight w:val="300"/>
        </w:trPr>
        <w:tc>
          <w:tcPr>
            <w:tcW w:w="1010" w:type="dxa"/>
            <w:shd w:val="clear" w:color="auto" w:fill="auto"/>
            <w:noWrap/>
            <w:vAlign w:val="bottom"/>
          </w:tcPr>
          <w:p w14:paraId="1D43FF23" w14:textId="77777777" w:rsidR="00350D29"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2023*</w:t>
            </w:r>
          </w:p>
        </w:tc>
        <w:tc>
          <w:tcPr>
            <w:tcW w:w="1250" w:type="dxa"/>
            <w:shd w:val="clear" w:color="auto" w:fill="auto"/>
            <w:noWrap/>
            <w:vAlign w:val="bottom"/>
          </w:tcPr>
          <w:p w14:paraId="549FB196"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700,51</w:t>
            </w:r>
          </w:p>
        </w:tc>
        <w:tc>
          <w:tcPr>
            <w:tcW w:w="951" w:type="dxa"/>
          </w:tcPr>
          <w:p w14:paraId="0D6CB976"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140</w:t>
            </w:r>
          </w:p>
        </w:tc>
        <w:tc>
          <w:tcPr>
            <w:tcW w:w="952" w:type="dxa"/>
          </w:tcPr>
          <w:p w14:paraId="1F13A1E9"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175</w:t>
            </w:r>
          </w:p>
        </w:tc>
        <w:tc>
          <w:tcPr>
            <w:tcW w:w="952" w:type="dxa"/>
          </w:tcPr>
          <w:p w14:paraId="4F372A68"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210</w:t>
            </w:r>
          </w:p>
        </w:tc>
        <w:tc>
          <w:tcPr>
            <w:tcW w:w="952" w:type="dxa"/>
            <w:vAlign w:val="bottom"/>
          </w:tcPr>
          <w:p w14:paraId="1262AB8E"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280</w:t>
            </w:r>
          </w:p>
        </w:tc>
        <w:tc>
          <w:tcPr>
            <w:tcW w:w="952" w:type="dxa"/>
          </w:tcPr>
          <w:p w14:paraId="6E5C1CE8"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350</w:t>
            </w:r>
          </w:p>
        </w:tc>
        <w:tc>
          <w:tcPr>
            <w:tcW w:w="952" w:type="dxa"/>
          </w:tcPr>
          <w:p w14:paraId="5ECDE492"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420</w:t>
            </w:r>
          </w:p>
        </w:tc>
        <w:tc>
          <w:tcPr>
            <w:tcW w:w="952" w:type="dxa"/>
          </w:tcPr>
          <w:p w14:paraId="1BC68B49"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560</w:t>
            </w:r>
          </w:p>
        </w:tc>
      </w:tr>
      <w:tr w:rsidR="00350D29" w:rsidRPr="00F052B6" w14:paraId="6BC0DDA4" w14:textId="77777777" w:rsidTr="00C0114D">
        <w:trPr>
          <w:trHeight w:val="300"/>
        </w:trPr>
        <w:tc>
          <w:tcPr>
            <w:tcW w:w="1010" w:type="dxa"/>
            <w:shd w:val="clear" w:color="auto" w:fill="auto"/>
            <w:noWrap/>
            <w:vAlign w:val="bottom"/>
          </w:tcPr>
          <w:p w14:paraId="0DE1FDC9" w14:textId="77777777" w:rsidR="00350D29"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2024*</w:t>
            </w:r>
          </w:p>
        </w:tc>
        <w:tc>
          <w:tcPr>
            <w:tcW w:w="1250" w:type="dxa"/>
            <w:shd w:val="clear" w:color="auto" w:fill="auto"/>
            <w:noWrap/>
            <w:vAlign w:val="bottom"/>
          </w:tcPr>
          <w:p w14:paraId="31D1C443"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735,54</w:t>
            </w:r>
          </w:p>
        </w:tc>
        <w:tc>
          <w:tcPr>
            <w:tcW w:w="951" w:type="dxa"/>
          </w:tcPr>
          <w:p w14:paraId="576319AD"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147</w:t>
            </w:r>
          </w:p>
        </w:tc>
        <w:tc>
          <w:tcPr>
            <w:tcW w:w="952" w:type="dxa"/>
          </w:tcPr>
          <w:p w14:paraId="0FDCEBCD"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184</w:t>
            </w:r>
          </w:p>
        </w:tc>
        <w:tc>
          <w:tcPr>
            <w:tcW w:w="952" w:type="dxa"/>
          </w:tcPr>
          <w:p w14:paraId="294EC4CE"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221</w:t>
            </w:r>
          </w:p>
        </w:tc>
        <w:tc>
          <w:tcPr>
            <w:tcW w:w="952" w:type="dxa"/>
            <w:vAlign w:val="bottom"/>
          </w:tcPr>
          <w:p w14:paraId="4DE0E88E"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294</w:t>
            </w:r>
          </w:p>
        </w:tc>
        <w:tc>
          <w:tcPr>
            <w:tcW w:w="952" w:type="dxa"/>
          </w:tcPr>
          <w:p w14:paraId="484661A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368</w:t>
            </w:r>
          </w:p>
        </w:tc>
        <w:tc>
          <w:tcPr>
            <w:tcW w:w="952" w:type="dxa"/>
          </w:tcPr>
          <w:p w14:paraId="4F1C59B8"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441</w:t>
            </w:r>
          </w:p>
        </w:tc>
        <w:tc>
          <w:tcPr>
            <w:tcW w:w="952" w:type="dxa"/>
          </w:tcPr>
          <w:p w14:paraId="0DAAC7D5"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588</w:t>
            </w:r>
          </w:p>
        </w:tc>
      </w:tr>
    </w:tbl>
    <w:p w14:paraId="6103BD4F" w14:textId="77777777" w:rsidR="00350D29" w:rsidRPr="00E014F3" w:rsidRDefault="00350D29" w:rsidP="00350D29">
      <w:pPr>
        <w:rPr>
          <w:rFonts w:cs="Times New Roman"/>
          <w:sz w:val="22"/>
        </w:rPr>
      </w:pPr>
      <w:r w:rsidRPr="00E014F3">
        <w:rPr>
          <w:rFonts w:cs="Times New Roman"/>
          <w:sz w:val="22"/>
        </w:rPr>
        <w:t>*LM aprēķini, balstoties uz FM prognozēm</w:t>
      </w:r>
    </w:p>
    <w:p w14:paraId="67826CB8" w14:textId="57CEC396" w:rsidR="00350D29"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 xml:space="preserve">No 2021.gada 1.janvāra normatīvajos aktos spēkā ir 2018.gada procentuālo vērtību apmēri, kas aprēķināti no </w:t>
      </w:r>
      <w:r w:rsidRPr="00C922BB">
        <w:rPr>
          <w:rFonts w:cs="Times New Roman"/>
          <w:iCs/>
          <w:szCs w:val="24"/>
        </w:rPr>
        <w:t>mājsaimniecību rīcībā esošo</w:t>
      </w:r>
      <w:r>
        <w:rPr>
          <w:rFonts w:cs="Times New Roman"/>
          <w:b/>
          <w:iCs/>
          <w:szCs w:val="24"/>
        </w:rPr>
        <w:t xml:space="preserve"> </w:t>
      </w:r>
      <w:r>
        <w:rPr>
          <w:rFonts w:cs="Times New Roman"/>
          <w:iCs/>
          <w:szCs w:val="24"/>
        </w:rPr>
        <w:t xml:space="preserve">ienākumu mediānas, tādējādi spēkā esošie apmēri ir ar trīs gadu nobīdi, jo </w:t>
      </w:r>
      <w:r w:rsidRPr="00C922BB">
        <w:rPr>
          <w:rFonts w:cs="Times New Roman"/>
          <w:iCs/>
          <w:szCs w:val="24"/>
        </w:rPr>
        <w:t>mājsaimniecību rīcībā eso</w:t>
      </w:r>
      <w:r>
        <w:rPr>
          <w:rFonts w:cs="Times New Roman"/>
          <w:iCs/>
          <w:szCs w:val="24"/>
        </w:rPr>
        <w:t>šie</w:t>
      </w:r>
      <w:r>
        <w:rPr>
          <w:rFonts w:cs="Times New Roman"/>
          <w:b/>
          <w:iCs/>
          <w:szCs w:val="24"/>
        </w:rPr>
        <w:t xml:space="preserve"> </w:t>
      </w:r>
      <w:r>
        <w:rPr>
          <w:rFonts w:cs="Times New Roman"/>
          <w:iCs/>
          <w:szCs w:val="24"/>
        </w:rPr>
        <w:t xml:space="preserve">ienākumi tiek iegūti no </w:t>
      </w:r>
      <w:r w:rsidRPr="00C922BB">
        <w:rPr>
          <w:rFonts w:cs="Times New Roman"/>
          <w:iCs/>
          <w:szCs w:val="24"/>
        </w:rPr>
        <w:t>ES statistika</w:t>
      </w:r>
      <w:r>
        <w:rPr>
          <w:rFonts w:cs="Times New Roman"/>
          <w:iCs/>
          <w:szCs w:val="24"/>
        </w:rPr>
        <w:t>s</w:t>
      </w:r>
      <w:r w:rsidRPr="00C922BB">
        <w:rPr>
          <w:rFonts w:cs="Times New Roman"/>
          <w:iCs/>
          <w:szCs w:val="24"/>
        </w:rPr>
        <w:t xml:space="preserve"> par ienākumiem un dzīves apstākļiem (European Union Statistics on Income and Living</w:t>
      </w:r>
      <w:r>
        <w:rPr>
          <w:rFonts w:cs="Times New Roman"/>
          <w:iCs/>
          <w:szCs w:val="24"/>
        </w:rPr>
        <w:t xml:space="preserve"> Conditions, turpmāk </w:t>
      </w:r>
      <w:r w:rsidR="009C261F">
        <w:rPr>
          <w:rFonts w:cs="Times New Roman"/>
          <w:iCs/>
          <w:szCs w:val="24"/>
        </w:rPr>
        <w:t>–</w:t>
      </w:r>
      <w:r>
        <w:rPr>
          <w:rFonts w:cs="Times New Roman"/>
          <w:iCs/>
          <w:szCs w:val="24"/>
        </w:rPr>
        <w:t xml:space="preserve"> EU-SILC apsekojums) (skat. 3.tabulu). No EU-SILC</w:t>
      </w:r>
      <w:r w:rsidRPr="000B300D">
        <w:rPr>
          <w:rFonts w:cs="Times New Roman"/>
          <w:iCs/>
          <w:szCs w:val="24"/>
        </w:rPr>
        <w:t xml:space="preserve"> </w:t>
      </w:r>
      <w:r>
        <w:rPr>
          <w:rFonts w:cs="Times New Roman"/>
          <w:iCs/>
          <w:szCs w:val="24"/>
        </w:rPr>
        <w:t>apsekojuma tiek iegūti dati</w:t>
      </w:r>
      <w:r w:rsidRPr="00C922BB">
        <w:rPr>
          <w:rFonts w:cs="Times New Roman"/>
          <w:iCs/>
          <w:szCs w:val="24"/>
        </w:rPr>
        <w:t xml:space="preserve"> par ienākumu mediānu, kas kalpo par atskaites punktu arī </w:t>
      </w:r>
      <w:r>
        <w:rPr>
          <w:rFonts w:cs="Times New Roman"/>
          <w:iCs/>
          <w:szCs w:val="24"/>
        </w:rPr>
        <w:t>minimālo ienākumu sliekšņu noteikšanā. Š</w:t>
      </w:r>
      <w:r w:rsidRPr="00C922BB">
        <w:rPr>
          <w:rFonts w:cs="Times New Roman"/>
          <w:iCs/>
          <w:szCs w:val="24"/>
        </w:rPr>
        <w:t>o datu sagatavošanas un uzkrāšanas nosa</w:t>
      </w:r>
      <w:r>
        <w:rPr>
          <w:rFonts w:cs="Times New Roman"/>
          <w:iCs/>
          <w:szCs w:val="24"/>
        </w:rPr>
        <w:t>cījumus un principus nosaka ES</w:t>
      </w:r>
      <w:r w:rsidRPr="00C922BB">
        <w:rPr>
          <w:rFonts w:cs="Times New Roman"/>
          <w:iCs/>
          <w:szCs w:val="24"/>
        </w:rPr>
        <w:t xml:space="preserve"> līmenī.</w:t>
      </w:r>
    </w:p>
    <w:p w14:paraId="1191B3B3" w14:textId="77777777" w:rsidR="00350D29" w:rsidRDefault="00350D29" w:rsidP="00350D29">
      <w:pPr>
        <w:autoSpaceDE w:val="0"/>
        <w:autoSpaceDN w:val="0"/>
        <w:adjustRightInd w:val="0"/>
        <w:spacing w:after="120" w:line="240" w:lineRule="auto"/>
        <w:jc w:val="both"/>
        <w:rPr>
          <w:rFonts w:cs="Times New Roman"/>
          <w:iCs/>
          <w:szCs w:val="24"/>
        </w:rPr>
      </w:pPr>
      <w:r w:rsidRPr="005D188D">
        <w:rPr>
          <w:rFonts w:cs="Times New Roman"/>
          <w:i/>
          <w:iCs/>
          <w:szCs w:val="24"/>
        </w:rPr>
        <w:t>3.tabula.</w:t>
      </w:r>
      <w:r>
        <w:rPr>
          <w:rFonts w:cs="Times New Roman"/>
          <w:iCs/>
          <w:szCs w:val="24"/>
        </w:rPr>
        <w:t xml:space="preserve"> </w:t>
      </w:r>
      <w:r>
        <w:rPr>
          <w:rFonts w:cs="Times New Roman"/>
          <w:i/>
          <w:iCs/>
          <w:szCs w:val="24"/>
        </w:rPr>
        <w:t>Minimālā ienākuma sliekšņa (20% apmērā no rīcībā esošās ienākumu mediānas) aktuālie apmēri 2018.-2019.gadā un prognozes 2020.-2024.gadam (EUR mēnesī) un minimālā ienākuma sliekšņa piemērošanas normatīvajos aktos</w:t>
      </w:r>
      <w:r w:rsidRPr="00B7692D">
        <w:rPr>
          <w:rFonts w:cs="Times New Roman"/>
          <w:i/>
          <w:iCs/>
          <w:szCs w:val="24"/>
        </w:rPr>
        <w:t xml:space="preserve"> </w:t>
      </w:r>
      <w:r>
        <w:rPr>
          <w:rFonts w:cs="Times New Roman"/>
          <w:i/>
          <w:iCs/>
          <w:szCs w:val="24"/>
        </w:rPr>
        <w:t>atsauces gads</w:t>
      </w:r>
      <w:r w:rsidRPr="00E95CA1">
        <w:rPr>
          <w:rFonts w:cs="Times New Roman"/>
          <w:i/>
          <w:iCs/>
          <w:szCs w:val="24"/>
        </w:rPr>
        <w:t>.</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G08. Minimālā ienākuma (MIL) mediāna (ekvivalentais ienākums uz vienu mājsaimmniecības locekli; skala 1, 0,7, 0,7) (euro) - Gads un Periods"/>
      </w:tblPr>
      <w:tblGrid>
        <w:gridCol w:w="2444"/>
        <w:gridCol w:w="2671"/>
        <w:gridCol w:w="2835"/>
      </w:tblGrid>
      <w:tr w:rsidR="00350D29" w:rsidRPr="00F052B6" w14:paraId="36D919D0" w14:textId="77777777" w:rsidTr="004B731F">
        <w:trPr>
          <w:trHeight w:val="300"/>
          <w:jc w:val="center"/>
        </w:trPr>
        <w:tc>
          <w:tcPr>
            <w:tcW w:w="2444" w:type="dxa"/>
            <w:shd w:val="clear" w:color="auto" w:fill="D9D9D9" w:themeFill="background1" w:themeFillShade="D9"/>
            <w:noWrap/>
            <w:vAlign w:val="center"/>
            <w:hideMark/>
          </w:tcPr>
          <w:p w14:paraId="1DA7A03D" w14:textId="61F0B06F" w:rsidR="00350D29" w:rsidRPr="00F052B6" w:rsidRDefault="00E014F3" w:rsidP="004B731F">
            <w:pPr>
              <w:spacing w:after="0" w:line="240" w:lineRule="auto"/>
              <w:jc w:val="center"/>
              <w:rPr>
                <w:rFonts w:eastAsia="Times New Roman" w:cs="Times New Roman"/>
                <w:color w:val="000000"/>
                <w:szCs w:val="24"/>
                <w:lang w:eastAsia="lv-LV"/>
              </w:rPr>
            </w:pPr>
            <w:r w:rsidRPr="004B731F">
              <w:rPr>
                <w:rFonts w:eastAsia="Times New Roman" w:cs="Times New Roman"/>
                <w:b/>
                <w:color w:val="000000"/>
                <w:szCs w:val="24"/>
                <w:lang w:eastAsia="lv-LV"/>
              </w:rPr>
              <w:t>Apsekojuma g</w:t>
            </w:r>
            <w:r w:rsidR="00F93942" w:rsidRPr="004B731F">
              <w:rPr>
                <w:rFonts w:eastAsia="Times New Roman" w:cs="Times New Roman"/>
                <w:b/>
                <w:color w:val="000000"/>
                <w:szCs w:val="24"/>
                <w:lang w:eastAsia="lv-LV"/>
              </w:rPr>
              <w:t>ads</w:t>
            </w:r>
            <w:r>
              <w:rPr>
                <w:rStyle w:val="FootnoteReference"/>
                <w:rFonts w:eastAsia="Times New Roman"/>
                <w:color w:val="000000"/>
                <w:szCs w:val="24"/>
                <w:lang w:eastAsia="lv-LV"/>
              </w:rPr>
              <w:footnoteReference w:id="15"/>
            </w:r>
          </w:p>
        </w:tc>
        <w:tc>
          <w:tcPr>
            <w:tcW w:w="2671" w:type="dxa"/>
            <w:shd w:val="clear" w:color="auto" w:fill="D9D9D9" w:themeFill="background1" w:themeFillShade="D9"/>
            <w:vAlign w:val="center"/>
          </w:tcPr>
          <w:p w14:paraId="42BAFF34" w14:textId="6B52CD39" w:rsidR="00350D29" w:rsidRPr="00F052B6" w:rsidRDefault="00350D29" w:rsidP="004B731F">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 no rīcībā esošās ienākumu mediānas</w:t>
            </w:r>
            <w:r>
              <w:rPr>
                <w:rStyle w:val="FootnoteReference"/>
                <w:rFonts w:eastAsia="Times New Roman"/>
                <w:b/>
                <w:bCs/>
                <w:color w:val="000000"/>
                <w:szCs w:val="24"/>
                <w:lang w:eastAsia="lv-LV"/>
              </w:rPr>
              <w:footnoteReference w:id="16"/>
            </w:r>
          </w:p>
        </w:tc>
        <w:tc>
          <w:tcPr>
            <w:tcW w:w="2835" w:type="dxa"/>
            <w:shd w:val="clear" w:color="auto" w:fill="D9D9D9" w:themeFill="background1" w:themeFillShade="D9"/>
            <w:vAlign w:val="center"/>
          </w:tcPr>
          <w:p w14:paraId="1ADD4CD4" w14:textId="77777777" w:rsidR="00350D29" w:rsidRPr="00F052B6" w:rsidRDefault="00350D29" w:rsidP="004B731F">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Normatīvajos aktos spēkā no:</w:t>
            </w:r>
          </w:p>
        </w:tc>
      </w:tr>
      <w:tr w:rsidR="00350D29" w:rsidRPr="00F052B6" w14:paraId="342876D7" w14:textId="77777777" w:rsidTr="004B731F">
        <w:trPr>
          <w:trHeight w:val="300"/>
          <w:jc w:val="center"/>
        </w:trPr>
        <w:tc>
          <w:tcPr>
            <w:tcW w:w="2444" w:type="dxa"/>
            <w:shd w:val="clear" w:color="auto" w:fill="auto"/>
            <w:noWrap/>
            <w:vAlign w:val="bottom"/>
          </w:tcPr>
          <w:p w14:paraId="41C00E43" w14:textId="77777777" w:rsidR="00350D29" w:rsidRPr="00F052B6" w:rsidRDefault="00350D29" w:rsidP="00E014F3">
            <w:pPr>
              <w:spacing w:after="0" w:line="240" w:lineRule="auto"/>
              <w:jc w:val="center"/>
              <w:rPr>
                <w:rFonts w:eastAsia="Times New Roman" w:cs="Times New Roman"/>
                <w:b/>
                <w:bCs/>
                <w:color w:val="000000"/>
                <w:szCs w:val="24"/>
                <w:lang w:eastAsia="lv-LV"/>
              </w:rPr>
            </w:pPr>
            <w:r w:rsidRPr="00F052B6">
              <w:rPr>
                <w:rFonts w:eastAsia="Times New Roman" w:cs="Times New Roman"/>
                <w:b/>
                <w:bCs/>
                <w:color w:val="000000"/>
                <w:szCs w:val="24"/>
                <w:lang w:eastAsia="lv-LV"/>
              </w:rPr>
              <w:t>2018</w:t>
            </w:r>
          </w:p>
        </w:tc>
        <w:tc>
          <w:tcPr>
            <w:tcW w:w="2671" w:type="dxa"/>
            <w:shd w:val="clear" w:color="auto" w:fill="auto"/>
          </w:tcPr>
          <w:p w14:paraId="7FF00809"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109</w:t>
            </w:r>
          </w:p>
        </w:tc>
        <w:tc>
          <w:tcPr>
            <w:tcW w:w="2835" w:type="dxa"/>
            <w:shd w:val="clear" w:color="auto" w:fill="auto"/>
          </w:tcPr>
          <w:p w14:paraId="36715075"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2021.gada</w:t>
            </w:r>
          </w:p>
        </w:tc>
      </w:tr>
      <w:tr w:rsidR="00350D29" w:rsidRPr="00F052B6" w14:paraId="7A52C9A3" w14:textId="77777777" w:rsidTr="004B731F">
        <w:trPr>
          <w:trHeight w:val="300"/>
          <w:jc w:val="center"/>
        </w:trPr>
        <w:tc>
          <w:tcPr>
            <w:tcW w:w="2444" w:type="dxa"/>
            <w:shd w:val="clear" w:color="auto" w:fill="auto"/>
            <w:noWrap/>
            <w:vAlign w:val="bottom"/>
          </w:tcPr>
          <w:p w14:paraId="628E1EDC" w14:textId="77777777" w:rsidR="00350D29" w:rsidRPr="00F052B6"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2020*</w:t>
            </w:r>
          </w:p>
        </w:tc>
        <w:tc>
          <w:tcPr>
            <w:tcW w:w="2671" w:type="dxa"/>
          </w:tcPr>
          <w:p w14:paraId="0142BC1C"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122</w:t>
            </w:r>
          </w:p>
        </w:tc>
        <w:tc>
          <w:tcPr>
            <w:tcW w:w="2835" w:type="dxa"/>
          </w:tcPr>
          <w:p w14:paraId="78373E0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2023.gada </w:t>
            </w:r>
          </w:p>
        </w:tc>
      </w:tr>
      <w:tr w:rsidR="00350D29" w:rsidRPr="00F052B6" w14:paraId="2D22EC91" w14:textId="77777777" w:rsidTr="004B731F">
        <w:trPr>
          <w:trHeight w:val="300"/>
          <w:jc w:val="center"/>
        </w:trPr>
        <w:tc>
          <w:tcPr>
            <w:tcW w:w="2444" w:type="dxa"/>
            <w:shd w:val="clear" w:color="auto" w:fill="auto"/>
            <w:noWrap/>
            <w:vAlign w:val="bottom"/>
          </w:tcPr>
          <w:p w14:paraId="550E61C8" w14:textId="77777777" w:rsidR="00350D29" w:rsidRPr="00F052B6"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2021*</w:t>
            </w:r>
          </w:p>
        </w:tc>
        <w:tc>
          <w:tcPr>
            <w:tcW w:w="2671" w:type="dxa"/>
          </w:tcPr>
          <w:p w14:paraId="23CA2155"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127</w:t>
            </w:r>
          </w:p>
        </w:tc>
        <w:tc>
          <w:tcPr>
            <w:tcW w:w="2835" w:type="dxa"/>
          </w:tcPr>
          <w:p w14:paraId="1C6D6E08"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2024.gada </w:t>
            </w:r>
          </w:p>
        </w:tc>
      </w:tr>
      <w:tr w:rsidR="00350D29" w:rsidRPr="00F052B6" w14:paraId="056B606A" w14:textId="77777777" w:rsidTr="004B731F">
        <w:trPr>
          <w:trHeight w:val="300"/>
          <w:jc w:val="center"/>
        </w:trPr>
        <w:tc>
          <w:tcPr>
            <w:tcW w:w="2444" w:type="dxa"/>
            <w:shd w:val="clear" w:color="auto" w:fill="auto"/>
            <w:noWrap/>
            <w:vAlign w:val="bottom"/>
          </w:tcPr>
          <w:p w14:paraId="2FDA5157" w14:textId="77777777" w:rsidR="00350D29" w:rsidRPr="00F052B6"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2022*</w:t>
            </w:r>
          </w:p>
        </w:tc>
        <w:tc>
          <w:tcPr>
            <w:tcW w:w="2671" w:type="dxa"/>
          </w:tcPr>
          <w:p w14:paraId="656F4833"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133</w:t>
            </w:r>
          </w:p>
        </w:tc>
        <w:tc>
          <w:tcPr>
            <w:tcW w:w="2835" w:type="dxa"/>
          </w:tcPr>
          <w:p w14:paraId="7931C54F"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2025.gada </w:t>
            </w:r>
          </w:p>
        </w:tc>
      </w:tr>
      <w:tr w:rsidR="00350D29" w:rsidRPr="00F052B6" w14:paraId="48AA4297" w14:textId="77777777" w:rsidTr="004B731F">
        <w:trPr>
          <w:trHeight w:val="300"/>
          <w:jc w:val="center"/>
        </w:trPr>
        <w:tc>
          <w:tcPr>
            <w:tcW w:w="2444" w:type="dxa"/>
            <w:shd w:val="clear" w:color="auto" w:fill="auto"/>
            <w:noWrap/>
            <w:vAlign w:val="bottom"/>
          </w:tcPr>
          <w:p w14:paraId="035E679A" w14:textId="77777777" w:rsidR="00350D29"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2023*</w:t>
            </w:r>
          </w:p>
        </w:tc>
        <w:tc>
          <w:tcPr>
            <w:tcW w:w="2671" w:type="dxa"/>
          </w:tcPr>
          <w:p w14:paraId="57B92F0C"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140</w:t>
            </w:r>
          </w:p>
        </w:tc>
        <w:tc>
          <w:tcPr>
            <w:tcW w:w="2835" w:type="dxa"/>
          </w:tcPr>
          <w:p w14:paraId="764ED0B9"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2026.gada </w:t>
            </w:r>
          </w:p>
        </w:tc>
      </w:tr>
      <w:tr w:rsidR="00350D29" w:rsidRPr="00F052B6" w14:paraId="5556EDD7" w14:textId="77777777" w:rsidTr="004B731F">
        <w:trPr>
          <w:trHeight w:val="300"/>
          <w:jc w:val="center"/>
        </w:trPr>
        <w:tc>
          <w:tcPr>
            <w:tcW w:w="2444" w:type="dxa"/>
            <w:shd w:val="clear" w:color="auto" w:fill="auto"/>
            <w:noWrap/>
            <w:vAlign w:val="bottom"/>
          </w:tcPr>
          <w:p w14:paraId="46C97E96" w14:textId="77777777" w:rsidR="00350D29"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2024*</w:t>
            </w:r>
          </w:p>
        </w:tc>
        <w:tc>
          <w:tcPr>
            <w:tcW w:w="2671" w:type="dxa"/>
          </w:tcPr>
          <w:p w14:paraId="3B0A1144"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147</w:t>
            </w:r>
          </w:p>
        </w:tc>
        <w:tc>
          <w:tcPr>
            <w:tcW w:w="2835" w:type="dxa"/>
          </w:tcPr>
          <w:p w14:paraId="0C453034"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2027.gada </w:t>
            </w:r>
          </w:p>
        </w:tc>
      </w:tr>
    </w:tbl>
    <w:p w14:paraId="02EF3EBB" w14:textId="77777777" w:rsidR="00350D29" w:rsidRPr="00E014F3" w:rsidRDefault="00350D29" w:rsidP="00E014F3">
      <w:pPr>
        <w:ind w:left="720" w:firstLine="720"/>
        <w:rPr>
          <w:rFonts w:cs="Times New Roman"/>
          <w:sz w:val="22"/>
        </w:rPr>
      </w:pPr>
      <w:r w:rsidRPr="00E014F3">
        <w:rPr>
          <w:rFonts w:cs="Times New Roman"/>
          <w:sz w:val="22"/>
        </w:rPr>
        <w:t>*LM aprēķini, balstoties uz FM prognozēm</w:t>
      </w:r>
    </w:p>
    <w:p w14:paraId="2F463572" w14:textId="1C6E0CA7" w:rsidR="00350D29"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Ņemot vērā 2.tabulā prognozētos apmērus un veicot minimālo ienākumu sliekšņu pārskatīšanu 202</w:t>
      </w:r>
      <w:r w:rsidR="009777FD">
        <w:rPr>
          <w:rFonts w:cs="Times New Roman"/>
          <w:iCs/>
          <w:szCs w:val="24"/>
        </w:rPr>
        <w:t>2</w:t>
      </w:r>
      <w:r>
        <w:rPr>
          <w:rFonts w:cs="Times New Roman"/>
          <w:iCs/>
          <w:szCs w:val="24"/>
        </w:rPr>
        <w:t xml:space="preserve">.gadā, lai </w:t>
      </w:r>
      <w:r w:rsidR="009777FD">
        <w:rPr>
          <w:rFonts w:cs="Times New Roman"/>
          <w:iCs/>
          <w:szCs w:val="24"/>
        </w:rPr>
        <w:t>to</w:t>
      </w:r>
      <w:r>
        <w:rPr>
          <w:rFonts w:cs="Times New Roman"/>
          <w:iCs/>
          <w:szCs w:val="24"/>
        </w:rPr>
        <w:t xml:space="preserve"> apmēri stātos spēkā no 202</w:t>
      </w:r>
      <w:r w:rsidR="009777FD">
        <w:rPr>
          <w:rFonts w:cs="Times New Roman"/>
          <w:iCs/>
          <w:szCs w:val="24"/>
        </w:rPr>
        <w:t>3</w:t>
      </w:r>
      <w:r>
        <w:rPr>
          <w:rFonts w:cs="Times New Roman"/>
          <w:iCs/>
          <w:szCs w:val="24"/>
        </w:rPr>
        <w:t>.gad</w:t>
      </w:r>
      <w:r w:rsidR="009777FD">
        <w:rPr>
          <w:rFonts w:cs="Times New Roman"/>
          <w:iCs/>
          <w:szCs w:val="24"/>
        </w:rPr>
        <w:t>a 1.janvāra, tiks izmantoti 2020</w:t>
      </w:r>
      <w:r>
        <w:rPr>
          <w:rFonts w:cs="Times New Roman"/>
          <w:iCs/>
          <w:szCs w:val="24"/>
        </w:rPr>
        <w:t>.gada ienākumu dati. Šobrīd, veicot aprēķinus par finansiālo ietekmi uz valsts un pašvaldību budžetiem, tiek izmantotas šīs prognozes, savukārt 202</w:t>
      </w:r>
      <w:r w:rsidR="009777FD">
        <w:rPr>
          <w:rFonts w:cs="Times New Roman"/>
          <w:iCs/>
          <w:szCs w:val="24"/>
        </w:rPr>
        <w:t>2</w:t>
      </w:r>
      <w:r>
        <w:rPr>
          <w:rFonts w:cs="Times New Roman"/>
          <w:iCs/>
          <w:szCs w:val="24"/>
        </w:rPr>
        <w:t>.gadā, veicot grozījumus normatīvajos aktos, tiks izmantoti faktiskie 2021.gada rādītāji. Centrālā statistikas pārvalde jaunos datus publicē attiecī</w:t>
      </w:r>
      <w:r w:rsidR="009777FD">
        <w:rPr>
          <w:rFonts w:cs="Times New Roman"/>
          <w:iCs/>
          <w:szCs w:val="24"/>
        </w:rPr>
        <w:t>gā gada 1.ceturksnī, proti, 2020</w:t>
      </w:r>
      <w:r>
        <w:rPr>
          <w:rFonts w:cs="Times New Roman"/>
          <w:iCs/>
          <w:szCs w:val="24"/>
        </w:rPr>
        <w:t>.gada dati būs pieejami 202</w:t>
      </w:r>
      <w:r w:rsidR="009777FD">
        <w:rPr>
          <w:rFonts w:cs="Times New Roman"/>
          <w:iCs/>
          <w:szCs w:val="24"/>
        </w:rPr>
        <w:t>2</w:t>
      </w:r>
      <w:r>
        <w:rPr>
          <w:rFonts w:cs="Times New Roman"/>
          <w:iCs/>
          <w:szCs w:val="24"/>
        </w:rPr>
        <w:t xml:space="preserve">.gada 1.ceturksnī.  </w:t>
      </w:r>
    </w:p>
    <w:p w14:paraId="3782BACB" w14:textId="1F511671" w:rsidR="006B0E1F"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 xml:space="preserve">Lai novērtētu ietekmi uz nabadzības riska un ienākumu nevienlīdzības mazināšanos, pārskatot minimālā ienākuma </w:t>
      </w:r>
      <w:r w:rsidRPr="000D4479">
        <w:rPr>
          <w:rFonts w:cs="Times New Roman"/>
          <w:iCs/>
          <w:szCs w:val="24"/>
        </w:rPr>
        <w:t>sliekšņus ikgadēji (1.scenārijs) un ik pēc trīs gadiem (2.scenārijs), pamatojoties uz šo sliekšņu izmaiņām</w:t>
      </w:r>
      <w:r>
        <w:rPr>
          <w:rFonts w:cs="Times New Roman"/>
          <w:iCs/>
          <w:szCs w:val="24"/>
        </w:rPr>
        <w:t xml:space="preserve">, </w:t>
      </w:r>
      <w:r w:rsidR="00BB2DF4">
        <w:rPr>
          <w:rFonts w:cs="Times New Roman"/>
          <w:iCs/>
          <w:szCs w:val="24"/>
        </w:rPr>
        <w:t>LM</w:t>
      </w:r>
      <w:r>
        <w:rPr>
          <w:rFonts w:cs="Times New Roman"/>
          <w:iCs/>
          <w:szCs w:val="24"/>
        </w:rPr>
        <w:t xml:space="preserve"> lūdza </w:t>
      </w:r>
      <w:r w:rsidRPr="000D4479">
        <w:rPr>
          <w:rFonts w:cs="Times New Roman"/>
          <w:iCs/>
          <w:szCs w:val="24"/>
        </w:rPr>
        <w:t xml:space="preserve">Latvijas Banku </w:t>
      </w:r>
      <w:r w:rsidR="009C261F">
        <w:rPr>
          <w:rFonts w:cs="Times New Roman"/>
          <w:iCs/>
          <w:szCs w:val="24"/>
        </w:rPr>
        <w:t>novērtēt</w:t>
      </w:r>
      <w:r w:rsidR="009C261F" w:rsidRPr="000D4479">
        <w:rPr>
          <w:rFonts w:cs="Times New Roman"/>
          <w:iCs/>
          <w:szCs w:val="24"/>
        </w:rPr>
        <w:t xml:space="preserve"> </w:t>
      </w:r>
      <w:r w:rsidRPr="000D4479">
        <w:rPr>
          <w:rFonts w:cs="Times New Roman"/>
          <w:iCs/>
          <w:szCs w:val="24"/>
        </w:rPr>
        <w:t>minimālo ienākumu sliekšņu ietekmi uz ienākuma nevienlīdzības un nabadzības riska rādītājiem, kā arī mājsaimniecību rīcībā esošajiem ienākumiem vairākos griezumos (</w:t>
      </w:r>
      <w:r>
        <w:rPr>
          <w:rFonts w:cs="Times New Roman"/>
          <w:iCs/>
          <w:szCs w:val="24"/>
        </w:rPr>
        <w:t>mājsaimniecību veidi</w:t>
      </w:r>
      <w:r w:rsidRPr="000D4479">
        <w:rPr>
          <w:rFonts w:cs="Times New Roman"/>
          <w:iCs/>
          <w:szCs w:val="24"/>
        </w:rPr>
        <w:t>,</w:t>
      </w:r>
      <w:r>
        <w:rPr>
          <w:rFonts w:cs="Times New Roman"/>
          <w:iCs/>
          <w:szCs w:val="24"/>
        </w:rPr>
        <w:t xml:space="preserve"> </w:t>
      </w:r>
      <w:r w:rsidR="009C261F">
        <w:rPr>
          <w:rFonts w:cs="Times New Roman"/>
          <w:iCs/>
          <w:szCs w:val="24"/>
        </w:rPr>
        <w:t xml:space="preserve">ienākumu </w:t>
      </w:r>
      <w:r>
        <w:rPr>
          <w:rFonts w:cs="Times New Roman"/>
          <w:iCs/>
          <w:szCs w:val="24"/>
        </w:rPr>
        <w:t>kvintiles</w:t>
      </w:r>
      <w:r w:rsidR="009C261F">
        <w:rPr>
          <w:rFonts w:cs="Times New Roman"/>
          <w:iCs/>
          <w:szCs w:val="24"/>
        </w:rPr>
        <w:t xml:space="preserve"> un </w:t>
      </w:r>
      <w:r>
        <w:rPr>
          <w:rFonts w:cs="Times New Roman"/>
          <w:iCs/>
          <w:szCs w:val="24"/>
        </w:rPr>
        <w:t>deciles, ekonomiskā aktivitāte, vecuma grupas)</w:t>
      </w:r>
      <w:r w:rsidRPr="00C54672">
        <w:rPr>
          <w:rFonts w:cs="Times New Roman"/>
          <w:iCs/>
          <w:szCs w:val="24"/>
        </w:rPr>
        <w:t xml:space="preserve">. </w:t>
      </w:r>
    </w:p>
    <w:p w14:paraId="628EEEDC" w14:textId="2D44CBD3" w:rsidR="00350D29" w:rsidRDefault="00350D29" w:rsidP="00350D29">
      <w:pPr>
        <w:autoSpaceDE w:val="0"/>
        <w:autoSpaceDN w:val="0"/>
        <w:adjustRightInd w:val="0"/>
        <w:spacing w:after="120" w:line="240" w:lineRule="auto"/>
        <w:ind w:firstLine="426"/>
        <w:jc w:val="both"/>
        <w:rPr>
          <w:rFonts w:cs="Times New Roman"/>
          <w:iCs/>
          <w:szCs w:val="24"/>
          <w:lang w:eastAsia="lv-LV"/>
        </w:rPr>
      </w:pPr>
      <w:r w:rsidRPr="0060557B">
        <w:rPr>
          <w:rFonts w:cs="Times New Roman"/>
          <w:iCs/>
          <w:szCs w:val="24"/>
          <w:lang w:eastAsia="lv-LV"/>
        </w:rPr>
        <w:t>Latvijas Banka, izmantojot CGE-EUROMOD mikrosimulācijas modeli</w:t>
      </w:r>
      <w:r w:rsidRPr="0060557B">
        <w:rPr>
          <w:rStyle w:val="FootnoteReference"/>
          <w:iCs/>
          <w:szCs w:val="24"/>
          <w:lang w:eastAsia="lv-LV"/>
        </w:rPr>
        <w:footnoteReference w:id="17"/>
      </w:r>
      <w:r w:rsidRPr="0060557B">
        <w:rPr>
          <w:rFonts w:cs="Times New Roman"/>
          <w:iCs/>
          <w:szCs w:val="24"/>
          <w:lang w:eastAsia="lv-LV"/>
        </w:rPr>
        <w:t>, veica divu piedāvāto scenāriju</w:t>
      </w:r>
      <w:r w:rsidRPr="0060557B">
        <w:rPr>
          <w:rStyle w:val="FootnoteReference"/>
          <w:iCs/>
          <w:szCs w:val="24"/>
          <w:lang w:eastAsia="lv-LV"/>
        </w:rPr>
        <w:footnoteReference w:id="18"/>
      </w:r>
      <w:r w:rsidRPr="0060557B">
        <w:rPr>
          <w:rFonts w:cs="Times New Roman"/>
          <w:iCs/>
          <w:szCs w:val="24"/>
          <w:lang w:eastAsia="lv-LV"/>
        </w:rPr>
        <w:t xml:space="preserve"> novērtējumu.</w:t>
      </w:r>
      <w:r w:rsidRPr="00A024A0">
        <w:rPr>
          <w:rFonts w:cs="Times New Roman"/>
          <w:iCs/>
          <w:szCs w:val="24"/>
          <w:lang w:eastAsia="lv-LV"/>
        </w:rPr>
        <w:t xml:space="preserve"> </w:t>
      </w:r>
    </w:p>
    <w:p w14:paraId="206E4DFB" w14:textId="77777777" w:rsidR="00350D29" w:rsidRDefault="00350D29" w:rsidP="00350D29">
      <w:pPr>
        <w:autoSpaceDE w:val="0"/>
        <w:autoSpaceDN w:val="0"/>
        <w:adjustRightInd w:val="0"/>
        <w:spacing w:after="120" w:line="240" w:lineRule="auto"/>
        <w:ind w:firstLine="426"/>
        <w:jc w:val="both"/>
        <w:rPr>
          <w:rFonts w:cs="Times New Roman"/>
          <w:iCs/>
          <w:szCs w:val="24"/>
          <w:lang w:eastAsia="lv-LV"/>
        </w:rPr>
      </w:pPr>
      <w:r>
        <w:rPr>
          <w:rFonts w:cs="Times New Roman"/>
          <w:iCs/>
          <w:szCs w:val="24"/>
          <w:lang w:eastAsia="lv-LV"/>
        </w:rPr>
        <w:t xml:space="preserve">Veicot mikrosimulācijas, Latvijas Banka veica normatīvajos aktos noteiktā zemākā minimālā ienākuma sliekšņa (20% no rīcībā esošās ienākumu mediānas) prognozes, balstoties uz makro rādītājiem – reālais iekšzemes kopprodukts, bezdarbs, reālā alga, sociālie pabalsti. Mikrosimulācijas dati apliecina arī LM veikto aprēķinu ticamību (skat. 3.tabulu), kas tiks izmantoti minimālo ienākumu sliekšņu pārskatīšanas finanšu ietekmes analīzei. </w:t>
      </w:r>
    </w:p>
    <w:p w14:paraId="1EA8293E"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3442FE80"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22D949EB" w14:textId="77777777" w:rsidR="00350D29" w:rsidRPr="00F94317" w:rsidRDefault="00350D29" w:rsidP="00350D29">
      <w:pPr>
        <w:autoSpaceDE w:val="0"/>
        <w:autoSpaceDN w:val="0"/>
        <w:adjustRightInd w:val="0"/>
        <w:spacing w:after="120" w:line="240" w:lineRule="auto"/>
        <w:ind w:left="426"/>
        <w:jc w:val="both"/>
        <w:rPr>
          <w:rFonts w:cs="Times New Roman"/>
          <w:i/>
          <w:iCs/>
          <w:szCs w:val="24"/>
          <w:lang w:eastAsia="lv-LV"/>
        </w:rPr>
      </w:pPr>
      <w:r w:rsidRPr="00F94317">
        <w:rPr>
          <w:rFonts w:cs="Times New Roman"/>
          <w:i/>
          <w:iCs/>
          <w:szCs w:val="24"/>
          <w:lang w:eastAsia="lv-LV"/>
        </w:rPr>
        <w:t>1.attēls. Minimālā ienākuma sliekšņa</w:t>
      </w:r>
      <w:r>
        <w:rPr>
          <w:rFonts w:cs="Times New Roman"/>
          <w:i/>
          <w:iCs/>
          <w:szCs w:val="24"/>
          <w:lang w:eastAsia="lv-LV"/>
        </w:rPr>
        <w:t xml:space="preserve"> (</w:t>
      </w:r>
      <w:r w:rsidRPr="00362251">
        <w:rPr>
          <w:rFonts w:cs="Times New Roman"/>
          <w:i/>
          <w:iCs/>
          <w:szCs w:val="24"/>
          <w:lang w:eastAsia="lv-LV"/>
        </w:rPr>
        <w:t>20% no rīcībā esošās ienākumu mediānas</w:t>
      </w:r>
      <w:r>
        <w:rPr>
          <w:rFonts w:cs="Times New Roman"/>
          <w:i/>
          <w:iCs/>
          <w:szCs w:val="24"/>
          <w:lang w:eastAsia="lv-LV"/>
        </w:rPr>
        <w:t>)</w:t>
      </w:r>
      <w:r w:rsidRPr="00F94317">
        <w:rPr>
          <w:rFonts w:cs="Times New Roman"/>
          <w:i/>
          <w:iCs/>
          <w:szCs w:val="24"/>
          <w:lang w:eastAsia="lv-LV"/>
        </w:rPr>
        <w:t xml:space="preserve"> </w:t>
      </w:r>
      <w:r>
        <w:rPr>
          <w:rFonts w:cs="Times New Roman"/>
          <w:i/>
          <w:iCs/>
          <w:szCs w:val="24"/>
          <w:lang w:eastAsia="lv-LV"/>
        </w:rPr>
        <w:t>aktuālā</w:t>
      </w:r>
      <w:r w:rsidRPr="00F94317">
        <w:rPr>
          <w:rFonts w:cs="Times New Roman"/>
          <w:i/>
          <w:iCs/>
          <w:szCs w:val="24"/>
          <w:lang w:eastAsia="lv-LV"/>
        </w:rPr>
        <w:t xml:space="preserve"> vērtība 2021. un 2022.gadā un prognozes 2023.-2025.gadam (EUR mēnesī)</w:t>
      </w:r>
    </w:p>
    <w:p w14:paraId="04F586DB" w14:textId="77777777" w:rsidR="00350D29" w:rsidRDefault="00350D29" w:rsidP="00350D29">
      <w:pPr>
        <w:autoSpaceDE w:val="0"/>
        <w:autoSpaceDN w:val="0"/>
        <w:adjustRightInd w:val="0"/>
        <w:spacing w:after="120" w:line="240" w:lineRule="auto"/>
        <w:ind w:firstLine="426"/>
        <w:jc w:val="center"/>
        <w:rPr>
          <w:rFonts w:cs="Times New Roman"/>
          <w:iCs/>
          <w:szCs w:val="24"/>
          <w:lang w:eastAsia="lv-LV"/>
        </w:rPr>
      </w:pPr>
      <w:r>
        <w:rPr>
          <w:noProof/>
          <w:lang w:eastAsia="lv-LV"/>
        </w:rPr>
        <w:drawing>
          <wp:inline distT="0" distB="0" distL="0" distR="0" wp14:anchorId="0646F894" wp14:editId="6BBAFE56">
            <wp:extent cx="4210685" cy="2418080"/>
            <wp:effectExtent l="0" t="0" r="18415" b="1270"/>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AEF396-CE7B-48A0-AE32-AD04F200E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4321CD" w14:textId="77777777" w:rsidR="00350D29" w:rsidRPr="00851799" w:rsidRDefault="00350D29" w:rsidP="00350D29">
      <w:pPr>
        <w:autoSpaceDE w:val="0"/>
        <w:autoSpaceDN w:val="0"/>
        <w:adjustRightInd w:val="0"/>
        <w:spacing w:after="120" w:line="240" w:lineRule="auto"/>
        <w:ind w:left="720" w:firstLine="720"/>
        <w:jc w:val="both"/>
        <w:rPr>
          <w:rFonts w:cs="Times New Roman"/>
          <w:iCs/>
          <w:sz w:val="20"/>
          <w:szCs w:val="24"/>
        </w:rPr>
      </w:pPr>
      <w:r w:rsidRPr="00851799">
        <w:rPr>
          <w:rFonts w:cs="Times New Roman"/>
          <w:iCs/>
          <w:sz w:val="20"/>
          <w:szCs w:val="24"/>
        </w:rPr>
        <w:t>Avots: Latvijas Bankas mikrosimulāciju dati.</w:t>
      </w:r>
    </w:p>
    <w:p w14:paraId="5C748FAF" w14:textId="77777777" w:rsidR="00350D29" w:rsidRDefault="00350D29" w:rsidP="00350D29">
      <w:pPr>
        <w:autoSpaceDE w:val="0"/>
        <w:autoSpaceDN w:val="0"/>
        <w:adjustRightInd w:val="0"/>
        <w:spacing w:after="120" w:line="240" w:lineRule="auto"/>
        <w:ind w:firstLine="426"/>
        <w:jc w:val="both"/>
        <w:rPr>
          <w:rFonts w:cs="Times New Roman"/>
          <w:iCs/>
          <w:szCs w:val="24"/>
          <w:lang w:eastAsia="lv-LV"/>
        </w:rPr>
      </w:pPr>
    </w:p>
    <w:p w14:paraId="5B223A68" w14:textId="2D231F53" w:rsidR="00B57641" w:rsidRDefault="00B57641" w:rsidP="00B57641">
      <w:pPr>
        <w:autoSpaceDE w:val="0"/>
        <w:autoSpaceDN w:val="0"/>
        <w:adjustRightInd w:val="0"/>
        <w:spacing w:after="120" w:line="240" w:lineRule="auto"/>
        <w:ind w:firstLine="426"/>
        <w:jc w:val="both"/>
        <w:rPr>
          <w:rFonts w:cs="Times New Roman"/>
          <w:iCs/>
          <w:szCs w:val="24"/>
          <w:lang w:eastAsia="lv-LV"/>
        </w:rPr>
      </w:pPr>
      <w:r w:rsidRPr="00A024A0">
        <w:rPr>
          <w:rFonts w:cs="Times New Roman"/>
          <w:iCs/>
          <w:szCs w:val="24"/>
          <w:lang w:eastAsia="lv-LV"/>
        </w:rPr>
        <w:t>Iegūtie dati rāda, ka</w:t>
      </w:r>
      <w:r>
        <w:rPr>
          <w:rFonts w:cs="Times New Roman"/>
          <w:iCs/>
          <w:szCs w:val="24"/>
          <w:lang w:eastAsia="lv-LV"/>
        </w:rPr>
        <w:t xml:space="preserve"> abi scenāriji (1.scenārijs – minimāl</w:t>
      </w:r>
      <w:r w:rsidR="00D51239">
        <w:rPr>
          <w:rFonts w:cs="Times New Roman"/>
          <w:iCs/>
          <w:szCs w:val="24"/>
          <w:lang w:eastAsia="lv-LV"/>
        </w:rPr>
        <w:t>o</w:t>
      </w:r>
      <w:r>
        <w:rPr>
          <w:rFonts w:cs="Times New Roman"/>
          <w:iCs/>
          <w:szCs w:val="24"/>
          <w:lang w:eastAsia="lv-LV"/>
        </w:rPr>
        <w:t xml:space="preserve"> ienākumu sliekšņi mainās katru gadu; 2.scenārijs – minimāl</w:t>
      </w:r>
      <w:r w:rsidR="00D51239">
        <w:rPr>
          <w:rFonts w:cs="Times New Roman"/>
          <w:iCs/>
          <w:szCs w:val="24"/>
          <w:lang w:eastAsia="lv-LV"/>
        </w:rPr>
        <w:t>o</w:t>
      </w:r>
      <w:r>
        <w:rPr>
          <w:rFonts w:cs="Times New Roman"/>
          <w:iCs/>
          <w:szCs w:val="24"/>
          <w:lang w:eastAsia="lv-LV"/>
        </w:rPr>
        <w:t xml:space="preserve"> ienākumu sliekšņi mainās reizi trijos gadus, t.i., 2024.gadā)</w:t>
      </w:r>
      <w:r w:rsidRPr="00A024A0">
        <w:rPr>
          <w:rFonts w:cs="Times New Roman"/>
          <w:iCs/>
          <w:szCs w:val="24"/>
          <w:lang w:eastAsia="lv-LV"/>
        </w:rPr>
        <w:t xml:space="preserve"> rada tiešu un pozitīvu ietekmi uz personu </w:t>
      </w:r>
      <w:r>
        <w:rPr>
          <w:rFonts w:cs="Times New Roman"/>
          <w:iCs/>
          <w:szCs w:val="24"/>
          <w:lang w:eastAsia="lv-LV"/>
        </w:rPr>
        <w:t xml:space="preserve">un mājsaimniecību </w:t>
      </w:r>
      <w:r w:rsidRPr="00A024A0">
        <w:rPr>
          <w:rFonts w:cs="Times New Roman"/>
          <w:iCs/>
          <w:szCs w:val="24"/>
          <w:lang w:eastAsia="lv-LV"/>
        </w:rPr>
        <w:t xml:space="preserve">ienākumiem, mazinot </w:t>
      </w:r>
      <w:r>
        <w:rPr>
          <w:rFonts w:cs="Times New Roman"/>
          <w:iCs/>
          <w:szCs w:val="24"/>
          <w:lang w:eastAsia="lv-LV"/>
        </w:rPr>
        <w:t xml:space="preserve">to </w:t>
      </w:r>
      <w:r w:rsidRPr="00A024A0">
        <w:rPr>
          <w:rFonts w:cs="Times New Roman"/>
          <w:iCs/>
          <w:szCs w:val="24"/>
          <w:lang w:eastAsia="lv-LV"/>
        </w:rPr>
        <w:t>nabadzības risku un ienākumu nevienlīdzību</w:t>
      </w:r>
      <w:r>
        <w:rPr>
          <w:rFonts w:cs="Times New Roman"/>
          <w:iCs/>
          <w:szCs w:val="24"/>
          <w:lang w:eastAsia="lv-LV"/>
        </w:rPr>
        <w:t xml:space="preserve">, salīdzinot pret </w:t>
      </w:r>
      <w:r w:rsidR="009A43CF">
        <w:rPr>
          <w:rFonts w:cs="Times New Roman"/>
          <w:iCs/>
          <w:szCs w:val="24"/>
          <w:lang w:eastAsia="lv-LV"/>
        </w:rPr>
        <w:t>situāciju</w:t>
      </w:r>
      <w:r w:rsidR="00D51239">
        <w:rPr>
          <w:rFonts w:cs="Times New Roman"/>
          <w:iCs/>
          <w:szCs w:val="24"/>
          <w:lang w:eastAsia="lv-LV"/>
        </w:rPr>
        <w:t>,</w:t>
      </w:r>
      <w:r>
        <w:rPr>
          <w:rFonts w:cs="Times New Roman"/>
          <w:iCs/>
          <w:szCs w:val="24"/>
          <w:lang w:eastAsia="lv-LV"/>
        </w:rPr>
        <w:t xml:space="preserve"> kad minimāl</w:t>
      </w:r>
      <w:r w:rsidR="00D51239">
        <w:rPr>
          <w:rFonts w:cs="Times New Roman"/>
          <w:iCs/>
          <w:szCs w:val="24"/>
          <w:lang w:eastAsia="lv-LV"/>
        </w:rPr>
        <w:t>ā</w:t>
      </w:r>
      <w:r>
        <w:rPr>
          <w:rFonts w:cs="Times New Roman"/>
          <w:iCs/>
          <w:szCs w:val="24"/>
          <w:lang w:eastAsia="lv-LV"/>
        </w:rPr>
        <w:t xml:space="preserve"> ienākum</w:t>
      </w:r>
      <w:r w:rsidR="00D51239">
        <w:rPr>
          <w:rFonts w:cs="Times New Roman"/>
          <w:iCs/>
          <w:szCs w:val="24"/>
          <w:lang w:eastAsia="lv-LV"/>
        </w:rPr>
        <w:t>a</w:t>
      </w:r>
      <w:r>
        <w:rPr>
          <w:rFonts w:cs="Times New Roman"/>
          <w:iCs/>
          <w:szCs w:val="24"/>
          <w:lang w:eastAsia="lv-LV"/>
        </w:rPr>
        <w:t xml:space="preserve"> slieksnis netiek mainīts (bāzes scenārijs), tomēr šī ietekme ir atšķirīga atkarībā no izvēlētā scenārija</w:t>
      </w:r>
      <w:r w:rsidRPr="00A024A0">
        <w:rPr>
          <w:rFonts w:cs="Times New Roman"/>
          <w:iCs/>
          <w:szCs w:val="24"/>
          <w:lang w:eastAsia="lv-LV"/>
        </w:rPr>
        <w:t>.</w:t>
      </w:r>
    </w:p>
    <w:p w14:paraId="1F373424" w14:textId="793879D0" w:rsidR="00350D29" w:rsidRDefault="00350D29" w:rsidP="00350D29">
      <w:pPr>
        <w:autoSpaceDE w:val="0"/>
        <w:autoSpaceDN w:val="0"/>
        <w:adjustRightInd w:val="0"/>
        <w:spacing w:after="120" w:line="240" w:lineRule="auto"/>
        <w:ind w:firstLine="426"/>
        <w:jc w:val="both"/>
        <w:rPr>
          <w:rFonts w:cs="Times New Roman"/>
          <w:iCs/>
          <w:szCs w:val="24"/>
          <w:lang w:eastAsia="lv-LV"/>
        </w:rPr>
      </w:pPr>
      <w:r>
        <w:rPr>
          <w:rFonts w:cs="Times New Roman"/>
          <w:iCs/>
          <w:szCs w:val="24"/>
          <w:lang w:eastAsia="lv-LV"/>
        </w:rPr>
        <w:t>Atbilstoši mikrosimulāciju rezultātiem ir paredzama ienākumu nevienlīdzības samazināšanās abos scenārij</w:t>
      </w:r>
      <w:r w:rsidR="00D51239">
        <w:rPr>
          <w:rFonts w:cs="Times New Roman"/>
          <w:iCs/>
          <w:szCs w:val="24"/>
          <w:lang w:eastAsia="lv-LV"/>
        </w:rPr>
        <w:t>os</w:t>
      </w:r>
      <w:r>
        <w:rPr>
          <w:rFonts w:cs="Times New Roman"/>
          <w:iCs/>
          <w:szCs w:val="24"/>
          <w:lang w:eastAsia="lv-LV"/>
        </w:rPr>
        <w:t xml:space="preserve"> vidējā </w:t>
      </w:r>
      <w:r w:rsidR="00D51239">
        <w:rPr>
          <w:rFonts w:cs="Times New Roman"/>
          <w:iCs/>
          <w:szCs w:val="24"/>
          <w:lang w:eastAsia="lv-LV"/>
        </w:rPr>
        <w:t>(</w:t>
      </w:r>
      <w:r>
        <w:rPr>
          <w:rFonts w:cs="Times New Roman"/>
          <w:iCs/>
          <w:szCs w:val="24"/>
          <w:lang w:eastAsia="lv-LV"/>
        </w:rPr>
        <w:t>trīs gadu</w:t>
      </w:r>
      <w:r w:rsidR="00D51239">
        <w:rPr>
          <w:rFonts w:cs="Times New Roman"/>
          <w:iCs/>
          <w:szCs w:val="24"/>
          <w:lang w:eastAsia="lv-LV"/>
        </w:rPr>
        <w:t>)</w:t>
      </w:r>
      <w:r>
        <w:rPr>
          <w:rFonts w:cs="Times New Roman"/>
          <w:iCs/>
          <w:szCs w:val="24"/>
          <w:lang w:eastAsia="lv-LV"/>
        </w:rPr>
        <w:t xml:space="preserve"> termiņā. Palielinot minimālo ienākumu sliekšņus katru gadu (1.scenārijs), Džini </w:t>
      </w:r>
      <w:r w:rsidR="00CF6B56">
        <w:rPr>
          <w:rFonts w:cs="Times New Roman"/>
          <w:iCs/>
          <w:szCs w:val="24"/>
          <w:lang w:eastAsia="lv-LV"/>
        </w:rPr>
        <w:t>koeficienta</w:t>
      </w:r>
      <w:r>
        <w:rPr>
          <w:rFonts w:cs="Times New Roman"/>
          <w:iCs/>
          <w:szCs w:val="24"/>
          <w:lang w:eastAsia="lv-LV"/>
        </w:rPr>
        <w:t xml:space="preserve">, kā arī S80/S20 ienākumu attiecību indeksa samazinājuma tendence ir pakāpeniska ik gadu, turpretim minimālo ienākumu sliekšņus pārskatot 2024.gadā, t.i., pēc trīs gadiem (2.scenārijs), 2022.-2023.gadā paredzama ienākumu nevienlīdzības palielināšanās, rādītājiem izlīdzinoties </w:t>
      </w:r>
      <w:r w:rsidRPr="00D1516F">
        <w:rPr>
          <w:rFonts w:cs="Times New Roman"/>
          <w:iCs/>
          <w:szCs w:val="24"/>
          <w:lang w:eastAsia="lv-LV"/>
        </w:rPr>
        <w:t>tikai 2024.gadā. Džini</w:t>
      </w:r>
      <w:r>
        <w:rPr>
          <w:rFonts w:cs="Times New Roman"/>
          <w:iCs/>
          <w:szCs w:val="24"/>
          <w:lang w:eastAsia="lv-LV"/>
        </w:rPr>
        <w:t xml:space="preserve"> koeficients 2019.gadā bija 34,5. Nepalielinot minimālo ienākumu sliekšņus, Džini koeficients provizoriski pieaugs ik gadu, savukārt regulāri palielinot minimālo ienākumu sliekšņus, Džini koeficienta pieauguma tendence ir ievērojami zemāka. Ikgadēja minimālā ienākuma sliekšņa palielināšana nenoliedzami pozitīvāk ietekmē ie</w:t>
      </w:r>
      <w:r w:rsidR="00CF6B56">
        <w:rPr>
          <w:rFonts w:cs="Times New Roman"/>
          <w:iCs/>
          <w:szCs w:val="24"/>
          <w:lang w:eastAsia="lv-LV"/>
        </w:rPr>
        <w:t>nākumu nevienlīdzības izmaiņas</w:t>
      </w:r>
      <w:r w:rsidRPr="007E4812">
        <w:rPr>
          <w:rFonts w:cs="Times New Roman"/>
          <w:iCs/>
          <w:szCs w:val="24"/>
          <w:lang w:eastAsia="lv-LV"/>
        </w:rPr>
        <w:t xml:space="preserve">. Kā redzams 1.attēlā 1.scenārija </w:t>
      </w:r>
      <w:r w:rsidR="007E4812" w:rsidRPr="007E4812">
        <w:rPr>
          <w:rFonts w:cs="Times New Roman"/>
          <w:iCs/>
          <w:szCs w:val="24"/>
          <w:lang w:eastAsia="lv-LV"/>
        </w:rPr>
        <w:t>gadījumā (ikgadēja pārskatīšana)</w:t>
      </w:r>
      <w:r w:rsidR="007E4812">
        <w:rPr>
          <w:rFonts w:cs="Times New Roman"/>
          <w:iCs/>
          <w:szCs w:val="24"/>
          <w:lang w:eastAsia="lv-LV"/>
        </w:rPr>
        <w:t>, salīdzinot ar bāzes scenāriju,</w:t>
      </w:r>
      <w:r w:rsidR="007E4812" w:rsidRPr="007E4812">
        <w:rPr>
          <w:rFonts w:cs="Times New Roman"/>
          <w:iCs/>
          <w:szCs w:val="24"/>
          <w:lang w:eastAsia="lv-LV"/>
        </w:rPr>
        <w:t xml:space="preserve"> Džini koeficients samazināsies katru gadu, </w:t>
      </w:r>
      <w:r w:rsidR="007E4812">
        <w:rPr>
          <w:rFonts w:cs="Times New Roman"/>
          <w:iCs/>
          <w:szCs w:val="24"/>
          <w:lang w:eastAsia="lv-LV"/>
        </w:rPr>
        <w:t>vienlaicīgi katru</w:t>
      </w:r>
      <w:r w:rsidR="001C40C8">
        <w:rPr>
          <w:rFonts w:cs="Times New Roman"/>
          <w:iCs/>
          <w:szCs w:val="24"/>
          <w:lang w:eastAsia="lv-LV"/>
        </w:rPr>
        <w:t xml:space="preserve"> gadu</w:t>
      </w:r>
      <w:r w:rsidR="007E4812">
        <w:rPr>
          <w:rFonts w:cs="Times New Roman"/>
          <w:iCs/>
          <w:szCs w:val="24"/>
          <w:lang w:eastAsia="lv-LV"/>
        </w:rPr>
        <w:t xml:space="preserve"> palielinoties</w:t>
      </w:r>
      <w:r w:rsidR="007E4812" w:rsidRPr="007E4812">
        <w:rPr>
          <w:rFonts w:cs="Times New Roman"/>
          <w:iCs/>
          <w:szCs w:val="24"/>
          <w:lang w:eastAsia="lv-LV"/>
        </w:rPr>
        <w:t xml:space="preserve"> arī samazinājuma</w:t>
      </w:r>
      <w:r w:rsidR="007E4812">
        <w:rPr>
          <w:rFonts w:cs="Times New Roman"/>
          <w:iCs/>
          <w:szCs w:val="24"/>
          <w:lang w:eastAsia="lv-LV"/>
        </w:rPr>
        <w:t xml:space="preserve"> ietekmei</w:t>
      </w:r>
      <w:r w:rsidR="007E4812" w:rsidRPr="007E4812">
        <w:rPr>
          <w:rFonts w:cs="Times New Roman"/>
          <w:iCs/>
          <w:szCs w:val="24"/>
          <w:lang w:eastAsia="lv-LV"/>
        </w:rPr>
        <w:t>, no</w:t>
      </w:r>
      <w:r w:rsidR="00CF6B56">
        <w:rPr>
          <w:rFonts w:cs="Times New Roman"/>
          <w:iCs/>
          <w:szCs w:val="24"/>
          <w:lang w:eastAsia="lv-LV"/>
        </w:rPr>
        <w:t xml:space="preserve"> 0,9</w:t>
      </w:r>
      <w:r w:rsidRPr="007E4812">
        <w:rPr>
          <w:rFonts w:cs="Times New Roman"/>
          <w:iCs/>
          <w:szCs w:val="24"/>
          <w:lang w:eastAsia="lv-LV"/>
        </w:rPr>
        <w:t xml:space="preserve">% </w:t>
      </w:r>
      <w:r w:rsidR="00CF6B56">
        <w:rPr>
          <w:rFonts w:cs="Times New Roman"/>
          <w:iCs/>
          <w:szCs w:val="24"/>
          <w:lang w:eastAsia="lv-LV"/>
        </w:rPr>
        <w:t>2023</w:t>
      </w:r>
      <w:r w:rsidR="007E4812">
        <w:rPr>
          <w:rFonts w:cs="Times New Roman"/>
          <w:iCs/>
          <w:szCs w:val="24"/>
          <w:lang w:eastAsia="lv-LV"/>
        </w:rPr>
        <w:t xml:space="preserve">.gadā līdz </w:t>
      </w:r>
      <w:r w:rsidR="001C40C8">
        <w:rPr>
          <w:rFonts w:cs="Times New Roman"/>
          <w:iCs/>
          <w:szCs w:val="24"/>
          <w:lang w:eastAsia="lv-LV"/>
        </w:rPr>
        <w:t>2,</w:t>
      </w:r>
      <w:r w:rsidR="007E4812" w:rsidRPr="007E4812">
        <w:rPr>
          <w:rFonts w:cs="Times New Roman"/>
          <w:iCs/>
          <w:szCs w:val="24"/>
          <w:lang w:eastAsia="lv-LV"/>
        </w:rPr>
        <w:t>1%</w:t>
      </w:r>
      <w:r w:rsidRPr="007E4812">
        <w:rPr>
          <w:rFonts w:cs="Times New Roman"/>
          <w:iCs/>
          <w:szCs w:val="24"/>
          <w:lang w:eastAsia="lv-LV"/>
        </w:rPr>
        <w:t xml:space="preserve"> </w:t>
      </w:r>
      <w:r w:rsidR="00834B39" w:rsidRPr="007E4812">
        <w:rPr>
          <w:rFonts w:cs="Times New Roman"/>
          <w:iCs/>
          <w:szCs w:val="24"/>
          <w:lang w:eastAsia="lv-LV"/>
        </w:rPr>
        <w:t>202</w:t>
      </w:r>
      <w:r w:rsidR="007E4812">
        <w:rPr>
          <w:rFonts w:cs="Times New Roman"/>
          <w:iCs/>
          <w:szCs w:val="24"/>
          <w:lang w:eastAsia="lv-LV"/>
        </w:rPr>
        <w:t>5</w:t>
      </w:r>
      <w:r w:rsidR="001C40C8">
        <w:rPr>
          <w:rFonts w:cs="Times New Roman"/>
          <w:iCs/>
          <w:szCs w:val="24"/>
          <w:lang w:eastAsia="lv-LV"/>
        </w:rPr>
        <w:t>.</w:t>
      </w:r>
      <w:r w:rsidR="00834B39" w:rsidRPr="007E4812">
        <w:rPr>
          <w:rFonts w:cs="Times New Roman"/>
          <w:iCs/>
          <w:szCs w:val="24"/>
          <w:lang w:eastAsia="lv-LV"/>
        </w:rPr>
        <w:t>gadā</w:t>
      </w:r>
      <w:r w:rsidRPr="007E4812">
        <w:rPr>
          <w:rFonts w:cs="Times New Roman"/>
          <w:iCs/>
          <w:szCs w:val="24"/>
          <w:lang w:eastAsia="lv-LV"/>
        </w:rPr>
        <w:t>.</w:t>
      </w:r>
      <w:r w:rsidR="007E4812">
        <w:rPr>
          <w:rFonts w:cs="Times New Roman"/>
          <w:iCs/>
          <w:szCs w:val="24"/>
          <w:lang w:eastAsia="lv-LV"/>
        </w:rPr>
        <w:t xml:space="preserve"> </w:t>
      </w:r>
      <w:r w:rsidR="001C40C8">
        <w:rPr>
          <w:rFonts w:cs="Times New Roman"/>
          <w:iCs/>
          <w:szCs w:val="24"/>
          <w:lang w:eastAsia="lv-LV"/>
        </w:rPr>
        <w:t>Savukārt 2.scenārija gadījumā (pārskatīšana pēc trīs gadiem) būtisks Džini koeficienta samazinājums tiek prognozēts 2024.gadā  - par 1,6%.</w:t>
      </w:r>
    </w:p>
    <w:p w14:paraId="3346FE9B" w14:textId="77777777" w:rsidR="00665C41" w:rsidRDefault="00665C41" w:rsidP="00350D29">
      <w:pPr>
        <w:autoSpaceDE w:val="0"/>
        <w:autoSpaceDN w:val="0"/>
        <w:adjustRightInd w:val="0"/>
        <w:spacing w:after="120" w:line="240" w:lineRule="auto"/>
        <w:ind w:firstLine="426"/>
        <w:jc w:val="both"/>
        <w:rPr>
          <w:rFonts w:cs="Times New Roman"/>
          <w:iCs/>
          <w:szCs w:val="24"/>
          <w:lang w:eastAsia="lv-LV"/>
        </w:rPr>
      </w:pPr>
    </w:p>
    <w:p w14:paraId="729606D1"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00906BAD"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3F7F871E"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31AC05B2"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2F63436C"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0E1E6433"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3EF6A376"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0E1B199B" w14:textId="65122F03" w:rsidR="00350D29" w:rsidRPr="005149EA" w:rsidRDefault="00350D29" w:rsidP="00350D29">
      <w:pPr>
        <w:autoSpaceDE w:val="0"/>
        <w:autoSpaceDN w:val="0"/>
        <w:adjustRightInd w:val="0"/>
        <w:spacing w:after="120" w:line="240" w:lineRule="auto"/>
        <w:ind w:firstLine="426"/>
        <w:jc w:val="both"/>
        <w:rPr>
          <w:rFonts w:cs="Times New Roman"/>
          <w:i/>
          <w:iCs/>
          <w:szCs w:val="24"/>
          <w:lang w:eastAsia="lv-LV"/>
        </w:rPr>
      </w:pPr>
      <w:r w:rsidRPr="005149EA">
        <w:rPr>
          <w:rFonts w:cs="Times New Roman"/>
          <w:i/>
          <w:iCs/>
          <w:szCs w:val="24"/>
          <w:lang w:eastAsia="lv-LV"/>
        </w:rPr>
        <w:t>1.attēls</w:t>
      </w:r>
      <w:r w:rsidR="005149EA" w:rsidRPr="005149EA">
        <w:rPr>
          <w:rFonts w:cs="Times New Roman"/>
          <w:i/>
          <w:iCs/>
          <w:szCs w:val="24"/>
          <w:lang w:eastAsia="lv-LV"/>
        </w:rPr>
        <w:t>. Džini koeficient</w:t>
      </w:r>
      <w:r w:rsidR="0054020B">
        <w:rPr>
          <w:rFonts w:cs="Times New Roman"/>
          <w:i/>
          <w:iCs/>
          <w:szCs w:val="24"/>
          <w:lang w:eastAsia="lv-LV"/>
        </w:rPr>
        <w:t>a</w:t>
      </w:r>
      <w:r w:rsidR="005149EA" w:rsidRPr="005149EA">
        <w:rPr>
          <w:rFonts w:cs="Times New Roman"/>
          <w:i/>
          <w:iCs/>
          <w:szCs w:val="24"/>
          <w:lang w:eastAsia="lv-LV"/>
        </w:rPr>
        <w:t xml:space="preserve"> izmaiņas % pret 2021.gadu</w:t>
      </w:r>
      <w:r w:rsidR="005149EA">
        <w:rPr>
          <w:rFonts w:cs="Times New Roman"/>
          <w:i/>
          <w:iCs/>
          <w:szCs w:val="24"/>
          <w:lang w:eastAsia="lv-LV"/>
        </w:rPr>
        <w:t>.</w:t>
      </w:r>
    </w:p>
    <w:p w14:paraId="40B1FBF7" w14:textId="77777777" w:rsidR="00350D29" w:rsidRDefault="00350D29" w:rsidP="00350D29">
      <w:pPr>
        <w:autoSpaceDE w:val="0"/>
        <w:autoSpaceDN w:val="0"/>
        <w:adjustRightInd w:val="0"/>
        <w:spacing w:after="120" w:line="240" w:lineRule="auto"/>
        <w:jc w:val="center"/>
        <w:rPr>
          <w:rFonts w:cs="Times New Roman"/>
          <w:iCs/>
          <w:szCs w:val="24"/>
          <w:lang w:eastAsia="lv-LV"/>
        </w:rPr>
      </w:pPr>
      <w:r>
        <w:rPr>
          <w:noProof/>
          <w:lang w:eastAsia="lv-LV"/>
        </w:rPr>
        <w:drawing>
          <wp:inline distT="0" distB="0" distL="0" distR="0" wp14:anchorId="7FBC0866" wp14:editId="77623A5D">
            <wp:extent cx="4541520" cy="2247900"/>
            <wp:effectExtent l="0" t="0" r="11430"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983FB1-E289-4B54-BE70-1A4FF3286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1C1677" w14:textId="77777777" w:rsidR="00350D29" w:rsidRPr="00851799" w:rsidRDefault="00350D29" w:rsidP="00350D29">
      <w:pPr>
        <w:autoSpaceDE w:val="0"/>
        <w:autoSpaceDN w:val="0"/>
        <w:adjustRightInd w:val="0"/>
        <w:spacing w:after="120" w:line="240" w:lineRule="auto"/>
        <w:ind w:left="720"/>
        <w:jc w:val="both"/>
        <w:rPr>
          <w:rFonts w:cs="Times New Roman"/>
          <w:iCs/>
          <w:sz w:val="20"/>
          <w:szCs w:val="24"/>
        </w:rPr>
      </w:pPr>
      <w:r w:rsidRPr="00851799">
        <w:rPr>
          <w:rFonts w:cs="Times New Roman"/>
          <w:iCs/>
          <w:sz w:val="20"/>
          <w:szCs w:val="24"/>
        </w:rPr>
        <w:t>Avots: Latvijas Bankas mikrosimulāciju dati.</w:t>
      </w:r>
    </w:p>
    <w:p w14:paraId="399564C0" w14:textId="77777777" w:rsidR="00665C41" w:rsidRDefault="00665C41" w:rsidP="00350D29">
      <w:pPr>
        <w:autoSpaceDE w:val="0"/>
        <w:autoSpaceDN w:val="0"/>
        <w:adjustRightInd w:val="0"/>
        <w:spacing w:after="120" w:line="240" w:lineRule="auto"/>
        <w:ind w:firstLine="426"/>
        <w:jc w:val="both"/>
        <w:rPr>
          <w:rFonts w:cs="Times New Roman"/>
          <w:iCs/>
          <w:szCs w:val="24"/>
        </w:rPr>
      </w:pPr>
    </w:p>
    <w:p w14:paraId="375ECF13" w14:textId="1E12E113" w:rsidR="00350D29"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 xml:space="preserve">Līdzīgas tendences tiek prognozētas arī attiecībā uz nabadzības riska indeksu (skat. 2.attēlu). Nabadzības riska indekss 2019.gadā Latvijā bija 21,6%. Izmaiņu neieviešanas gadījumā (bāzes scenārijs) nabadzības riska indekss ik gadu palielinātos, savukārt, palielinot minimālo ienākumu sliekšņus ik gadu (1.scenārijs), nabadzības riska indekss attiecīgi arī pakāpeniski samazinātos katru gadu, bet, palielinot minimālā ienākuma sliekšņus 2024.gadā, nabadzības riska indeksa samazinājuma tendence attiecīgajā gadā būtu līdzvērtīga 1.scenārija gadījumā, bet iepriekšējos gados – 2022. un 2023.gadā saglabātos bāzes scenārija līmenī. </w:t>
      </w:r>
    </w:p>
    <w:p w14:paraId="62046BC5" w14:textId="77777777" w:rsidR="00CF6B56" w:rsidRDefault="00CF6B56" w:rsidP="00350D29">
      <w:pPr>
        <w:autoSpaceDE w:val="0"/>
        <w:autoSpaceDN w:val="0"/>
        <w:adjustRightInd w:val="0"/>
        <w:spacing w:after="120" w:line="240" w:lineRule="auto"/>
        <w:ind w:firstLine="426"/>
        <w:jc w:val="both"/>
        <w:rPr>
          <w:rFonts w:cs="Times New Roman"/>
          <w:iCs/>
          <w:szCs w:val="24"/>
        </w:rPr>
      </w:pPr>
    </w:p>
    <w:p w14:paraId="4B3AE537" w14:textId="45C8E723" w:rsidR="00350D29" w:rsidRPr="0054020B" w:rsidRDefault="00350D29" w:rsidP="00350D29">
      <w:pPr>
        <w:autoSpaceDE w:val="0"/>
        <w:autoSpaceDN w:val="0"/>
        <w:adjustRightInd w:val="0"/>
        <w:spacing w:after="120" w:line="240" w:lineRule="auto"/>
        <w:ind w:firstLine="426"/>
        <w:jc w:val="both"/>
        <w:rPr>
          <w:rFonts w:cs="Times New Roman"/>
          <w:i/>
          <w:iCs/>
          <w:szCs w:val="24"/>
        </w:rPr>
      </w:pPr>
      <w:r>
        <w:rPr>
          <w:rFonts w:cs="Times New Roman"/>
          <w:iCs/>
          <w:szCs w:val="24"/>
        </w:rPr>
        <w:tab/>
      </w:r>
      <w:r>
        <w:rPr>
          <w:rFonts w:cs="Times New Roman"/>
          <w:iCs/>
          <w:szCs w:val="24"/>
        </w:rPr>
        <w:tab/>
      </w:r>
      <w:r w:rsidRPr="0054020B">
        <w:rPr>
          <w:rFonts w:cs="Times New Roman"/>
          <w:i/>
          <w:iCs/>
          <w:szCs w:val="24"/>
        </w:rPr>
        <w:t xml:space="preserve">2.attēls. </w:t>
      </w:r>
      <w:r w:rsidR="0054020B" w:rsidRPr="0054020B">
        <w:rPr>
          <w:rFonts w:cs="Times New Roman"/>
          <w:i/>
          <w:iCs/>
          <w:szCs w:val="24"/>
        </w:rPr>
        <w:t>Nabadzības riska īpatsvara izmaiņas % pret 2021.gadu.</w:t>
      </w:r>
    </w:p>
    <w:p w14:paraId="2D785C9A" w14:textId="77777777" w:rsidR="00350D29" w:rsidRDefault="00350D29" w:rsidP="00350D29">
      <w:pPr>
        <w:autoSpaceDE w:val="0"/>
        <w:autoSpaceDN w:val="0"/>
        <w:adjustRightInd w:val="0"/>
        <w:spacing w:after="120" w:line="240" w:lineRule="auto"/>
        <w:ind w:firstLine="426"/>
        <w:jc w:val="center"/>
        <w:rPr>
          <w:rFonts w:cs="Times New Roman"/>
          <w:iCs/>
          <w:szCs w:val="24"/>
        </w:rPr>
      </w:pPr>
      <w:r>
        <w:rPr>
          <w:noProof/>
          <w:lang w:eastAsia="lv-LV"/>
        </w:rPr>
        <w:drawing>
          <wp:inline distT="0" distB="0" distL="0" distR="0" wp14:anchorId="39F1976B" wp14:editId="044AA523">
            <wp:extent cx="3741420" cy="2141220"/>
            <wp:effectExtent l="0" t="0" r="11430" b="11430"/>
            <wp:docPr id="4"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8AF0FE-B104-4189-A447-A97118103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854FD1" w14:textId="77777777" w:rsidR="00350D29" w:rsidRPr="00851799" w:rsidRDefault="00350D29" w:rsidP="00350D29">
      <w:pPr>
        <w:autoSpaceDE w:val="0"/>
        <w:autoSpaceDN w:val="0"/>
        <w:adjustRightInd w:val="0"/>
        <w:spacing w:after="120" w:line="240" w:lineRule="auto"/>
        <w:ind w:left="720" w:firstLine="720"/>
        <w:jc w:val="both"/>
        <w:rPr>
          <w:rFonts w:cs="Times New Roman"/>
          <w:iCs/>
          <w:sz w:val="20"/>
          <w:szCs w:val="24"/>
        </w:rPr>
      </w:pPr>
      <w:r w:rsidRPr="00851799">
        <w:rPr>
          <w:rFonts w:cs="Times New Roman"/>
          <w:iCs/>
          <w:sz w:val="20"/>
          <w:szCs w:val="24"/>
        </w:rPr>
        <w:t>Avots: Latvijas Bankas mikrosimulāciju dati.</w:t>
      </w:r>
    </w:p>
    <w:p w14:paraId="4E8F88DF" w14:textId="114AC73B" w:rsidR="00A654D7" w:rsidRDefault="00A654D7" w:rsidP="00A654D7">
      <w:pPr>
        <w:autoSpaceDE w:val="0"/>
        <w:autoSpaceDN w:val="0"/>
        <w:adjustRightInd w:val="0"/>
        <w:spacing w:after="120" w:line="240" w:lineRule="auto"/>
        <w:ind w:firstLine="426"/>
        <w:jc w:val="both"/>
        <w:rPr>
          <w:rFonts w:cs="Times New Roman"/>
          <w:iCs/>
          <w:szCs w:val="24"/>
        </w:rPr>
      </w:pPr>
      <w:r>
        <w:rPr>
          <w:rFonts w:cs="Times New Roman"/>
          <w:iCs/>
          <w:szCs w:val="24"/>
        </w:rPr>
        <w:t xml:space="preserve">Pārskatot minimālo ienākumu sliekšņus ik gadu </w:t>
      </w:r>
      <w:r w:rsidR="00915891">
        <w:rPr>
          <w:rFonts w:cs="Times New Roman"/>
          <w:iCs/>
          <w:szCs w:val="24"/>
        </w:rPr>
        <w:t xml:space="preserve">(1.scenārijs, 3.attēls), tā rezultātā </w:t>
      </w:r>
      <w:r>
        <w:rPr>
          <w:rFonts w:cs="Times New Roman"/>
          <w:iCs/>
          <w:szCs w:val="24"/>
        </w:rPr>
        <w:t>palielinās</w:t>
      </w:r>
      <w:r w:rsidR="00915891">
        <w:rPr>
          <w:rFonts w:cs="Times New Roman"/>
          <w:iCs/>
          <w:szCs w:val="24"/>
        </w:rPr>
        <w:t>ies ienākumi iedzīvotājiem</w:t>
      </w:r>
      <w:r>
        <w:rPr>
          <w:rFonts w:cs="Times New Roman"/>
          <w:iCs/>
          <w:szCs w:val="24"/>
        </w:rPr>
        <w:t xml:space="preserve"> zemākajās ienākumu decilēs</w:t>
      </w:r>
      <w:r w:rsidR="00915891">
        <w:rPr>
          <w:rFonts w:cs="Times New Roman"/>
          <w:iCs/>
          <w:szCs w:val="24"/>
        </w:rPr>
        <w:t>,</w:t>
      </w:r>
      <w:r>
        <w:rPr>
          <w:rFonts w:cs="Times New Roman"/>
          <w:iCs/>
          <w:szCs w:val="24"/>
        </w:rPr>
        <w:t xml:space="preserve"> </w:t>
      </w:r>
      <w:r w:rsidR="00915891">
        <w:rPr>
          <w:rFonts w:cs="Times New Roman"/>
          <w:iCs/>
          <w:szCs w:val="24"/>
        </w:rPr>
        <w:t xml:space="preserve">kas arī norāda uz minimālo ienākumu sliekšņu mērķētību trūcīgākajiem iedzīvotājiem, </w:t>
      </w:r>
      <w:r>
        <w:rPr>
          <w:rFonts w:cs="Times New Roman"/>
          <w:iCs/>
          <w:szCs w:val="24"/>
        </w:rPr>
        <w:t>un arī palīdzēs uzturēt vienlīdzīgāku rīcībā esošā ienākumu palielinājumu visās ienākumu decilēs katru gadu bez izteiktā lēciena ik pēc trīs gadiem, kas atvieglotu ienākuma un patēriņa plānošanu cilvēkiem ar zemākiem ienākumiem</w:t>
      </w:r>
      <w:r w:rsidR="00915891">
        <w:rPr>
          <w:rFonts w:cs="Times New Roman"/>
          <w:iCs/>
          <w:szCs w:val="24"/>
        </w:rPr>
        <w:t xml:space="preserve"> un mazinātu ienākumu nevienlīdzības svārstības</w:t>
      </w:r>
      <w:r>
        <w:rPr>
          <w:rFonts w:cs="Times New Roman"/>
          <w:iCs/>
          <w:szCs w:val="24"/>
        </w:rPr>
        <w:t xml:space="preserve">. </w:t>
      </w:r>
    </w:p>
    <w:p w14:paraId="7382B16B" w14:textId="65C70153" w:rsidR="00A654D7" w:rsidRPr="00BF4455" w:rsidRDefault="00915891" w:rsidP="00A654D7">
      <w:pPr>
        <w:autoSpaceDE w:val="0"/>
        <w:autoSpaceDN w:val="0"/>
        <w:adjustRightInd w:val="0"/>
        <w:spacing w:after="120" w:line="240" w:lineRule="auto"/>
        <w:jc w:val="both"/>
        <w:rPr>
          <w:rFonts w:cs="Times New Roman"/>
          <w:i/>
          <w:iCs/>
          <w:szCs w:val="24"/>
        </w:rPr>
      </w:pPr>
      <w:r>
        <w:rPr>
          <w:rFonts w:cs="Times New Roman"/>
          <w:i/>
          <w:iCs/>
          <w:szCs w:val="24"/>
        </w:rPr>
        <w:t>3</w:t>
      </w:r>
      <w:r w:rsidR="00A654D7" w:rsidRPr="00BF4455">
        <w:rPr>
          <w:rFonts w:cs="Times New Roman"/>
          <w:i/>
          <w:iCs/>
          <w:szCs w:val="24"/>
        </w:rPr>
        <w:t>.attēls. Izmaiņas rīcībā esošajā ekvivalentajā ienākumā pa ienākumu decilēm %</w:t>
      </w:r>
      <w:r w:rsidR="00A654D7">
        <w:rPr>
          <w:rFonts w:cs="Times New Roman"/>
          <w:i/>
          <w:iCs/>
          <w:szCs w:val="24"/>
        </w:rPr>
        <w:t xml:space="preserve"> pret 2021.gadu, veicot minimālo ienākumu sliekšņu izmaiņas katru gadu</w:t>
      </w:r>
      <w:r w:rsidR="00A654D7" w:rsidRPr="00BF4455">
        <w:rPr>
          <w:rFonts w:cs="Times New Roman"/>
          <w:i/>
          <w:iCs/>
          <w:szCs w:val="24"/>
        </w:rPr>
        <w:t>.</w:t>
      </w:r>
    </w:p>
    <w:p w14:paraId="77DD50FA" w14:textId="77777777" w:rsidR="00A654D7" w:rsidRDefault="00A654D7" w:rsidP="00A654D7">
      <w:pPr>
        <w:autoSpaceDE w:val="0"/>
        <w:autoSpaceDN w:val="0"/>
        <w:adjustRightInd w:val="0"/>
        <w:spacing w:after="120" w:line="240" w:lineRule="auto"/>
        <w:ind w:firstLine="426"/>
        <w:rPr>
          <w:rFonts w:cs="Times New Roman"/>
          <w:iCs/>
          <w:szCs w:val="24"/>
        </w:rPr>
      </w:pPr>
      <w:r>
        <w:rPr>
          <w:noProof/>
          <w:lang w:eastAsia="lv-LV"/>
        </w:rPr>
        <w:drawing>
          <wp:inline distT="0" distB="0" distL="0" distR="0" wp14:anchorId="27A4E82D" wp14:editId="7C6BBDF1">
            <wp:extent cx="4823460" cy="2125980"/>
            <wp:effectExtent l="0" t="0" r="15240" b="7620"/>
            <wp:docPr id="5" name="Chart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8F6F16-D2E0-432C-8033-07AE265EED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787173" w14:textId="77777777" w:rsidR="00A654D7" w:rsidRPr="00851799" w:rsidRDefault="00A654D7" w:rsidP="00A654D7">
      <w:pPr>
        <w:autoSpaceDE w:val="0"/>
        <w:autoSpaceDN w:val="0"/>
        <w:adjustRightInd w:val="0"/>
        <w:spacing w:after="120" w:line="240" w:lineRule="auto"/>
        <w:ind w:firstLine="426"/>
        <w:jc w:val="both"/>
        <w:rPr>
          <w:rFonts w:cs="Times New Roman"/>
          <w:iCs/>
          <w:sz w:val="20"/>
          <w:szCs w:val="24"/>
        </w:rPr>
      </w:pPr>
      <w:r w:rsidRPr="00851799">
        <w:rPr>
          <w:rFonts w:cs="Times New Roman"/>
          <w:iCs/>
          <w:sz w:val="20"/>
          <w:szCs w:val="24"/>
        </w:rPr>
        <w:t>Avots: Latvijas Bankas mikrosimulāciju dati.</w:t>
      </w:r>
    </w:p>
    <w:p w14:paraId="5E85E8C5" w14:textId="77777777" w:rsidR="00A654D7" w:rsidRDefault="00A654D7" w:rsidP="00355604">
      <w:pPr>
        <w:autoSpaceDE w:val="0"/>
        <w:autoSpaceDN w:val="0"/>
        <w:adjustRightInd w:val="0"/>
        <w:spacing w:after="120" w:line="240" w:lineRule="auto"/>
        <w:ind w:firstLine="426"/>
        <w:jc w:val="both"/>
        <w:rPr>
          <w:rFonts w:cs="Times New Roman"/>
          <w:iCs/>
          <w:szCs w:val="24"/>
        </w:rPr>
      </w:pPr>
    </w:p>
    <w:p w14:paraId="0A852D83" w14:textId="53DE9BFB" w:rsidR="00355604" w:rsidRDefault="00A654D7" w:rsidP="00355604">
      <w:pPr>
        <w:autoSpaceDE w:val="0"/>
        <w:autoSpaceDN w:val="0"/>
        <w:adjustRightInd w:val="0"/>
        <w:spacing w:after="120" w:line="240" w:lineRule="auto"/>
        <w:ind w:firstLine="426"/>
        <w:jc w:val="both"/>
        <w:rPr>
          <w:rFonts w:cs="Times New Roman"/>
          <w:iCs/>
          <w:szCs w:val="24"/>
        </w:rPr>
      </w:pPr>
      <w:r>
        <w:rPr>
          <w:rFonts w:cs="Times New Roman"/>
          <w:iCs/>
          <w:szCs w:val="24"/>
        </w:rPr>
        <w:t>Savukārt, p</w:t>
      </w:r>
      <w:r w:rsidR="007C35C7">
        <w:rPr>
          <w:rFonts w:cs="Times New Roman"/>
          <w:iCs/>
          <w:szCs w:val="24"/>
        </w:rPr>
        <w:t>ārskatot minimālo ienākumu</w:t>
      </w:r>
      <w:r w:rsidR="00355604">
        <w:rPr>
          <w:rFonts w:cs="Times New Roman"/>
          <w:iCs/>
          <w:szCs w:val="24"/>
        </w:rPr>
        <w:t xml:space="preserve"> sliekšņus un jaunos apmērus ieviešot </w:t>
      </w:r>
      <w:r>
        <w:rPr>
          <w:rFonts w:cs="Times New Roman"/>
          <w:iCs/>
          <w:szCs w:val="24"/>
        </w:rPr>
        <w:t xml:space="preserve">pēc trīs gadiem, t.i., </w:t>
      </w:r>
      <w:r w:rsidR="00355604">
        <w:rPr>
          <w:rFonts w:cs="Times New Roman"/>
          <w:iCs/>
          <w:szCs w:val="24"/>
        </w:rPr>
        <w:t xml:space="preserve">no 2024.gada, kā redzams </w:t>
      </w:r>
      <w:r w:rsidR="00915891">
        <w:rPr>
          <w:rFonts w:cs="Times New Roman"/>
          <w:iCs/>
          <w:szCs w:val="24"/>
        </w:rPr>
        <w:t>4</w:t>
      </w:r>
      <w:r w:rsidR="00355604">
        <w:rPr>
          <w:rFonts w:cs="Times New Roman"/>
          <w:iCs/>
          <w:szCs w:val="24"/>
        </w:rPr>
        <w:t>.attēlā</w:t>
      </w:r>
      <w:r w:rsidR="00D51239">
        <w:rPr>
          <w:rFonts w:cs="Times New Roman"/>
          <w:iCs/>
          <w:szCs w:val="24"/>
        </w:rPr>
        <w:t>,</w:t>
      </w:r>
      <w:r w:rsidR="00355604">
        <w:rPr>
          <w:rFonts w:cs="Times New Roman"/>
          <w:iCs/>
          <w:szCs w:val="24"/>
        </w:rPr>
        <w:t xml:space="preserve"> </w:t>
      </w:r>
      <w:r>
        <w:rPr>
          <w:rFonts w:cs="Times New Roman"/>
          <w:iCs/>
          <w:szCs w:val="24"/>
        </w:rPr>
        <w:t>arī šo izmaiņu rezultātā</w:t>
      </w:r>
      <w:r w:rsidR="00355604">
        <w:rPr>
          <w:rFonts w:cs="Times New Roman"/>
          <w:iCs/>
          <w:szCs w:val="24"/>
        </w:rPr>
        <w:t xml:space="preserve"> palielinās</w:t>
      </w:r>
      <w:r>
        <w:rPr>
          <w:rFonts w:cs="Times New Roman"/>
          <w:iCs/>
          <w:szCs w:val="24"/>
        </w:rPr>
        <w:t>ies ienākumi</w:t>
      </w:r>
      <w:r w:rsidR="00355604">
        <w:rPr>
          <w:rFonts w:cs="Times New Roman"/>
          <w:iCs/>
          <w:szCs w:val="24"/>
        </w:rPr>
        <w:t xml:space="preserve"> </w:t>
      </w:r>
      <w:r w:rsidR="00A15771">
        <w:rPr>
          <w:rFonts w:cs="Times New Roman"/>
          <w:iCs/>
          <w:szCs w:val="24"/>
        </w:rPr>
        <w:t>zemākajās</w:t>
      </w:r>
      <w:r w:rsidR="00355604">
        <w:rPr>
          <w:rFonts w:cs="Times New Roman"/>
          <w:iCs/>
          <w:szCs w:val="24"/>
        </w:rPr>
        <w:t xml:space="preserve"> </w:t>
      </w:r>
      <w:r w:rsidR="00D51239">
        <w:rPr>
          <w:rFonts w:cs="Times New Roman"/>
          <w:iCs/>
          <w:szCs w:val="24"/>
        </w:rPr>
        <w:t xml:space="preserve">ienākumu </w:t>
      </w:r>
      <w:r w:rsidR="00355604">
        <w:rPr>
          <w:rFonts w:cs="Times New Roman"/>
          <w:iCs/>
          <w:szCs w:val="24"/>
        </w:rPr>
        <w:t xml:space="preserve">decilēs. </w:t>
      </w:r>
      <w:r>
        <w:rPr>
          <w:rFonts w:cs="Times New Roman"/>
          <w:iCs/>
          <w:szCs w:val="24"/>
        </w:rPr>
        <w:t xml:space="preserve">Tomēr </w:t>
      </w:r>
      <w:r w:rsidR="00355604">
        <w:rPr>
          <w:rFonts w:cs="Times New Roman"/>
          <w:iCs/>
          <w:szCs w:val="24"/>
        </w:rPr>
        <w:t xml:space="preserve">2022. un 2023.gadā ienākumi palielināsies </w:t>
      </w:r>
      <w:r w:rsidR="00915891">
        <w:rPr>
          <w:rFonts w:cs="Times New Roman"/>
          <w:iCs/>
          <w:szCs w:val="24"/>
        </w:rPr>
        <w:t>mazākā apmērā</w:t>
      </w:r>
      <w:r>
        <w:rPr>
          <w:rFonts w:cs="Times New Roman"/>
          <w:iCs/>
          <w:szCs w:val="24"/>
        </w:rPr>
        <w:t xml:space="preserve"> - par 1-4%</w:t>
      </w:r>
      <w:r w:rsidR="00355604">
        <w:rPr>
          <w:rFonts w:cs="Times New Roman"/>
          <w:iCs/>
          <w:szCs w:val="24"/>
        </w:rPr>
        <w:t xml:space="preserve"> līdz ar kopējo rīcībā esošu ienākumu ģimenē</w:t>
      </w:r>
      <w:r>
        <w:rPr>
          <w:rFonts w:cs="Times New Roman"/>
          <w:iCs/>
          <w:szCs w:val="24"/>
        </w:rPr>
        <w:t>s kopējā algu pieauguma dēļ, bet</w:t>
      </w:r>
      <w:r w:rsidR="00355604">
        <w:rPr>
          <w:rFonts w:cs="Times New Roman"/>
          <w:iCs/>
          <w:szCs w:val="24"/>
        </w:rPr>
        <w:t xml:space="preserve"> 2024.gadā </w:t>
      </w:r>
      <w:r>
        <w:rPr>
          <w:rFonts w:cs="Times New Roman"/>
          <w:iCs/>
          <w:szCs w:val="24"/>
        </w:rPr>
        <w:t xml:space="preserve">ienākumu palielinājums būs </w:t>
      </w:r>
      <w:r w:rsidR="00915891">
        <w:rPr>
          <w:rFonts w:cs="Times New Roman"/>
          <w:iCs/>
          <w:szCs w:val="24"/>
        </w:rPr>
        <w:t>nozīmīgāks</w:t>
      </w:r>
      <w:r>
        <w:rPr>
          <w:rFonts w:cs="Times New Roman"/>
          <w:iCs/>
          <w:szCs w:val="24"/>
        </w:rPr>
        <w:t xml:space="preserve"> - </w:t>
      </w:r>
      <w:r w:rsidR="00355604">
        <w:rPr>
          <w:rFonts w:cs="Times New Roman"/>
          <w:iCs/>
          <w:szCs w:val="24"/>
        </w:rPr>
        <w:t xml:space="preserve">10%-12% pirmajās </w:t>
      </w:r>
      <w:r w:rsidR="00A04CF1">
        <w:rPr>
          <w:rFonts w:cs="Times New Roman"/>
          <w:iCs/>
          <w:szCs w:val="24"/>
        </w:rPr>
        <w:t>trīs</w:t>
      </w:r>
      <w:r w:rsidR="00355604">
        <w:rPr>
          <w:rFonts w:cs="Times New Roman"/>
          <w:iCs/>
          <w:szCs w:val="24"/>
        </w:rPr>
        <w:t xml:space="preserve"> decilēs,</w:t>
      </w:r>
      <w:r w:rsidR="00915891">
        <w:rPr>
          <w:rFonts w:cs="Times New Roman"/>
          <w:iCs/>
          <w:szCs w:val="24"/>
        </w:rPr>
        <w:t xml:space="preserve"> izlīdzinot ienākumu pieauguma tempu starp decilēm atbilstoši sociālekonomiskajām izmaiņām.</w:t>
      </w:r>
    </w:p>
    <w:p w14:paraId="2DF53981" w14:textId="69964FD0" w:rsidR="00350D29" w:rsidRPr="00BF4455" w:rsidRDefault="00915891" w:rsidP="00BF4455">
      <w:pPr>
        <w:autoSpaceDE w:val="0"/>
        <w:autoSpaceDN w:val="0"/>
        <w:adjustRightInd w:val="0"/>
        <w:spacing w:after="120" w:line="240" w:lineRule="auto"/>
        <w:jc w:val="both"/>
        <w:rPr>
          <w:rFonts w:cs="Times New Roman"/>
          <w:i/>
          <w:iCs/>
          <w:szCs w:val="24"/>
        </w:rPr>
      </w:pPr>
      <w:r>
        <w:rPr>
          <w:rFonts w:cs="Times New Roman"/>
          <w:i/>
          <w:iCs/>
          <w:szCs w:val="24"/>
        </w:rPr>
        <w:t>4</w:t>
      </w:r>
      <w:r w:rsidR="00350D29" w:rsidRPr="00BF4455">
        <w:rPr>
          <w:rFonts w:cs="Times New Roman"/>
          <w:i/>
          <w:iCs/>
          <w:szCs w:val="24"/>
        </w:rPr>
        <w:t>.attēls</w:t>
      </w:r>
      <w:r w:rsidR="00BF4455" w:rsidRPr="00BF4455">
        <w:rPr>
          <w:rFonts w:cs="Times New Roman"/>
          <w:i/>
          <w:iCs/>
          <w:szCs w:val="24"/>
        </w:rPr>
        <w:t>. Izmaiņas rīcībā esošajā ekvivalentajā ienākumā pa ienākumu decilēm % pret 2021.gadu</w:t>
      </w:r>
      <w:r w:rsidR="00C31BFB">
        <w:rPr>
          <w:rFonts w:cs="Times New Roman"/>
          <w:i/>
          <w:iCs/>
          <w:szCs w:val="24"/>
        </w:rPr>
        <w:t>, veicot minimālo ienākumu sliekšņu izmaiņas 2024.gadā</w:t>
      </w:r>
      <w:r w:rsidR="00BF4455" w:rsidRPr="00BF4455">
        <w:rPr>
          <w:rFonts w:cs="Times New Roman"/>
          <w:i/>
          <w:iCs/>
          <w:szCs w:val="24"/>
        </w:rPr>
        <w:t>.</w:t>
      </w:r>
    </w:p>
    <w:p w14:paraId="33ABE08E" w14:textId="77777777" w:rsidR="00350D29" w:rsidRDefault="00350D29" w:rsidP="00350D29">
      <w:pPr>
        <w:autoSpaceDE w:val="0"/>
        <w:autoSpaceDN w:val="0"/>
        <w:adjustRightInd w:val="0"/>
        <w:spacing w:after="120" w:line="240" w:lineRule="auto"/>
        <w:ind w:firstLine="426"/>
        <w:jc w:val="both"/>
        <w:rPr>
          <w:rFonts w:cs="Times New Roman"/>
          <w:iCs/>
          <w:szCs w:val="24"/>
        </w:rPr>
      </w:pPr>
      <w:r>
        <w:rPr>
          <w:noProof/>
          <w:lang w:eastAsia="lv-LV"/>
        </w:rPr>
        <w:drawing>
          <wp:inline distT="0" distB="0" distL="0" distR="0" wp14:anchorId="3EADEB35" wp14:editId="46C9359E">
            <wp:extent cx="4815840" cy="2506980"/>
            <wp:effectExtent l="0" t="0" r="3810" b="762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5CB954-0C5D-4377-A4B9-8F0804894B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D2877E" w14:textId="77777777" w:rsidR="00350D29" w:rsidRPr="00851799" w:rsidRDefault="00350D29" w:rsidP="00350D29">
      <w:pPr>
        <w:autoSpaceDE w:val="0"/>
        <w:autoSpaceDN w:val="0"/>
        <w:adjustRightInd w:val="0"/>
        <w:spacing w:after="120" w:line="240" w:lineRule="auto"/>
        <w:ind w:firstLine="426"/>
        <w:jc w:val="both"/>
        <w:rPr>
          <w:rFonts w:cs="Times New Roman"/>
          <w:iCs/>
          <w:sz w:val="20"/>
          <w:szCs w:val="24"/>
        </w:rPr>
      </w:pPr>
      <w:r w:rsidRPr="00851799">
        <w:rPr>
          <w:rFonts w:cs="Times New Roman"/>
          <w:iCs/>
          <w:sz w:val="20"/>
          <w:szCs w:val="24"/>
        </w:rPr>
        <w:t>Avots: Latvijas Bankas mikrosimulāciju dati.</w:t>
      </w:r>
    </w:p>
    <w:p w14:paraId="432A01A7" w14:textId="77777777" w:rsidR="00A44B2B" w:rsidRPr="00A44B2B" w:rsidRDefault="00A44B2B" w:rsidP="00350D29">
      <w:pPr>
        <w:autoSpaceDE w:val="0"/>
        <w:autoSpaceDN w:val="0"/>
        <w:adjustRightInd w:val="0"/>
        <w:spacing w:after="120" w:line="240" w:lineRule="auto"/>
        <w:ind w:firstLine="426"/>
        <w:rPr>
          <w:rFonts w:cs="Times New Roman"/>
          <w:iCs/>
          <w:sz w:val="16"/>
          <w:szCs w:val="16"/>
        </w:rPr>
      </w:pPr>
    </w:p>
    <w:p w14:paraId="7D78175B" w14:textId="77777777" w:rsidR="00665C41" w:rsidRDefault="00665C41" w:rsidP="00355604">
      <w:pPr>
        <w:autoSpaceDE w:val="0"/>
        <w:autoSpaceDN w:val="0"/>
        <w:adjustRightInd w:val="0"/>
        <w:spacing w:after="120" w:line="240" w:lineRule="auto"/>
        <w:ind w:firstLine="426"/>
        <w:jc w:val="both"/>
        <w:rPr>
          <w:rFonts w:cs="Times New Roman"/>
          <w:iCs/>
          <w:szCs w:val="24"/>
        </w:rPr>
      </w:pPr>
    </w:p>
    <w:p w14:paraId="639C7B36" w14:textId="1E7B2267" w:rsidR="005559CE" w:rsidRDefault="00350D29" w:rsidP="00355604">
      <w:pPr>
        <w:autoSpaceDE w:val="0"/>
        <w:autoSpaceDN w:val="0"/>
        <w:adjustRightInd w:val="0"/>
        <w:spacing w:after="120" w:line="240" w:lineRule="auto"/>
        <w:ind w:firstLine="426"/>
        <w:jc w:val="both"/>
        <w:rPr>
          <w:rFonts w:cs="Times New Roman"/>
          <w:iCs/>
          <w:szCs w:val="24"/>
        </w:rPr>
      </w:pPr>
      <w:r>
        <w:rPr>
          <w:rFonts w:cs="Times New Roman"/>
          <w:iCs/>
          <w:szCs w:val="24"/>
        </w:rPr>
        <w:t>Analizējot izmaiņu ietekmi uz dažādiem mājsaimniecību veidiem,</w:t>
      </w:r>
      <w:r w:rsidR="00A04CF1">
        <w:rPr>
          <w:rFonts w:cs="Times New Roman"/>
          <w:iCs/>
          <w:szCs w:val="24"/>
        </w:rPr>
        <w:t xml:space="preserve"> secināms, ka</w:t>
      </w:r>
      <w:r w:rsidR="004D3BEE">
        <w:rPr>
          <w:rFonts w:cs="Times New Roman"/>
          <w:iCs/>
          <w:szCs w:val="24"/>
        </w:rPr>
        <w:t>,</w:t>
      </w:r>
      <w:r>
        <w:rPr>
          <w:rFonts w:cs="Times New Roman"/>
          <w:iCs/>
          <w:szCs w:val="24"/>
        </w:rPr>
        <w:t xml:space="preserve"> palielin</w:t>
      </w:r>
      <w:r w:rsidR="00A04CF1">
        <w:rPr>
          <w:rFonts w:cs="Times New Roman"/>
          <w:iCs/>
          <w:szCs w:val="24"/>
        </w:rPr>
        <w:t>ot</w:t>
      </w:r>
      <w:r>
        <w:rPr>
          <w:rFonts w:cs="Times New Roman"/>
          <w:iCs/>
          <w:szCs w:val="24"/>
        </w:rPr>
        <w:t xml:space="preserve"> minimālo ienākumu sliekšņus</w:t>
      </w:r>
      <w:r w:rsidR="004D3BEE">
        <w:rPr>
          <w:rFonts w:cs="Times New Roman"/>
          <w:iCs/>
          <w:szCs w:val="24"/>
        </w:rPr>
        <w:t xml:space="preserve"> abu scenāriju gadījumā</w:t>
      </w:r>
      <w:r>
        <w:rPr>
          <w:rFonts w:cs="Times New Roman"/>
          <w:iCs/>
          <w:szCs w:val="24"/>
        </w:rPr>
        <w:t xml:space="preserve">, </w:t>
      </w:r>
      <w:r w:rsidR="00A04CF1">
        <w:rPr>
          <w:rFonts w:cs="Times New Roman"/>
          <w:iCs/>
          <w:szCs w:val="24"/>
        </w:rPr>
        <w:t xml:space="preserve">nabadzības risks, </w:t>
      </w:r>
      <w:r>
        <w:rPr>
          <w:rFonts w:cs="Times New Roman"/>
          <w:iCs/>
          <w:szCs w:val="24"/>
        </w:rPr>
        <w:t>salīdzinot ar situāciju, ja izmaiņas netiktu ieviestas (bāzes scenārijs), samazinātos mājsaimniecībās ar apgādībā esošiem bērniem, īpaši daudzbērnu ģimenēs, bezdarbniekiem, ekonomiski neaktīvajām mājsaimniecībām un personām ar invaliditāti</w:t>
      </w:r>
      <w:r>
        <w:rPr>
          <w:rStyle w:val="FootnoteReference"/>
          <w:iCs/>
          <w:szCs w:val="24"/>
        </w:rPr>
        <w:footnoteReference w:id="19"/>
      </w:r>
      <w:r>
        <w:rPr>
          <w:rFonts w:cs="Times New Roman"/>
          <w:iCs/>
          <w:szCs w:val="24"/>
        </w:rPr>
        <w:t>. Pensijas vecuma person</w:t>
      </w:r>
      <w:r w:rsidR="002425AF">
        <w:rPr>
          <w:rFonts w:cs="Times New Roman"/>
          <w:iCs/>
          <w:szCs w:val="24"/>
        </w:rPr>
        <w:t>ām nabadzības riska samazinājums ir minimāls</w:t>
      </w:r>
      <w:r>
        <w:rPr>
          <w:rFonts w:cs="Times New Roman"/>
          <w:iCs/>
          <w:szCs w:val="24"/>
        </w:rPr>
        <w:t xml:space="preserve">, jo šīs grupas ienākumi pārsvarā koncentrējās 3.decilē, savukārt ienākumu pieaugums lielāks ir tieši pirmajās divās decilēs. </w:t>
      </w:r>
      <w:r w:rsidR="00424896">
        <w:rPr>
          <w:rFonts w:cs="Times New Roman"/>
          <w:iCs/>
          <w:szCs w:val="24"/>
        </w:rPr>
        <w:t>A</w:t>
      </w:r>
      <w:r>
        <w:rPr>
          <w:rFonts w:cs="Times New Roman"/>
          <w:iCs/>
          <w:szCs w:val="24"/>
        </w:rPr>
        <w:t xml:space="preserve">ttiecībā uz strādājošajiem ietekme ir pavisam nebūtiska, </w:t>
      </w:r>
      <w:r w:rsidR="00424896">
        <w:rPr>
          <w:rFonts w:cs="Times New Roman"/>
          <w:iCs/>
          <w:szCs w:val="24"/>
        </w:rPr>
        <w:t>tāpēc</w:t>
      </w:r>
      <w:r>
        <w:rPr>
          <w:rFonts w:cs="Times New Roman"/>
          <w:iCs/>
          <w:szCs w:val="24"/>
        </w:rPr>
        <w:t xml:space="preserve">, plānojot sniegt atbalstu šai mērķgrupai, </w:t>
      </w:r>
      <w:r w:rsidR="00C27B97">
        <w:rPr>
          <w:rFonts w:cs="Times New Roman"/>
          <w:iCs/>
          <w:szCs w:val="24"/>
        </w:rPr>
        <w:t>ir jā</w:t>
      </w:r>
      <w:r>
        <w:rPr>
          <w:rFonts w:cs="Times New Roman"/>
          <w:iCs/>
          <w:szCs w:val="24"/>
        </w:rPr>
        <w:t>izvērtē</w:t>
      </w:r>
      <w:r w:rsidR="00C27B97">
        <w:rPr>
          <w:rFonts w:cs="Times New Roman"/>
          <w:iCs/>
          <w:szCs w:val="24"/>
        </w:rPr>
        <w:t xml:space="preserve"> citi</w:t>
      </w:r>
      <w:r w:rsidR="00F67C29">
        <w:rPr>
          <w:rFonts w:cs="Times New Roman"/>
          <w:iCs/>
          <w:szCs w:val="24"/>
        </w:rPr>
        <w:t xml:space="preserve"> politiku</w:t>
      </w:r>
      <w:r w:rsidR="00C27B97">
        <w:rPr>
          <w:rFonts w:cs="Times New Roman"/>
          <w:iCs/>
          <w:szCs w:val="24"/>
        </w:rPr>
        <w:t xml:space="preserve"> instrumenti</w:t>
      </w:r>
      <w:r>
        <w:rPr>
          <w:rFonts w:cs="Times New Roman"/>
          <w:iCs/>
          <w:szCs w:val="24"/>
        </w:rPr>
        <w:t xml:space="preserve">.  </w:t>
      </w:r>
    </w:p>
    <w:p w14:paraId="5BB33D37" w14:textId="77777777" w:rsidR="007B552E" w:rsidRDefault="007B552E" w:rsidP="005559CE">
      <w:pPr>
        <w:autoSpaceDE w:val="0"/>
        <w:autoSpaceDN w:val="0"/>
        <w:adjustRightInd w:val="0"/>
        <w:spacing w:after="120" w:line="240" w:lineRule="auto"/>
        <w:ind w:firstLine="426"/>
        <w:rPr>
          <w:rFonts w:cs="Times New Roman"/>
          <w:iCs/>
          <w:szCs w:val="24"/>
        </w:rPr>
      </w:pPr>
    </w:p>
    <w:p w14:paraId="06405D4C" w14:textId="77777777" w:rsidR="007B552E" w:rsidRPr="006B0E1F" w:rsidRDefault="007B552E" w:rsidP="00FE52F7">
      <w:pPr>
        <w:pStyle w:val="Heading2"/>
      </w:pPr>
      <w:r w:rsidRPr="006B0E1F">
        <w:t>Minimālo ienākumu sliekšņu pārskatīšanas nosacījumi</w:t>
      </w:r>
    </w:p>
    <w:p w14:paraId="5555AA35" w14:textId="1BE79F2B" w:rsidR="007B552E" w:rsidRDefault="007B552E" w:rsidP="007B552E">
      <w:pPr>
        <w:spacing w:after="0" w:line="240" w:lineRule="auto"/>
        <w:ind w:firstLine="720"/>
        <w:jc w:val="both"/>
        <w:rPr>
          <w:rFonts w:cs="Times New Roman"/>
          <w:iCs/>
          <w:szCs w:val="24"/>
        </w:rPr>
      </w:pPr>
      <w:r w:rsidRPr="00FF3C5F">
        <w:rPr>
          <w:rFonts w:cs="Times New Roman"/>
          <w:iCs/>
          <w:szCs w:val="24"/>
        </w:rPr>
        <w:t>Šobrīd likumā “Par sociālo drošību” ir noteikts, ka “Minimālo ienākumu sliekšņus pārskata vienlaikus ne retāk kā reizi trijos gados”</w:t>
      </w:r>
      <w:r w:rsidR="00FF3C5F">
        <w:rPr>
          <w:rFonts w:cs="Times New Roman"/>
          <w:iCs/>
          <w:szCs w:val="24"/>
        </w:rPr>
        <w:t xml:space="preserve">. </w:t>
      </w:r>
      <w:r w:rsidRPr="006B0E1F">
        <w:rPr>
          <w:rFonts w:cs="Times New Roman"/>
          <w:iCs/>
          <w:szCs w:val="24"/>
        </w:rPr>
        <w:t>Regulārai minimālo ienākumu sliekšņu pārskatīšanai</w:t>
      </w:r>
      <w:r w:rsidR="00FF3C5F">
        <w:rPr>
          <w:rFonts w:cs="Times New Roman"/>
          <w:iCs/>
          <w:szCs w:val="24"/>
        </w:rPr>
        <w:t>, balstoties uz konkrētu aprēķina metodoloģiju,</w:t>
      </w:r>
      <w:r w:rsidRPr="006B0E1F">
        <w:rPr>
          <w:rFonts w:cs="Times New Roman"/>
          <w:iCs/>
          <w:szCs w:val="24"/>
        </w:rPr>
        <w:t xml:space="preserve"> būtu jānotiek vai nu katru gadu vai arī citā laika periodā, piemēram, kā noteikts šobrīd – reizi trijos gados. Abiem variantiem ir savas priekšrocības un riski.</w:t>
      </w:r>
      <w:r>
        <w:rPr>
          <w:rFonts w:cs="Times New Roman"/>
          <w:iCs/>
          <w:szCs w:val="24"/>
        </w:rPr>
        <w:t xml:space="preserve"> </w:t>
      </w:r>
    </w:p>
    <w:p w14:paraId="5EE3E458" w14:textId="15EE3698" w:rsidR="00F24B32" w:rsidRDefault="00CE67E3" w:rsidP="007B552E">
      <w:pPr>
        <w:autoSpaceDE w:val="0"/>
        <w:autoSpaceDN w:val="0"/>
        <w:adjustRightInd w:val="0"/>
        <w:spacing w:after="120" w:line="240" w:lineRule="auto"/>
        <w:ind w:left="1" w:firstLine="719"/>
        <w:jc w:val="both"/>
        <w:rPr>
          <w:rFonts w:cs="Times New Roman"/>
          <w:iCs/>
          <w:szCs w:val="24"/>
        </w:rPr>
      </w:pPr>
      <w:r>
        <w:rPr>
          <w:rFonts w:cs="Times New Roman"/>
          <w:iCs/>
          <w:szCs w:val="24"/>
        </w:rPr>
        <w:t>Pārskatot minimālo</w:t>
      </w:r>
      <w:r w:rsidR="007B552E">
        <w:rPr>
          <w:rFonts w:cs="Times New Roman"/>
          <w:iCs/>
          <w:szCs w:val="24"/>
        </w:rPr>
        <w:t xml:space="preserve"> ienākumu sliekšņus ikgadēji, trūcīg</w:t>
      </w:r>
      <w:r w:rsidR="000039B4">
        <w:rPr>
          <w:rFonts w:cs="Times New Roman"/>
          <w:iCs/>
          <w:szCs w:val="24"/>
        </w:rPr>
        <w:t>āk</w:t>
      </w:r>
      <w:r w:rsidR="007B552E">
        <w:rPr>
          <w:rFonts w:cs="Times New Roman"/>
          <w:iCs/>
          <w:szCs w:val="24"/>
        </w:rPr>
        <w:t>o iedzīvotāju situācija uzlabosies katru gadu</w:t>
      </w:r>
      <w:r w:rsidR="007B552E" w:rsidRPr="002007E1">
        <w:rPr>
          <w:rFonts w:cs="Times New Roman"/>
          <w:iCs/>
          <w:szCs w:val="24"/>
        </w:rPr>
        <w:t xml:space="preserve"> atbilstoši ekonomiskās attīstības tendencēm un</w:t>
      </w:r>
      <w:r w:rsidR="007B552E">
        <w:rPr>
          <w:rFonts w:cs="Times New Roman"/>
          <w:iCs/>
          <w:szCs w:val="24"/>
        </w:rPr>
        <w:t xml:space="preserve"> trūcīgo iedzīvotāju (1.kvintile) ienākumi izlīdzināsies</w:t>
      </w:r>
      <w:r w:rsidR="007B552E" w:rsidRPr="002007E1">
        <w:rPr>
          <w:rFonts w:cs="Times New Roman"/>
          <w:iCs/>
          <w:szCs w:val="24"/>
        </w:rPr>
        <w:t xml:space="preserve"> salīdzinājumā ar ienākumu pieauguma tempu turīgākajiem iedzīvotājiem</w:t>
      </w:r>
      <w:r w:rsidR="007B552E">
        <w:rPr>
          <w:rFonts w:cs="Times New Roman"/>
          <w:iCs/>
          <w:szCs w:val="24"/>
        </w:rPr>
        <w:t xml:space="preserve"> (5.kvintile), tādējādi mazinot nabadzības risku un ienākumu nevienlīdzību (skat. </w:t>
      </w:r>
      <w:r w:rsidR="00A04CF1">
        <w:rPr>
          <w:rFonts w:cs="Times New Roman"/>
          <w:iCs/>
          <w:szCs w:val="24"/>
        </w:rPr>
        <w:t xml:space="preserve">sadaļu </w:t>
      </w:r>
      <w:r w:rsidR="007B552E">
        <w:rPr>
          <w:rFonts w:cs="Times New Roman"/>
          <w:iCs/>
          <w:szCs w:val="24"/>
        </w:rPr>
        <w:t>“</w:t>
      </w:r>
      <w:r w:rsidR="007B552E" w:rsidRPr="003F0733">
        <w:rPr>
          <w:rFonts w:cs="Times New Roman"/>
          <w:i/>
          <w:iCs/>
          <w:szCs w:val="24"/>
        </w:rPr>
        <w:t>Prognozes par minimālo ienākumu sliekšņu apmēriem un to ietekmi uz nabadzības risku un ienākumu nevienlīdzību</w:t>
      </w:r>
      <w:r w:rsidR="007B552E">
        <w:rPr>
          <w:rFonts w:cs="Times New Roman"/>
          <w:i/>
          <w:iCs/>
          <w:szCs w:val="24"/>
        </w:rPr>
        <w:t>”</w:t>
      </w:r>
      <w:r w:rsidR="007B552E">
        <w:rPr>
          <w:rFonts w:cs="Times New Roman"/>
          <w:iCs/>
          <w:szCs w:val="24"/>
        </w:rPr>
        <w:t xml:space="preserve">). </w:t>
      </w:r>
      <w:r w:rsidR="00F24B32">
        <w:rPr>
          <w:rFonts w:cs="Times New Roman"/>
          <w:iCs/>
          <w:szCs w:val="24"/>
        </w:rPr>
        <w:t xml:space="preserve">Rīcībā esošo ienākumu pieaugums palīdzēs lielākā mērā apmierināt iedzīvotāju pamatvajadzības, veicinot patēriņu un attiecīgi ieguldījumus tautsaimniecībā un ekonomikā, </w:t>
      </w:r>
      <w:r w:rsidR="00D54621">
        <w:rPr>
          <w:rFonts w:cs="Times New Roman"/>
          <w:iCs/>
          <w:szCs w:val="24"/>
        </w:rPr>
        <w:t>tāpēc</w:t>
      </w:r>
      <w:r w:rsidR="00F24B32">
        <w:rPr>
          <w:rFonts w:cs="Times New Roman"/>
          <w:iCs/>
          <w:szCs w:val="24"/>
        </w:rPr>
        <w:t xml:space="preserve"> minētie ieguldījumi ir vērtējami kā būtiskas investīcijas cilvēkos. </w:t>
      </w:r>
      <w:r w:rsidR="007B552E">
        <w:rPr>
          <w:rFonts w:cs="Times New Roman"/>
          <w:iCs/>
          <w:szCs w:val="24"/>
        </w:rPr>
        <w:t xml:space="preserve">Vienlīdz </w:t>
      </w:r>
      <w:r w:rsidR="00D54621">
        <w:rPr>
          <w:rFonts w:cs="Times New Roman"/>
          <w:iCs/>
          <w:szCs w:val="24"/>
        </w:rPr>
        <w:t>svarīgi</w:t>
      </w:r>
      <w:r w:rsidR="007B552E">
        <w:rPr>
          <w:rFonts w:cs="Times New Roman"/>
          <w:iCs/>
          <w:szCs w:val="24"/>
        </w:rPr>
        <w:t xml:space="preserve"> ir minēt, ka trūcīgās mājsaimniecības statuss paredz atvieglojumus</w:t>
      </w:r>
      <w:r w:rsidR="007B552E" w:rsidRPr="002007E1">
        <w:rPr>
          <w:rFonts w:cs="Times New Roman"/>
          <w:iCs/>
          <w:szCs w:val="24"/>
        </w:rPr>
        <w:t xml:space="preserve"> tādiem būtiskiem pak</w:t>
      </w:r>
      <w:r w:rsidR="007B552E">
        <w:rPr>
          <w:rFonts w:cs="Times New Roman"/>
          <w:iCs/>
          <w:szCs w:val="24"/>
        </w:rPr>
        <w:t xml:space="preserve">alpojumiem kā veselības aprūpe, mājokļa uzturēšana, atbalsts no </w:t>
      </w:r>
      <w:r w:rsidR="007B552E" w:rsidRPr="000E3E5F">
        <w:rPr>
          <w:rFonts w:cs="Times New Roman"/>
          <w:iCs/>
          <w:szCs w:val="24"/>
        </w:rPr>
        <w:t xml:space="preserve">Eiropas </w:t>
      </w:r>
      <w:r w:rsidR="00D54621">
        <w:rPr>
          <w:rFonts w:cs="Times New Roman"/>
          <w:iCs/>
          <w:szCs w:val="24"/>
        </w:rPr>
        <w:t>Atbalsta fonda vistrūcīgākajām </w:t>
      </w:r>
      <w:r w:rsidR="007B552E" w:rsidRPr="000E3E5F">
        <w:rPr>
          <w:rFonts w:cs="Times New Roman"/>
          <w:iCs/>
          <w:szCs w:val="24"/>
        </w:rPr>
        <w:t xml:space="preserve">personām </w:t>
      </w:r>
      <w:r w:rsidR="007B552E">
        <w:rPr>
          <w:rFonts w:cs="Times New Roman"/>
          <w:iCs/>
          <w:szCs w:val="24"/>
        </w:rPr>
        <w:t>(pārtika</w:t>
      </w:r>
      <w:r w:rsidR="007B552E" w:rsidRPr="000E3E5F">
        <w:rPr>
          <w:rFonts w:cs="Times New Roman"/>
          <w:iCs/>
          <w:szCs w:val="24"/>
        </w:rPr>
        <w:t xml:space="preserve">, </w:t>
      </w:r>
      <w:r w:rsidR="007B552E">
        <w:rPr>
          <w:rFonts w:cs="Times New Roman"/>
          <w:iCs/>
          <w:szCs w:val="24"/>
        </w:rPr>
        <w:t>mācību piederumi</w:t>
      </w:r>
      <w:r w:rsidR="007B552E" w:rsidRPr="000E3E5F">
        <w:rPr>
          <w:rFonts w:cs="Times New Roman"/>
          <w:iCs/>
          <w:szCs w:val="24"/>
        </w:rPr>
        <w:t xml:space="preserve">, higiēnas un saimniecības </w:t>
      </w:r>
      <w:r w:rsidR="007B552E">
        <w:rPr>
          <w:rFonts w:cs="Times New Roman"/>
          <w:iCs/>
          <w:szCs w:val="24"/>
        </w:rPr>
        <w:t>preces u.c.), tādējādi ikgadēja minimālo ienākumu pārskatīšana veicinātu pieejamību šiem pakalpojumiem</w:t>
      </w:r>
      <w:r w:rsidR="000039B4">
        <w:rPr>
          <w:rFonts w:cs="Times New Roman"/>
          <w:iCs/>
          <w:szCs w:val="24"/>
        </w:rPr>
        <w:t xml:space="preserve"> un precēm</w:t>
      </w:r>
      <w:r w:rsidR="00F24B32">
        <w:rPr>
          <w:rFonts w:cs="Times New Roman"/>
          <w:iCs/>
          <w:szCs w:val="24"/>
        </w:rPr>
        <w:t xml:space="preserve">. </w:t>
      </w:r>
    </w:p>
    <w:p w14:paraId="1EE0483C" w14:textId="65143B05" w:rsidR="007B552E" w:rsidRPr="003F0733" w:rsidRDefault="007B552E" w:rsidP="007B552E">
      <w:pPr>
        <w:autoSpaceDE w:val="0"/>
        <w:autoSpaceDN w:val="0"/>
        <w:adjustRightInd w:val="0"/>
        <w:spacing w:after="120" w:line="240" w:lineRule="auto"/>
        <w:ind w:left="1" w:firstLine="719"/>
        <w:jc w:val="both"/>
        <w:rPr>
          <w:rFonts w:cs="Times New Roman"/>
          <w:b/>
          <w:i/>
          <w:iCs/>
          <w:szCs w:val="24"/>
        </w:rPr>
      </w:pPr>
      <w:r>
        <w:rPr>
          <w:rFonts w:cs="Times New Roman"/>
          <w:iCs/>
          <w:szCs w:val="24"/>
        </w:rPr>
        <w:t xml:space="preserve">Tomēr minimālie ienākumi ietekmē arī citus </w:t>
      </w:r>
      <w:r w:rsidR="00D54621">
        <w:rPr>
          <w:rFonts w:cs="Times New Roman"/>
          <w:iCs/>
          <w:szCs w:val="24"/>
        </w:rPr>
        <w:t xml:space="preserve">nozīmīgus </w:t>
      </w:r>
      <w:r>
        <w:rPr>
          <w:rFonts w:cs="Times New Roman"/>
          <w:iCs/>
          <w:szCs w:val="24"/>
        </w:rPr>
        <w:t xml:space="preserve">ienākumu veidus, kas ir saistīti ar nodarbinātību un </w:t>
      </w:r>
      <w:r w:rsidR="00913898">
        <w:rPr>
          <w:rFonts w:cs="Times New Roman"/>
          <w:szCs w:val="24"/>
        </w:rPr>
        <w:t xml:space="preserve">valsts sociālās apdrošināšanas obligātajām </w:t>
      </w:r>
      <w:r w:rsidR="00913898" w:rsidRPr="00913898">
        <w:rPr>
          <w:rFonts w:cs="Times New Roman"/>
          <w:szCs w:val="24"/>
        </w:rPr>
        <w:t xml:space="preserve">iemaksām (turpmāk – sociālās </w:t>
      </w:r>
      <w:r w:rsidR="00913898" w:rsidRPr="00913898">
        <w:rPr>
          <w:rFonts w:cs="Times New Roman"/>
          <w:iCs/>
          <w:szCs w:val="24"/>
        </w:rPr>
        <w:t>apdrošināšanas iemaksas)</w:t>
      </w:r>
      <w:r w:rsidRPr="00913898">
        <w:rPr>
          <w:rFonts w:cs="Times New Roman"/>
          <w:iCs/>
          <w:szCs w:val="24"/>
        </w:rPr>
        <w:t>. K</w:t>
      </w:r>
      <w:r>
        <w:rPr>
          <w:rFonts w:cs="Times New Roman"/>
          <w:iCs/>
          <w:szCs w:val="24"/>
        </w:rPr>
        <w:t xml:space="preserve">ā iepriekš tika minēts, šobrīd sociālās </w:t>
      </w:r>
      <w:r w:rsidR="0095063A">
        <w:rPr>
          <w:rFonts w:cs="Times New Roman"/>
          <w:iCs/>
          <w:szCs w:val="24"/>
        </w:rPr>
        <w:t>aizsardzības</w:t>
      </w:r>
      <w:r>
        <w:rPr>
          <w:rFonts w:cs="Times New Roman"/>
          <w:iCs/>
          <w:szCs w:val="24"/>
        </w:rPr>
        <w:t xml:space="preserve"> sistēmas jomās ir noteikti</w:t>
      </w:r>
      <w:r>
        <w:rPr>
          <w:rFonts w:eastAsia="Times New Roman" w:cs="Times New Roman"/>
          <w:szCs w:val="24"/>
        </w:rPr>
        <w:t xml:space="preserve"> diferencēti </w:t>
      </w:r>
      <w:r>
        <w:rPr>
          <w:rFonts w:cs="Times New Roman"/>
          <w:iCs/>
          <w:szCs w:val="24"/>
        </w:rPr>
        <w:t xml:space="preserve">minimālo ienākumu sliekšņi, lai saglabātu līdzsvaru starp personas un sabiedrības vajadzībām. Līdzsvara saglabāšana ir būtiska, vērtējot sociālās palīdzības un sociālās apdrošināšanas sistēmas ietvaros noteiktos nosacījumus. </w:t>
      </w:r>
      <w:r w:rsidRPr="00F61770">
        <w:rPr>
          <w:rFonts w:cs="Times New Roman"/>
          <w:iCs/>
          <w:szCs w:val="24"/>
        </w:rPr>
        <w:t>G</w:t>
      </w:r>
      <w:r>
        <w:rPr>
          <w:rFonts w:cs="Times New Roman"/>
          <w:iCs/>
          <w:szCs w:val="24"/>
        </w:rPr>
        <w:t xml:space="preserve">arantētā minimālā ienākuma (turpmāk – GMI) </w:t>
      </w:r>
      <w:r w:rsidR="00E24691">
        <w:rPr>
          <w:rFonts w:cs="Times New Roman"/>
          <w:iCs/>
          <w:szCs w:val="24"/>
        </w:rPr>
        <w:t>sliekšņa</w:t>
      </w:r>
      <w:r w:rsidR="00E24691" w:rsidRPr="00F61770">
        <w:rPr>
          <w:rFonts w:cs="Times New Roman"/>
          <w:iCs/>
          <w:szCs w:val="24"/>
        </w:rPr>
        <w:t xml:space="preserve"> </w:t>
      </w:r>
      <w:r w:rsidRPr="00F61770">
        <w:rPr>
          <w:rFonts w:cs="Times New Roman"/>
          <w:iCs/>
          <w:szCs w:val="24"/>
        </w:rPr>
        <w:t xml:space="preserve">noteikšana un piesaiste ienākumu mediānai ir sasaistīta ne tikai ar trūcīgas un maznodrošinātas </w:t>
      </w:r>
      <w:r>
        <w:rPr>
          <w:rFonts w:cs="Times New Roman"/>
          <w:iCs/>
          <w:szCs w:val="24"/>
        </w:rPr>
        <w:t>mājsaimniecības</w:t>
      </w:r>
      <w:r w:rsidRPr="00F61770">
        <w:rPr>
          <w:rFonts w:cs="Times New Roman"/>
          <w:iCs/>
          <w:szCs w:val="24"/>
        </w:rPr>
        <w:t xml:space="preserve"> ienākumu </w:t>
      </w:r>
      <w:r w:rsidR="00E24691">
        <w:rPr>
          <w:rFonts w:cs="Times New Roman"/>
          <w:iCs/>
          <w:szCs w:val="24"/>
        </w:rPr>
        <w:t>sliekšņa</w:t>
      </w:r>
      <w:r w:rsidR="00E24691" w:rsidRPr="00F61770">
        <w:rPr>
          <w:rFonts w:cs="Times New Roman"/>
          <w:iCs/>
          <w:szCs w:val="24"/>
        </w:rPr>
        <w:t xml:space="preserve"> </w:t>
      </w:r>
      <w:r w:rsidRPr="00F61770">
        <w:rPr>
          <w:rFonts w:cs="Times New Roman"/>
          <w:iCs/>
          <w:szCs w:val="24"/>
        </w:rPr>
        <w:t>noteikšanu, bet arī ar valsts pabalstiem un pensijām, proti, valsts sociālā nodrošinājuma pabalstu un minimālajām vecuma, invaliditātes un apgādnieka zaudējuma pensijām</w:t>
      </w:r>
      <w:r>
        <w:rPr>
          <w:rFonts w:cs="Times New Roman"/>
          <w:iCs/>
          <w:szCs w:val="24"/>
        </w:rPr>
        <w:t xml:space="preserve">, un citiem </w:t>
      </w:r>
      <w:r w:rsidR="0095063A">
        <w:rPr>
          <w:rFonts w:cs="Times New Roman"/>
          <w:iCs/>
          <w:szCs w:val="24"/>
        </w:rPr>
        <w:t xml:space="preserve">valsts un pašvaldību noteiktajiem atvieglojumiem </w:t>
      </w:r>
      <w:r>
        <w:rPr>
          <w:rFonts w:cs="Times New Roman"/>
          <w:iCs/>
          <w:szCs w:val="24"/>
        </w:rPr>
        <w:t>trūcīgām un maznodrošinātām personām dažādu pakalpojumu un atbalsta saņemšanā</w:t>
      </w:r>
      <w:r w:rsidRPr="00F61770">
        <w:rPr>
          <w:rFonts w:cs="Times New Roman"/>
          <w:iCs/>
          <w:szCs w:val="24"/>
        </w:rPr>
        <w:t xml:space="preserve">. </w:t>
      </w:r>
    </w:p>
    <w:p w14:paraId="1D3FE9C2" w14:textId="669194C7" w:rsidR="007B552E" w:rsidRPr="00F61770" w:rsidRDefault="007B552E" w:rsidP="007B552E">
      <w:pPr>
        <w:spacing w:after="0" w:line="240" w:lineRule="auto"/>
        <w:ind w:firstLine="426"/>
        <w:jc w:val="both"/>
        <w:rPr>
          <w:rFonts w:cs="Times New Roman"/>
          <w:iCs/>
          <w:szCs w:val="24"/>
        </w:rPr>
      </w:pPr>
      <w:r>
        <w:rPr>
          <w:rFonts w:cs="Times New Roman"/>
          <w:iCs/>
          <w:szCs w:val="24"/>
        </w:rPr>
        <w:t xml:space="preserve">Sociālās palīdzības un sociālās apdrošināšanas sistēmu pamatprincipi ir atšķirīgi. Sociālo palīdzību piešķir, izvērtējot visas mājsaimniecības materiālo situāciju, un, ja mājsaimniecība atbilst normatīvajos aktos noteiktajiem sociālās palīdzības piešķiršanas kritērijiem, tā var saņemt sociālo palīdzību. Sociālās palīdzības piešķiršana nav atkarīga no mājsaimniecības indivīda/-u </w:t>
      </w:r>
      <w:r w:rsidRPr="00427AB2">
        <w:rPr>
          <w:rFonts w:cs="Times New Roman"/>
          <w:iCs/>
          <w:szCs w:val="24"/>
        </w:rPr>
        <w:t>veiktajām sociālās apdrošināšanas iemaksām un</w:t>
      </w:r>
      <w:r>
        <w:rPr>
          <w:rFonts w:cs="Times New Roman"/>
          <w:iCs/>
          <w:szCs w:val="24"/>
        </w:rPr>
        <w:t xml:space="preserve"> sociālo palīdzību pilnībā finansē no pašvaldību budžeta līdzekļiem. Valsts vecuma un invaliditātes pensijas, kuras tiek izmaksātas no valsts sociālās apdrošināšanas sistēmas, ir atkarīgas no katra indivīda veiktajām sociālās apdrošināšanas iemaksām </w:t>
      </w:r>
      <w:r w:rsidRPr="007B72DC">
        <w:rPr>
          <w:rFonts w:cs="Times New Roman"/>
          <w:iCs/>
          <w:szCs w:val="24"/>
        </w:rPr>
        <w:t>un iesaistes ilguma sociālās apdrošināšanas sistēmā</w:t>
      </w:r>
      <w:r>
        <w:rPr>
          <w:rFonts w:cs="Times New Roman"/>
          <w:iCs/>
          <w:szCs w:val="24"/>
        </w:rPr>
        <w:t>, un šīs pensijas piešķir konkrētajam indivīdam. Savukārt valsts sociālā nodrošinājuma pabalstu personām, kuras sasniegušas pensionēšanās vecumu, izmaksā no valsts pamatbudžeta, un tā apmērs nav atkarīgs no indivīda veiktajām sociālās apdrošināšanas iemaksām, jo konkrētais indivīds nav nostrādājis minimāli nepieciešamo apdrošināšanas stāžu</w:t>
      </w:r>
      <w:r>
        <w:rPr>
          <w:rStyle w:val="FootnoteReference"/>
          <w:iCs/>
          <w:szCs w:val="24"/>
        </w:rPr>
        <w:footnoteReference w:id="20"/>
      </w:r>
      <w:r>
        <w:rPr>
          <w:rFonts w:cs="Times New Roman"/>
          <w:iCs/>
          <w:szCs w:val="24"/>
        </w:rPr>
        <w:t>. Ņemot vērā minēto, nodokļu nomaksa sociālajā apdrošināšanā ir izšķiroša un būtiska, bet sociālajā palīdzībā un valsts sociālā nodrošinājuma pabalsta gadījumā nodokļu nomaksas kritērijs nav attiecināms. Tā kā minimāl</w:t>
      </w:r>
      <w:r w:rsidR="00A04CF1">
        <w:rPr>
          <w:rFonts w:cs="Times New Roman"/>
          <w:iCs/>
          <w:szCs w:val="24"/>
        </w:rPr>
        <w:t>o</w:t>
      </w:r>
      <w:r>
        <w:rPr>
          <w:rFonts w:cs="Times New Roman"/>
          <w:iCs/>
          <w:szCs w:val="24"/>
        </w:rPr>
        <w:t xml:space="preserve"> ienākumu sliekšņi tiek piemēroti gan sociālajā palīdzībā, gan sociālajā apdrošināšanā, kā arī saistībā ar valsts sociāl</w:t>
      </w:r>
      <w:r w:rsidR="00A04CF1">
        <w:rPr>
          <w:rFonts w:cs="Times New Roman"/>
          <w:iCs/>
          <w:szCs w:val="24"/>
        </w:rPr>
        <w:t>ā</w:t>
      </w:r>
      <w:r>
        <w:rPr>
          <w:rFonts w:cs="Times New Roman"/>
          <w:iCs/>
          <w:szCs w:val="24"/>
        </w:rPr>
        <w:t xml:space="preserve"> nodrošinājuma pabalstu, tad </w:t>
      </w:r>
      <w:r w:rsidR="00427AB2">
        <w:rPr>
          <w:rFonts w:cs="Times New Roman"/>
          <w:iCs/>
          <w:szCs w:val="24"/>
        </w:rPr>
        <w:t xml:space="preserve">sociālās </w:t>
      </w:r>
      <w:r>
        <w:rPr>
          <w:rFonts w:cs="Times New Roman"/>
          <w:iCs/>
          <w:szCs w:val="24"/>
        </w:rPr>
        <w:t>apdrošināšanas iemaksu nosacījums ir svarīgs faktors, kas ir jāņem vērā minimālo ienākumu sliekšņu noteikšanā. L</w:t>
      </w:r>
      <w:r w:rsidRPr="00F61770">
        <w:rPr>
          <w:rFonts w:cs="Times New Roman"/>
          <w:iCs/>
          <w:szCs w:val="24"/>
        </w:rPr>
        <w:t>ai saglabātu valsts sociālās apdrošināšanas sistēmas dalībnieku motivāciju veikt iemaksas</w:t>
      </w:r>
      <w:r>
        <w:rPr>
          <w:rFonts w:cs="Times New Roman"/>
          <w:iCs/>
          <w:szCs w:val="24"/>
        </w:rPr>
        <w:t xml:space="preserve"> (ja minimāl</w:t>
      </w:r>
      <w:r w:rsidR="00A04CF1">
        <w:rPr>
          <w:rFonts w:cs="Times New Roman"/>
          <w:iCs/>
          <w:szCs w:val="24"/>
        </w:rPr>
        <w:t>ā</w:t>
      </w:r>
      <w:r>
        <w:rPr>
          <w:rFonts w:cs="Times New Roman"/>
          <w:iCs/>
          <w:szCs w:val="24"/>
        </w:rPr>
        <w:t xml:space="preserve"> ienākum</w:t>
      </w:r>
      <w:r w:rsidR="00A04CF1">
        <w:rPr>
          <w:rFonts w:cs="Times New Roman"/>
          <w:iCs/>
          <w:szCs w:val="24"/>
        </w:rPr>
        <w:t>a</w:t>
      </w:r>
      <w:r>
        <w:rPr>
          <w:rFonts w:cs="Times New Roman"/>
          <w:iCs/>
          <w:szCs w:val="24"/>
        </w:rPr>
        <w:t xml:space="preserve"> slieksnis tiem, kuri dažādu objektīvu un subjektīvu iemeslu dēļ nav </w:t>
      </w:r>
      <w:r w:rsidRPr="00913898">
        <w:rPr>
          <w:rFonts w:cs="Times New Roman"/>
          <w:iCs/>
          <w:szCs w:val="24"/>
        </w:rPr>
        <w:t xml:space="preserve">nostrādājuši nepieciešamo gadu skaitu, būs relatīvi augsts, tas var mazināt motivāciju ilgāk iesaistīties </w:t>
      </w:r>
      <w:r w:rsidR="00913898" w:rsidRPr="00913898">
        <w:rPr>
          <w:rFonts w:cs="Times New Roman"/>
          <w:iCs/>
          <w:szCs w:val="24"/>
        </w:rPr>
        <w:t>reģistrētajā</w:t>
      </w:r>
      <w:r w:rsidRPr="00913898">
        <w:rPr>
          <w:rFonts w:cs="Times New Roman"/>
          <w:iCs/>
          <w:szCs w:val="24"/>
        </w:rPr>
        <w:t xml:space="preserve"> nodarbinātībā) un</w:t>
      </w:r>
      <w:r w:rsidRPr="00F61770">
        <w:rPr>
          <w:rFonts w:cs="Times New Roman"/>
          <w:iCs/>
          <w:szCs w:val="24"/>
        </w:rPr>
        <w:t xml:space="preserve"> neradītu nelabvēlīgākus apstākļus valsts sociālās apdrošināšanas obligāto iemaksu v</w:t>
      </w:r>
      <w:r>
        <w:rPr>
          <w:rFonts w:cs="Times New Roman"/>
          <w:iCs/>
          <w:szCs w:val="24"/>
        </w:rPr>
        <w:t xml:space="preserve">eicējiem ar ilgu iemaksu stāžu (attiecībā uz cilvēkiem, kuri ir nostrādājuši daudzus gadus ar relatīvi zemu atalgojumu), </w:t>
      </w:r>
      <w:r w:rsidRPr="00F61770">
        <w:rPr>
          <w:rFonts w:cs="Times New Roman"/>
          <w:iCs/>
          <w:szCs w:val="24"/>
        </w:rPr>
        <w:t xml:space="preserve">GMI </w:t>
      </w:r>
      <w:r w:rsidR="00427AB2">
        <w:rPr>
          <w:rFonts w:cs="Times New Roman"/>
          <w:iCs/>
          <w:szCs w:val="24"/>
        </w:rPr>
        <w:t>sliekšņa</w:t>
      </w:r>
      <w:r w:rsidRPr="00F61770">
        <w:rPr>
          <w:rFonts w:cs="Times New Roman"/>
          <w:iCs/>
          <w:szCs w:val="24"/>
        </w:rPr>
        <w:t xml:space="preserve"> procentuālais apmērs no ienākumu mediānas ir jāvērtē kontekstā arī ar iepriekš minētajiem minimāl</w:t>
      </w:r>
      <w:r w:rsidR="00C22D90">
        <w:rPr>
          <w:rFonts w:cs="Times New Roman"/>
          <w:iCs/>
          <w:szCs w:val="24"/>
        </w:rPr>
        <w:t>o</w:t>
      </w:r>
      <w:r w:rsidRPr="00F61770">
        <w:rPr>
          <w:rFonts w:cs="Times New Roman"/>
          <w:iCs/>
          <w:szCs w:val="24"/>
        </w:rPr>
        <w:t xml:space="preserve"> ienākumu </w:t>
      </w:r>
      <w:r w:rsidR="00DE2912">
        <w:rPr>
          <w:rFonts w:cs="Times New Roman"/>
          <w:iCs/>
          <w:szCs w:val="24"/>
        </w:rPr>
        <w:t>sliekšņiem</w:t>
      </w:r>
      <w:r w:rsidRPr="00F61770">
        <w:rPr>
          <w:rFonts w:cs="Times New Roman"/>
          <w:iCs/>
          <w:szCs w:val="24"/>
        </w:rPr>
        <w:t>, kas cilvēkiem veidojas no darba mūžā veiktajām</w:t>
      </w:r>
      <w:r>
        <w:rPr>
          <w:rFonts w:cs="Times New Roman"/>
          <w:iCs/>
          <w:szCs w:val="24"/>
        </w:rPr>
        <w:t xml:space="preserve"> sociālās apdrošināšanas</w:t>
      </w:r>
      <w:r w:rsidRPr="00F61770">
        <w:rPr>
          <w:rFonts w:cs="Times New Roman"/>
          <w:iCs/>
          <w:szCs w:val="24"/>
        </w:rPr>
        <w:t xml:space="preserve"> iemaksām un </w:t>
      </w:r>
      <w:r>
        <w:rPr>
          <w:rFonts w:cs="Times New Roman"/>
          <w:iCs/>
          <w:szCs w:val="24"/>
        </w:rPr>
        <w:t xml:space="preserve">darba </w:t>
      </w:r>
      <w:r w:rsidRPr="00F61770">
        <w:rPr>
          <w:rFonts w:cs="Times New Roman"/>
          <w:iCs/>
          <w:szCs w:val="24"/>
        </w:rPr>
        <w:t xml:space="preserve">stāža, un tie ir jāvērtē ne vien no adekvātuma prizmas, bet arī sociālās aizsardzības sistēmas ilgtspējas kontekstā. </w:t>
      </w:r>
    </w:p>
    <w:p w14:paraId="37F787A7" w14:textId="7A01E267" w:rsidR="007B552E" w:rsidRPr="00427AB2" w:rsidRDefault="007B552E" w:rsidP="007B552E">
      <w:pPr>
        <w:spacing w:after="0" w:line="240" w:lineRule="auto"/>
        <w:ind w:firstLine="720"/>
        <w:jc w:val="both"/>
        <w:rPr>
          <w:rFonts w:cs="Times New Roman"/>
          <w:iCs/>
          <w:szCs w:val="24"/>
        </w:rPr>
      </w:pPr>
      <w:r w:rsidRPr="00427AB2">
        <w:rPr>
          <w:rFonts w:cs="Times New Roman"/>
          <w:iCs/>
          <w:szCs w:val="24"/>
        </w:rPr>
        <w:t>Riski, kuri šobrīd pastāv, minimālo ienākumu sliekšņus pārskatot katru gadu, katrai sistēmai (sociālā palīdzība, sociālā apdrošināšana, valsts sociālie pabalsti) ir atšķirīgi. Tie ir šādi:</w:t>
      </w:r>
    </w:p>
    <w:p w14:paraId="2E1BD2C8" w14:textId="2A052AA2" w:rsidR="007B552E" w:rsidRPr="007B2F24" w:rsidRDefault="007B552E" w:rsidP="007B552E">
      <w:pPr>
        <w:pStyle w:val="ListParagraph"/>
        <w:numPr>
          <w:ilvl w:val="0"/>
          <w:numId w:val="30"/>
        </w:numPr>
        <w:spacing w:after="0" w:line="240" w:lineRule="auto"/>
        <w:ind w:left="425" w:hanging="425"/>
        <w:jc w:val="both"/>
        <w:rPr>
          <w:rFonts w:cs="Times New Roman"/>
          <w:szCs w:val="24"/>
        </w:rPr>
      </w:pPr>
      <w:r w:rsidRPr="00427AB2">
        <w:rPr>
          <w:rFonts w:cs="Times New Roman"/>
          <w:szCs w:val="24"/>
        </w:rPr>
        <w:t>katru gadu</w:t>
      </w:r>
      <w:r w:rsidRPr="00AD5243">
        <w:rPr>
          <w:rFonts w:cs="Times New Roman"/>
          <w:szCs w:val="24"/>
        </w:rPr>
        <w:t xml:space="preserve"> </w:t>
      </w:r>
      <w:r>
        <w:rPr>
          <w:rFonts w:cs="Times New Roman"/>
          <w:szCs w:val="24"/>
        </w:rPr>
        <w:t>paaugstinot</w:t>
      </w:r>
      <w:r w:rsidRPr="00AD5243">
        <w:rPr>
          <w:rFonts w:cs="Times New Roman"/>
          <w:szCs w:val="24"/>
        </w:rPr>
        <w:t xml:space="preserve"> minimālo ienākumu sliekšņus, paaugstināsies arī minimāl</w:t>
      </w:r>
      <w:r w:rsidR="00C22D90">
        <w:rPr>
          <w:rFonts w:cs="Times New Roman"/>
          <w:szCs w:val="24"/>
        </w:rPr>
        <w:t>ās</w:t>
      </w:r>
      <w:r w:rsidRPr="00AD5243">
        <w:rPr>
          <w:rFonts w:cs="Times New Roman"/>
          <w:szCs w:val="24"/>
        </w:rPr>
        <w:t xml:space="preserve"> vecuma pensijas apmēri. </w:t>
      </w:r>
      <w:r>
        <w:rPr>
          <w:rFonts w:cs="Times New Roman"/>
          <w:szCs w:val="24"/>
        </w:rPr>
        <w:t>P</w:t>
      </w:r>
      <w:r w:rsidRPr="00AD5243">
        <w:rPr>
          <w:rFonts w:cs="Times New Roman"/>
          <w:szCs w:val="24"/>
        </w:rPr>
        <w:t>aaugstinot tikai minimālo vecuma pensij</w:t>
      </w:r>
      <w:r w:rsidR="00C22D90">
        <w:rPr>
          <w:rFonts w:cs="Times New Roman"/>
          <w:szCs w:val="24"/>
        </w:rPr>
        <w:t>u</w:t>
      </w:r>
      <w:r w:rsidRPr="00AD5243">
        <w:rPr>
          <w:rFonts w:cs="Times New Roman"/>
          <w:szCs w:val="24"/>
        </w:rPr>
        <w:t xml:space="preserve"> apmērus, tie strauji tuvosies vidējiem pensijas apmēriem. Piemēram, </w:t>
      </w:r>
      <w:r w:rsidR="00332ECF" w:rsidRPr="00AD5243">
        <w:rPr>
          <w:rFonts w:cs="Times New Roman"/>
          <w:szCs w:val="24"/>
        </w:rPr>
        <w:t>202</w:t>
      </w:r>
      <w:r w:rsidR="00332ECF">
        <w:rPr>
          <w:rFonts w:cs="Times New Roman"/>
          <w:szCs w:val="24"/>
        </w:rPr>
        <w:t>4</w:t>
      </w:r>
      <w:r w:rsidRPr="00AD5243">
        <w:rPr>
          <w:rFonts w:cs="Times New Roman"/>
          <w:szCs w:val="24"/>
        </w:rPr>
        <w:t xml:space="preserve">.gadā </w:t>
      </w:r>
      <w:r w:rsidR="00332ECF">
        <w:rPr>
          <w:rFonts w:cs="Times New Roman"/>
          <w:szCs w:val="24"/>
        </w:rPr>
        <w:t>prognozētai</w:t>
      </w:r>
      <w:r w:rsidR="00332ECF" w:rsidRPr="00AD5243">
        <w:rPr>
          <w:rFonts w:cs="Times New Roman"/>
          <w:szCs w:val="24"/>
        </w:rPr>
        <w:t xml:space="preserve">s </w:t>
      </w:r>
      <w:r w:rsidRPr="00AD5243">
        <w:rPr>
          <w:rFonts w:cs="Times New Roman"/>
          <w:szCs w:val="24"/>
        </w:rPr>
        <w:t xml:space="preserve">vidējais vecuma pensijas apmērs </w:t>
      </w:r>
      <w:r w:rsidR="00332ECF">
        <w:rPr>
          <w:rFonts w:cs="Times New Roman"/>
          <w:szCs w:val="24"/>
        </w:rPr>
        <w:t>būs 443</w:t>
      </w:r>
      <w:r w:rsidR="00332ECF" w:rsidRPr="00AD5243">
        <w:rPr>
          <w:rFonts w:cs="Times New Roman"/>
          <w:szCs w:val="24"/>
        </w:rPr>
        <w:t xml:space="preserve"> </w:t>
      </w:r>
      <w:r w:rsidRPr="00AD5243">
        <w:rPr>
          <w:rFonts w:cs="Times New Roman"/>
          <w:i/>
          <w:szCs w:val="24"/>
        </w:rPr>
        <w:t>euro</w:t>
      </w:r>
      <w:r>
        <w:rPr>
          <w:rStyle w:val="FootnoteReference"/>
          <w:i/>
          <w:szCs w:val="24"/>
        </w:rPr>
        <w:footnoteReference w:id="21"/>
      </w:r>
      <w:r w:rsidRPr="00AD5243">
        <w:rPr>
          <w:rFonts w:cs="Times New Roman"/>
          <w:szCs w:val="24"/>
        </w:rPr>
        <w:t xml:space="preserve">, </w:t>
      </w:r>
      <w:r>
        <w:rPr>
          <w:rFonts w:cs="Times New Roman"/>
          <w:szCs w:val="24"/>
        </w:rPr>
        <w:t>bet</w:t>
      </w:r>
      <w:r w:rsidRPr="00AD5243">
        <w:rPr>
          <w:rFonts w:cs="Times New Roman"/>
          <w:szCs w:val="24"/>
        </w:rPr>
        <w:t xml:space="preserve"> minimālā vecuma pensija par 38 gadu apdrošināšanas stāžu (</w:t>
      </w:r>
      <w:r w:rsidR="00332ECF">
        <w:rPr>
          <w:rFonts w:cs="Times New Roman"/>
          <w:szCs w:val="24"/>
        </w:rPr>
        <w:t xml:space="preserve">statistiski </w:t>
      </w:r>
      <w:r w:rsidRPr="00AD5243">
        <w:rPr>
          <w:rFonts w:cs="Times New Roman"/>
          <w:szCs w:val="24"/>
        </w:rPr>
        <w:t xml:space="preserve">vidējais vecuma pensijas apdrošināšanas stāžs) </w:t>
      </w:r>
      <w:r w:rsidR="00332ECF">
        <w:rPr>
          <w:rFonts w:cs="Times New Roman"/>
          <w:szCs w:val="24"/>
        </w:rPr>
        <w:t>būs</w:t>
      </w:r>
      <w:r w:rsidR="00332ECF" w:rsidRPr="00AD5243">
        <w:rPr>
          <w:rFonts w:cs="Times New Roman"/>
          <w:szCs w:val="24"/>
        </w:rPr>
        <w:t xml:space="preserve"> 2</w:t>
      </w:r>
      <w:r w:rsidR="00332ECF">
        <w:rPr>
          <w:rFonts w:cs="Times New Roman"/>
          <w:szCs w:val="24"/>
        </w:rPr>
        <w:t>48</w:t>
      </w:r>
      <w:r w:rsidR="00332ECF" w:rsidRPr="00AD5243">
        <w:rPr>
          <w:rFonts w:cs="Times New Roman"/>
          <w:szCs w:val="24"/>
        </w:rPr>
        <w:t xml:space="preserve"> </w:t>
      </w:r>
      <w:r w:rsidRPr="00AD5243">
        <w:rPr>
          <w:rFonts w:cs="Times New Roman"/>
          <w:i/>
          <w:szCs w:val="24"/>
        </w:rPr>
        <w:t>euro</w:t>
      </w:r>
      <w:r w:rsidRPr="00AD5243">
        <w:rPr>
          <w:rFonts w:cs="Times New Roman"/>
          <w:szCs w:val="24"/>
        </w:rPr>
        <w:t xml:space="preserve"> jeb </w:t>
      </w:r>
      <w:r w:rsidR="00332ECF" w:rsidRPr="00AD5243">
        <w:rPr>
          <w:rFonts w:cs="Times New Roman"/>
          <w:szCs w:val="24"/>
        </w:rPr>
        <w:t>5</w:t>
      </w:r>
      <w:r w:rsidR="00332ECF">
        <w:rPr>
          <w:rFonts w:cs="Times New Roman"/>
          <w:szCs w:val="24"/>
        </w:rPr>
        <w:t>6</w:t>
      </w:r>
      <w:r w:rsidR="00ED3EC8">
        <w:rPr>
          <w:rFonts w:cs="Times New Roman"/>
          <w:szCs w:val="24"/>
        </w:rPr>
        <w:t>% no vidējā pensijas apmēra.</w:t>
      </w:r>
      <w:r w:rsidRPr="00AD5243">
        <w:rPr>
          <w:rFonts w:cs="Times New Roman"/>
          <w:szCs w:val="24"/>
        </w:rPr>
        <w:t xml:space="preserve"> </w:t>
      </w:r>
      <w:r>
        <w:rPr>
          <w:rFonts w:cs="Times New Roman"/>
          <w:szCs w:val="24"/>
        </w:rPr>
        <w:t>Šobrīd minimālās vecuma pensiju apmēru līdz minimālajam ienākumu slieksnim finansē no valsts pamatbudžeta, bet starpību no minimālā ienākuma sliekšņa līdz</w:t>
      </w:r>
      <w:r w:rsidR="00096D1A">
        <w:rPr>
          <w:rFonts w:cs="Times New Roman"/>
          <w:szCs w:val="24"/>
        </w:rPr>
        <w:t xml:space="preserve"> personai</w:t>
      </w:r>
      <w:r>
        <w:rPr>
          <w:rFonts w:cs="Times New Roman"/>
          <w:szCs w:val="24"/>
        </w:rPr>
        <w:t xml:space="preserve"> aprēķinātajam vecuma pensijas apmēram finansē no speciālā apdrošināšanas budžeta. Savukārt vidējās vecuma pensijas tiek finansētas pilnībā no speciālā apdrošināšanas budžeta. L</w:t>
      </w:r>
      <w:r w:rsidRPr="00AD5243">
        <w:rPr>
          <w:rFonts w:cs="Times New Roman"/>
          <w:szCs w:val="24"/>
        </w:rPr>
        <w:t>ai netiktu nonivelēti tie pensiju apmēri, kas aprēķināti no indivīda veiktajām sociālās apdrošināšanas iemaksām</w:t>
      </w:r>
      <w:r>
        <w:rPr>
          <w:rFonts w:cs="Times New Roman"/>
          <w:szCs w:val="24"/>
        </w:rPr>
        <w:t xml:space="preserve"> (minimālo vecuma pensiju gadījumā</w:t>
      </w:r>
      <w:r w:rsidR="00ED3EC8">
        <w:rPr>
          <w:rFonts w:cs="Times New Roman"/>
          <w:szCs w:val="24"/>
        </w:rPr>
        <w:t xml:space="preserve"> sociālās</w:t>
      </w:r>
      <w:r>
        <w:rPr>
          <w:rFonts w:cs="Times New Roman"/>
          <w:szCs w:val="24"/>
        </w:rPr>
        <w:t xml:space="preserve"> apdrošināšanas iemaksas var būt ļoti minimālas un neregulāras), ir būtiski mainīt minimālo vecuma pensiju finansēšanas principus, atbalstu saņemot no </w:t>
      </w:r>
      <w:r w:rsidRPr="00AD5243">
        <w:rPr>
          <w:rFonts w:cs="Times New Roman"/>
          <w:szCs w:val="24"/>
        </w:rPr>
        <w:t xml:space="preserve">valsts pamatbudžeta. </w:t>
      </w:r>
      <w:r>
        <w:rPr>
          <w:rFonts w:cs="Times New Roman"/>
          <w:szCs w:val="24"/>
        </w:rPr>
        <w:t xml:space="preserve">Šādai konceptuālai minimālo vecuma pensiju finansēšanas principu maiņai ir </w:t>
      </w:r>
      <w:r w:rsidRPr="00AD5243">
        <w:rPr>
          <w:rFonts w:cs="Times New Roman"/>
          <w:iCs/>
          <w:szCs w:val="24"/>
        </w:rPr>
        <w:t xml:space="preserve">nepieciešams veikt </w:t>
      </w:r>
      <w:r>
        <w:rPr>
          <w:rFonts w:cs="Times New Roman"/>
          <w:iCs/>
          <w:szCs w:val="24"/>
        </w:rPr>
        <w:t>attiecīgu</w:t>
      </w:r>
      <w:r w:rsidRPr="00AD5243">
        <w:rPr>
          <w:rFonts w:cs="Times New Roman"/>
          <w:iCs/>
          <w:szCs w:val="24"/>
        </w:rPr>
        <w:t xml:space="preserve"> izvērtējumu;</w:t>
      </w:r>
    </w:p>
    <w:p w14:paraId="7C721693" w14:textId="768AA5C6" w:rsidR="007B552E" w:rsidRPr="00A436CB" w:rsidRDefault="007B552E" w:rsidP="007B552E">
      <w:pPr>
        <w:pStyle w:val="ListParagraph"/>
        <w:numPr>
          <w:ilvl w:val="0"/>
          <w:numId w:val="30"/>
        </w:numPr>
        <w:spacing w:after="0" w:line="240" w:lineRule="auto"/>
        <w:ind w:left="425" w:hanging="425"/>
        <w:jc w:val="both"/>
        <w:rPr>
          <w:rFonts w:cs="Times New Roman"/>
          <w:szCs w:val="24"/>
        </w:rPr>
      </w:pPr>
      <w:r w:rsidRPr="00AD5243">
        <w:rPr>
          <w:rFonts w:cs="Times New Roman"/>
          <w:szCs w:val="24"/>
        </w:rPr>
        <w:t>pensijas, t.sk. arī minimālās vecuma pensijas, katru gadu oktobrī tiek indeksētas, ņemot vērā faktisko patēriņa cenu indeksu un daļu no apdrošināšanas iemaksu algu summas reālā pieauguma procentiem. Līdz ar to pensijas apmēri regulāri jau palielinās. Katru gadu pārskatot minimālo ienākumu sliekšņus, paaugstināsies tikai minimāl</w:t>
      </w:r>
      <w:r w:rsidR="00C22D90">
        <w:rPr>
          <w:rFonts w:cs="Times New Roman"/>
          <w:szCs w:val="24"/>
        </w:rPr>
        <w:t>o</w:t>
      </w:r>
      <w:r w:rsidRPr="00AD5243">
        <w:rPr>
          <w:rFonts w:cs="Times New Roman"/>
          <w:szCs w:val="24"/>
        </w:rPr>
        <w:t xml:space="preserve"> pensiju apmēri, kas radīs netaisnību pret pārējiem pensiju saņēmējiem, kuru pensija pārsniedz minimālo </w:t>
      </w:r>
      <w:r w:rsidRPr="00A436CB">
        <w:rPr>
          <w:rFonts w:cs="Times New Roman"/>
          <w:szCs w:val="24"/>
        </w:rPr>
        <w:t>apmēru, jo minimālās pensijas tiktu pārskatītas divas r</w:t>
      </w:r>
      <w:r w:rsidR="007C6D53">
        <w:rPr>
          <w:rFonts w:cs="Times New Roman"/>
          <w:szCs w:val="24"/>
        </w:rPr>
        <w:t>eizes gadā – pensiju indeksācijas rezultātā</w:t>
      </w:r>
      <w:r w:rsidRPr="00A436CB">
        <w:rPr>
          <w:rFonts w:cs="Times New Roman"/>
          <w:szCs w:val="24"/>
        </w:rPr>
        <w:t xml:space="preserve"> un saistībā ar minimālo ienākumu sliekšņu pārskatīšanu</w:t>
      </w:r>
      <w:r>
        <w:rPr>
          <w:rFonts w:cs="Times New Roman"/>
          <w:szCs w:val="24"/>
        </w:rPr>
        <w:t>, savukārt pārējās pensijas – vienu reizi gadā saistībā ar pensiju indeksāciju. Lai rastu taisnīgāku risinājumu, ir nepieciešams izvērtēt pensiju politiku kopumā, veicot attiecīgu izvērtējumu</w:t>
      </w:r>
      <w:r w:rsidRPr="00A436CB">
        <w:rPr>
          <w:rFonts w:cs="Times New Roman"/>
          <w:szCs w:val="24"/>
        </w:rPr>
        <w:t>;</w:t>
      </w:r>
    </w:p>
    <w:p w14:paraId="3FD8F007" w14:textId="71F95AA2" w:rsidR="007B552E" w:rsidRPr="00464C36" w:rsidRDefault="007C6D53" w:rsidP="007B552E">
      <w:pPr>
        <w:pStyle w:val="ListParagraph"/>
        <w:numPr>
          <w:ilvl w:val="0"/>
          <w:numId w:val="30"/>
        </w:numPr>
        <w:spacing w:after="120" w:line="240" w:lineRule="auto"/>
        <w:ind w:left="426" w:hanging="425"/>
        <w:jc w:val="both"/>
        <w:rPr>
          <w:rFonts w:eastAsia="Times New Roman" w:cs="Times New Roman"/>
          <w:iCs/>
          <w:szCs w:val="24"/>
        </w:rPr>
      </w:pPr>
      <w:r>
        <w:rPr>
          <w:rFonts w:eastAsia="Times New Roman" w:cs="Times New Roman"/>
          <w:iCs/>
          <w:szCs w:val="24"/>
        </w:rPr>
        <w:t xml:space="preserve">ņemot vērā, </w:t>
      </w:r>
      <w:r w:rsidR="007B552E">
        <w:rPr>
          <w:rFonts w:eastAsia="Times New Roman" w:cs="Times New Roman"/>
          <w:iCs/>
          <w:szCs w:val="24"/>
        </w:rPr>
        <w:t>ka minimāl</w:t>
      </w:r>
      <w:r w:rsidR="00C22D90">
        <w:rPr>
          <w:rFonts w:eastAsia="Times New Roman" w:cs="Times New Roman"/>
          <w:iCs/>
          <w:szCs w:val="24"/>
        </w:rPr>
        <w:t>o</w:t>
      </w:r>
      <w:r w:rsidR="007B552E">
        <w:rPr>
          <w:rFonts w:eastAsia="Times New Roman" w:cs="Times New Roman"/>
          <w:iCs/>
          <w:szCs w:val="24"/>
        </w:rPr>
        <w:t xml:space="preserve"> ienākumu sliekšņi tiek piemēroti visās sociālās </w:t>
      </w:r>
      <w:r>
        <w:rPr>
          <w:rFonts w:eastAsia="Times New Roman" w:cs="Times New Roman"/>
          <w:iCs/>
          <w:szCs w:val="24"/>
        </w:rPr>
        <w:t>aizsardzības</w:t>
      </w:r>
      <w:r w:rsidR="002A475A">
        <w:rPr>
          <w:rFonts w:eastAsia="Times New Roman" w:cs="Times New Roman"/>
          <w:iCs/>
          <w:szCs w:val="24"/>
        </w:rPr>
        <w:t xml:space="preserve"> </w:t>
      </w:r>
      <w:r w:rsidR="007B552E">
        <w:rPr>
          <w:rFonts w:eastAsia="Times New Roman" w:cs="Times New Roman"/>
          <w:iCs/>
          <w:szCs w:val="24"/>
        </w:rPr>
        <w:t xml:space="preserve">sistēmas jomās, sociālās palīdzības pārskatīšanā ir jāņem vērā iepriekšminētie riski. Tāpat, lai novērtētu, kā paaugstinātie minimālo ienākumu sliekšņi ir ietekmējuši sociālās palīdzības saņēmēju skaitu, </w:t>
      </w:r>
      <w:r w:rsidR="002A475A">
        <w:rPr>
          <w:rFonts w:eastAsia="Times New Roman" w:cs="Times New Roman"/>
          <w:iCs/>
          <w:szCs w:val="24"/>
        </w:rPr>
        <w:t xml:space="preserve">sociālo </w:t>
      </w:r>
      <w:r w:rsidR="007B552E">
        <w:rPr>
          <w:rFonts w:eastAsia="Times New Roman" w:cs="Times New Roman"/>
          <w:iCs/>
          <w:szCs w:val="24"/>
        </w:rPr>
        <w:t>situāciju, ienākumu</w:t>
      </w:r>
      <w:r w:rsidR="002A475A">
        <w:rPr>
          <w:rFonts w:eastAsia="Times New Roman" w:cs="Times New Roman"/>
          <w:iCs/>
          <w:szCs w:val="24"/>
        </w:rPr>
        <w:t xml:space="preserve"> pieaugumu mājsaimniecībā</w:t>
      </w:r>
      <w:r w:rsidR="007B552E">
        <w:rPr>
          <w:rFonts w:eastAsia="Times New Roman" w:cs="Times New Roman"/>
          <w:iCs/>
          <w:szCs w:val="24"/>
        </w:rPr>
        <w:t>, nodarbinātīb</w:t>
      </w:r>
      <w:r w:rsidR="002A475A">
        <w:rPr>
          <w:rFonts w:eastAsia="Times New Roman" w:cs="Times New Roman"/>
          <w:iCs/>
          <w:szCs w:val="24"/>
        </w:rPr>
        <w:t>as iespējas</w:t>
      </w:r>
      <w:r w:rsidR="007B552E">
        <w:rPr>
          <w:rFonts w:eastAsia="Times New Roman" w:cs="Times New Roman"/>
          <w:iCs/>
          <w:szCs w:val="24"/>
        </w:rPr>
        <w:t xml:space="preserve"> u.c., ir nepieciešams </w:t>
      </w:r>
      <w:r w:rsidR="002A475A">
        <w:rPr>
          <w:rFonts w:eastAsia="Times New Roman" w:cs="Times New Roman"/>
          <w:iCs/>
          <w:szCs w:val="24"/>
        </w:rPr>
        <w:t>izanalizēt veikto izmaiņu ietekmi uz GMI pabalsta saņēmējiem</w:t>
      </w:r>
      <w:r w:rsidR="007B552E">
        <w:rPr>
          <w:rFonts w:eastAsia="Times New Roman" w:cs="Times New Roman"/>
          <w:iCs/>
          <w:szCs w:val="24"/>
        </w:rPr>
        <w:t xml:space="preserve">, ko varēs veikt </w:t>
      </w:r>
      <w:r w:rsidR="002A475A">
        <w:rPr>
          <w:rFonts w:eastAsia="Times New Roman" w:cs="Times New Roman"/>
          <w:iCs/>
          <w:szCs w:val="24"/>
        </w:rPr>
        <w:t xml:space="preserve">tikai </w:t>
      </w:r>
      <w:r w:rsidR="007B552E">
        <w:rPr>
          <w:rFonts w:eastAsia="Times New Roman" w:cs="Times New Roman"/>
          <w:iCs/>
          <w:szCs w:val="24"/>
        </w:rPr>
        <w:t xml:space="preserve">2022.gadā, kad būs pieejami </w:t>
      </w:r>
      <w:r w:rsidR="002A475A">
        <w:rPr>
          <w:rFonts w:eastAsia="Times New Roman" w:cs="Times New Roman"/>
          <w:iCs/>
          <w:szCs w:val="24"/>
        </w:rPr>
        <w:t xml:space="preserve">statistikas </w:t>
      </w:r>
      <w:r w:rsidR="007B552E">
        <w:rPr>
          <w:rFonts w:eastAsia="Times New Roman" w:cs="Times New Roman"/>
          <w:iCs/>
          <w:szCs w:val="24"/>
        </w:rPr>
        <w:t xml:space="preserve">dati par 2021.gadu. Vienlaicīgi 2022.gadā būs </w:t>
      </w:r>
      <w:r w:rsidR="007B552E" w:rsidRPr="00993B25">
        <w:rPr>
          <w:rFonts w:eastAsia="Times New Roman" w:cs="Times New Roman"/>
          <w:iCs/>
          <w:szCs w:val="24"/>
        </w:rPr>
        <w:t>iespēja arī novērtēt administratīvi teritoriālās reformas rezultātā izveidoto pašvaldību finanšu spēju nodrošināt sociālo palīdzību un minimālo ienākumu reformas īstenošanu. Lai novērtētu sociālās palīdzības sistēmā noteikto pabalstu un atbalsta adekvātumu, sociālās palīdzības sistēmas novērtējumā nepieciešams izmantot arī iztikas minimuma patēriņa preču un pakalpojumu groza datus, kas būs pieejami 2022.gad</w:t>
      </w:r>
      <w:r w:rsidR="007B552E">
        <w:rPr>
          <w:rFonts w:eastAsia="Times New Roman" w:cs="Times New Roman"/>
          <w:iCs/>
          <w:szCs w:val="24"/>
        </w:rPr>
        <w:t>ā</w:t>
      </w:r>
      <w:r w:rsidR="007B552E" w:rsidRPr="00993B25">
        <w:rPr>
          <w:rStyle w:val="FootnoteReference"/>
          <w:rFonts w:eastAsia="Times New Roman"/>
          <w:iCs/>
          <w:szCs w:val="24"/>
        </w:rPr>
        <w:footnoteReference w:id="22"/>
      </w:r>
      <w:r w:rsidR="007B552E" w:rsidRPr="00993B25">
        <w:rPr>
          <w:rFonts w:eastAsia="Times New Roman" w:cs="Times New Roman"/>
          <w:iCs/>
          <w:szCs w:val="24"/>
        </w:rPr>
        <w:t xml:space="preserve">, kā arī pētījuma par </w:t>
      </w:r>
      <w:r w:rsidR="007B552E" w:rsidRPr="00993B25">
        <w:rPr>
          <w:rFonts w:cs="Times New Roman"/>
          <w:bCs/>
          <w:szCs w:val="24"/>
        </w:rPr>
        <w:t>GMI saņēmēju iztikšanas stratēģijām</w:t>
      </w:r>
      <w:r w:rsidR="007B552E" w:rsidRPr="00993B25">
        <w:rPr>
          <w:rFonts w:cs="Times New Roman"/>
          <w:b/>
          <w:bCs/>
          <w:szCs w:val="24"/>
        </w:rPr>
        <w:t xml:space="preserve"> </w:t>
      </w:r>
      <w:r w:rsidR="007B552E" w:rsidRPr="00993B25">
        <w:rPr>
          <w:rFonts w:cs="Times New Roman"/>
          <w:bCs/>
          <w:szCs w:val="24"/>
        </w:rPr>
        <w:t>rezultātus</w:t>
      </w:r>
      <w:r w:rsidR="007B552E">
        <w:rPr>
          <w:rStyle w:val="FootnoteReference"/>
          <w:bCs/>
          <w:szCs w:val="24"/>
        </w:rPr>
        <w:footnoteReference w:id="23"/>
      </w:r>
      <w:r w:rsidR="007B552E" w:rsidRPr="00993B25">
        <w:rPr>
          <w:rFonts w:cs="Times New Roman"/>
          <w:szCs w:val="24"/>
        </w:rPr>
        <w:t>. Šajā pētījumā ir paredzēts identificēt GMI saņēmēju vajadzību piramīdu, neapmierinātās vajadzības, izdevumu struktūru, ienākumu avotus, saņemtos atbalsta veidus arī nemonetārā veidā, raksturojot GMI saņēmēju portretus.</w:t>
      </w:r>
      <w:r w:rsidR="006925E2">
        <w:rPr>
          <w:rFonts w:cs="Times New Roman"/>
          <w:szCs w:val="24"/>
        </w:rPr>
        <w:t xml:space="preserve"> </w:t>
      </w:r>
    </w:p>
    <w:p w14:paraId="007D024E" w14:textId="7091ED3A" w:rsidR="007B552E" w:rsidRDefault="007B552E" w:rsidP="007B552E">
      <w:pPr>
        <w:spacing w:after="120" w:line="240" w:lineRule="auto"/>
        <w:ind w:firstLine="426"/>
        <w:jc w:val="both"/>
        <w:rPr>
          <w:rFonts w:cs="Times New Roman"/>
          <w:iCs/>
          <w:szCs w:val="24"/>
        </w:rPr>
      </w:pPr>
      <w:r>
        <w:rPr>
          <w:rFonts w:cs="Times New Roman"/>
          <w:iCs/>
          <w:szCs w:val="24"/>
        </w:rPr>
        <w:t xml:space="preserve">Ņemot vērā minēto, </w:t>
      </w:r>
      <w:r w:rsidR="00CE67E3">
        <w:rPr>
          <w:rFonts w:cs="Times New Roman"/>
          <w:iCs/>
          <w:szCs w:val="24"/>
        </w:rPr>
        <w:t>LM</w:t>
      </w:r>
      <w:r>
        <w:rPr>
          <w:rFonts w:cs="Times New Roman"/>
          <w:iCs/>
          <w:szCs w:val="24"/>
        </w:rPr>
        <w:t xml:space="preserve"> piedāvā </w:t>
      </w:r>
      <w:r w:rsidRPr="003F0733">
        <w:rPr>
          <w:rFonts w:cs="Times New Roman"/>
          <w:b/>
          <w:iCs/>
          <w:szCs w:val="24"/>
        </w:rPr>
        <w:t xml:space="preserve">minimālo ienākumu sliekšņu pārskatīšanu </w:t>
      </w:r>
      <w:r>
        <w:rPr>
          <w:rFonts w:cs="Times New Roman"/>
          <w:b/>
          <w:iCs/>
          <w:szCs w:val="24"/>
        </w:rPr>
        <w:t xml:space="preserve">noteikt ikgadēji no 2023.gada, </w:t>
      </w:r>
      <w:r w:rsidR="006858F2">
        <w:rPr>
          <w:rFonts w:cs="Times New Roman"/>
          <w:iCs/>
          <w:szCs w:val="24"/>
        </w:rPr>
        <w:t xml:space="preserve">izvērtējot </w:t>
      </w:r>
      <w:r>
        <w:rPr>
          <w:rFonts w:cs="Times New Roman"/>
          <w:iCs/>
          <w:szCs w:val="24"/>
        </w:rPr>
        <w:t xml:space="preserve"> iepriekšminētos riskus</w:t>
      </w:r>
      <w:r w:rsidRPr="007B552E">
        <w:rPr>
          <w:rFonts w:cs="Times New Roman"/>
          <w:iCs/>
          <w:szCs w:val="24"/>
        </w:rPr>
        <w:t xml:space="preserve"> </w:t>
      </w:r>
      <w:r>
        <w:rPr>
          <w:rFonts w:cs="Times New Roman"/>
          <w:iCs/>
          <w:szCs w:val="24"/>
        </w:rPr>
        <w:t>un veicamos novērtējumus</w:t>
      </w:r>
      <w:r w:rsidR="0060557B">
        <w:rPr>
          <w:rFonts w:cs="Times New Roman"/>
          <w:iCs/>
          <w:szCs w:val="24"/>
        </w:rPr>
        <w:t xml:space="preserve"> katrā jomā</w:t>
      </w:r>
      <w:r>
        <w:rPr>
          <w:rFonts w:cs="Times New Roman"/>
          <w:iCs/>
          <w:szCs w:val="24"/>
        </w:rPr>
        <w:t xml:space="preserve">. </w:t>
      </w:r>
    </w:p>
    <w:p w14:paraId="2E193D40" w14:textId="70F89C70" w:rsidR="00B41802" w:rsidRDefault="00B41802" w:rsidP="005559CE">
      <w:pPr>
        <w:autoSpaceDE w:val="0"/>
        <w:autoSpaceDN w:val="0"/>
        <w:adjustRightInd w:val="0"/>
        <w:spacing w:after="120" w:line="240" w:lineRule="auto"/>
        <w:ind w:firstLine="426"/>
        <w:rPr>
          <w:rFonts w:cs="Times New Roman"/>
          <w:iCs/>
          <w:szCs w:val="24"/>
        </w:rPr>
      </w:pPr>
      <w:r>
        <w:rPr>
          <w:rFonts w:cs="Times New Roman"/>
          <w:iCs/>
          <w:szCs w:val="24"/>
        </w:rPr>
        <w:br w:type="page"/>
      </w:r>
    </w:p>
    <w:p w14:paraId="194F86C3" w14:textId="77777777" w:rsidR="00B41802" w:rsidRDefault="00B41802" w:rsidP="00C960F4">
      <w:pPr>
        <w:spacing w:line="240" w:lineRule="auto"/>
        <w:ind w:firstLine="720"/>
        <w:jc w:val="both"/>
        <w:rPr>
          <w:rFonts w:cs="Times New Roman"/>
          <w:iCs/>
          <w:szCs w:val="24"/>
        </w:rPr>
        <w:sectPr w:rsidR="00B41802" w:rsidSect="00D64A0E">
          <w:headerReference w:type="default" r:id="rId15"/>
          <w:footerReference w:type="default" r:id="rId16"/>
          <w:footerReference w:type="first" r:id="rId17"/>
          <w:pgSz w:w="11906" w:h="16838"/>
          <w:pgMar w:top="1418" w:right="1134" w:bottom="1134" w:left="1701" w:header="709" w:footer="709" w:gutter="0"/>
          <w:cols w:space="708"/>
          <w:titlePg/>
          <w:docGrid w:linePitch="360"/>
        </w:sectPr>
      </w:pPr>
    </w:p>
    <w:p w14:paraId="3FB561A3" w14:textId="144F4622" w:rsidR="00021A82" w:rsidRPr="00021A82" w:rsidRDefault="00021A82" w:rsidP="00FE52F7">
      <w:pPr>
        <w:pStyle w:val="Heading1"/>
      </w:pPr>
      <w:r>
        <w:t xml:space="preserve">III </w:t>
      </w:r>
      <w:r w:rsidRPr="00021A82">
        <w:t xml:space="preserve">Plāna ietvaros īstenojamie pasākumi </w:t>
      </w:r>
    </w:p>
    <w:p w14:paraId="1AF19765" w14:textId="781F3515" w:rsidR="00B41802" w:rsidRPr="00021A82" w:rsidRDefault="00B41802" w:rsidP="00FE52F7">
      <w:pPr>
        <w:pStyle w:val="ListParagraph"/>
        <w:spacing w:line="240" w:lineRule="auto"/>
        <w:ind w:left="1440"/>
        <w:rPr>
          <w:rFonts w:cs="Times New Roman"/>
          <w:iCs/>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2"/>
        <w:gridCol w:w="2806"/>
        <w:gridCol w:w="4281"/>
        <w:gridCol w:w="1134"/>
        <w:gridCol w:w="1560"/>
        <w:gridCol w:w="1814"/>
      </w:tblGrid>
      <w:tr w:rsidR="00333233" w:rsidRPr="00F269EC" w14:paraId="5CC9126F" w14:textId="77777777" w:rsidTr="001278A3">
        <w:tc>
          <w:tcPr>
            <w:tcW w:w="2547" w:type="dxa"/>
            <w:gridSpan w:val="2"/>
          </w:tcPr>
          <w:p w14:paraId="4149CC24" w14:textId="77777777" w:rsidR="009F5D7E" w:rsidRPr="00F269EC" w:rsidRDefault="009F5D7E" w:rsidP="000919B8">
            <w:pPr>
              <w:spacing w:after="0" w:line="240" w:lineRule="auto"/>
              <w:rPr>
                <w:b/>
                <w:bCs/>
                <w:sz w:val="20"/>
                <w:szCs w:val="20"/>
              </w:rPr>
            </w:pPr>
            <w:r w:rsidRPr="00F269EC">
              <w:rPr>
                <w:b/>
                <w:bCs/>
                <w:sz w:val="20"/>
                <w:szCs w:val="20"/>
              </w:rPr>
              <w:t xml:space="preserve">Plāna mērķis </w:t>
            </w:r>
          </w:p>
        </w:tc>
        <w:tc>
          <w:tcPr>
            <w:tcW w:w="11595" w:type="dxa"/>
            <w:gridSpan w:val="5"/>
          </w:tcPr>
          <w:p w14:paraId="472961BC" w14:textId="77777777" w:rsidR="007B32EE" w:rsidRPr="00F269EC" w:rsidRDefault="007B32EE" w:rsidP="007B32EE">
            <w:pPr>
              <w:spacing w:after="0" w:line="240" w:lineRule="auto"/>
              <w:jc w:val="both"/>
              <w:rPr>
                <w:rFonts w:cs="Times New Roman"/>
                <w:iCs/>
                <w:sz w:val="20"/>
                <w:szCs w:val="20"/>
              </w:rPr>
            </w:pPr>
            <w:r w:rsidRPr="00F269EC">
              <w:rPr>
                <w:rFonts w:cs="Times New Roman"/>
                <w:iCs/>
                <w:sz w:val="20"/>
                <w:szCs w:val="20"/>
              </w:rPr>
              <w:t>Plāna pasākumu mērķis ir pilnveidot minimālo ienākumu atbalsta sistēmu, sniedzot atbalstu nabadzības un ienākumu nevienlīdzības riskiem visvairāk pakļautajām sabiedrības grupām.</w:t>
            </w:r>
          </w:p>
          <w:p w14:paraId="19974F47" w14:textId="77777777" w:rsidR="009F5D7E" w:rsidRPr="00F269EC" w:rsidRDefault="009F5D7E" w:rsidP="000919B8">
            <w:pPr>
              <w:spacing w:after="0" w:line="240" w:lineRule="auto"/>
              <w:jc w:val="center"/>
              <w:rPr>
                <w:bCs/>
                <w:sz w:val="20"/>
                <w:szCs w:val="20"/>
              </w:rPr>
            </w:pPr>
          </w:p>
        </w:tc>
      </w:tr>
      <w:tr w:rsidR="00333233" w:rsidRPr="00F269EC" w14:paraId="0D33EBA6" w14:textId="77777777" w:rsidTr="00AE0A4D">
        <w:trPr>
          <w:trHeight w:val="56"/>
        </w:trPr>
        <w:tc>
          <w:tcPr>
            <w:tcW w:w="2547" w:type="dxa"/>
            <w:gridSpan w:val="2"/>
            <w:shd w:val="clear" w:color="auto" w:fill="auto"/>
          </w:tcPr>
          <w:p w14:paraId="67BB893B" w14:textId="77777777" w:rsidR="009F5D7E" w:rsidRDefault="009F5D7E" w:rsidP="000919B8">
            <w:pPr>
              <w:spacing w:after="0" w:line="240" w:lineRule="auto"/>
              <w:rPr>
                <w:b/>
                <w:bCs/>
                <w:sz w:val="20"/>
                <w:szCs w:val="20"/>
              </w:rPr>
            </w:pPr>
            <w:r w:rsidRPr="003745BF">
              <w:rPr>
                <w:b/>
                <w:bCs/>
                <w:sz w:val="20"/>
                <w:szCs w:val="20"/>
              </w:rPr>
              <w:t>Politikas rezultāts/-i un rezultatīvais rādītājs/-i</w:t>
            </w:r>
          </w:p>
          <w:p w14:paraId="208C86D6" w14:textId="77777777" w:rsidR="00956037" w:rsidRDefault="00956037" w:rsidP="000919B8">
            <w:pPr>
              <w:spacing w:after="0" w:line="240" w:lineRule="auto"/>
              <w:rPr>
                <w:b/>
                <w:bCs/>
                <w:sz w:val="20"/>
                <w:szCs w:val="20"/>
              </w:rPr>
            </w:pPr>
          </w:p>
          <w:p w14:paraId="4A1D7085" w14:textId="77777777" w:rsidR="00956037" w:rsidRDefault="00956037" w:rsidP="000919B8">
            <w:pPr>
              <w:spacing w:after="0" w:line="240" w:lineRule="auto"/>
              <w:rPr>
                <w:b/>
                <w:bCs/>
                <w:sz w:val="20"/>
                <w:szCs w:val="20"/>
              </w:rPr>
            </w:pPr>
          </w:p>
          <w:p w14:paraId="667281AB" w14:textId="77777777" w:rsidR="00956037" w:rsidRDefault="00956037" w:rsidP="000919B8">
            <w:pPr>
              <w:spacing w:after="0" w:line="240" w:lineRule="auto"/>
              <w:rPr>
                <w:b/>
                <w:bCs/>
                <w:sz w:val="20"/>
                <w:szCs w:val="20"/>
              </w:rPr>
            </w:pPr>
          </w:p>
          <w:p w14:paraId="51E577C7" w14:textId="77777777" w:rsidR="00956037" w:rsidRDefault="00956037" w:rsidP="000919B8">
            <w:pPr>
              <w:spacing w:after="0" w:line="240" w:lineRule="auto"/>
              <w:rPr>
                <w:b/>
                <w:bCs/>
                <w:sz w:val="20"/>
                <w:szCs w:val="20"/>
              </w:rPr>
            </w:pPr>
          </w:p>
          <w:p w14:paraId="6B30F464" w14:textId="77777777" w:rsidR="00956037" w:rsidRDefault="00956037" w:rsidP="000919B8">
            <w:pPr>
              <w:spacing w:after="0" w:line="240" w:lineRule="auto"/>
              <w:rPr>
                <w:b/>
                <w:bCs/>
                <w:sz w:val="20"/>
                <w:szCs w:val="20"/>
              </w:rPr>
            </w:pPr>
          </w:p>
          <w:p w14:paraId="501C9E22" w14:textId="77777777" w:rsidR="00956037" w:rsidRDefault="00956037" w:rsidP="000919B8">
            <w:pPr>
              <w:spacing w:after="0" w:line="240" w:lineRule="auto"/>
              <w:rPr>
                <w:b/>
                <w:bCs/>
                <w:sz w:val="20"/>
                <w:szCs w:val="20"/>
              </w:rPr>
            </w:pPr>
          </w:p>
          <w:p w14:paraId="74EB574A" w14:textId="77777777" w:rsidR="00956037" w:rsidRDefault="00956037" w:rsidP="000919B8">
            <w:pPr>
              <w:spacing w:after="0" w:line="240" w:lineRule="auto"/>
              <w:rPr>
                <w:b/>
                <w:bCs/>
                <w:sz w:val="20"/>
                <w:szCs w:val="20"/>
              </w:rPr>
            </w:pPr>
          </w:p>
          <w:p w14:paraId="0380A307" w14:textId="77777777" w:rsidR="00956037" w:rsidRDefault="00956037" w:rsidP="000919B8">
            <w:pPr>
              <w:spacing w:after="0" w:line="240" w:lineRule="auto"/>
              <w:rPr>
                <w:b/>
                <w:bCs/>
                <w:sz w:val="20"/>
                <w:szCs w:val="20"/>
              </w:rPr>
            </w:pPr>
          </w:p>
          <w:p w14:paraId="78FB01CE" w14:textId="77777777" w:rsidR="00956037" w:rsidRDefault="00956037" w:rsidP="000919B8">
            <w:pPr>
              <w:spacing w:after="0" w:line="240" w:lineRule="auto"/>
              <w:rPr>
                <w:b/>
                <w:bCs/>
                <w:sz w:val="20"/>
                <w:szCs w:val="20"/>
              </w:rPr>
            </w:pPr>
          </w:p>
          <w:p w14:paraId="508139DD" w14:textId="77777777" w:rsidR="00956037" w:rsidRDefault="00956037" w:rsidP="000919B8">
            <w:pPr>
              <w:spacing w:after="0" w:line="240" w:lineRule="auto"/>
              <w:rPr>
                <w:b/>
                <w:bCs/>
                <w:sz w:val="20"/>
                <w:szCs w:val="20"/>
              </w:rPr>
            </w:pPr>
          </w:p>
          <w:p w14:paraId="0895C135" w14:textId="77777777" w:rsidR="00956037" w:rsidRDefault="00956037" w:rsidP="000919B8">
            <w:pPr>
              <w:spacing w:after="0" w:line="240" w:lineRule="auto"/>
              <w:rPr>
                <w:b/>
                <w:bCs/>
                <w:sz w:val="20"/>
                <w:szCs w:val="20"/>
              </w:rPr>
            </w:pPr>
          </w:p>
          <w:p w14:paraId="7421D3A2" w14:textId="77777777" w:rsidR="00956037" w:rsidRDefault="00956037" w:rsidP="000919B8">
            <w:pPr>
              <w:spacing w:after="0" w:line="240" w:lineRule="auto"/>
              <w:rPr>
                <w:b/>
                <w:bCs/>
                <w:sz w:val="20"/>
                <w:szCs w:val="20"/>
              </w:rPr>
            </w:pPr>
          </w:p>
          <w:p w14:paraId="50C0F5B2" w14:textId="77777777" w:rsidR="00956037" w:rsidRDefault="00956037" w:rsidP="000919B8">
            <w:pPr>
              <w:spacing w:after="0" w:line="240" w:lineRule="auto"/>
              <w:rPr>
                <w:b/>
                <w:bCs/>
                <w:sz w:val="20"/>
                <w:szCs w:val="20"/>
              </w:rPr>
            </w:pPr>
          </w:p>
          <w:p w14:paraId="159E93A5" w14:textId="77777777" w:rsidR="00956037" w:rsidRDefault="00956037" w:rsidP="000919B8">
            <w:pPr>
              <w:spacing w:after="0" w:line="240" w:lineRule="auto"/>
              <w:rPr>
                <w:b/>
                <w:bCs/>
                <w:sz w:val="20"/>
                <w:szCs w:val="20"/>
              </w:rPr>
            </w:pPr>
          </w:p>
          <w:p w14:paraId="7F92DC95" w14:textId="77777777" w:rsidR="00956037" w:rsidRDefault="00956037" w:rsidP="000919B8">
            <w:pPr>
              <w:spacing w:after="0" w:line="240" w:lineRule="auto"/>
              <w:rPr>
                <w:b/>
                <w:bCs/>
                <w:sz w:val="20"/>
                <w:szCs w:val="20"/>
              </w:rPr>
            </w:pPr>
          </w:p>
          <w:p w14:paraId="40253072" w14:textId="77777777" w:rsidR="00956037" w:rsidRDefault="00956037" w:rsidP="000919B8">
            <w:pPr>
              <w:spacing w:after="0" w:line="240" w:lineRule="auto"/>
              <w:rPr>
                <w:b/>
                <w:bCs/>
                <w:sz w:val="20"/>
                <w:szCs w:val="20"/>
              </w:rPr>
            </w:pPr>
          </w:p>
          <w:p w14:paraId="6DC06A0A" w14:textId="77777777" w:rsidR="00956037" w:rsidRDefault="00956037" w:rsidP="000919B8">
            <w:pPr>
              <w:spacing w:after="0" w:line="240" w:lineRule="auto"/>
              <w:rPr>
                <w:b/>
                <w:bCs/>
                <w:sz w:val="20"/>
                <w:szCs w:val="20"/>
              </w:rPr>
            </w:pPr>
          </w:p>
          <w:p w14:paraId="09B0FFAA" w14:textId="77777777" w:rsidR="00956037" w:rsidRDefault="00956037" w:rsidP="000919B8">
            <w:pPr>
              <w:spacing w:after="0" w:line="240" w:lineRule="auto"/>
              <w:rPr>
                <w:b/>
                <w:bCs/>
                <w:sz w:val="20"/>
                <w:szCs w:val="20"/>
              </w:rPr>
            </w:pPr>
          </w:p>
          <w:p w14:paraId="664CE450" w14:textId="77777777" w:rsidR="00956037" w:rsidRDefault="00956037" w:rsidP="000919B8">
            <w:pPr>
              <w:spacing w:after="0" w:line="240" w:lineRule="auto"/>
              <w:rPr>
                <w:b/>
                <w:bCs/>
                <w:sz w:val="20"/>
                <w:szCs w:val="20"/>
              </w:rPr>
            </w:pPr>
          </w:p>
          <w:p w14:paraId="2EDFBCD0" w14:textId="77777777" w:rsidR="00956037" w:rsidRDefault="00956037" w:rsidP="000919B8">
            <w:pPr>
              <w:spacing w:after="0" w:line="240" w:lineRule="auto"/>
              <w:rPr>
                <w:b/>
                <w:bCs/>
                <w:sz w:val="20"/>
                <w:szCs w:val="20"/>
              </w:rPr>
            </w:pPr>
          </w:p>
          <w:p w14:paraId="585B32AE" w14:textId="77777777" w:rsidR="00956037" w:rsidRDefault="00956037" w:rsidP="000919B8">
            <w:pPr>
              <w:spacing w:after="0" w:line="240" w:lineRule="auto"/>
              <w:rPr>
                <w:b/>
                <w:bCs/>
                <w:sz w:val="20"/>
                <w:szCs w:val="20"/>
              </w:rPr>
            </w:pPr>
          </w:p>
          <w:p w14:paraId="3DB4231D" w14:textId="77777777" w:rsidR="00956037" w:rsidRDefault="00956037" w:rsidP="000919B8">
            <w:pPr>
              <w:spacing w:after="0" w:line="240" w:lineRule="auto"/>
              <w:rPr>
                <w:b/>
                <w:bCs/>
                <w:sz w:val="20"/>
                <w:szCs w:val="20"/>
              </w:rPr>
            </w:pPr>
          </w:p>
          <w:p w14:paraId="42B3EA93" w14:textId="77777777" w:rsidR="00956037" w:rsidRDefault="00956037" w:rsidP="000919B8">
            <w:pPr>
              <w:spacing w:after="0" w:line="240" w:lineRule="auto"/>
              <w:rPr>
                <w:b/>
                <w:bCs/>
                <w:sz w:val="20"/>
                <w:szCs w:val="20"/>
              </w:rPr>
            </w:pPr>
          </w:p>
          <w:p w14:paraId="0B3AD77B" w14:textId="77777777" w:rsidR="00956037" w:rsidRDefault="00956037" w:rsidP="000919B8">
            <w:pPr>
              <w:spacing w:after="0" w:line="240" w:lineRule="auto"/>
              <w:rPr>
                <w:b/>
                <w:bCs/>
                <w:sz w:val="20"/>
                <w:szCs w:val="20"/>
              </w:rPr>
            </w:pPr>
          </w:p>
          <w:p w14:paraId="1E5605B6" w14:textId="77777777" w:rsidR="00956037" w:rsidRDefault="00956037" w:rsidP="000919B8">
            <w:pPr>
              <w:spacing w:after="0" w:line="240" w:lineRule="auto"/>
              <w:rPr>
                <w:b/>
                <w:bCs/>
                <w:sz w:val="20"/>
                <w:szCs w:val="20"/>
              </w:rPr>
            </w:pPr>
          </w:p>
          <w:p w14:paraId="364513A7" w14:textId="77777777" w:rsidR="00AE0A4D" w:rsidRDefault="00AE0A4D" w:rsidP="000919B8">
            <w:pPr>
              <w:spacing w:after="0" w:line="240" w:lineRule="auto"/>
              <w:rPr>
                <w:b/>
                <w:bCs/>
                <w:sz w:val="20"/>
                <w:szCs w:val="20"/>
              </w:rPr>
            </w:pPr>
          </w:p>
          <w:p w14:paraId="28D51CA5" w14:textId="77777777" w:rsidR="00AE0A4D" w:rsidRPr="003745BF" w:rsidRDefault="00AE0A4D" w:rsidP="000919B8">
            <w:pPr>
              <w:spacing w:after="0" w:line="240" w:lineRule="auto"/>
              <w:rPr>
                <w:b/>
                <w:bCs/>
                <w:sz w:val="20"/>
                <w:szCs w:val="20"/>
              </w:rPr>
            </w:pPr>
          </w:p>
        </w:tc>
        <w:tc>
          <w:tcPr>
            <w:tcW w:w="11595" w:type="dxa"/>
            <w:gridSpan w:val="5"/>
            <w:shd w:val="clear" w:color="auto" w:fill="auto"/>
          </w:tcPr>
          <w:p w14:paraId="12B8A423" w14:textId="3E2042DC" w:rsidR="00910E0C" w:rsidRPr="003745BF" w:rsidRDefault="00FC3139" w:rsidP="00910E0C">
            <w:pPr>
              <w:rPr>
                <w:rFonts w:cs="Times New Roman"/>
                <w:bCs/>
                <w:sz w:val="20"/>
                <w:szCs w:val="20"/>
              </w:rPr>
            </w:pPr>
            <w:r w:rsidRPr="003745BF">
              <w:rPr>
                <w:rFonts w:cs="Times New Roman"/>
                <w:bCs/>
                <w:sz w:val="20"/>
                <w:szCs w:val="20"/>
              </w:rPr>
              <w:t xml:space="preserve">Pilnveidota minimālo ienākumu atbalsta sistēma, kas mērķēti sniedz atbalstu iedzīvotāju grupām, kurām ir zemi ienākumi </w:t>
            </w:r>
            <w:r w:rsidR="00884257">
              <w:rPr>
                <w:rFonts w:cs="Times New Roman"/>
                <w:bCs/>
                <w:sz w:val="20"/>
                <w:szCs w:val="20"/>
              </w:rPr>
              <w:t xml:space="preserve">(1.kvintile) </w:t>
            </w:r>
            <w:r w:rsidRPr="003745BF">
              <w:rPr>
                <w:rFonts w:cs="Times New Roman"/>
                <w:bCs/>
                <w:sz w:val="20"/>
                <w:szCs w:val="20"/>
              </w:rPr>
              <w:t xml:space="preserve">un kuras ir visvairāk pakļautas nabadzības riskam, salāgojot atbalstu ar valsts un pašvaldību pieejamajiem </w:t>
            </w:r>
            <w:r w:rsidR="00622AA1" w:rsidRPr="003745BF">
              <w:rPr>
                <w:rFonts w:cs="Times New Roman"/>
                <w:bCs/>
                <w:sz w:val="20"/>
                <w:szCs w:val="20"/>
              </w:rPr>
              <w:t xml:space="preserve">finanšu </w:t>
            </w:r>
            <w:r w:rsidRPr="003745BF">
              <w:rPr>
                <w:rFonts w:cs="Times New Roman"/>
                <w:bCs/>
                <w:sz w:val="20"/>
                <w:szCs w:val="20"/>
              </w:rPr>
              <w:t xml:space="preserve">resursiem. </w:t>
            </w:r>
          </w:p>
          <w:p w14:paraId="7933273F" w14:textId="55828861" w:rsidR="00F97B42" w:rsidRPr="003745BF" w:rsidRDefault="00F97B42" w:rsidP="00C54EF9">
            <w:pPr>
              <w:spacing w:before="120" w:after="0" w:line="240" w:lineRule="auto"/>
              <w:rPr>
                <w:rFonts w:cs="Times New Roman"/>
                <w:sz w:val="20"/>
                <w:szCs w:val="20"/>
              </w:rPr>
            </w:pPr>
            <w:r w:rsidRPr="003745BF">
              <w:rPr>
                <w:rFonts w:cs="Times New Roman"/>
                <w:sz w:val="20"/>
                <w:szCs w:val="20"/>
              </w:rPr>
              <w:t>Tabula Nr.</w:t>
            </w:r>
            <w:r w:rsidR="00A2658B" w:rsidRPr="003745BF">
              <w:rPr>
                <w:rFonts w:cs="Times New Roman"/>
                <w:sz w:val="20"/>
                <w:szCs w:val="20"/>
              </w:rPr>
              <w:t>1.</w:t>
            </w:r>
            <w:r w:rsidRPr="003745BF">
              <w:rPr>
                <w:rFonts w:cs="Times New Roman"/>
                <w:sz w:val="20"/>
                <w:szCs w:val="20"/>
              </w:rPr>
              <w:t xml:space="preserve"> Politikas rezultatīvie rādītāji.</w:t>
            </w:r>
          </w:p>
          <w:tbl>
            <w:tblPr>
              <w:tblStyle w:val="TableGrid"/>
              <w:tblW w:w="11369" w:type="dxa"/>
              <w:tblLayout w:type="fixed"/>
              <w:tblLook w:val="04A0" w:firstRow="1" w:lastRow="0" w:firstColumn="1" w:lastColumn="0" w:noHBand="0" w:noVBand="1"/>
            </w:tblPr>
            <w:tblGrid>
              <w:gridCol w:w="548"/>
              <w:gridCol w:w="5009"/>
              <w:gridCol w:w="2127"/>
              <w:gridCol w:w="2580"/>
              <w:gridCol w:w="1105"/>
            </w:tblGrid>
            <w:tr w:rsidR="00910E0C" w:rsidRPr="003745BF" w14:paraId="634DBD2D" w14:textId="77777777" w:rsidTr="00E76C93">
              <w:tc>
                <w:tcPr>
                  <w:tcW w:w="548" w:type="dxa"/>
                </w:tcPr>
                <w:p w14:paraId="3A759FB0" w14:textId="77777777" w:rsidR="00910E0C" w:rsidRPr="003745BF" w:rsidRDefault="00910E0C" w:rsidP="00C54EF9">
                  <w:pPr>
                    <w:spacing w:after="120" w:line="240" w:lineRule="auto"/>
                    <w:rPr>
                      <w:rFonts w:cs="Times New Roman"/>
                      <w:b/>
                      <w:sz w:val="20"/>
                      <w:szCs w:val="20"/>
                    </w:rPr>
                  </w:pPr>
                  <w:r w:rsidRPr="003745BF">
                    <w:rPr>
                      <w:rFonts w:cs="Times New Roman"/>
                      <w:b/>
                      <w:sz w:val="20"/>
                      <w:szCs w:val="20"/>
                    </w:rPr>
                    <w:t>Nr.</w:t>
                  </w:r>
                </w:p>
              </w:tc>
              <w:tc>
                <w:tcPr>
                  <w:tcW w:w="5009" w:type="dxa"/>
                </w:tcPr>
                <w:p w14:paraId="4D7BE9E5" w14:textId="77777777" w:rsidR="00910E0C" w:rsidRPr="003745BF" w:rsidRDefault="00910E0C" w:rsidP="00576E06">
                  <w:pPr>
                    <w:spacing w:after="120" w:line="240" w:lineRule="auto"/>
                    <w:jc w:val="center"/>
                    <w:rPr>
                      <w:rFonts w:cs="Times New Roman"/>
                      <w:b/>
                      <w:sz w:val="20"/>
                      <w:szCs w:val="20"/>
                    </w:rPr>
                  </w:pPr>
                  <w:r w:rsidRPr="003745BF">
                    <w:rPr>
                      <w:rFonts w:cs="Times New Roman"/>
                      <w:b/>
                      <w:sz w:val="20"/>
                      <w:szCs w:val="20"/>
                    </w:rPr>
                    <w:t>Rezultatīvie rādītāji</w:t>
                  </w:r>
                </w:p>
              </w:tc>
              <w:tc>
                <w:tcPr>
                  <w:tcW w:w="2127" w:type="dxa"/>
                </w:tcPr>
                <w:p w14:paraId="25C8D08F" w14:textId="77777777" w:rsidR="00910E0C" w:rsidRPr="003745BF" w:rsidRDefault="00910E0C" w:rsidP="00CC2631">
                  <w:pPr>
                    <w:spacing w:after="120" w:line="240" w:lineRule="auto"/>
                    <w:jc w:val="center"/>
                    <w:rPr>
                      <w:rFonts w:cs="Times New Roman"/>
                      <w:b/>
                      <w:sz w:val="20"/>
                      <w:szCs w:val="20"/>
                    </w:rPr>
                  </w:pPr>
                  <w:r w:rsidRPr="003745BF">
                    <w:rPr>
                      <w:rFonts w:cs="Times New Roman"/>
                      <w:b/>
                      <w:sz w:val="20"/>
                      <w:szCs w:val="20"/>
                    </w:rPr>
                    <w:t>Rādītāja sākotnējā vērtība</w:t>
                  </w:r>
                </w:p>
              </w:tc>
              <w:tc>
                <w:tcPr>
                  <w:tcW w:w="2580" w:type="dxa"/>
                </w:tcPr>
                <w:p w14:paraId="23F5B3AD" w14:textId="77777777" w:rsidR="00910E0C" w:rsidRPr="003745BF" w:rsidRDefault="00910E0C" w:rsidP="00576E06">
                  <w:pPr>
                    <w:spacing w:after="120" w:line="240" w:lineRule="auto"/>
                    <w:jc w:val="center"/>
                    <w:rPr>
                      <w:rFonts w:cs="Times New Roman"/>
                      <w:b/>
                      <w:sz w:val="20"/>
                      <w:szCs w:val="20"/>
                    </w:rPr>
                  </w:pPr>
                  <w:r w:rsidRPr="003745BF">
                    <w:rPr>
                      <w:rFonts w:cs="Times New Roman"/>
                      <w:b/>
                      <w:sz w:val="20"/>
                      <w:szCs w:val="20"/>
                    </w:rPr>
                    <w:t>Rādītāja sasniedzamā vērtība</w:t>
                  </w:r>
                </w:p>
              </w:tc>
              <w:tc>
                <w:tcPr>
                  <w:tcW w:w="1105" w:type="dxa"/>
                </w:tcPr>
                <w:p w14:paraId="23FAB064" w14:textId="77777777" w:rsidR="00910E0C" w:rsidRPr="003745BF" w:rsidRDefault="00910E0C" w:rsidP="00576E06">
                  <w:pPr>
                    <w:spacing w:after="120" w:line="240" w:lineRule="auto"/>
                    <w:jc w:val="center"/>
                    <w:rPr>
                      <w:rFonts w:cs="Times New Roman"/>
                      <w:b/>
                      <w:sz w:val="20"/>
                      <w:szCs w:val="20"/>
                    </w:rPr>
                  </w:pPr>
                  <w:r w:rsidRPr="003745BF">
                    <w:rPr>
                      <w:rFonts w:cs="Times New Roman"/>
                      <w:b/>
                      <w:sz w:val="20"/>
                      <w:szCs w:val="20"/>
                    </w:rPr>
                    <w:t>Datu avots</w:t>
                  </w:r>
                </w:p>
              </w:tc>
            </w:tr>
            <w:tr w:rsidR="00910E0C" w:rsidRPr="003745BF" w14:paraId="489FA529" w14:textId="77777777" w:rsidTr="00E76C93">
              <w:tc>
                <w:tcPr>
                  <w:tcW w:w="548" w:type="dxa"/>
                </w:tcPr>
                <w:p w14:paraId="385F40D0" w14:textId="77777777" w:rsidR="00910E0C" w:rsidRPr="003745BF" w:rsidRDefault="00910E0C" w:rsidP="007D21F6">
                  <w:pPr>
                    <w:spacing w:after="120" w:line="240" w:lineRule="auto"/>
                    <w:rPr>
                      <w:rFonts w:cs="Times New Roman"/>
                      <w:sz w:val="20"/>
                      <w:szCs w:val="20"/>
                    </w:rPr>
                  </w:pPr>
                  <w:r w:rsidRPr="003745BF">
                    <w:rPr>
                      <w:rFonts w:cs="Times New Roman"/>
                      <w:sz w:val="20"/>
                      <w:szCs w:val="20"/>
                    </w:rPr>
                    <w:t>1.</w:t>
                  </w:r>
                </w:p>
              </w:tc>
              <w:tc>
                <w:tcPr>
                  <w:tcW w:w="5009" w:type="dxa"/>
                </w:tcPr>
                <w:p w14:paraId="394640C2" w14:textId="7D7E1F12" w:rsidR="00910E0C" w:rsidRPr="003745BF" w:rsidRDefault="00183EAA" w:rsidP="00C0114D">
                  <w:pPr>
                    <w:spacing w:after="120" w:line="240" w:lineRule="auto"/>
                    <w:rPr>
                      <w:rFonts w:cs="Times New Roman"/>
                      <w:sz w:val="20"/>
                      <w:szCs w:val="20"/>
                    </w:rPr>
                  </w:pPr>
                  <w:r>
                    <w:rPr>
                      <w:rFonts w:cs="Times New Roman"/>
                      <w:sz w:val="20"/>
                      <w:szCs w:val="20"/>
                    </w:rPr>
                    <w:t>Personu īpatsvars</w:t>
                  </w:r>
                  <w:r w:rsidR="00DF72B8">
                    <w:rPr>
                      <w:rFonts w:cs="Times New Roman"/>
                      <w:sz w:val="20"/>
                      <w:szCs w:val="20"/>
                    </w:rPr>
                    <w:t xml:space="preserve"> </w:t>
                  </w:r>
                  <w:r w:rsidR="00C0114D">
                    <w:rPr>
                      <w:rFonts w:cs="Times New Roman"/>
                      <w:sz w:val="20"/>
                      <w:szCs w:val="20"/>
                    </w:rPr>
                    <w:t>zem minimālā ienākumu līmeņa (</w:t>
                  </w:r>
                  <w:r w:rsidR="00C0114D" w:rsidRPr="003745BF">
                    <w:rPr>
                      <w:rFonts w:cs="Times New Roman"/>
                      <w:sz w:val="20"/>
                      <w:szCs w:val="20"/>
                    </w:rPr>
                    <w:t>40% no mediānas</w:t>
                  </w:r>
                  <w:r w:rsidR="00C0114D">
                    <w:rPr>
                      <w:rFonts w:cs="Times New Roman"/>
                      <w:sz w:val="20"/>
                      <w:szCs w:val="20"/>
                    </w:rPr>
                    <w:t>, ekvivalences skala 1, 0.7)</w:t>
                  </w:r>
                </w:p>
              </w:tc>
              <w:tc>
                <w:tcPr>
                  <w:tcW w:w="2127" w:type="dxa"/>
                </w:tcPr>
                <w:p w14:paraId="572F1A1B" w14:textId="7BD01599" w:rsidR="00910E0C" w:rsidRPr="003745BF" w:rsidRDefault="00C0114D" w:rsidP="00C54EF9">
                  <w:pPr>
                    <w:spacing w:after="120" w:line="240" w:lineRule="auto"/>
                    <w:rPr>
                      <w:rFonts w:cs="Times New Roman"/>
                      <w:sz w:val="20"/>
                      <w:szCs w:val="20"/>
                    </w:rPr>
                  </w:pPr>
                  <w:r>
                    <w:rPr>
                      <w:rFonts w:cs="Times New Roman"/>
                      <w:sz w:val="20"/>
                      <w:szCs w:val="20"/>
                    </w:rPr>
                    <w:t>7,8 %</w:t>
                  </w:r>
                  <w:r w:rsidR="00956037">
                    <w:rPr>
                      <w:rFonts w:cs="Times New Roman"/>
                      <w:sz w:val="20"/>
                      <w:szCs w:val="20"/>
                    </w:rPr>
                    <w:t xml:space="preserve"> (2019.g.)</w:t>
                  </w:r>
                </w:p>
              </w:tc>
              <w:tc>
                <w:tcPr>
                  <w:tcW w:w="2580" w:type="dxa"/>
                </w:tcPr>
                <w:p w14:paraId="162EA20B" w14:textId="4E62CF81" w:rsidR="00910E0C" w:rsidRPr="003745BF" w:rsidRDefault="00DF72B8" w:rsidP="00183EAA">
                  <w:pPr>
                    <w:spacing w:after="120" w:line="240" w:lineRule="auto"/>
                    <w:jc w:val="both"/>
                    <w:rPr>
                      <w:rFonts w:cs="Times New Roman"/>
                      <w:sz w:val="20"/>
                      <w:szCs w:val="20"/>
                    </w:rPr>
                  </w:pPr>
                  <w:r>
                    <w:rPr>
                      <w:rFonts w:cs="Times New Roman"/>
                      <w:sz w:val="20"/>
                      <w:szCs w:val="20"/>
                    </w:rPr>
                    <w:t xml:space="preserve">Paredzams </w:t>
                  </w:r>
                  <w:r w:rsidR="00C0114D" w:rsidRPr="003745BF">
                    <w:rPr>
                      <w:rFonts w:cs="Times New Roman"/>
                      <w:sz w:val="20"/>
                      <w:szCs w:val="20"/>
                    </w:rPr>
                    <w:t>rādītāja vērtības samazinājums.</w:t>
                  </w:r>
                </w:p>
              </w:tc>
              <w:tc>
                <w:tcPr>
                  <w:tcW w:w="1105" w:type="dxa"/>
                </w:tcPr>
                <w:p w14:paraId="160B3FEA" w14:textId="42D0E880" w:rsidR="00910E0C" w:rsidRPr="003745BF" w:rsidRDefault="00DF72B8" w:rsidP="00183EAA">
                  <w:pPr>
                    <w:spacing w:after="120" w:line="240" w:lineRule="auto"/>
                    <w:jc w:val="center"/>
                    <w:rPr>
                      <w:rFonts w:cs="Times New Roman"/>
                      <w:sz w:val="20"/>
                      <w:szCs w:val="20"/>
                    </w:rPr>
                  </w:pPr>
                  <w:r>
                    <w:rPr>
                      <w:rFonts w:cs="Times New Roman"/>
                      <w:sz w:val="20"/>
                      <w:szCs w:val="20"/>
                    </w:rPr>
                    <w:t>CSP</w:t>
                  </w:r>
                </w:p>
              </w:tc>
            </w:tr>
            <w:tr w:rsidR="00C8777C" w:rsidRPr="003745BF" w14:paraId="6767DE91" w14:textId="77777777" w:rsidTr="00E76C93">
              <w:tc>
                <w:tcPr>
                  <w:tcW w:w="548" w:type="dxa"/>
                </w:tcPr>
                <w:p w14:paraId="2F8FF5BB" w14:textId="77777777" w:rsidR="00C8777C" w:rsidRPr="003745BF" w:rsidRDefault="00C8777C" w:rsidP="00C8777C">
                  <w:pPr>
                    <w:spacing w:after="120" w:line="240" w:lineRule="auto"/>
                    <w:rPr>
                      <w:rFonts w:cs="Times New Roman"/>
                      <w:sz w:val="20"/>
                      <w:szCs w:val="20"/>
                    </w:rPr>
                  </w:pPr>
                  <w:r w:rsidRPr="003745BF">
                    <w:rPr>
                      <w:rFonts w:cs="Times New Roman"/>
                      <w:sz w:val="20"/>
                      <w:szCs w:val="20"/>
                    </w:rPr>
                    <w:t>2.</w:t>
                  </w:r>
                </w:p>
              </w:tc>
              <w:tc>
                <w:tcPr>
                  <w:tcW w:w="5009" w:type="dxa"/>
                  <w:shd w:val="clear" w:color="auto" w:fill="auto"/>
                </w:tcPr>
                <w:p w14:paraId="40D2C69F" w14:textId="097D33D9" w:rsidR="00C8777C" w:rsidRPr="003745BF" w:rsidRDefault="00C8777C" w:rsidP="00183EAA">
                  <w:pPr>
                    <w:spacing w:after="120" w:line="240" w:lineRule="auto"/>
                    <w:rPr>
                      <w:rFonts w:cs="Times New Roman"/>
                      <w:sz w:val="20"/>
                      <w:szCs w:val="20"/>
                    </w:rPr>
                  </w:pPr>
                  <w:r>
                    <w:rPr>
                      <w:rFonts w:cs="Times New Roman"/>
                      <w:sz w:val="20"/>
                      <w:szCs w:val="20"/>
                    </w:rPr>
                    <w:t>Bērnu īpatsvars zem minimālā ienākumu līmeņa (</w:t>
                  </w:r>
                  <w:r w:rsidRPr="003745BF">
                    <w:rPr>
                      <w:rFonts w:cs="Times New Roman"/>
                      <w:sz w:val="20"/>
                      <w:szCs w:val="20"/>
                    </w:rPr>
                    <w:t>40% no mediānas</w:t>
                  </w:r>
                  <w:r>
                    <w:rPr>
                      <w:rFonts w:cs="Times New Roman"/>
                      <w:sz w:val="20"/>
                      <w:szCs w:val="20"/>
                    </w:rPr>
                    <w:t>, ekvivalences skala 1, 0.7)</w:t>
                  </w:r>
                </w:p>
              </w:tc>
              <w:tc>
                <w:tcPr>
                  <w:tcW w:w="2127" w:type="dxa"/>
                  <w:shd w:val="clear" w:color="auto" w:fill="auto"/>
                </w:tcPr>
                <w:p w14:paraId="711AAABC" w14:textId="15B7C8D4" w:rsidR="00C8777C" w:rsidRPr="003745BF" w:rsidRDefault="00C8777C" w:rsidP="00C8777C">
                  <w:pPr>
                    <w:spacing w:after="120" w:line="240" w:lineRule="auto"/>
                    <w:rPr>
                      <w:rFonts w:cs="Times New Roman"/>
                      <w:sz w:val="20"/>
                      <w:szCs w:val="20"/>
                    </w:rPr>
                  </w:pPr>
                  <w:r>
                    <w:rPr>
                      <w:rFonts w:cs="Times New Roman"/>
                      <w:sz w:val="20"/>
                      <w:szCs w:val="20"/>
                    </w:rPr>
                    <w:t>8,7</w:t>
                  </w:r>
                  <w:r w:rsidR="003F230C">
                    <w:rPr>
                      <w:rFonts w:cs="Times New Roman"/>
                      <w:sz w:val="20"/>
                      <w:szCs w:val="20"/>
                    </w:rPr>
                    <w:t xml:space="preserve"> </w:t>
                  </w:r>
                  <w:r>
                    <w:rPr>
                      <w:rFonts w:cs="Times New Roman"/>
                      <w:sz w:val="20"/>
                      <w:szCs w:val="20"/>
                    </w:rPr>
                    <w:t>%</w:t>
                  </w:r>
                  <w:r w:rsidR="00956037">
                    <w:rPr>
                      <w:rFonts w:cs="Times New Roman"/>
                      <w:sz w:val="20"/>
                      <w:szCs w:val="20"/>
                    </w:rPr>
                    <w:t xml:space="preserve"> (2019.g.)</w:t>
                  </w:r>
                </w:p>
              </w:tc>
              <w:tc>
                <w:tcPr>
                  <w:tcW w:w="2580" w:type="dxa"/>
                  <w:shd w:val="clear" w:color="auto" w:fill="auto"/>
                </w:tcPr>
                <w:p w14:paraId="2714DA7F" w14:textId="3FBF685F" w:rsidR="00C8777C" w:rsidRPr="003745BF" w:rsidRDefault="00C8777C" w:rsidP="00183EAA">
                  <w:pPr>
                    <w:spacing w:after="120" w:line="240" w:lineRule="auto"/>
                    <w:jc w:val="both"/>
                    <w:rPr>
                      <w:rFonts w:cs="Times New Roman"/>
                      <w:sz w:val="20"/>
                      <w:szCs w:val="20"/>
                    </w:rPr>
                  </w:pPr>
                  <w:r>
                    <w:rPr>
                      <w:rFonts w:cs="Times New Roman"/>
                      <w:sz w:val="20"/>
                      <w:szCs w:val="20"/>
                    </w:rPr>
                    <w:t xml:space="preserve">Paredzams </w:t>
                  </w:r>
                  <w:r w:rsidRPr="003745BF">
                    <w:rPr>
                      <w:rFonts w:cs="Times New Roman"/>
                      <w:sz w:val="20"/>
                      <w:szCs w:val="20"/>
                    </w:rPr>
                    <w:t>rādītāja vērtības samazinājums.</w:t>
                  </w:r>
                </w:p>
              </w:tc>
              <w:tc>
                <w:tcPr>
                  <w:tcW w:w="1105" w:type="dxa"/>
                  <w:shd w:val="clear" w:color="auto" w:fill="auto"/>
                </w:tcPr>
                <w:p w14:paraId="660EF8B3" w14:textId="628171AB" w:rsidR="00C8777C" w:rsidRPr="003745BF" w:rsidRDefault="00C8777C" w:rsidP="00183EAA">
                  <w:pPr>
                    <w:spacing w:after="120" w:line="240" w:lineRule="auto"/>
                    <w:jc w:val="center"/>
                    <w:rPr>
                      <w:rFonts w:cs="Times New Roman"/>
                      <w:sz w:val="20"/>
                      <w:szCs w:val="20"/>
                    </w:rPr>
                  </w:pPr>
                  <w:r>
                    <w:rPr>
                      <w:rFonts w:cs="Times New Roman"/>
                      <w:sz w:val="20"/>
                      <w:szCs w:val="20"/>
                    </w:rPr>
                    <w:t>CSP</w:t>
                  </w:r>
                </w:p>
              </w:tc>
            </w:tr>
            <w:tr w:rsidR="00956037" w:rsidRPr="003745BF" w14:paraId="6DA6A299" w14:textId="77777777" w:rsidTr="00E76C93">
              <w:trPr>
                <w:trHeight w:val="380"/>
              </w:trPr>
              <w:tc>
                <w:tcPr>
                  <w:tcW w:w="548" w:type="dxa"/>
                </w:tcPr>
                <w:p w14:paraId="16D23DF7" w14:textId="77777777" w:rsidR="00956037" w:rsidRPr="003745BF" w:rsidRDefault="00956037" w:rsidP="00956037">
                  <w:pPr>
                    <w:spacing w:after="120" w:line="240" w:lineRule="auto"/>
                    <w:rPr>
                      <w:rFonts w:cs="Times New Roman"/>
                      <w:sz w:val="20"/>
                      <w:szCs w:val="20"/>
                    </w:rPr>
                  </w:pPr>
                  <w:r w:rsidRPr="003745BF">
                    <w:rPr>
                      <w:rFonts w:cs="Times New Roman"/>
                      <w:sz w:val="20"/>
                      <w:szCs w:val="20"/>
                    </w:rPr>
                    <w:t>3.</w:t>
                  </w:r>
                </w:p>
              </w:tc>
              <w:tc>
                <w:tcPr>
                  <w:tcW w:w="5009" w:type="dxa"/>
                  <w:shd w:val="clear" w:color="auto" w:fill="auto"/>
                </w:tcPr>
                <w:p w14:paraId="033AF97D" w14:textId="55CA7D34" w:rsidR="00956037" w:rsidRPr="003745BF" w:rsidRDefault="00956037" w:rsidP="00183EAA">
                  <w:pPr>
                    <w:spacing w:after="120" w:line="240" w:lineRule="auto"/>
                    <w:rPr>
                      <w:rFonts w:cs="Times New Roman"/>
                      <w:sz w:val="20"/>
                      <w:szCs w:val="20"/>
                    </w:rPr>
                  </w:pPr>
                  <w:r>
                    <w:rPr>
                      <w:rFonts w:cs="Times New Roman"/>
                      <w:sz w:val="20"/>
                      <w:szCs w:val="20"/>
                    </w:rPr>
                    <w:t>Nepiln</w:t>
                  </w:r>
                  <w:r w:rsidR="00021A82">
                    <w:rPr>
                      <w:rFonts w:cs="Times New Roman"/>
                      <w:sz w:val="20"/>
                      <w:szCs w:val="20"/>
                    </w:rPr>
                    <w:t>u</w:t>
                  </w:r>
                  <w:r w:rsidRPr="003745BF">
                    <w:rPr>
                      <w:rFonts w:cs="Times New Roman"/>
                      <w:sz w:val="20"/>
                      <w:szCs w:val="20"/>
                    </w:rPr>
                    <w:t xml:space="preserve"> ģime</w:t>
                  </w:r>
                  <w:r w:rsidR="00021A82">
                    <w:rPr>
                      <w:rFonts w:cs="Times New Roman"/>
                      <w:sz w:val="20"/>
                      <w:szCs w:val="20"/>
                    </w:rPr>
                    <w:t>ņu</w:t>
                  </w:r>
                  <w:r w:rsidRPr="003745BF">
                    <w:rPr>
                      <w:rFonts w:cs="Times New Roman"/>
                      <w:sz w:val="20"/>
                      <w:szCs w:val="20"/>
                    </w:rPr>
                    <w:t xml:space="preserve"> ar apgādībā esošiem bērniem</w:t>
                  </w:r>
                  <w:r w:rsidRPr="003745BF">
                    <w:rPr>
                      <w:rStyle w:val="FootnoteReference"/>
                      <w:sz w:val="20"/>
                      <w:szCs w:val="20"/>
                    </w:rPr>
                    <w:footnoteReference w:id="24"/>
                  </w:r>
                  <w:r>
                    <w:rPr>
                      <w:rFonts w:cs="Times New Roman"/>
                      <w:sz w:val="20"/>
                      <w:szCs w:val="20"/>
                    </w:rPr>
                    <w:t xml:space="preserve"> īpatsvars zem minimālā ienākumu līmeņa (</w:t>
                  </w:r>
                  <w:r w:rsidRPr="003745BF">
                    <w:rPr>
                      <w:rFonts w:cs="Times New Roman"/>
                      <w:sz w:val="20"/>
                      <w:szCs w:val="20"/>
                    </w:rPr>
                    <w:t>40% no mediānas</w:t>
                  </w:r>
                  <w:r>
                    <w:rPr>
                      <w:rFonts w:cs="Times New Roman"/>
                      <w:sz w:val="20"/>
                      <w:szCs w:val="20"/>
                    </w:rPr>
                    <w:t>, ekvivalences skala 1, 0.7)</w:t>
                  </w:r>
                </w:p>
              </w:tc>
              <w:tc>
                <w:tcPr>
                  <w:tcW w:w="2127" w:type="dxa"/>
                  <w:shd w:val="clear" w:color="auto" w:fill="auto"/>
                </w:tcPr>
                <w:p w14:paraId="0881E982" w14:textId="46A02C54" w:rsidR="00956037" w:rsidRPr="003745BF" w:rsidRDefault="00956037" w:rsidP="00956037">
                  <w:pPr>
                    <w:spacing w:after="120" w:line="240" w:lineRule="auto"/>
                    <w:rPr>
                      <w:rFonts w:cs="Times New Roman"/>
                      <w:sz w:val="20"/>
                      <w:szCs w:val="20"/>
                    </w:rPr>
                  </w:pPr>
                  <w:r>
                    <w:rPr>
                      <w:rFonts w:cs="Times New Roman"/>
                      <w:sz w:val="20"/>
                      <w:szCs w:val="20"/>
                    </w:rPr>
                    <w:t>17,3</w:t>
                  </w:r>
                  <w:r w:rsidR="003F230C">
                    <w:rPr>
                      <w:rFonts w:cs="Times New Roman"/>
                      <w:sz w:val="20"/>
                      <w:szCs w:val="20"/>
                    </w:rPr>
                    <w:t xml:space="preserve"> </w:t>
                  </w:r>
                  <w:r>
                    <w:rPr>
                      <w:rFonts w:cs="Times New Roman"/>
                      <w:sz w:val="20"/>
                      <w:szCs w:val="20"/>
                    </w:rPr>
                    <w:t>% (2019.g.)</w:t>
                  </w:r>
                </w:p>
              </w:tc>
              <w:tc>
                <w:tcPr>
                  <w:tcW w:w="2580" w:type="dxa"/>
                  <w:shd w:val="clear" w:color="auto" w:fill="auto"/>
                </w:tcPr>
                <w:p w14:paraId="7AE7E370" w14:textId="2D13DC8E" w:rsidR="00956037" w:rsidRPr="003745BF" w:rsidRDefault="00956037" w:rsidP="00183EAA">
                  <w:pPr>
                    <w:spacing w:after="120" w:line="240" w:lineRule="auto"/>
                    <w:jc w:val="both"/>
                    <w:rPr>
                      <w:rFonts w:cs="Times New Roman"/>
                      <w:sz w:val="20"/>
                      <w:szCs w:val="20"/>
                    </w:rPr>
                  </w:pPr>
                  <w:r>
                    <w:rPr>
                      <w:rFonts w:cs="Times New Roman"/>
                      <w:sz w:val="20"/>
                      <w:szCs w:val="20"/>
                    </w:rPr>
                    <w:t xml:space="preserve">Paredzams </w:t>
                  </w:r>
                  <w:r w:rsidRPr="003745BF">
                    <w:rPr>
                      <w:rFonts w:cs="Times New Roman"/>
                      <w:sz w:val="20"/>
                      <w:szCs w:val="20"/>
                    </w:rPr>
                    <w:t>rādītāja vērtības samazinājums.</w:t>
                  </w:r>
                </w:p>
              </w:tc>
              <w:tc>
                <w:tcPr>
                  <w:tcW w:w="1105" w:type="dxa"/>
                  <w:shd w:val="clear" w:color="auto" w:fill="auto"/>
                </w:tcPr>
                <w:p w14:paraId="2D0D2DE6" w14:textId="0C13788F" w:rsidR="00956037" w:rsidRPr="003745BF" w:rsidRDefault="00956037" w:rsidP="00183EAA">
                  <w:pPr>
                    <w:spacing w:after="120" w:line="240" w:lineRule="auto"/>
                    <w:jc w:val="center"/>
                    <w:rPr>
                      <w:rFonts w:cs="Times New Roman"/>
                      <w:sz w:val="20"/>
                      <w:szCs w:val="20"/>
                    </w:rPr>
                  </w:pPr>
                  <w:r>
                    <w:rPr>
                      <w:rFonts w:cs="Times New Roman"/>
                      <w:sz w:val="20"/>
                      <w:szCs w:val="20"/>
                    </w:rPr>
                    <w:t>CSP</w:t>
                  </w:r>
                </w:p>
              </w:tc>
            </w:tr>
            <w:tr w:rsidR="00956037" w:rsidRPr="003745BF" w14:paraId="1A413D3A" w14:textId="77777777" w:rsidTr="00E76C93">
              <w:trPr>
                <w:trHeight w:val="427"/>
              </w:trPr>
              <w:tc>
                <w:tcPr>
                  <w:tcW w:w="548" w:type="dxa"/>
                </w:tcPr>
                <w:p w14:paraId="46AFBD9F" w14:textId="3D7AC341" w:rsidR="00956037" w:rsidRPr="003745BF" w:rsidRDefault="00956037" w:rsidP="00956037">
                  <w:pPr>
                    <w:spacing w:after="120" w:line="240" w:lineRule="auto"/>
                    <w:rPr>
                      <w:rFonts w:cs="Times New Roman"/>
                      <w:sz w:val="20"/>
                      <w:szCs w:val="20"/>
                    </w:rPr>
                  </w:pPr>
                  <w:r>
                    <w:rPr>
                      <w:rFonts w:cs="Times New Roman"/>
                      <w:sz w:val="20"/>
                      <w:szCs w:val="20"/>
                    </w:rPr>
                    <w:t>4.</w:t>
                  </w:r>
                </w:p>
              </w:tc>
              <w:tc>
                <w:tcPr>
                  <w:tcW w:w="5009" w:type="dxa"/>
                  <w:shd w:val="clear" w:color="auto" w:fill="auto"/>
                </w:tcPr>
                <w:p w14:paraId="5F0A5147" w14:textId="2093019B" w:rsidR="00956037" w:rsidRPr="003745BF" w:rsidRDefault="00956037" w:rsidP="00183EAA">
                  <w:pPr>
                    <w:spacing w:after="120" w:line="240" w:lineRule="auto"/>
                    <w:rPr>
                      <w:rFonts w:cs="Times New Roman"/>
                      <w:sz w:val="20"/>
                      <w:szCs w:val="20"/>
                    </w:rPr>
                  </w:pPr>
                  <w:r>
                    <w:rPr>
                      <w:rFonts w:cs="Times New Roman"/>
                      <w:sz w:val="20"/>
                      <w:szCs w:val="20"/>
                    </w:rPr>
                    <w:t xml:space="preserve">Daudzbērnu </w:t>
                  </w:r>
                  <w:r w:rsidRPr="003745BF">
                    <w:rPr>
                      <w:rFonts w:cs="Times New Roman"/>
                      <w:sz w:val="20"/>
                      <w:szCs w:val="20"/>
                    </w:rPr>
                    <w:t>ģime</w:t>
                  </w:r>
                  <w:r w:rsidR="004B33EE">
                    <w:rPr>
                      <w:rFonts w:cs="Times New Roman"/>
                      <w:sz w:val="20"/>
                      <w:szCs w:val="20"/>
                    </w:rPr>
                    <w:t>ņu</w:t>
                  </w:r>
                  <w:r w:rsidRPr="003745BF">
                    <w:rPr>
                      <w:rFonts w:cs="Times New Roman"/>
                      <w:sz w:val="20"/>
                      <w:szCs w:val="20"/>
                    </w:rPr>
                    <w:t xml:space="preserve"> ar </w:t>
                  </w:r>
                  <w:r w:rsidR="0058066B">
                    <w:rPr>
                      <w:rFonts w:cs="Times New Roman"/>
                      <w:sz w:val="20"/>
                      <w:szCs w:val="20"/>
                    </w:rPr>
                    <w:t>3 un vairāk</w:t>
                  </w:r>
                  <w:r w:rsidRPr="003745BF">
                    <w:rPr>
                      <w:rFonts w:cs="Times New Roman"/>
                      <w:sz w:val="20"/>
                      <w:szCs w:val="20"/>
                    </w:rPr>
                    <w:t xml:space="preserve"> bērniem</w:t>
                  </w:r>
                  <w:r>
                    <w:rPr>
                      <w:sz w:val="20"/>
                      <w:szCs w:val="20"/>
                    </w:rPr>
                    <w:t xml:space="preserve"> </w:t>
                  </w:r>
                  <w:r>
                    <w:rPr>
                      <w:rFonts w:cs="Times New Roman"/>
                      <w:sz w:val="20"/>
                      <w:szCs w:val="20"/>
                    </w:rPr>
                    <w:t>īpatsvars zem minimālā ienākumu līmeņa (</w:t>
                  </w:r>
                  <w:r w:rsidRPr="003745BF">
                    <w:rPr>
                      <w:rFonts w:cs="Times New Roman"/>
                      <w:sz w:val="20"/>
                      <w:szCs w:val="20"/>
                    </w:rPr>
                    <w:t>40% no mediānas</w:t>
                  </w:r>
                  <w:r>
                    <w:rPr>
                      <w:rFonts w:cs="Times New Roman"/>
                      <w:sz w:val="20"/>
                      <w:szCs w:val="20"/>
                    </w:rPr>
                    <w:t>, ekvivalences skala 1, 0.7)</w:t>
                  </w:r>
                </w:p>
              </w:tc>
              <w:tc>
                <w:tcPr>
                  <w:tcW w:w="2127" w:type="dxa"/>
                  <w:shd w:val="clear" w:color="auto" w:fill="auto"/>
                </w:tcPr>
                <w:p w14:paraId="29DD0CCD" w14:textId="09D17F04" w:rsidR="00956037" w:rsidRPr="003745BF" w:rsidRDefault="00956037" w:rsidP="00956037">
                  <w:pPr>
                    <w:spacing w:after="120" w:line="240" w:lineRule="auto"/>
                    <w:rPr>
                      <w:rFonts w:cs="Times New Roman"/>
                      <w:sz w:val="20"/>
                      <w:szCs w:val="20"/>
                    </w:rPr>
                  </w:pPr>
                  <w:r>
                    <w:rPr>
                      <w:rFonts w:cs="Times New Roman"/>
                      <w:sz w:val="20"/>
                      <w:szCs w:val="20"/>
                    </w:rPr>
                    <w:t>10,1</w:t>
                  </w:r>
                  <w:r w:rsidR="003F230C">
                    <w:rPr>
                      <w:rFonts w:cs="Times New Roman"/>
                      <w:sz w:val="20"/>
                      <w:szCs w:val="20"/>
                    </w:rPr>
                    <w:t xml:space="preserve"> </w:t>
                  </w:r>
                  <w:r>
                    <w:rPr>
                      <w:rFonts w:cs="Times New Roman"/>
                      <w:sz w:val="20"/>
                      <w:szCs w:val="20"/>
                    </w:rPr>
                    <w:t>% (2019.g.)</w:t>
                  </w:r>
                </w:p>
              </w:tc>
              <w:tc>
                <w:tcPr>
                  <w:tcW w:w="2580" w:type="dxa"/>
                  <w:shd w:val="clear" w:color="auto" w:fill="auto"/>
                </w:tcPr>
                <w:p w14:paraId="2040DF8E" w14:textId="6E00F778" w:rsidR="00956037" w:rsidRPr="003745BF" w:rsidRDefault="00956037" w:rsidP="00183EAA">
                  <w:pPr>
                    <w:spacing w:after="120" w:line="240" w:lineRule="auto"/>
                    <w:jc w:val="both"/>
                    <w:rPr>
                      <w:rFonts w:cs="Times New Roman"/>
                      <w:sz w:val="20"/>
                      <w:szCs w:val="20"/>
                    </w:rPr>
                  </w:pPr>
                  <w:r>
                    <w:rPr>
                      <w:rFonts w:cs="Times New Roman"/>
                      <w:sz w:val="20"/>
                      <w:szCs w:val="20"/>
                    </w:rPr>
                    <w:t xml:space="preserve">Paredzams </w:t>
                  </w:r>
                  <w:r w:rsidRPr="003745BF">
                    <w:rPr>
                      <w:rFonts w:cs="Times New Roman"/>
                      <w:sz w:val="20"/>
                      <w:szCs w:val="20"/>
                    </w:rPr>
                    <w:t>rādītāja vērtības samazinājums.</w:t>
                  </w:r>
                </w:p>
              </w:tc>
              <w:tc>
                <w:tcPr>
                  <w:tcW w:w="1105" w:type="dxa"/>
                  <w:shd w:val="clear" w:color="auto" w:fill="auto"/>
                </w:tcPr>
                <w:p w14:paraId="73CCFE35" w14:textId="1A282206" w:rsidR="00956037" w:rsidRPr="003745BF" w:rsidRDefault="00956037" w:rsidP="00183EAA">
                  <w:pPr>
                    <w:spacing w:after="120" w:line="240" w:lineRule="auto"/>
                    <w:jc w:val="center"/>
                    <w:rPr>
                      <w:rFonts w:cs="Times New Roman"/>
                      <w:sz w:val="20"/>
                      <w:szCs w:val="20"/>
                    </w:rPr>
                  </w:pPr>
                  <w:r>
                    <w:rPr>
                      <w:rFonts w:cs="Times New Roman"/>
                      <w:sz w:val="20"/>
                      <w:szCs w:val="20"/>
                    </w:rPr>
                    <w:t>CSP</w:t>
                  </w:r>
                </w:p>
              </w:tc>
            </w:tr>
            <w:tr w:rsidR="00E76C93" w:rsidRPr="003745BF" w14:paraId="55A5CCEE" w14:textId="77777777" w:rsidTr="00E76C93">
              <w:tc>
                <w:tcPr>
                  <w:tcW w:w="548" w:type="dxa"/>
                </w:tcPr>
                <w:p w14:paraId="78F4C02F" w14:textId="61F59057" w:rsidR="00E76C93" w:rsidRPr="003745BF" w:rsidRDefault="00E76C93" w:rsidP="00E76C93">
                  <w:pPr>
                    <w:spacing w:after="120" w:line="240" w:lineRule="auto"/>
                    <w:rPr>
                      <w:rFonts w:cs="Times New Roman"/>
                      <w:sz w:val="20"/>
                      <w:szCs w:val="20"/>
                    </w:rPr>
                  </w:pPr>
                  <w:r>
                    <w:rPr>
                      <w:rFonts w:cs="Times New Roman"/>
                      <w:sz w:val="20"/>
                      <w:szCs w:val="20"/>
                    </w:rPr>
                    <w:t>5.</w:t>
                  </w:r>
                </w:p>
              </w:tc>
              <w:tc>
                <w:tcPr>
                  <w:tcW w:w="5009" w:type="dxa"/>
                </w:tcPr>
                <w:p w14:paraId="607DD2D8" w14:textId="472F651C" w:rsidR="00E76C93" w:rsidRPr="003745BF" w:rsidRDefault="00E76C93" w:rsidP="00E76C93">
                  <w:pPr>
                    <w:spacing w:after="120" w:line="240" w:lineRule="auto"/>
                    <w:rPr>
                      <w:rFonts w:cs="Times New Roman"/>
                      <w:sz w:val="20"/>
                      <w:szCs w:val="20"/>
                    </w:rPr>
                  </w:pPr>
                  <w:r>
                    <w:rPr>
                      <w:rFonts w:cs="Times New Roman"/>
                      <w:sz w:val="20"/>
                      <w:szCs w:val="20"/>
                    </w:rPr>
                    <w:t>Pensijas vecuma personu īpatsvars zem minimālā ienākumu līmeņa (</w:t>
                  </w:r>
                  <w:r w:rsidRPr="003745BF">
                    <w:rPr>
                      <w:rFonts w:cs="Times New Roman"/>
                      <w:sz w:val="20"/>
                      <w:szCs w:val="20"/>
                    </w:rPr>
                    <w:t>40% no mediānas</w:t>
                  </w:r>
                  <w:r>
                    <w:rPr>
                      <w:rFonts w:cs="Times New Roman"/>
                      <w:sz w:val="20"/>
                      <w:szCs w:val="20"/>
                    </w:rPr>
                    <w:t>, ekvivalences skala 1, 0.7)</w:t>
                  </w:r>
                </w:p>
              </w:tc>
              <w:tc>
                <w:tcPr>
                  <w:tcW w:w="2127" w:type="dxa"/>
                </w:tcPr>
                <w:p w14:paraId="560E8767" w14:textId="45027087" w:rsidR="00E76C93" w:rsidRPr="003745BF" w:rsidRDefault="00E76C93" w:rsidP="00E76C93">
                  <w:pPr>
                    <w:spacing w:after="120" w:line="240" w:lineRule="auto"/>
                    <w:rPr>
                      <w:rFonts w:cs="Times New Roman"/>
                      <w:sz w:val="20"/>
                      <w:szCs w:val="20"/>
                    </w:rPr>
                  </w:pPr>
                  <w:r>
                    <w:rPr>
                      <w:rFonts w:cs="Times New Roman"/>
                      <w:sz w:val="20"/>
                      <w:szCs w:val="20"/>
                    </w:rPr>
                    <w:t>6,5</w:t>
                  </w:r>
                  <w:r w:rsidR="003F230C">
                    <w:rPr>
                      <w:rFonts w:cs="Times New Roman"/>
                      <w:sz w:val="20"/>
                      <w:szCs w:val="20"/>
                    </w:rPr>
                    <w:t xml:space="preserve"> </w:t>
                  </w:r>
                  <w:r>
                    <w:rPr>
                      <w:rFonts w:cs="Times New Roman"/>
                      <w:sz w:val="20"/>
                      <w:szCs w:val="20"/>
                    </w:rPr>
                    <w:t>% (2019.g.)</w:t>
                  </w:r>
                </w:p>
              </w:tc>
              <w:tc>
                <w:tcPr>
                  <w:tcW w:w="2580" w:type="dxa"/>
                </w:tcPr>
                <w:p w14:paraId="066D5995" w14:textId="36E1B5D6" w:rsidR="00E76C93" w:rsidRPr="003745BF" w:rsidRDefault="00E76C93" w:rsidP="00E76C93">
                  <w:pPr>
                    <w:spacing w:after="120" w:line="240" w:lineRule="auto"/>
                    <w:jc w:val="both"/>
                    <w:rPr>
                      <w:rFonts w:cs="Times New Roman"/>
                    </w:rPr>
                  </w:pPr>
                  <w:r>
                    <w:rPr>
                      <w:rFonts w:cs="Times New Roman"/>
                      <w:sz w:val="20"/>
                      <w:szCs w:val="20"/>
                    </w:rPr>
                    <w:t xml:space="preserve">Paredzams </w:t>
                  </w:r>
                  <w:r w:rsidRPr="003745BF">
                    <w:rPr>
                      <w:rFonts w:cs="Times New Roman"/>
                      <w:sz w:val="20"/>
                      <w:szCs w:val="20"/>
                    </w:rPr>
                    <w:t>rādītāja vērtības samazinājums.</w:t>
                  </w:r>
                </w:p>
              </w:tc>
              <w:tc>
                <w:tcPr>
                  <w:tcW w:w="1105" w:type="dxa"/>
                </w:tcPr>
                <w:p w14:paraId="2C125078" w14:textId="0C09B102" w:rsidR="00E76C93" w:rsidRPr="003745BF" w:rsidRDefault="00E76C93" w:rsidP="00E76C93">
                  <w:pPr>
                    <w:spacing w:after="120" w:line="240" w:lineRule="auto"/>
                    <w:jc w:val="center"/>
                    <w:rPr>
                      <w:rFonts w:cs="Times New Roman"/>
                    </w:rPr>
                  </w:pPr>
                  <w:r>
                    <w:rPr>
                      <w:rFonts w:cs="Times New Roman"/>
                      <w:sz w:val="20"/>
                      <w:szCs w:val="20"/>
                    </w:rPr>
                    <w:t>CSP</w:t>
                  </w:r>
                </w:p>
              </w:tc>
            </w:tr>
            <w:tr w:rsidR="00E76C93" w:rsidRPr="003745BF" w14:paraId="5B65A852" w14:textId="77777777" w:rsidTr="00E76C93">
              <w:tc>
                <w:tcPr>
                  <w:tcW w:w="548" w:type="dxa"/>
                </w:tcPr>
                <w:p w14:paraId="71B934FD" w14:textId="65F74999" w:rsidR="00E76C93" w:rsidRDefault="00E76C93" w:rsidP="00E76C93">
                  <w:pPr>
                    <w:spacing w:after="120" w:line="240" w:lineRule="auto"/>
                    <w:rPr>
                      <w:rFonts w:cs="Times New Roman"/>
                      <w:sz w:val="20"/>
                      <w:szCs w:val="20"/>
                    </w:rPr>
                  </w:pPr>
                  <w:r>
                    <w:rPr>
                      <w:rFonts w:cs="Times New Roman"/>
                      <w:sz w:val="20"/>
                      <w:szCs w:val="20"/>
                    </w:rPr>
                    <w:t xml:space="preserve">6. </w:t>
                  </w:r>
                </w:p>
              </w:tc>
              <w:tc>
                <w:tcPr>
                  <w:tcW w:w="5009" w:type="dxa"/>
                </w:tcPr>
                <w:p w14:paraId="6932C0B3" w14:textId="4C867B98" w:rsidR="00E76C93" w:rsidRDefault="00E76C93" w:rsidP="00E76C93">
                  <w:pPr>
                    <w:spacing w:after="120" w:line="240" w:lineRule="auto"/>
                    <w:rPr>
                      <w:rFonts w:cs="Times New Roman"/>
                      <w:sz w:val="20"/>
                      <w:szCs w:val="20"/>
                    </w:rPr>
                  </w:pPr>
                  <w:r>
                    <w:rPr>
                      <w:rFonts w:cs="Times New Roman"/>
                      <w:sz w:val="20"/>
                      <w:szCs w:val="20"/>
                    </w:rPr>
                    <w:t>Nabadzības riska indekss (6</w:t>
                  </w:r>
                  <w:r w:rsidRPr="003745BF">
                    <w:rPr>
                      <w:rFonts w:cs="Times New Roman"/>
                      <w:sz w:val="20"/>
                      <w:szCs w:val="20"/>
                    </w:rPr>
                    <w:t>0% no mediānas</w:t>
                  </w:r>
                  <w:r>
                    <w:rPr>
                      <w:rFonts w:cs="Times New Roman"/>
                      <w:sz w:val="20"/>
                      <w:szCs w:val="20"/>
                    </w:rPr>
                    <w:t>, ekvivalences skala 1, 0.5, 0.3)</w:t>
                  </w:r>
                </w:p>
              </w:tc>
              <w:tc>
                <w:tcPr>
                  <w:tcW w:w="2127" w:type="dxa"/>
                </w:tcPr>
                <w:p w14:paraId="5B17775B" w14:textId="6C212CF4" w:rsidR="00E76C93" w:rsidRPr="003745BF" w:rsidRDefault="003F230C" w:rsidP="00E76C93">
                  <w:pPr>
                    <w:spacing w:after="120" w:line="240" w:lineRule="auto"/>
                    <w:rPr>
                      <w:rFonts w:cs="Times New Roman"/>
                      <w:sz w:val="20"/>
                      <w:szCs w:val="20"/>
                    </w:rPr>
                  </w:pPr>
                  <w:r>
                    <w:rPr>
                      <w:rFonts w:cs="Times New Roman"/>
                      <w:sz w:val="20"/>
                      <w:szCs w:val="20"/>
                    </w:rPr>
                    <w:t>21,6 % (2019.g.)</w:t>
                  </w:r>
                </w:p>
              </w:tc>
              <w:tc>
                <w:tcPr>
                  <w:tcW w:w="2580" w:type="dxa"/>
                </w:tcPr>
                <w:p w14:paraId="2E4AC037" w14:textId="105EC17D" w:rsidR="00E76C93" w:rsidRPr="003745BF" w:rsidRDefault="00CA4EC8" w:rsidP="00E76C93">
                  <w:pPr>
                    <w:spacing w:after="120" w:line="240" w:lineRule="auto"/>
                    <w:jc w:val="both"/>
                    <w:rPr>
                      <w:rFonts w:cs="Times New Roman"/>
                    </w:rPr>
                  </w:pPr>
                  <w:r>
                    <w:rPr>
                      <w:rFonts w:cs="Times New Roman"/>
                      <w:sz w:val="20"/>
                      <w:szCs w:val="20"/>
                    </w:rPr>
                    <w:t xml:space="preserve">Paredzams </w:t>
                  </w:r>
                  <w:r w:rsidRPr="003745BF">
                    <w:rPr>
                      <w:rFonts w:cs="Times New Roman"/>
                      <w:sz w:val="20"/>
                      <w:szCs w:val="20"/>
                    </w:rPr>
                    <w:t>rādītāja vērtības samazinājums.</w:t>
                  </w:r>
                </w:p>
              </w:tc>
              <w:tc>
                <w:tcPr>
                  <w:tcW w:w="1105" w:type="dxa"/>
                </w:tcPr>
                <w:p w14:paraId="04BCD5E0" w14:textId="77C637F2" w:rsidR="00E76C93" w:rsidRPr="003745BF" w:rsidRDefault="00CA4EC8" w:rsidP="00E76C93">
                  <w:pPr>
                    <w:spacing w:after="120" w:line="240" w:lineRule="auto"/>
                    <w:jc w:val="center"/>
                    <w:rPr>
                      <w:rFonts w:cs="Times New Roman"/>
                    </w:rPr>
                  </w:pPr>
                  <w:r>
                    <w:rPr>
                      <w:rFonts w:cs="Times New Roman"/>
                      <w:sz w:val="20"/>
                      <w:szCs w:val="20"/>
                    </w:rPr>
                    <w:t>CSP</w:t>
                  </w:r>
                </w:p>
              </w:tc>
            </w:tr>
            <w:tr w:rsidR="00E76C93" w:rsidRPr="003745BF" w14:paraId="089267A2" w14:textId="77777777" w:rsidTr="00E76C93">
              <w:tc>
                <w:tcPr>
                  <w:tcW w:w="548" w:type="dxa"/>
                </w:tcPr>
                <w:p w14:paraId="64936197" w14:textId="739E6B05" w:rsidR="00E76C93" w:rsidRDefault="00E76C93" w:rsidP="00E76C93">
                  <w:pPr>
                    <w:spacing w:after="120" w:line="240" w:lineRule="auto"/>
                    <w:rPr>
                      <w:rFonts w:cs="Times New Roman"/>
                      <w:sz w:val="20"/>
                      <w:szCs w:val="20"/>
                    </w:rPr>
                  </w:pPr>
                  <w:r>
                    <w:rPr>
                      <w:rFonts w:cs="Times New Roman"/>
                      <w:sz w:val="20"/>
                      <w:szCs w:val="20"/>
                    </w:rPr>
                    <w:t>7.</w:t>
                  </w:r>
                </w:p>
              </w:tc>
              <w:tc>
                <w:tcPr>
                  <w:tcW w:w="5009" w:type="dxa"/>
                </w:tcPr>
                <w:p w14:paraId="0513C2CA" w14:textId="1F8C6E9E" w:rsidR="00E76C93" w:rsidRDefault="00CA4EC8" w:rsidP="00E76C93">
                  <w:pPr>
                    <w:spacing w:after="120" w:line="240" w:lineRule="auto"/>
                    <w:rPr>
                      <w:rFonts w:cs="Times New Roman"/>
                      <w:sz w:val="20"/>
                      <w:szCs w:val="20"/>
                    </w:rPr>
                  </w:pPr>
                  <w:r>
                    <w:rPr>
                      <w:rFonts w:cs="Times New Roman"/>
                      <w:sz w:val="20"/>
                      <w:szCs w:val="20"/>
                    </w:rPr>
                    <w:t xml:space="preserve">S80/S20 </w:t>
                  </w:r>
                  <w:r w:rsidR="003F230C" w:rsidRPr="003F230C">
                    <w:rPr>
                      <w:rFonts w:cs="Times New Roman"/>
                      <w:sz w:val="20"/>
                      <w:szCs w:val="20"/>
                    </w:rPr>
                    <w:t>ienākumu kvintiļu attiecības indekss</w:t>
                  </w:r>
                </w:p>
              </w:tc>
              <w:tc>
                <w:tcPr>
                  <w:tcW w:w="2127" w:type="dxa"/>
                </w:tcPr>
                <w:p w14:paraId="62246632" w14:textId="3AF35A49" w:rsidR="00E76C93" w:rsidRPr="003745BF" w:rsidRDefault="003F230C" w:rsidP="00E76C93">
                  <w:pPr>
                    <w:spacing w:after="120" w:line="240" w:lineRule="auto"/>
                    <w:rPr>
                      <w:rFonts w:cs="Times New Roman"/>
                      <w:sz w:val="20"/>
                      <w:szCs w:val="20"/>
                    </w:rPr>
                  </w:pPr>
                  <w:r>
                    <w:rPr>
                      <w:rFonts w:cs="Times New Roman"/>
                      <w:sz w:val="20"/>
                      <w:szCs w:val="20"/>
                    </w:rPr>
                    <w:t>6.3 (2019.g.)</w:t>
                  </w:r>
                </w:p>
              </w:tc>
              <w:tc>
                <w:tcPr>
                  <w:tcW w:w="2580" w:type="dxa"/>
                </w:tcPr>
                <w:p w14:paraId="29716974" w14:textId="1E318B10" w:rsidR="00E76C93" w:rsidRPr="003745BF" w:rsidRDefault="00CA4EC8" w:rsidP="00E76C93">
                  <w:pPr>
                    <w:spacing w:after="120" w:line="240" w:lineRule="auto"/>
                    <w:jc w:val="both"/>
                    <w:rPr>
                      <w:rFonts w:cs="Times New Roman"/>
                    </w:rPr>
                  </w:pPr>
                  <w:r>
                    <w:rPr>
                      <w:rFonts w:cs="Times New Roman"/>
                      <w:sz w:val="20"/>
                      <w:szCs w:val="20"/>
                    </w:rPr>
                    <w:t xml:space="preserve">Paredzams </w:t>
                  </w:r>
                  <w:r w:rsidRPr="003745BF">
                    <w:rPr>
                      <w:rFonts w:cs="Times New Roman"/>
                      <w:sz w:val="20"/>
                      <w:szCs w:val="20"/>
                    </w:rPr>
                    <w:t>rādītāja vērtības samazinājums.</w:t>
                  </w:r>
                </w:p>
              </w:tc>
              <w:tc>
                <w:tcPr>
                  <w:tcW w:w="1105" w:type="dxa"/>
                </w:tcPr>
                <w:p w14:paraId="7EE74015" w14:textId="0A5D41BE" w:rsidR="00E76C93" w:rsidRPr="003745BF" w:rsidRDefault="00CA4EC8" w:rsidP="00E76C93">
                  <w:pPr>
                    <w:spacing w:after="120" w:line="240" w:lineRule="auto"/>
                    <w:jc w:val="center"/>
                    <w:rPr>
                      <w:rFonts w:cs="Times New Roman"/>
                    </w:rPr>
                  </w:pPr>
                  <w:r>
                    <w:rPr>
                      <w:rFonts w:cs="Times New Roman"/>
                      <w:sz w:val="20"/>
                      <w:szCs w:val="20"/>
                    </w:rPr>
                    <w:t>CSP</w:t>
                  </w:r>
                </w:p>
              </w:tc>
            </w:tr>
          </w:tbl>
          <w:p w14:paraId="2E83B142" w14:textId="77777777" w:rsidR="00C54EF9" w:rsidRPr="003745BF" w:rsidRDefault="00C54EF9" w:rsidP="006F37A7">
            <w:pPr>
              <w:spacing w:after="0" w:line="240" w:lineRule="auto"/>
              <w:rPr>
                <w:rFonts w:cs="Times New Roman"/>
                <w:b/>
                <w:bCs/>
                <w:sz w:val="20"/>
                <w:szCs w:val="20"/>
              </w:rPr>
            </w:pPr>
          </w:p>
        </w:tc>
      </w:tr>
      <w:tr w:rsidR="003A0150" w:rsidRPr="00F269EC" w14:paraId="5A2929BE" w14:textId="77777777" w:rsidTr="001278A3">
        <w:tc>
          <w:tcPr>
            <w:tcW w:w="675" w:type="dxa"/>
            <w:vAlign w:val="center"/>
          </w:tcPr>
          <w:p w14:paraId="1BE3FB66" w14:textId="77777777" w:rsidR="009F5D7E" w:rsidRPr="00F269EC" w:rsidRDefault="009F5D7E" w:rsidP="000919B8">
            <w:pPr>
              <w:spacing w:after="0" w:line="240" w:lineRule="auto"/>
              <w:jc w:val="center"/>
              <w:rPr>
                <w:b/>
                <w:bCs/>
                <w:sz w:val="20"/>
                <w:szCs w:val="20"/>
              </w:rPr>
            </w:pPr>
            <w:r w:rsidRPr="00F269EC">
              <w:rPr>
                <w:b/>
                <w:bCs/>
                <w:sz w:val="20"/>
                <w:szCs w:val="20"/>
              </w:rPr>
              <w:t>Nr. p. k.</w:t>
            </w:r>
          </w:p>
        </w:tc>
        <w:tc>
          <w:tcPr>
            <w:tcW w:w="1872" w:type="dxa"/>
            <w:shd w:val="clear" w:color="auto" w:fill="auto"/>
            <w:vAlign w:val="center"/>
          </w:tcPr>
          <w:p w14:paraId="14304575" w14:textId="77777777" w:rsidR="009F5D7E" w:rsidRPr="00F269EC" w:rsidRDefault="009F5D7E" w:rsidP="000919B8">
            <w:pPr>
              <w:spacing w:after="0" w:line="240" w:lineRule="auto"/>
              <w:jc w:val="center"/>
              <w:rPr>
                <w:b/>
                <w:bCs/>
                <w:i/>
                <w:sz w:val="20"/>
                <w:szCs w:val="20"/>
              </w:rPr>
            </w:pPr>
            <w:r w:rsidRPr="00F269EC">
              <w:rPr>
                <w:b/>
                <w:bCs/>
                <w:sz w:val="20"/>
                <w:szCs w:val="20"/>
              </w:rPr>
              <w:t>Pasākums</w:t>
            </w:r>
          </w:p>
        </w:tc>
        <w:tc>
          <w:tcPr>
            <w:tcW w:w="2806" w:type="dxa"/>
            <w:shd w:val="clear" w:color="auto" w:fill="auto"/>
            <w:vAlign w:val="center"/>
          </w:tcPr>
          <w:p w14:paraId="1AE56555" w14:textId="77777777" w:rsidR="009F5D7E" w:rsidRPr="00F269EC" w:rsidRDefault="009F5D7E" w:rsidP="000919B8">
            <w:pPr>
              <w:spacing w:after="0" w:line="240" w:lineRule="auto"/>
              <w:jc w:val="center"/>
              <w:rPr>
                <w:b/>
                <w:bCs/>
                <w:i/>
                <w:sz w:val="20"/>
                <w:szCs w:val="20"/>
              </w:rPr>
            </w:pPr>
            <w:r w:rsidRPr="00F269EC">
              <w:rPr>
                <w:b/>
                <w:sz w:val="20"/>
                <w:szCs w:val="20"/>
              </w:rPr>
              <w:t>Darbības rezultāts</w:t>
            </w:r>
          </w:p>
        </w:tc>
        <w:tc>
          <w:tcPr>
            <w:tcW w:w="4281" w:type="dxa"/>
            <w:vAlign w:val="center"/>
          </w:tcPr>
          <w:p w14:paraId="6D6D40D2" w14:textId="77777777" w:rsidR="009F5D7E" w:rsidRPr="00F269EC" w:rsidRDefault="009F5D7E" w:rsidP="000919B8">
            <w:pPr>
              <w:spacing w:after="0" w:line="240" w:lineRule="auto"/>
              <w:jc w:val="center"/>
              <w:rPr>
                <w:b/>
                <w:bCs/>
                <w:i/>
                <w:sz w:val="20"/>
                <w:szCs w:val="20"/>
              </w:rPr>
            </w:pPr>
            <w:r w:rsidRPr="00F269EC">
              <w:rPr>
                <w:b/>
                <w:sz w:val="20"/>
                <w:szCs w:val="20"/>
              </w:rPr>
              <w:t>Rezultatīvais rādītājs</w:t>
            </w:r>
          </w:p>
        </w:tc>
        <w:tc>
          <w:tcPr>
            <w:tcW w:w="1134" w:type="dxa"/>
            <w:shd w:val="clear" w:color="auto" w:fill="auto"/>
            <w:vAlign w:val="center"/>
          </w:tcPr>
          <w:p w14:paraId="135CBB6B" w14:textId="77777777" w:rsidR="009F5D7E" w:rsidRPr="00F269EC" w:rsidRDefault="009F5D7E" w:rsidP="00884257">
            <w:pPr>
              <w:spacing w:after="0" w:line="240" w:lineRule="auto"/>
              <w:jc w:val="center"/>
              <w:rPr>
                <w:b/>
                <w:bCs/>
                <w:i/>
                <w:sz w:val="20"/>
                <w:szCs w:val="20"/>
              </w:rPr>
            </w:pPr>
            <w:r w:rsidRPr="00F269EC">
              <w:rPr>
                <w:b/>
                <w:bCs/>
                <w:sz w:val="20"/>
                <w:szCs w:val="20"/>
              </w:rPr>
              <w:t>Atbildīgā institūcija</w:t>
            </w:r>
          </w:p>
        </w:tc>
        <w:tc>
          <w:tcPr>
            <w:tcW w:w="1560" w:type="dxa"/>
            <w:shd w:val="clear" w:color="auto" w:fill="auto"/>
            <w:vAlign w:val="center"/>
          </w:tcPr>
          <w:p w14:paraId="66984F47" w14:textId="77777777" w:rsidR="009F5D7E" w:rsidRPr="00F269EC" w:rsidRDefault="009F5D7E" w:rsidP="00884257">
            <w:pPr>
              <w:spacing w:after="0" w:line="240" w:lineRule="auto"/>
              <w:jc w:val="center"/>
              <w:rPr>
                <w:b/>
                <w:bCs/>
                <w:i/>
                <w:sz w:val="20"/>
                <w:szCs w:val="20"/>
              </w:rPr>
            </w:pPr>
            <w:r w:rsidRPr="00F269EC">
              <w:rPr>
                <w:b/>
                <w:bCs/>
                <w:sz w:val="20"/>
                <w:szCs w:val="20"/>
              </w:rPr>
              <w:t>Līdzatbildīgās institūcijas</w:t>
            </w:r>
          </w:p>
        </w:tc>
        <w:tc>
          <w:tcPr>
            <w:tcW w:w="1814" w:type="dxa"/>
            <w:shd w:val="clear" w:color="auto" w:fill="auto"/>
            <w:vAlign w:val="center"/>
          </w:tcPr>
          <w:p w14:paraId="7C2651BF" w14:textId="77777777" w:rsidR="009F5D7E" w:rsidRPr="00F269EC" w:rsidRDefault="009F5D7E" w:rsidP="00884257">
            <w:pPr>
              <w:spacing w:after="0" w:line="240" w:lineRule="auto"/>
              <w:jc w:val="center"/>
              <w:rPr>
                <w:b/>
                <w:bCs/>
                <w:sz w:val="20"/>
                <w:szCs w:val="20"/>
              </w:rPr>
            </w:pPr>
            <w:r w:rsidRPr="00F269EC">
              <w:rPr>
                <w:b/>
                <w:bCs/>
                <w:sz w:val="20"/>
                <w:szCs w:val="20"/>
              </w:rPr>
              <w:t>Izpildes termiņš</w:t>
            </w:r>
          </w:p>
          <w:p w14:paraId="651B0F5C" w14:textId="77777777" w:rsidR="009F5D7E" w:rsidRPr="00F269EC" w:rsidRDefault="009F5D7E" w:rsidP="00884257">
            <w:pPr>
              <w:spacing w:after="0" w:line="240" w:lineRule="auto"/>
              <w:jc w:val="center"/>
              <w:rPr>
                <w:b/>
                <w:bCs/>
                <w:i/>
                <w:sz w:val="20"/>
                <w:szCs w:val="20"/>
              </w:rPr>
            </w:pPr>
            <w:r w:rsidRPr="00F269EC">
              <w:rPr>
                <w:b/>
                <w:bCs/>
                <w:sz w:val="20"/>
                <w:szCs w:val="20"/>
              </w:rPr>
              <w:t>(ar precizitāti līdz pusgadam)</w:t>
            </w:r>
          </w:p>
        </w:tc>
      </w:tr>
      <w:tr w:rsidR="003A0150" w:rsidRPr="00F269EC" w14:paraId="7FFCBEA5" w14:textId="77777777" w:rsidTr="001278A3">
        <w:tc>
          <w:tcPr>
            <w:tcW w:w="675" w:type="dxa"/>
          </w:tcPr>
          <w:p w14:paraId="78333862" w14:textId="08A61489" w:rsidR="009F5D7E" w:rsidRPr="00F269EC" w:rsidRDefault="00F13838" w:rsidP="000919B8">
            <w:pPr>
              <w:spacing w:after="0" w:line="240" w:lineRule="auto"/>
              <w:jc w:val="center"/>
              <w:rPr>
                <w:bCs/>
                <w:sz w:val="20"/>
                <w:szCs w:val="20"/>
              </w:rPr>
            </w:pPr>
            <w:r>
              <w:rPr>
                <w:bCs/>
                <w:sz w:val="20"/>
                <w:szCs w:val="20"/>
              </w:rPr>
              <w:t>1</w:t>
            </w:r>
            <w:r w:rsidR="00F97B42">
              <w:rPr>
                <w:bCs/>
                <w:sz w:val="20"/>
                <w:szCs w:val="20"/>
              </w:rPr>
              <w:t>.</w:t>
            </w:r>
          </w:p>
        </w:tc>
        <w:tc>
          <w:tcPr>
            <w:tcW w:w="1872" w:type="dxa"/>
            <w:shd w:val="clear" w:color="auto" w:fill="auto"/>
          </w:tcPr>
          <w:p w14:paraId="60070A0D" w14:textId="54360DD7" w:rsidR="00780CBA" w:rsidRPr="00F269EC" w:rsidRDefault="00F13838" w:rsidP="00884257">
            <w:pPr>
              <w:spacing w:after="0" w:line="240" w:lineRule="auto"/>
              <w:rPr>
                <w:bCs/>
                <w:sz w:val="20"/>
                <w:szCs w:val="20"/>
              </w:rPr>
            </w:pPr>
            <w:r>
              <w:rPr>
                <w:bCs/>
                <w:sz w:val="20"/>
                <w:szCs w:val="20"/>
              </w:rPr>
              <w:t xml:space="preserve">Mainīt minimālo ienākumu sliekšņu </w:t>
            </w:r>
            <w:r w:rsidR="001278A3">
              <w:rPr>
                <w:bCs/>
                <w:sz w:val="20"/>
                <w:szCs w:val="20"/>
              </w:rPr>
              <w:t>noteikšanas principus</w:t>
            </w:r>
            <w:r w:rsidR="00B4387F">
              <w:rPr>
                <w:bCs/>
                <w:sz w:val="20"/>
                <w:szCs w:val="20"/>
              </w:rPr>
              <w:t xml:space="preserve">, piesaistot </w:t>
            </w:r>
            <w:r w:rsidR="00884257">
              <w:rPr>
                <w:bCs/>
                <w:sz w:val="20"/>
                <w:szCs w:val="20"/>
              </w:rPr>
              <w:t xml:space="preserve">tos </w:t>
            </w:r>
            <w:r w:rsidR="00B4387F">
              <w:rPr>
                <w:bCs/>
                <w:sz w:val="20"/>
                <w:szCs w:val="20"/>
              </w:rPr>
              <w:t>sociālekonomiskam rādītājam</w:t>
            </w:r>
          </w:p>
        </w:tc>
        <w:tc>
          <w:tcPr>
            <w:tcW w:w="2806" w:type="dxa"/>
            <w:shd w:val="clear" w:color="auto" w:fill="auto"/>
          </w:tcPr>
          <w:p w14:paraId="091977B5" w14:textId="77BBC776" w:rsidR="009F5D7E" w:rsidRPr="00D576EE" w:rsidRDefault="001278A3" w:rsidP="002929E3">
            <w:pPr>
              <w:spacing w:after="0" w:line="240" w:lineRule="auto"/>
              <w:rPr>
                <w:bCs/>
                <w:sz w:val="20"/>
                <w:szCs w:val="20"/>
              </w:rPr>
            </w:pPr>
            <w:bookmarkStart w:id="1" w:name="_Hlk71311557"/>
            <w:r>
              <w:rPr>
                <w:bCs/>
                <w:sz w:val="20"/>
                <w:szCs w:val="20"/>
              </w:rPr>
              <w:t>Normatīvajos aktos</w:t>
            </w:r>
            <w:r w:rsidR="00780CBA">
              <w:rPr>
                <w:bCs/>
                <w:sz w:val="20"/>
                <w:szCs w:val="20"/>
              </w:rPr>
              <w:t xml:space="preserve"> </w:t>
            </w:r>
            <w:r w:rsidR="00780CBA" w:rsidRPr="001278A3">
              <w:rPr>
                <w:bCs/>
                <w:sz w:val="20"/>
                <w:szCs w:val="20"/>
              </w:rPr>
              <w:t>nostiprināt</w:t>
            </w:r>
            <w:r w:rsidR="00B4387F" w:rsidRPr="001278A3">
              <w:rPr>
                <w:bCs/>
                <w:sz w:val="20"/>
                <w:szCs w:val="20"/>
              </w:rPr>
              <w:t>a</w:t>
            </w:r>
            <w:r w:rsidR="00B4387F">
              <w:rPr>
                <w:b/>
                <w:bCs/>
                <w:sz w:val="20"/>
                <w:szCs w:val="20"/>
              </w:rPr>
              <w:t xml:space="preserve"> </w:t>
            </w:r>
            <w:r w:rsidR="00780CBA" w:rsidRPr="00B4387F">
              <w:rPr>
                <w:bCs/>
                <w:sz w:val="20"/>
                <w:szCs w:val="20"/>
              </w:rPr>
              <w:t>m</w:t>
            </w:r>
            <w:r w:rsidR="002929E3" w:rsidRPr="00B4387F">
              <w:rPr>
                <w:bCs/>
                <w:sz w:val="20"/>
                <w:szCs w:val="20"/>
              </w:rPr>
              <w:t>inimālo ienākumu sliekšņ</w:t>
            </w:r>
            <w:r>
              <w:rPr>
                <w:bCs/>
                <w:sz w:val="20"/>
                <w:szCs w:val="20"/>
              </w:rPr>
              <w:t>u</w:t>
            </w:r>
            <w:r w:rsidR="002929E3" w:rsidRPr="00B4387F">
              <w:rPr>
                <w:bCs/>
                <w:sz w:val="20"/>
                <w:szCs w:val="20"/>
              </w:rPr>
              <w:t xml:space="preserve"> </w:t>
            </w:r>
            <w:r>
              <w:rPr>
                <w:bCs/>
                <w:sz w:val="20"/>
                <w:szCs w:val="20"/>
              </w:rPr>
              <w:t>noteik</w:t>
            </w:r>
            <w:r w:rsidR="00780CBA" w:rsidRPr="00B4387F">
              <w:rPr>
                <w:bCs/>
                <w:sz w:val="20"/>
                <w:szCs w:val="20"/>
              </w:rPr>
              <w:t>šana</w:t>
            </w:r>
            <w:r w:rsidR="002929E3" w:rsidRPr="00B4387F">
              <w:rPr>
                <w:bCs/>
                <w:sz w:val="20"/>
                <w:szCs w:val="20"/>
              </w:rPr>
              <w:t>, balstoties uz</w:t>
            </w:r>
            <w:r w:rsidR="002929E3" w:rsidRPr="00884257">
              <w:rPr>
                <w:b/>
                <w:bCs/>
                <w:sz w:val="20"/>
                <w:szCs w:val="20"/>
              </w:rPr>
              <w:t xml:space="preserve"> </w:t>
            </w:r>
            <w:r w:rsidR="002929E3" w:rsidRPr="001278A3">
              <w:rPr>
                <w:bCs/>
                <w:sz w:val="20"/>
                <w:szCs w:val="20"/>
              </w:rPr>
              <w:t>relatīvo metodi</w:t>
            </w:r>
            <w:r w:rsidR="00780CBA">
              <w:rPr>
                <w:bCs/>
                <w:sz w:val="20"/>
                <w:szCs w:val="20"/>
              </w:rPr>
              <w:t xml:space="preserve"> </w:t>
            </w:r>
            <w:bookmarkEnd w:id="1"/>
          </w:p>
        </w:tc>
        <w:tc>
          <w:tcPr>
            <w:tcW w:w="4281" w:type="dxa"/>
          </w:tcPr>
          <w:p w14:paraId="2BDFF601" w14:textId="77777777" w:rsidR="009F5D7E" w:rsidRDefault="002929E3" w:rsidP="002929E3">
            <w:pPr>
              <w:pStyle w:val="Subtitle"/>
              <w:ind w:left="60"/>
              <w:jc w:val="both"/>
              <w:rPr>
                <w:b w:val="0"/>
                <w:bCs/>
                <w:sz w:val="20"/>
              </w:rPr>
            </w:pPr>
            <w:r>
              <w:rPr>
                <w:b w:val="0"/>
                <w:bCs/>
                <w:sz w:val="20"/>
              </w:rPr>
              <w:t xml:space="preserve">Grozījumi likumā </w:t>
            </w:r>
            <w:r w:rsidRPr="002929E3">
              <w:rPr>
                <w:b w:val="0"/>
                <w:bCs/>
                <w:sz w:val="20"/>
              </w:rPr>
              <w:t>“Par sociālo drošību”</w:t>
            </w:r>
          </w:p>
          <w:p w14:paraId="0F733EDC" w14:textId="77777777" w:rsidR="002929E3" w:rsidRDefault="002929E3" w:rsidP="002929E3">
            <w:pPr>
              <w:pStyle w:val="Subtitle"/>
              <w:ind w:left="60"/>
              <w:jc w:val="both"/>
              <w:rPr>
                <w:b w:val="0"/>
                <w:bCs/>
                <w:sz w:val="20"/>
              </w:rPr>
            </w:pPr>
            <w:r>
              <w:rPr>
                <w:b w:val="0"/>
                <w:bCs/>
                <w:sz w:val="20"/>
              </w:rPr>
              <w:t>Grozījumi likumā</w:t>
            </w:r>
            <w:r w:rsidRPr="002929E3">
              <w:rPr>
                <w:b w:val="0"/>
                <w:bCs/>
                <w:sz w:val="20"/>
              </w:rPr>
              <w:t xml:space="preserve"> “Par valsts pensijām”</w:t>
            </w:r>
          </w:p>
          <w:p w14:paraId="464E62D1" w14:textId="4E20FD70" w:rsidR="004A1787" w:rsidRPr="004A1787" w:rsidRDefault="004A1787" w:rsidP="004A1787">
            <w:pPr>
              <w:spacing w:after="0" w:line="240" w:lineRule="auto"/>
              <w:ind w:left="60"/>
              <w:jc w:val="both"/>
              <w:rPr>
                <w:rFonts w:eastAsia="Times New Roman" w:cs="Times New Roman"/>
                <w:bCs/>
                <w:sz w:val="20"/>
                <w:szCs w:val="20"/>
                <w:lang w:eastAsia="lv-LV"/>
              </w:rPr>
            </w:pPr>
            <w:r w:rsidRPr="004A1787">
              <w:rPr>
                <w:rFonts w:eastAsia="Times New Roman" w:cs="Times New Roman"/>
                <w:bCs/>
                <w:sz w:val="20"/>
                <w:szCs w:val="20"/>
                <w:lang w:eastAsia="lv-LV"/>
              </w:rPr>
              <w:t>Grozījumi likumā “Par obligāto sociālo apdrošināšanu pret nelaimes gadījumiem darbā un arodslimībām”</w:t>
            </w:r>
          </w:p>
          <w:p w14:paraId="6ADA7C98" w14:textId="77777777" w:rsidR="002929E3" w:rsidRDefault="002929E3" w:rsidP="002929E3">
            <w:pPr>
              <w:pStyle w:val="Subtitle"/>
              <w:ind w:left="60"/>
              <w:jc w:val="both"/>
              <w:rPr>
                <w:b w:val="0"/>
                <w:bCs/>
                <w:sz w:val="20"/>
              </w:rPr>
            </w:pPr>
            <w:r>
              <w:rPr>
                <w:b w:val="0"/>
                <w:bCs/>
                <w:sz w:val="20"/>
              </w:rPr>
              <w:t>Grozījumi Valsts sociālo pabalstu likumā</w:t>
            </w:r>
          </w:p>
          <w:p w14:paraId="551B1D26" w14:textId="4FD06D1C" w:rsidR="002929E3" w:rsidRPr="002929E3" w:rsidRDefault="002929E3" w:rsidP="002929E3">
            <w:pPr>
              <w:pStyle w:val="Subtitle"/>
              <w:ind w:left="60"/>
              <w:jc w:val="both"/>
              <w:rPr>
                <w:b w:val="0"/>
                <w:bCs/>
                <w:sz w:val="20"/>
              </w:rPr>
            </w:pPr>
            <w:r>
              <w:rPr>
                <w:b w:val="0"/>
                <w:bCs/>
                <w:sz w:val="20"/>
              </w:rPr>
              <w:t>Grozījumi Sociālo pakalpojumu un sociālās palīdzības likumā</w:t>
            </w:r>
          </w:p>
        </w:tc>
        <w:tc>
          <w:tcPr>
            <w:tcW w:w="1134" w:type="dxa"/>
            <w:shd w:val="clear" w:color="auto" w:fill="auto"/>
          </w:tcPr>
          <w:p w14:paraId="0C3A2548" w14:textId="045D9AA8" w:rsidR="009F5D7E" w:rsidRPr="00D576EE" w:rsidRDefault="002929E3" w:rsidP="000919B8">
            <w:pPr>
              <w:spacing w:after="0" w:line="240" w:lineRule="auto"/>
              <w:jc w:val="center"/>
              <w:rPr>
                <w:bCs/>
                <w:sz w:val="20"/>
                <w:szCs w:val="20"/>
              </w:rPr>
            </w:pPr>
            <w:r>
              <w:rPr>
                <w:bCs/>
                <w:sz w:val="20"/>
                <w:szCs w:val="20"/>
              </w:rPr>
              <w:t>LM</w:t>
            </w:r>
          </w:p>
        </w:tc>
        <w:tc>
          <w:tcPr>
            <w:tcW w:w="1560" w:type="dxa"/>
            <w:shd w:val="clear" w:color="auto" w:fill="auto"/>
          </w:tcPr>
          <w:p w14:paraId="18A85053" w14:textId="5CAEEC40" w:rsidR="00044462" w:rsidRPr="00D576EE" w:rsidRDefault="00044462" w:rsidP="00044462">
            <w:pPr>
              <w:spacing w:after="0" w:line="240" w:lineRule="auto"/>
              <w:jc w:val="center"/>
              <w:rPr>
                <w:bCs/>
                <w:sz w:val="20"/>
                <w:szCs w:val="20"/>
              </w:rPr>
            </w:pPr>
          </w:p>
        </w:tc>
        <w:tc>
          <w:tcPr>
            <w:tcW w:w="1814" w:type="dxa"/>
            <w:shd w:val="clear" w:color="auto" w:fill="auto"/>
          </w:tcPr>
          <w:p w14:paraId="0C1E42FE" w14:textId="668286DA" w:rsidR="009F5D7E" w:rsidRPr="00D576EE" w:rsidRDefault="002929E3" w:rsidP="00C472B3">
            <w:pPr>
              <w:spacing w:after="0" w:line="240" w:lineRule="auto"/>
              <w:jc w:val="center"/>
              <w:rPr>
                <w:bCs/>
                <w:sz w:val="20"/>
                <w:szCs w:val="20"/>
              </w:rPr>
            </w:pPr>
            <w:r>
              <w:rPr>
                <w:bCs/>
                <w:sz w:val="20"/>
                <w:szCs w:val="20"/>
              </w:rPr>
              <w:t>202</w:t>
            </w:r>
            <w:r w:rsidR="00C472B3">
              <w:rPr>
                <w:bCs/>
                <w:sz w:val="20"/>
                <w:szCs w:val="20"/>
              </w:rPr>
              <w:t>2</w:t>
            </w:r>
            <w:r w:rsidR="00827D42">
              <w:rPr>
                <w:bCs/>
                <w:sz w:val="20"/>
                <w:szCs w:val="20"/>
              </w:rPr>
              <w:t>.gada 4</w:t>
            </w:r>
            <w:r>
              <w:rPr>
                <w:bCs/>
                <w:sz w:val="20"/>
                <w:szCs w:val="20"/>
              </w:rPr>
              <w:t>.ceturksnis</w:t>
            </w:r>
          </w:p>
        </w:tc>
      </w:tr>
      <w:tr w:rsidR="000B033B" w:rsidRPr="00F269EC" w14:paraId="22196FB4" w14:textId="77777777" w:rsidTr="001278A3">
        <w:tc>
          <w:tcPr>
            <w:tcW w:w="675" w:type="dxa"/>
          </w:tcPr>
          <w:p w14:paraId="7EBB3911" w14:textId="3C6C1DE7" w:rsidR="000B033B" w:rsidRDefault="000B033B" w:rsidP="000919B8">
            <w:pPr>
              <w:spacing w:after="0" w:line="240" w:lineRule="auto"/>
              <w:jc w:val="center"/>
              <w:rPr>
                <w:bCs/>
                <w:sz w:val="20"/>
                <w:szCs w:val="20"/>
              </w:rPr>
            </w:pPr>
            <w:r>
              <w:rPr>
                <w:bCs/>
                <w:sz w:val="20"/>
                <w:szCs w:val="20"/>
              </w:rPr>
              <w:t>2.</w:t>
            </w:r>
          </w:p>
        </w:tc>
        <w:tc>
          <w:tcPr>
            <w:tcW w:w="1872" w:type="dxa"/>
            <w:shd w:val="clear" w:color="auto" w:fill="auto"/>
          </w:tcPr>
          <w:p w14:paraId="6679BE96" w14:textId="350915B9" w:rsidR="00780CBA" w:rsidRDefault="000B033B" w:rsidP="007178C5">
            <w:pPr>
              <w:spacing w:after="0" w:line="240" w:lineRule="auto"/>
              <w:rPr>
                <w:bCs/>
                <w:sz w:val="20"/>
                <w:szCs w:val="20"/>
              </w:rPr>
            </w:pPr>
            <w:r>
              <w:rPr>
                <w:bCs/>
                <w:sz w:val="20"/>
                <w:szCs w:val="20"/>
              </w:rPr>
              <w:t xml:space="preserve">Mainīt minimālo ienākumu sliekšņu pārskatīšanas </w:t>
            </w:r>
            <w:r w:rsidR="007178C5">
              <w:rPr>
                <w:bCs/>
                <w:sz w:val="20"/>
                <w:szCs w:val="20"/>
              </w:rPr>
              <w:t>nosacījumus</w:t>
            </w:r>
            <w:r w:rsidR="00B4387F">
              <w:rPr>
                <w:bCs/>
                <w:sz w:val="20"/>
                <w:szCs w:val="20"/>
              </w:rPr>
              <w:t>, lai nodrošinātu to atbilstību reālajai sociālek</w:t>
            </w:r>
            <w:r w:rsidR="001278A3">
              <w:rPr>
                <w:bCs/>
                <w:sz w:val="20"/>
                <w:szCs w:val="20"/>
              </w:rPr>
              <w:t>o</w:t>
            </w:r>
            <w:r w:rsidR="00B4387F">
              <w:rPr>
                <w:bCs/>
                <w:sz w:val="20"/>
                <w:szCs w:val="20"/>
              </w:rPr>
              <w:t>nomiskajai situācijai</w:t>
            </w:r>
          </w:p>
          <w:p w14:paraId="6F895010" w14:textId="01F671D6" w:rsidR="00B4387F" w:rsidRDefault="00B4387F" w:rsidP="007178C5">
            <w:pPr>
              <w:spacing w:after="0" w:line="240" w:lineRule="auto"/>
              <w:rPr>
                <w:bCs/>
                <w:sz w:val="20"/>
                <w:szCs w:val="20"/>
              </w:rPr>
            </w:pPr>
          </w:p>
        </w:tc>
        <w:tc>
          <w:tcPr>
            <w:tcW w:w="2806" w:type="dxa"/>
            <w:shd w:val="clear" w:color="auto" w:fill="auto"/>
          </w:tcPr>
          <w:p w14:paraId="01D15EA4" w14:textId="2187354D" w:rsidR="000B033B" w:rsidRPr="001278A3" w:rsidRDefault="00780CBA" w:rsidP="002929E3">
            <w:pPr>
              <w:spacing w:after="0" w:line="240" w:lineRule="auto"/>
              <w:rPr>
                <w:bCs/>
                <w:sz w:val="20"/>
                <w:szCs w:val="20"/>
              </w:rPr>
            </w:pPr>
            <w:bookmarkStart w:id="2" w:name="_Hlk71311608"/>
            <w:r w:rsidRPr="001278A3">
              <w:rPr>
                <w:bCs/>
                <w:sz w:val="20"/>
                <w:szCs w:val="20"/>
              </w:rPr>
              <w:t>Noteikta ikgadēja m</w:t>
            </w:r>
            <w:r w:rsidR="000B033B" w:rsidRPr="001278A3">
              <w:rPr>
                <w:bCs/>
                <w:sz w:val="20"/>
                <w:szCs w:val="20"/>
              </w:rPr>
              <w:t>inimāl</w:t>
            </w:r>
            <w:r w:rsidRPr="001278A3">
              <w:rPr>
                <w:bCs/>
                <w:sz w:val="20"/>
                <w:szCs w:val="20"/>
              </w:rPr>
              <w:t>o</w:t>
            </w:r>
            <w:r w:rsidR="000B033B" w:rsidRPr="001278A3">
              <w:rPr>
                <w:bCs/>
                <w:sz w:val="20"/>
                <w:szCs w:val="20"/>
              </w:rPr>
              <w:t xml:space="preserve"> ienākum</w:t>
            </w:r>
            <w:r w:rsidRPr="001278A3">
              <w:rPr>
                <w:bCs/>
                <w:sz w:val="20"/>
                <w:szCs w:val="20"/>
              </w:rPr>
              <w:t>u</w:t>
            </w:r>
            <w:r w:rsidR="001278A3">
              <w:rPr>
                <w:bCs/>
                <w:sz w:val="20"/>
                <w:szCs w:val="20"/>
              </w:rPr>
              <w:t xml:space="preserve"> </w:t>
            </w:r>
            <w:r w:rsidR="000B033B" w:rsidRPr="001278A3">
              <w:rPr>
                <w:bCs/>
                <w:sz w:val="20"/>
                <w:szCs w:val="20"/>
              </w:rPr>
              <w:t>sliekšņ</w:t>
            </w:r>
            <w:r w:rsidRPr="001278A3">
              <w:rPr>
                <w:bCs/>
                <w:sz w:val="20"/>
                <w:szCs w:val="20"/>
              </w:rPr>
              <w:t>u</w:t>
            </w:r>
            <w:r w:rsidR="000B033B" w:rsidRPr="001278A3">
              <w:rPr>
                <w:bCs/>
                <w:sz w:val="20"/>
                <w:szCs w:val="20"/>
              </w:rPr>
              <w:t xml:space="preserve"> pārskatī</w:t>
            </w:r>
            <w:r w:rsidRPr="001278A3">
              <w:rPr>
                <w:bCs/>
                <w:sz w:val="20"/>
                <w:szCs w:val="20"/>
              </w:rPr>
              <w:t>šana</w:t>
            </w:r>
            <w:r w:rsidR="000B033B" w:rsidRPr="001278A3">
              <w:rPr>
                <w:bCs/>
                <w:sz w:val="20"/>
                <w:szCs w:val="20"/>
              </w:rPr>
              <w:t xml:space="preserve"> </w:t>
            </w:r>
            <w:bookmarkEnd w:id="2"/>
            <w:r w:rsidR="001278A3" w:rsidRPr="001278A3">
              <w:rPr>
                <w:bCs/>
                <w:sz w:val="20"/>
                <w:szCs w:val="20"/>
              </w:rPr>
              <w:t>no 2023.gada</w:t>
            </w:r>
            <w:r w:rsidR="00C472B3">
              <w:rPr>
                <w:bCs/>
                <w:sz w:val="20"/>
                <w:szCs w:val="20"/>
              </w:rPr>
              <w:t xml:space="preserve"> 1.janvāra</w:t>
            </w:r>
          </w:p>
        </w:tc>
        <w:tc>
          <w:tcPr>
            <w:tcW w:w="4281" w:type="dxa"/>
          </w:tcPr>
          <w:p w14:paraId="260222A9" w14:textId="77777777" w:rsidR="000B033B" w:rsidRDefault="000B033B" w:rsidP="000B033B">
            <w:pPr>
              <w:pStyle w:val="Subtitle"/>
              <w:ind w:left="60"/>
              <w:jc w:val="both"/>
              <w:rPr>
                <w:b w:val="0"/>
                <w:bCs/>
                <w:sz w:val="20"/>
              </w:rPr>
            </w:pPr>
            <w:r>
              <w:rPr>
                <w:b w:val="0"/>
                <w:bCs/>
                <w:sz w:val="20"/>
              </w:rPr>
              <w:t xml:space="preserve">Grozījumi likumā </w:t>
            </w:r>
            <w:r w:rsidRPr="002929E3">
              <w:rPr>
                <w:b w:val="0"/>
                <w:bCs/>
                <w:sz w:val="20"/>
              </w:rPr>
              <w:t>“Par sociālo drošību”</w:t>
            </w:r>
          </w:p>
          <w:p w14:paraId="67FFD63A" w14:textId="77777777" w:rsidR="00CD793A" w:rsidRDefault="00CD793A" w:rsidP="00CD793A">
            <w:pPr>
              <w:pStyle w:val="Subtitle"/>
              <w:ind w:left="60"/>
              <w:jc w:val="both"/>
              <w:rPr>
                <w:b w:val="0"/>
                <w:bCs/>
                <w:sz w:val="20"/>
              </w:rPr>
            </w:pPr>
            <w:r>
              <w:rPr>
                <w:b w:val="0"/>
                <w:bCs/>
                <w:sz w:val="20"/>
              </w:rPr>
              <w:t>Grozījumi likumā</w:t>
            </w:r>
            <w:r w:rsidRPr="002929E3">
              <w:rPr>
                <w:b w:val="0"/>
                <w:bCs/>
                <w:sz w:val="20"/>
              </w:rPr>
              <w:t xml:space="preserve"> “Par valsts pensijām”</w:t>
            </w:r>
          </w:p>
          <w:p w14:paraId="5CCA6E5F" w14:textId="77777777" w:rsidR="00CD793A" w:rsidRPr="004A1787" w:rsidRDefault="00CD793A" w:rsidP="00CD793A">
            <w:pPr>
              <w:spacing w:after="0" w:line="240" w:lineRule="auto"/>
              <w:ind w:left="60"/>
              <w:jc w:val="both"/>
              <w:rPr>
                <w:rFonts w:eastAsia="Times New Roman" w:cs="Times New Roman"/>
                <w:bCs/>
                <w:sz w:val="20"/>
                <w:szCs w:val="20"/>
                <w:lang w:eastAsia="lv-LV"/>
              </w:rPr>
            </w:pPr>
            <w:r w:rsidRPr="004A1787">
              <w:rPr>
                <w:rFonts w:eastAsia="Times New Roman" w:cs="Times New Roman"/>
                <w:bCs/>
                <w:sz w:val="20"/>
                <w:szCs w:val="20"/>
                <w:lang w:eastAsia="lv-LV"/>
              </w:rPr>
              <w:t>Grozījumi likumā “Par obligāto sociālo apdrošināšanu pret nelaimes gadījumiem darbā un arodslimībām”</w:t>
            </w:r>
          </w:p>
          <w:p w14:paraId="5CF923A7" w14:textId="77777777" w:rsidR="00CD793A" w:rsidRDefault="00CD793A" w:rsidP="00CD793A">
            <w:pPr>
              <w:pStyle w:val="Subtitle"/>
              <w:ind w:left="60"/>
              <w:jc w:val="both"/>
              <w:rPr>
                <w:b w:val="0"/>
                <w:bCs/>
                <w:sz w:val="20"/>
              </w:rPr>
            </w:pPr>
            <w:r>
              <w:rPr>
                <w:b w:val="0"/>
                <w:bCs/>
                <w:sz w:val="20"/>
              </w:rPr>
              <w:t>Grozījumi Valsts sociālo pabalstu likumā</w:t>
            </w:r>
          </w:p>
          <w:p w14:paraId="5828718C" w14:textId="5CD9A225" w:rsidR="000B033B" w:rsidRDefault="00CD793A" w:rsidP="00CD793A">
            <w:pPr>
              <w:pStyle w:val="Subtitle"/>
              <w:ind w:left="60"/>
              <w:jc w:val="both"/>
              <w:rPr>
                <w:b w:val="0"/>
                <w:bCs/>
                <w:sz w:val="20"/>
              </w:rPr>
            </w:pPr>
            <w:r>
              <w:rPr>
                <w:b w:val="0"/>
                <w:bCs/>
                <w:sz w:val="20"/>
              </w:rPr>
              <w:t>Grozījumi Sociālo pakalpojumu un sociālās palīdzības likumā</w:t>
            </w:r>
          </w:p>
        </w:tc>
        <w:tc>
          <w:tcPr>
            <w:tcW w:w="1134" w:type="dxa"/>
            <w:shd w:val="clear" w:color="auto" w:fill="auto"/>
          </w:tcPr>
          <w:p w14:paraId="2298FC01" w14:textId="3AF8770D" w:rsidR="000B033B" w:rsidRDefault="000B033B" w:rsidP="000919B8">
            <w:pPr>
              <w:spacing w:after="0" w:line="240" w:lineRule="auto"/>
              <w:jc w:val="center"/>
              <w:rPr>
                <w:bCs/>
                <w:sz w:val="20"/>
                <w:szCs w:val="20"/>
              </w:rPr>
            </w:pPr>
            <w:r>
              <w:rPr>
                <w:bCs/>
                <w:sz w:val="20"/>
                <w:szCs w:val="20"/>
              </w:rPr>
              <w:t>LM</w:t>
            </w:r>
          </w:p>
        </w:tc>
        <w:tc>
          <w:tcPr>
            <w:tcW w:w="1560" w:type="dxa"/>
            <w:shd w:val="clear" w:color="auto" w:fill="auto"/>
          </w:tcPr>
          <w:p w14:paraId="62086B4F" w14:textId="3DAA35EE" w:rsidR="000B033B" w:rsidRPr="00D576EE" w:rsidRDefault="00AE0A4D" w:rsidP="00044462">
            <w:pPr>
              <w:spacing w:after="0" w:line="240" w:lineRule="auto"/>
              <w:jc w:val="center"/>
              <w:rPr>
                <w:bCs/>
                <w:sz w:val="20"/>
                <w:szCs w:val="20"/>
              </w:rPr>
            </w:pPr>
            <w:r>
              <w:rPr>
                <w:bCs/>
                <w:sz w:val="20"/>
                <w:szCs w:val="20"/>
              </w:rPr>
              <w:t>Pašvaldības</w:t>
            </w:r>
          </w:p>
        </w:tc>
        <w:tc>
          <w:tcPr>
            <w:tcW w:w="1814" w:type="dxa"/>
            <w:shd w:val="clear" w:color="auto" w:fill="auto"/>
          </w:tcPr>
          <w:p w14:paraId="78099155" w14:textId="1C6FD6D9" w:rsidR="000B033B" w:rsidRDefault="006F4FE2" w:rsidP="001278A3">
            <w:pPr>
              <w:spacing w:after="0" w:line="240" w:lineRule="auto"/>
              <w:jc w:val="center"/>
              <w:rPr>
                <w:bCs/>
                <w:sz w:val="20"/>
                <w:szCs w:val="20"/>
              </w:rPr>
            </w:pPr>
            <w:r>
              <w:rPr>
                <w:bCs/>
                <w:sz w:val="20"/>
                <w:szCs w:val="20"/>
              </w:rPr>
              <w:t>202</w:t>
            </w:r>
            <w:r w:rsidR="001278A3">
              <w:rPr>
                <w:bCs/>
                <w:sz w:val="20"/>
                <w:szCs w:val="20"/>
              </w:rPr>
              <w:t>2</w:t>
            </w:r>
            <w:r>
              <w:rPr>
                <w:bCs/>
                <w:sz w:val="20"/>
                <w:szCs w:val="20"/>
              </w:rPr>
              <w:t>.gada 4.ceturksnis</w:t>
            </w:r>
          </w:p>
        </w:tc>
      </w:tr>
      <w:tr w:rsidR="004A1787" w:rsidRPr="00F269EC" w14:paraId="77442A16" w14:textId="77777777" w:rsidTr="001278A3">
        <w:tc>
          <w:tcPr>
            <w:tcW w:w="675" w:type="dxa"/>
          </w:tcPr>
          <w:p w14:paraId="3022478C" w14:textId="6D9A15EC" w:rsidR="004A1787" w:rsidRPr="004A1787" w:rsidRDefault="000B033B" w:rsidP="004A1787">
            <w:pPr>
              <w:spacing w:after="0" w:line="240" w:lineRule="auto"/>
              <w:jc w:val="center"/>
              <w:rPr>
                <w:bCs/>
                <w:sz w:val="20"/>
                <w:szCs w:val="20"/>
              </w:rPr>
            </w:pPr>
            <w:r>
              <w:rPr>
                <w:bCs/>
                <w:sz w:val="20"/>
                <w:szCs w:val="20"/>
              </w:rPr>
              <w:t>3.</w:t>
            </w:r>
          </w:p>
        </w:tc>
        <w:tc>
          <w:tcPr>
            <w:tcW w:w="1872" w:type="dxa"/>
            <w:shd w:val="clear" w:color="auto" w:fill="auto"/>
          </w:tcPr>
          <w:p w14:paraId="2E1F97AF" w14:textId="2C904DD0" w:rsidR="00093897" w:rsidRPr="004A1787" w:rsidRDefault="00C75433" w:rsidP="00C75433">
            <w:pPr>
              <w:spacing w:after="0" w:line="240" w:lineRule="auto"/>
              <w:rPr>
                <w:bCs/>
                <w:sz w:val="20"/>
                <w:szCs w:val="20"/>
              </w:rPr>
            </w:pPr>
            <w:r>
              <w:rPr>
                <w:sz w:val="20"/>
                <w:szCs w:val="20"/>
              </w:rPr>
              <w:t>Veikt pensiju politikas izvērtējumu, lai arī turpmāk nodrošinātu uz individuālajām iemaksām balstītās pensiju sistēmas attīstību un ilgtspēju.</w:t>
            </w:r>
          </w:p>
        </w:tc>
        <w:tc>
          <w:tcPr>
            <w:tcW w:w="2806" w:type="dxa"/>
            <w:shd w:val="clear" w:color="auto" w:fill="auto"/>
          </w:tcPr>
          <w:p w14:paraId="0D0AD58A" w14:textId="2B83F8F9" w:rsidR="004A1787" w:rsidRPr="004A1787" w:rsidRDefault="00C75433" w:rsidP="004A1787">
            <w:pPr>
              <w:spacing w:after="0" w:line="240" w:lineRule="auto"/>
              <w:rPr>
                <w:bCs/>
                <w:sz w:val="20"/>
                <w:szCs w:val="20"/>
              </w:rPr>
            </w:pPr>
            <w:r>
              <w:rPr>
                <w:sz w:val="20"/>
                <w:szCs w:val="20"/>
              </w:rPr>
              <w:t xml:space="preserve">Sniegti priekšlikumi minimālo pensiju finansēšanas principu un politikas maiņai, saglabājot darba mūžā veikto individuālo iemaksu lomu visu pensiju adekvātumā. </w:t>
            </w:r>
          </w:p>
        </w:tc>
        <w:tc>
          <w:tcPr>
            <w:tcW w:w="4281" w:type="dxa"/>
          </w:tcPr>
          <w:p w14:paraId="73AED51D" w14:textId="76FED212" w:rsidR="004A1787" w:rsidRPr="004A1787" w:rsidRDefault="004A1787" w:rsidP="004A1787">
            <w:pPr>
              <w:pStyle w:val="Subtitle"/>
              <w:ind w:left="60"/>
              <w:jc w:val="both"/>
              <w:rPr>
                <w:b w:val="0"/>
                <w:bCs/>
                <w:sz w:val="20"/>
              </w:rPr>
            </w:pPr>
            <w:r w:rsidRPr="004A1787">
              <w:rPr>
                <w:b w:val="0"/>
                <w:bCs/>
                <w:sz w:val="20"/>
              </w:rPr>
              <w:t xml:space="preserve">Politikas plānošanas dokuments par pensiju politikas un </w:t>
            </w:r>
            <w:r w:rsidRPr="004A1787">
              <w:rPr>
                <w:b w:val="0"/>
                <w:iCs/>
                <w:sz w:val="20"/>
              </w:rPr>
              <w:t>tās finansēšanas principiem</w:t>
            </w:r>
          </w:p>
        </w:tc>
        <w:tc>
          <w:tcPr>
            <w:tcW w:w="1134" w:type="dxa"/>
            <w:shd w:val="clear" w:color="auto" w:fill="auto"/>
          </w:tcPr>
          <w:p w14:paraId="1532AC67" w14:textId="0E424001" w:rsidR="004A1787" w:rsidRPr="004A1787" w:rsidRDefault="004A1787" w:rsidP="004A1787">
            <w:pPr>
              <w:spacing w:after="0" w:line="240" w:lineRule="auto"/>
              <w:jc w:val="center"/>
              <w:rPr>
                <w:bCs/>
                <w:sz w:val="20"/>
                <w:szCs w:val="20"/>
              </w:rPr>
            </w:pPr>
            <w:r w:rsidRPr="004A1787">
              <w:rPr>
                <w:bCs/>
                <w:sz w:val="20"/>
                <w:szCs w:val="20"/>
              </w:rPr>
              <w:t>LM</w:t>
            </w:r>
          </w:p>
        </w:tc>
        <w:tc>
          <w:tcPr>
            <w:tcW w:w="1560" w:type="dxa"/>
            <w:shd w:val="clear" w:color="auto" w:fill="auto"/>
          </w:tcPr>
          <w:p w14:paraId="540CB06D" w14:textId="77777777" w:rsidR="004A1787" w:rsidRPr="004A1787" w:rsidRDefault="004A1787" w:rsidP="004A1787">
            <w:pPr>
              <w:spacing w:after="0" w:line="240" w:lineRule="auto"/>
              <w:jc w:val="center"/>
              <w:rPr>
                <w:bCs/>
                <w:sz w:val="20"/>
                <w:szCs w:val="20"/>
              </w:rPr>
            </w:pPr>
          </w:p>
        </w:tc>
        <w:tc>
          <w:tcPr>
            <w:tcW w:w="1814" w:type="dxa"/>
            <w:shd w:val="clear" w:color="auto" w:fill="auto"/>
          </w:tcPr>
          <w:p w14:paraId="05D92A9B" w14:textId="0623E7A1" w:rsidR="004A1787" w:rsidRPr="004A1787" w:rsidRDefault="004A1787" w:rsidP="007B552E">
            <w:pPr>
              <w:spacing w:after="0" w:line="240" w:lineRule="auto"/>
              <w:jc w:val="center"/>
              <w:rPr>
                <w:bCs/>
                <w:sz w:val="20"/>
                <w:szCs w:val="20"/>
              </w:rPr>
            </w:pPr>
            <w:r w:rsidRPr="004A1787">
              <w:rPr>
                <w:bCs/>
                <w:sz w:val="20"/>
                <w:szCs w:val="20"/>
              </w:rPr>
              <w:t>202</w:t>
            </w:r>
            <w:r w:rsidR="007B552E">
              <w:rPr>
                <w:bCs/>
                <w:sz w:val="20"/>
                <w:szCs w:val="20"/>
              </w:rPr>
              <w:t>1</w:t>
            </w:r>
            <w:r w:rsidRPr="004A1787">
              <w:rPr>
                <w:bCs/>
                <w:sz w:val="20"/>
                <w:szCs w:val="20"/>
              </w:rPr>
              <w:t xml:space="preserve">.gada </w:t>
            </w:r>
            <w:r w:rsidR="007B552E">
              <w:rPr>
                <w:bCs/>
                <w:sz w:val="20"/>
                <w:szCs w:val="20"/>
              </w:rPr>
              <w:t>3</w:t>
            </w:r>
            <w:r w:rsidRPr="004A1787">
              <w:rPr>
                <w:bCs/>
                <w:sz w:val="20"/>
                <w:szCs w:val="20"/>
              </w:rPr>
              <w:t>.ceturksnis</w:t>
            </w:r>
          </w:p>
        </w:tc>
      </w:tr>
    </w:tbl>
    <w:p w14:paraId="7B55D16E" w14:textId="77777777" w:rsidR="00C54EF9" w:rsidRDefault="00C54EF9" w:rsidP="00D56C5F">
      <w:pPr>
        <w:spacing w:after="0" w:line="240" w:lineRule="auto"/>
        <w:rPr>
          <w:rFonts w:cs="Times New Roman"/>
          <w:b/>
          <w:bCs/>
          <w:szCs w:val="24"/>
        </w:rPr>
        <w:sectPr w:rsidR="00C54EF9" w:rsidSect="00B41802">
          <w:pgSz w:w="16838" w:h="11906" w:orient="landscape"/>
          <w:pgMar w:top="1701" w:right="1418" w:bottom="1134" w:left="1134" w:header="709" w:footer="709" w:gutter="0"/>
          <w:cols w:space="708"/>
          <w:titlePg/>
          <w:docGrid w:linePitch="360"/>
        </w:sectPr>
      </w:pPr>
    </w:p>
    <w:bookmarkEnd w:id="0"/>
    <w:p w14:paraId="59A7FABF" w14:textId="72E8E4C6" w:rsidR="007B210B" w:rsidRPr="00F269EC" w:rsidRDefault="004E3384" w:rsidP="007B210B">
      <w:pPr>
        <w:spacing w:before="120" w:after="120" w:line="240" w:lineRule="auto"/>
        <w:rPr>
          <w:rFonts w:cs="Times New Roman"/>
          <w:szCs w:val="24"/>
        </w:rPr>
      </w:pPr>
      <w:r w:rsidRPr="00097EBF">
        <w:rPr>
          <w:rFonts w:eastAsia="Times New Roman"/>
          <w:lang w:eastAsia="lv-LV"/>
        </w:rPr>
        <w:t xml:space="preserve"> </w:t>
      </w:r>
      <w:r w:rsidR="007B210B">
        <w:rPr>
          <w:rFonts w:cs="Times New Roman"/>
          <w:b/>
          <w:bCs/>
          <w:szCs w:val="24"/>
        </w:rPr>
        <w:t>IV</w:t>
      </w:r>
      <w:r w:rsidR="007B210B" w:rsidRPr="00F269EC">
        <w:rPr>
          <w:rFonts w:cs="Times New Roman"/>
          <w:b/>
          <w:bCs/>
          <w:szCs w:val="24"/>
        </w:rPr>
        <w:t xml:space="preserve"> Teritoriālā perspektīva</w:t>
      </w:r>
    </w:p>
    <w:p w14:paraId="1C4B6993" w14:textId="77777777" w:rsidR="007B210B" w:rsidRPr="00F269EC" w:rsidRDefault="007B210B" w:rsidP="007B210B">
      <w:pPr>
        <w:spacing w:after="0" w:line="240" w:lineRule="auto"/>
        <w:ind w:firstLine="720"/>
        <w:jc w:val="both"/>
        <w:rPr>
          <w:rFonts w:cs="Times New Roman"/>
          <w:iCs/>
          <w:szCs w:val="24"/>
        </w:rPr>
      </w:pPr>
      <w:r w:rsidRPr="00F269EC">
        <w:rPr>
          <w:rFonts w:cs="Times New Roman"/>
          <w:iCs/>
          <w:szCs w:val="24"/>
        </w:rPr>
        <w:t xml:space="preserve">Plānotie pasākumi tiks īstenoti visā Latvijas teritorijā. </w:t>
      </w:r>
    </w:p>
    <w:p w14:paraId="141DED5E" w14:textId="6B9D6694" w:rsidR="007B210B" w:rsidRPr="001F7E02" w:rsidRDefault="007B210B" w:rsidP="007B210B">
      <w:pPr>
        <w:spacing w:before="120" w:after="120" w:line="240" w:lineRule="auto"/>
        <w:rPr>
          <w:rFonts w:cs="Times New Roman"/>
          <w:b/>
          <w:bCs/>
          <w:szCs w:val="24"/>
        </w:rPr>
      </w:pPr>
      <w:r w:rsidRPr="001F7E02">
        <w:rPr>
          <w:rFonts w:cs="Times New Roman"/>
          <w:b/>
          <w:bCs/>
          <w:szCs w:val="24"/>
        </w:rPr>
        <w:t>V Ietekmes novērtējums uz valsts un pašvaldību budžetu</w:t>
      </w:r>
    </w:p>
    <w:p w14:paraId="5B27F521" w14:textId="211E96AF" w:rsidR="007B210B" w:rsidRDefault="007B210B" w:rsidP="007B210B">
      <w:pPr>
        <w:spacing w:after="120" w:line="240" w:lineRule="auto"/>
        <w:ind w:firstLine="720"/>
        <w:jc w:val="both"/>
        <w:rPr>
          <w:rFonts w:cs="Times New Roman"/>
          <w:color w:val="000000"/>
          <w:szCs w:val="24"/>
          <w:lang w:eastAsia="lv-LV" w:bidi="lo-LA"/>
        </w:rPr>
      </w:pPr>
      <w:r w:rsidRPr="001F7E02">
        <w:rPr>
          <w:rFonts w:cs="Times New Roman"/>
          <w:szCs w:val="24"/>
          <w:lang w:eastAsia="lv-LV"/>
        </w:rPr>
        <w:t xml:space="preserve">Plāna īstenošanai plānots izmantot finanšu resursus no valsts un pašvaldību budžeta. </w:t>
      </w:r>
      <w:r w:rsidR="00BC071E">
        <w:rPr>
          <w:rFonts w:cs="Times New Roman"/>
          <w:szCs w:val="24"/>
          <w:lang w:eastAsia="lv-LV"/>
        </w:rPr>
        <w:t>Tabulā</w:t>
      </w:r>
      <w:r w:rsidR="001325B1">
        <w:rPr>
          <w:rFonts w:cs="Times New Roman"/>
          <w:szCs w:val="24"/>
          <w:lang w:eastAsia="lv-LV"/>
        </w:rPr>
        <w:t xml:space="preserve"> Nr.</w:t>
      </w:r>
      <w:r w:rsidR="00BC071E">
        <w:rPr>
          <w:rFonts w:cs="Times New Roman"/>
          <w:szCs w:val="24"/>
          <w:lang w:eastAsia="lv-LV"/>
        </w:rPr>
        <w:t>2</w:t>
      </w:r>
      <w:r w:rsidR="001325B1">
        <w:rPr>
          <w:rFonts w:cs="Times New Roman"/>
          <w:szCs w:val="24"/>
          <w:lang w:eastAsia="lv-LV"/>
        </w:rPr>
        <w:t xml:space="preserve">. </w:t>
      </w:r>
      <w:r w:rsidR="00774BEE">
        <w:rPr>
          <w:rFonts w:cs="Times New Roman"/>
          <w:szCs w:val="24"/>
          <w:lang w:eastAsia="lv-LV"/>
        </w:rPr>
        <w:t>“</w:t>
      </w:r>
      <w:r w:rsidR="00774BEE">
        <w:rPr>
          <w:rFonts w:eastAsia="Times New Roman"/>
          <w:lang w:eastAsia="lv-LV"/>
        </w:rPr>
        <w:t>Kopsavilkums par P</w:t>
      </w:r>
      <w:r w:rsidR="00774BEE" w:rsidRPr="00B521CF">
        <w:rPr>
          <w:rFonts w:eastAsia="Times New Roman"/>
          <w:lang w:eastAsia="lv-LV"/>
        </w:rPr>
        <w:t>lānā iekļauto uzdevumu īstenošanai nepieciešamo valsts un pašvaldību budžeta finansējumu (</w:t>
      </w:r>
      <w:r w:rsidR="00774BEE" w:rsidRPr="00B521CF">
        <w:rPr>
          <w:rFonts w:eastAsia="Times New Roman"/>
          <w:i/>
          <w:lang w:eastAsia="lv-LV"/>
        </w:rPr>
        <w:t>euro</w:t>
      </w:r>
      <w:r w:rsidR="00774BEE" w:rsidRPr="00B521CF">
        <w:rPr>
          <w:rFonts w:eastAsia="Times New Roman"/>
          <w:lang w:eastAsia="lv-LV"/>
        </w:rPr>
        <w:t>)</w:t>
      </w:r>
      <w:r w:rsidR="00774BEE">
        <w:rPr>
          <w:rFonts w:eastAsia="Times New Roman"/>
          <w:lang w:eastAsia="lv-LV"/>
        </w:rPr>
        <w:t xml:space="preserve">” </w:t>
      </w:r>
      <w:r w:rsidR="001325B1">
        <w:rPr>
          <w:rFonts w:cs="Times New Roman"/>
          <w:szCs w:val="24"/>
          <w:lang w:eastAsia="lv-LV"/>
        </w:rPr>
        <w:t>veikti aprēķini, pamatojoties uz 2021.gad</w:t>
      </w:r>
      <w:r w:rsidR="007E2D7B">
        <w:rPr>
          <w:rFonts w:cs="Times New Roman"/>
          <w:szCs w:val="24"/>
          <w:lang w:eastAsia="lv-LV"/>
        </w:rPr>
        <w:t>ā</w:t>
      </w:r>
      <w:r w:rsidR="001325B1">
        <w:rPr>
          <w:rFonts w:cs="Times New Roman"/>
          <w:szCs w:val="24"/>
          <w:lang w:eastAsia="lv-LV"/>
        </w:rPr>
        <w:t xml:space="preserve"> p</w:t>
      </w:r>
      <w:r w:rsidR="00C8009B">
        <w:rPr>
          <w:rFonts w:cs="Times New Roman"/>
          <w:szCs w:val="24"/>
          <w:lang w:eastAsia="lv-LV"/>
        </w:rPr>
        <w:t>ieejamo un aktuālo informāciju</w:t>
      </w:r>
      <w:r w:rsidR="001325B1">
        <w:rPr>
          <w:rFonts w:cs="Times New Roman"/>
          <w:szCs w:val="24"/>
          <w:lang w:eastAsia="lv-LV"/>
        </w:rPr>
        <w:t xml:space="preserve">. </w:t>
      </w:r>
      <w:r w:rsidRPr="001F7E02">
        <w:rPr>
          <w:rFonts w:cs="Times New Roman"/>
          <w:szCs w:val="24"/>
          <w:lang w:eastAsia="lv-LV"/>
        </w:rPr>
        <w:t>Jautājums par papildu valsts budžeta līdzekļu piešķiršanu Plānā minētajām institūcijām izskatāms Ministru kabinetā</w:t>
      </w:r>
      <w:r w:rsidRPr="001F7E02">
        <w:t xml:space="preserve"> </w:t>
      </w:r>
      <w:r w:rsidRPr="001F7E02">
        <w:rPr>
          <w:rFonts w:cs="Times New Roman"/>
          <w:szCs w:val="24"/>
          <w:lang w:eastAsia="lv-LV"/>
        </w:rPr>
        <w:t xml:space="preserve">kopā ar visu ministriju un citu centrālo valsts iestāžu </w:t>
      </w:r>
      <w:r w:rsidRPr="00AE0BFB">
        <w:rPr>
          <w:rFonts w:eastAsia="Times New Roman" w:cs="Times New Roman"/>
          <w:szCs w:val="24"/>
          <w:lang w:eastAsia="lv-LV"/>
        </w:rPr>
        <w:t>priekšlikumiem prioritārajiem pasākumiem likump</w:t>
      </w:r>
      <w:r>
        <w:rPr>
          <w:rFonts w:eastAsia="Times New Roman" w:cs="Times New Roman"/>
          <w:szCs w:val="24"/>
          <w:lang w:eastAsia="lv-LV"/>
        </w:rPr>
        <w:t>rojekta „Par valsts budžetu 2023</w:t>
      </w:r>
      <w:r w:rsidRPr="00AE0BFB">
        <w:rPr>
          <w:rFonts w:eastAsia="Times New Roman" w:cs="Times New Roman"/>
          <w:szCs w:val="24"/>
          <w:lang w:eastAsia="lv-LV"/>
        </w:rPr>
        <w:t xml:space="preserve">. gadam” un likumprojekta „Par vidēja termiņa budžeta ietvaru </w:t>
      </w:r>
      <w:r w:rsidR="001325B1">
        <w:rPr>
          <w:rFonts w:eastAsia="Times New Roman" w:cs="Times New Roman"/>
          <w:szCs w:val="24"/>
          <w:lang w:eastAsia="lv-LV"/>
        </w:rPr>
        <w:t>2023</w:t>
      </w:r>
      <w:r>
        <w:rPr>
          <w:rFonts w:eastAsia="Times New Roman" w:cs="Times New Roman"/>
          <w:szCs w:val="24"/>
          <w:lang w:eastAsia="lv-LV"/>
        </w:rPr>
        <w:t xml:space="preserve">., </w:t>
      </w:r>
      <w:r w:rsidR="001325B1">
        <w:rPr>
          <w:rFonts w:eastAsia="Times New Roman" w:cs="Times New Roman"/>
          <w:szCs w:val="24"/>
          <w:lang w:eastAsia="lv-LV"/>
        </w:rPr>
        <w:t>2024</w:t>
      </w:r>
      <w:r>
        <w:rPr>
          <w:rFonts w:eastAsia="Times New Roman" w:cs="Times New Roman"/>
          <w:szCs w:val="24"/>
          <w:lang w:eastAsia="lv-LV"/>
        </w:rPr>
        <w:t xml:space="preserve">. un </w:t>
      </w:r>
      <w:r w:rsidR="001325B1">
        <w:rPr>
          <w:rFonts w:eastAsia="Times New Roman" w:cs="Times New Roman"/>
          <w:szCs w:val="24"/>
          <w:lang w:eastAsia="lv-LV"/>
        </w:rPr>
        <w:t>2025</w:t>
      </w:r>
      <w:r w:rsidRPr="00AE0BFB">
        <w:rPr>
          <w:rFonts w:eastAsia="Times New Roman" w:cs="Times New Roman"/>
          <w:szCs w:val="24"/>
          <w:lang w:eastAsia="lv-LV"/>
        </w:rPr>
        <w:t>. gadam” sagatavošanas un izskatīšanas procesā atbilstoši valsts budžeta finansiālajām iespējām</w:t>
      </w:r>
      <w:r>
        <w:rPr>
          <w:rFonts w:eastAsia="Times New Roman" w:cs="Times New Roman"/>
          <w:szCs w:val="24"/>
          <w:lang w:eastAsia="lv-LV"/>
        </w:rPr>
        <w:t>.</w:t>
      </w:r>
      <w:r>
        <w:rPr>
          <w:rFonts w:cs="Times New Roman"/>
          <w:szCs w:val="24"/>
          <w:lang w:eastAsia="lv-LV"/>
        </w:rPr>
        <w:t xml:space="preserve"> </w:t>
      </w:r>
      <w:r w:rsidR="001325B1">
        <w:rPr>
          <w:rFonts w:cs="Times New Roman"/>
          <w:szCs w:val="24"/>
          <w:lang w:eastAsia="lv-LV"/>
        </w:rPr>
        <w:t xml:space="preserve">Sagatavojot priekšlikumus prioritārajiem pasākumiem 2023.-2025.gadam, </w:t>
      </w:r>
      <w:r w:rsidR="001325B1" w:rsidRPr="00DB7DEF">
        <w:rPr>
          <w:rFonts w:cs="Times New Roman"/>
          <w:b/>
          <w:szCs w:val="24"/>
          <w:lang w:eastAsia="lv-LV"/>
        </w:rPr>
        <w:t>tiks veikti pārrēķini papildu nepieciešamajam finansējumam</w:t>
      </w:r>
      <w:r w:rsidR="001325B1">
        <w:rPr>
          <w:rFonts w:cs="Times New Roman"/>
          <w:szCs w:val="24"/>
          <w:lang w:eastAsia="lv-LV"/>
        </w:rPr>
        <w:t xml:space="preserve"> </w:t>
      </w:r>
      <w:r w:rsidR="007E2D7B">
        <w:rPr>
          <w:rFonts w:cs="Times New Roman"/>
          <w:szCs w:val="24"/>
          <w:lang w:eastAsia="lv-LV"/>
        </w:rPr>
        <w:t>P</w:t>
      </w:r>
      <w:r w:rsidR="001325B1">
        <w:rPr>
          <w:rFonts w:cs="Times New Roman"/>
          <w:szCs w:val="24"/>
          <w:lang w:eastAsia="lv-LV"/>
        </w:rPr>
        <w:t>lānā paredzēto pasākumu īstenošanas nodrošināšanai, ņemot vērā aktuā</w:t>
      </w:r>
      <w:r w:rsidR="00C8009B">
        <w:rPr>
          <w:rFonts w:cs="Times New Roman"/>
          <w:szCs w:val="24"/>
          <w:lang w:eastAsia="lv-LV"/>
        </w:rPr>
        <w:t>lo</w:t>
      </w:r>
      <w:r w:rsidR="001325B1">
        <w:rPr>
          <w:rFonts w:cs="Times New Roman"/>
          <w:szCs w:val="24"/>
          <w:lang w:eastAsia="lv-LV"/>
        </w:rPr>
        <w:t xml:space="preserve"> </w:t>
      </w:r>
      <w:r w:rsidR="00C8009B">
        <w:rPr>
          <w:rFonts w:cs="Times New Roman"/>
          <w:szCs w:val="24"/>
          <w:lang w:eastAsia="lv-LV"/>
        </w:rPr>
        <w:t>pabalstu un pensiju saņēmēju skaitu</w:t>
      </w:r>
      <w:r w:rsidR="001325B1">
        <w:rPr>
          <w:rFonts w:cs="Times New Roman"/>
          <w:szCs w:val="24"/>
          <w:lang w:eastAsia="lv-LV"/>
        </w:rPr>
        <w:t xml:space="preserve">. </w:t>
      </w:r>
      <w:r w:rsidRPr="00473F70">
        <w:rPr>
          <w:rFonts w:cs="Times New Roman"/>
          <w:color w:val="000000"/>
          <w:szCs w:val="24"/>
          <w:lang w:eastAsia="lv-LV" w:bidi="lo-LA"/>
        </w:rPr>
        <w:t>Detalizēts papildu nepieciešamā finansējuma apmēra aprēķins tiks veikts</w:t>
      </w:r>
      <w:r>
        <w:rPr>
          <w:rFonts w:cs="Times New Roman"/>
          <w:color w:val="000000"/>
          <w:szCs w:val="24"/>
          <w:lang w:eastAsia="lv-LV" w:bidi="lo-LA"/>
        </w:rPr>
        <w:t>,</w:t>
      </w:r>
      <w:r w:rsidRPr="00473F70">
        <w:rPr>
          <w:rFonts w:cs="Times New Roman"/>
          <w:color w:val="000000"/>
          <w:szCs w:val="24"/>
          <w:lang w:eastAsia="lv-LV" w:bidi="lo-LA"/>
        </w:rPr>
        <w:t xml:space="preserve"> izstrādājot attiecīgo normatīvo aktu anotācijas un iekļauts anotācijas III sadaļā "Tiesību akta projekta ietekme uz valsts budžetu un pašvaldību budžetiem".</w:t>
      </w:r>
    </w:p>
    <w:p w14:paraId="26F3E5DB" w14:textId="589A5DB8" w:rsidR="007B210B" w:rsidRPr="001F7E02" w:rsidRDefault="007B210B" w:rsidP="007B210B">
      <w:pPr>
        <w:spacing w:after="120" w:line="240" w:lineRule="auto"/>
        <w:ind w:firstLine="720"/>
        <w:jc w:val="both"/>
        <w:rPr>
          <w:rFonts w:cs="Times New Roman"/>
          <w:szCs w:val="24"/>
        </w:rPr>
      </w:pPr>
      <w:r w:rsidRPr="001F7E02">
        <w:rPr>
          <w:rFonts w:cs="Times New Roman"/>
          <w:iCs/>
          <w:szCs w:val="24"/>
        </w:rPr>
        <w:t xml:space="preserve">Plānā ietvertajiem pasākumiem </w:t>
      </w:r>
      <w:r w:rsidR="00CE412D">
        <w:rPr>
          <w:rFonts w:cs="Times New Roman"/>
          <w:iCs/>
          <w:szCs w:val="24"/>
        </w:rPr>
        <w:t>paredzama ietekme uz pašvaldību</w:t>
      </w:r>
      <w:r w:rsidRPr="001F7E02">
        <w:rPr>
          <w:rFonts w:cs="Times New Roman"/>
          <w:iCs/>
          <w:szCs w:val="24"/>
        </w:rPr>
        <w:t xml:space="preserve"> izdevumiem sociālajai palīdzībai un sociālajiem pakalpojumiem, kā arī citu nozaru sniegtajiem pakalpojumiem. </w:t>
      </w:r>
      <w:r>
        <w:rPr>
          <w:rFonts w:cs="Times New Roman"/>
          <w:iCs/>
          <w:szCs w:val="24"/>
        </w:rPr>
        <w:t>Plānā</w:t>
      </w:r>
      <w:r w:rsidRPr="001F7E02">
        <w:rPr>
          <w:rFonts w:cs="Times New Roman"/>
          <w:iCs/>
          <w:szCs w:val="24"/>
        </w:rPr>
        <w:t xml:space="preserve"> ie</w:t>
      </w:r>
      <w:r>
        <w:rPr>
          <w:rFonts w:cs="Times New Roman"/>
          <w:iCs/>
          <w:szCs w:val="24"/>
        </w:rPr>
        <w:t>t</w:t>
      </w:r>
      <w:r w:rsidRPr="001F7E02">
        <w:rPr>
          <w:rFonts w:cs="Times New Roman"/>
          <w:iCs/>
          <w:szCs w:val="24"/>
        </w:rPr>
        <w:t>v</w:t>
      </w:r>
      <w:r>
        <w:rPr>
          <w:rFonts w:cs="Times New Roman"/>
          <w:iCs/>
          <w:szCs w:val="24"/>
        </w:rPr>
        <w:t>e</w:t>
      </w:r>
      <w:r w:rsidRPr="001F7E02">
        <w:rPr>
          <w:rFonts w:cs="Times New Roman"/>
          <w:iCs/>
          <w:szCs w:val="24"/>
        </w:rPr>
        <w:t>rtie pasākum</w:t>
      </w:r>
      <w:r>
        <w:rPr>
          <w:rFonts w:cs="Times New Roman"/>
          <w:iCs/>
          <w:szCs w:val="24"/>
        </w:rPr>
        <w:t>i</w:t>
      </w:r>
      <w:r w:rsidRPr="001F7E02">
        <w:rPr>
          <w:rFonts w:cs="Times New Roman"/>
          <w:iCs/>
          <w:szCs w:val="24"/>
        </w:rPr>
        <w:t xml:space="preserve"> ir </w:t>
      </w:r>
      <w:r>
        <w:rPr>
          <w:rFonts w:cs="Times New Roman"/>
          <w:iCs/>
          <w:szCs w:val="24"/>
        </w:rPr>
        <w:t>noteikti</w:t>
      </w:r>
      <w:r w:rsidRPr="001F7E02">
        <w:rPr>
          <w:rFonts w:cs="Times New Roman"/>
          <w:iCs/>
          <w:szCs w:val="24"/>
        </w:rPr>
        <w:t xml:space="preserve">, balstoties </w:t>
      </w:r>
      <w:r w:rsidRPr="001F7E02">
        <w:rPr>
          <w:rFonts w:cs="Times New Roman"/>
          <w:szCs w:val="24"/>
        </w:rPr>
        <w:t>uz likuma „Par pašvaldībām” 15.panta 7.apakšpunktu, kas nosaka, ka pašvaldību autonom</w:t>
      </w:r>
      <w:r>
        <w:rPr>
          <w:rFonts w:cs="Times New Roman"/>
          <w:szCs w:val="24"/>
        </w:rPr>
        <w:t>ā</w:t>
      </w:r>
      <w:r w:rsidRPr="001F7E02">
        <w:rPr>
          <w:rFonts w:cs="Times New Roman"/>
          <w:szCs w:val="24"/>
        </w:rPr>
        <w:t xml:space="preserve"> funkcija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 ka arī uz likuma „Par pašvaldībām” 15.panta 9.apakšpunktu, kas nosaka, ka pašvaldību autonoma funkcija ir „sniegt palīdzību iedzīvotājiem dzīvokļa jautājumu risināšanā”.</w:t>
      </w:r>
    </w:p>
    <w:p w14:paraId="75C5C77D" w14:textId="27133384" w:rsidR="007B210B" w:rsidRPr="001F7E02" w:rsidRDefault="007B210B" w:rsidP="007B210B">
      <w:pPr>
        <w:spacing w:after="120" w:line="240" w:lineRule="auto"/>
        <w:ind w:firstLine="720"/>
        <w:jc w:val="both"/>
        <w:rPr>
          <w:rFonts w:cs="Times New Roman"/>
          <w:szCs w:val="24"/>
        </w:rPr>
      </w:pPr>
      <w:r w:rsidRPr="001F7E02">
        <w:rPr>
          <w:rFonts w:cs="Times New Roman"/>
          <w:szCs w:val="24"/>
        </w:rPr>
        <w:t xml:space="preserve">Pasākumu un atbilstošā finansējuma piesaistes nepieciešamība ir pamatojama ar to, ka ļoti zemais minimālo ienākumu slieksnis </w:t>
      </w:r>
      <w:r>
        <w:rPr>
          <w:rFonts w:cs="Times New Roman"/>
          <w:szCs w:val="24"/>
        </w:rPr>
        <w:t xml:space="preserve">veicina ienākumu nevienlīdzības pieaugumu, jo pārējās sabiedrības ienākumi pieaug, turpretim trūcīgākās iedzīvotāju daļas ienākumi paliek nemainīgi, kā arī tas </w:t>
      </w:r>
      <w:r w:rsidRPr="001F7E02">
        <w:rPr>
          <w:rFonts w:cs="Times New Roman"/>
          <w:szCs w:val="24"/>
        </w:rPr>
        <w:t xml:space="preserve">veido nabadzības slazdu, jo pie tik zemiem ienākumiem cilvēku iespējas kļūt aktīviem un meklēt darbu ir ierobežotas, jo visi mājsaimniecības ienākumi tiek novirzīti pamatvajadzību nodrošināšanai. </w:t>
      </w:r>
    </w:p>
    <w:p w14:paraId="3F830ACF" w14:textId="2AAAF255" w:rsidR="007B210B" w:rsidRPr="00DE3788" w:rsidRDefault="007B210B" w:rsidP="007B210B">
      <w:pPr>
        <w:spacing w:after="0" w:line="240" w:lineRule="auto"/>
        <w:ind w:firstLine="720"/>
        <w:jc w:val="both"/>
        <w:rPr>
          <w:rFonts w:cs="Times New Roman"/>
          <w:iCs/>
          <w:szCs w:val="24"/>
        </w:rPr>
      </w:pPr>
      <w:r w:rsidRPr="00DE3788">
        <w:rPr>
          <w:rFonts w:cs="Times New Roman"/>
          <w:iCs/>
          <w:szCs w:val="24"/>
        </w:rPr>
        <w:t xml:space="preserve">Ņemot vērā, ka Plāns paredz regulāru minimālo ienākumu sliekšņu pārskatīšanu atbilstoši iedzīvotāju rīcībā esošo ienākumu izmaiņām, kā rezultātā mājsaimniecība varēs </w:t>
      </w:r>
      <w:r w:rsidR="00174256" w:rsidRPr="00DE3788">
        <w:rPr>
          <w:rFonts w:cs="Times New Roman"/>
          <w:iCs/>
          <w:szCs w:val="24"/>
        </w:rPr>
        <w:t xml:space="preserve">pretendēt uz GMI pabalstu, </w:t>
      </w:r>
      <w:r w:rsidRPr="00DE3788">
        <w:rPr>
          <w:rFonts w:cs="Times New Roman"/>
          <w:iCs/>
          <w:szCs w:val="24"/>
        </w:rPr>
        <w:t xml:space="preserve">tikt atzīta par trūcīgu </w:t>
      </w:r>
      <w:r w:rsidR="00174256" w:rsidRPr="00DE3788">
        <w:rPr>
          <w:rFonts w:cs="Times New Roman"/>
          <w:iCs/>
          <w:szCs w:val="24"/>
        </w:rPr>
        <w:t>vai maznodrošinātu, tādējādi</w:t>
      </w:r>
      <w:r w:rsidRPr="00DE3788">
        <w:rPr>
          <w:rFonts w:cs="Times New Roman"/>
          <w:iCs/>
          <w:szCs w:val="24"/>
        </w:rPr>
        <w:t xml:space="preserve"> Plāna ievieša</w:t>
      </w:r>
      <w:r w:rsidR="00174256" w:rsidRPr="00DE3788">
        <w:rPr>
          <w:rFonts w:cs="Times New Roman"/>
          <w:iCs/>
          <w:szCs w:val="24"/>
        </w:rPr>
        <w:t xml:space="preserve">nas rezultātā palielināsies trūcīgo un maznodrošināto mājsaimniecību </w:t>
      </w:r>
      <w:r w:rsidRPr="00DE3788">
        <w:rPr>
          <w:rFonts w:cs="Times New Roman"/>
          <w:iCs/>
          <w:szCs w:val="24"/>
        </w:rPr>
        <w:t xml:space="preserve">skaits un GMI pabalsta saņēmēju skaits. </w:t>
      </w:r>
      <w:r w:rsidR="00174256" w:rsidRPr="00DE3788">
        <w:rPr>
          <w:rFonts w:cs="Times New Roman"/>
          <w:iCs/>
          <w:szCs w:val="24"/>
        </w:rPr>
        <w:t>Attiecīgi</w:t>
      </w:r>
      <w:r w:rsidRPr="00DE3788">
        <w:rPr>
          <w:rFonts w:cs="Times New Roman"/>
          <w:iCs/>
          <w:szCs w:val="24"/>
        </w:rPr>
        <w:t xml:space="preserve"> Plāna ieviešana ietekmēs pašvaldību izdevumus gan saistībā ar nodrošināto atbalstu trūcīgām </w:t>
      </w:r>
      <w:r w:rsidR="00DE3788">
        <w:rPr>
          <w:rFonts w:cs="Times New Roman"/>
          <w:iCs/>
          <w:szCs w:val="24"/>
        </w:rPr>
        <w:t>un maznodrošinātām mājsaimniecībām</w:t>
      </w:r>
      <w:r w:rsidRPr="00DE3788">
        <w:rPr>
          <w:rFonts w:cs="Times New Roman"/>
          <w:iCs/>
          <w:szCs w:val="24"/>
        </w:rPr>
        <w:t xml:space="preserve">, gan GMI pabalsta nodrošināšanai. </w:t>
      </w:r>
    </w:p>
    <w:p w14:paraId="6745F9E9" w14:textId="66D0C8AE" w:rsidR="007B210B" w:rsidRPr="00DE3788" w:rsidRDefault="007B210B" w:rsidP="007B210B">
      <w:pPr>
        <w:spacing w:after="120" w:line="240" w:lineRule="auto"/>
        <w:ind w:firstLine="720"/>
        <w:jc w:val="both"/>
        <w:rPr>
          <w:rFonts w:cs="Times New Roman"/>
          <w:szCs w:val="24"/>
          <w:lang w:eastAsia="lv-LV"/>
        </w:rPr>
      </w:pPr>
      <w:r w:rsidRPr="00DE3788">
        <w:rPr>
          <w:rFonts w:cs="Times New Roman"/>
          <w:szCs w:val="24"/>
          <w:lang w:eastAsia="lv-LV"/>
        </w:rPr>
        <w:t xml:space="preserve">Tā kā </w:t>
      </w:r>
      <w:r w:rsidR="00CE412D">
        <w:rPr>
          <w:rFonts w:cs="Times New Roman"/>
          <w:szCs w:val="24"/>
          <w:lang w:eastAsia="lv-LV"/>
        </w:rPr>
        <w:t>pašvaldībās ir noteikti papildu</w:t>
      </w:r>
      <w:r w:rsidRPr="00DE3788">
        <w:rPr>
          <w:rFonts w:cs="Times New Roman"/>
          <w:szCs w:val="24"/>
          <w:lang w:eastAsia="lv-LV"/>
        </w:rPr>
        <w:t xml:space="preserve"> atvieglojumi trūcīgām </w:t>
      </w:r>
      <w:r w:rsidR="00DE3788">
        <w:rPr>
          <w:rFonts w:cs="Times New Roman"/>
          <w:szCs w:val="24"/>
          <w:lang w:eastAsia="lv-LV"/>
        </w:rPr>
        <w:t xml:space="preserve">un maznodrošinātām </w:t>
      </w:r>
      <w:r w:rsidRPr="00DE3788">
        <w:rPr>
          <w:rFonts w:cs="Times New Roman"/>
          <w:szCs w:val="24"/>
          <w:lang w:eastAsia="lv-LV"/>
        </w:rPr>
        <w:t xml:space="preserve">personām, tad Plāna ieviešanai būs ietekme uz pašvaldību izdevumiem </w:t>
      </w:r>
      <w:r w:rsidR="00DE3788" w:rsidRPr="00DE3788">
        <w:rPr>
          <w:rFonts w:cs="Times New Roman"/>
          <w:szCs w:val="24"/>
          <w:lang w:eastAsia="lv-LV"/>
        </w:rPr>
        <w:t>mājokļa</w:t>
      </w:r>
      <w:r w:rsidRPr="00DE3788">
        <w:rPr>
          <w:rFonts w:cs="Times New Roman"/>
          <w:szCs w:val="24"/>
          <w:lang w:eastAsia="lv-LV"/>
        </w:rPr>
        <w:t xml:space="preserve"> pabalsta nodrošināšanai, nekustamā īpašuma nodokļa atvieglojumu nodrošināšanai, citu pašvaldībās šīm mērķa grupām noteikto atvieglojumu nodrošināšanai. </w:t>
      </w:r>
    </w:p>
    <w:p w14:paraId="02914CBF" w14:textId="7A425CC4" w:rsidR="007B210B" w:rsidRPr="00DE3788" w:rsidRDefault="007B210B" w:rsidP="007B210B">
      <w:pPr>
        <w:spacing w:after="120" w:line="240" w:lineRule="auto"/>
        <w:ind w:firstLine="720"/>
        <w:jc w:val="both"/>
        <w:rPr>
          <w:rFonts w:cs="Times New Roman"/>
          <w:szCs w:val="24"/>
          <w:lang w:eastAsia="lv-LV"/>
        </w:rPr>
      </w:pPr>
      <w:r w:rsidRPr="00DE3788">
        <w:rPr>
          <w:rFonts w:cs="Times New Roman"/>
          <w:szCs w:val="24"/>
          <w:lang w:eastAsia="lv-LV"/>
        </w:rPr>
        <w:t xml:space="preserve">Papildus personām, kurām noteikts trūcīgas </w:t>
      </w:r>
      <w:r w:rsidR="00DE3788" w:rsidRPr="00DE3788">
        <w:rPr>
          <w:rFonts w:cs="Times New Roman"/>
          <w:szCs w:val="24"/>
          <w:lang w:eastAsia="lv-LV"/>
        </w:rPr>
        <w:t>mājsaimniecības</w:t>
      </w:r>
      <w:r w:rsidRPr="00DE3788">
        <w:rPr>
          <w:rFonts w:cs="Times New Roman"/>
          <w:szCs w:val="24"/>
          <w:lang w:eastAsia="lv-LV"/>
        </w:rPr>
        <w:t xml:space="preserve"> statuss, ir tiesības arī uz atvieglojumiem veselības aprūpē, tādējādi paredzams, ka Plāna ieviešanai būs ietekme arī uz veselības nozarē nepieciešamajiem izdevumiem šai mērķa grupai. Personām, kurām noteikts trūcīgas vai maznodrošinātas </w:t>
      </w:r>
      <w:r w:rsidR="00DE3788" w:rsidRPr="00DE3788">
        <w:rPr>
          <w:rFonts w:cs="Times New Roman"/>
          <w:szCs w:val="24"/>
          <w:lang w:eastAsia="lv-LV"/>
        </w:rPr>
        <w:t>mājsaimniecības</w:t>
      </w:r>
      <w:r w:rsidRPr="00DE3788">
        <w:rPr>
          <w:rFonts w:cs="Times New Roman"/>
          <w:szCs w:val="24"/>
          <w:lang w:eastAsia="lv-LV"/>
        </w:rPr>
        <w:t xml:space="preserve"> statuss, ir tiesības uz valsts garantētu juridiskās palīdzības saņemšanu, kas paredz arī atbrīvojumu no tiesas izdevumiem, kā arī par trūcīgām atzītām personām un lietas dalībniekiem – fiziskajām personām, kuras atbilstoši procesuālajiem likumiem ir atbrīvotas no tiesas izdevumu vai valsts nodevas samaksas, ir tiesības saņemt atbrīvojumus no tiesas sniegto pakalpojumu maksas.</w:t>
      </w:r>
      <w:r w:rsidR="0097759F">
        <w:rPr>
          <w:rFonts w:cs="Times New Roman"/>
          <w:szCs w:val="24"/>
          <w:lang w:eastAsia="lv-LV"/>
        </w:rPr>
        <w:t xml:space="preserve"> Pamatojoties uz Tieslietu ministrijas 17.05.2021. vēstuli nr. </w:t>
      </w:r>
      <w:r w:rsidR="0097759F">
        <w:t xml:space="preserve">1-13.8/2190, Tieslietu ministrija </w:t>
      </w:r>
      <w:r w:rsidR="0097759F" w:rsidRPr="0097759F">
        <w:rPr>
          <w:rFonts w:cs="Times New Roman"/>
          <w:szCs w:val="24"/>
          <w:lang w:eastAsia="lv-LV"/>
        </w:rPr>
        <w:t>informē</w:t>
      </w:r>
      <w:r w:rsidR="0097759F">
        <w:rPr>
          <w:rFonts w:cs="Times New Roman"/>
          <w:szCs w:val="24"/>
          <w:lang w:eastAsia="lv-LV"/>
        </w:rPr>
        <w:t>ja</w:t>
      </w:r>
      <w:r w:rsidR="0097759F" w:rsidRPr="0097759F">
        <w:rPr>
          <w:rFonts w:cs="Times New Roman"/>
          <w:szCs w:val="24"/>
          <w:lang w:eastAsia="lv-LV"/>
        </w:rPr>
        <w:t>, ka</w:t>
      </w:r>
      <w:r w:rsidR="0097759F">
        <w:rPr>
          <w:rFonts w:cs="Times New Roman"/>
          <w:szCs w:val="24"/>
          <w:lang w:eastAsia="lv-LV"/>
        </w:rPr>
        <w:t>,</w:t>
      </w:r>
      <w:r w:rsidR="0097759F" w:rsidRPr="0097759F">
        <w:rPr>
          <w:rFonts w:cs="Times New Roman"/>
          <w:szCs w:val="24"/>
          <w:lang w:eastAsia="lv-LV"/>
        </w:rPr>
        <w:t xml:space="preserve"> izvērtējot </w:t>
      </w:r>
      <w:r w:rsidR="00CE412D">
        <w:rPr>
          <w:rFonts w:cs="Times New Roman"/>
          <w:szCs w:val="24"/>
          <w:lang w:eastAsia="lv-LV"/>
        </w:rPr>
        <w:t>LM</w:t>
      </w:r>
      <w:r w:rsidR="0097759F" w:rsidRPr="0097759F">
        <w:rPr>
          <w:rFonts w:cs="Times New Roman"/>
          <w:szCs w:val="24"/>
          <w:lang w:eastAsia="lv-LV"/>
        </w:rPr>
        <w:t xml:space="preserve"> aprēķinus un skaidrojumu par trūcīgo un maznodrošināto personu skaita prognozēm atbilstoši minimālo ienākumu sliekšņu prognozēm</w:t>
      </w:r>
      <w:r w:rsidR="0097759F">
        <w:rPr>
          <w:rFonts w:cs="Times New Roman"/>
          <w:szCs w:val="24"/>
          <w:lang w:eastAsia="lv-LV"/>
        </w:rPr>
        <w:t>,</w:t>
      </w:r>
      <w:r w:rsidR="0097759F" w:rsidRPr="0097759F">
        <w:rPr>
          <w:rFonts w:cs="Times New Roman"/>
          <w:szCs w:val="24"/>
          <w:lang w:eastAsia="lv-LV"/>
        </w:rPr>
        <w:t xml:space="preserve"> ir secinājusi, ka gan trūcīgo, gan maznodrošināto personu skaita pieaugums 2022.- 2024. gadā neatstās būtisku ietekmi uz sniegto valsts nodrošināto juridisko palīdzību un, līdz ar to papildu finanšu līdzekļi Juridiskās</w:t>
      </w:r>
      <w:r w:rsidR="00CE412D">
        <w:rPr>
          <w:rFonts w:cs="Times New Roman"/>
          <w:szCs w:val="24"/>
          <w:lang w:eastAsia="lv-LV"/>
        </w:rPr>
        <w:t xml:space="preserve"> palīdzības</w:t>
      </w:r>
      <w:r w:rsidR="0097759F" w:rsidRPr="0097759F">
        <w:rPr>
          <w:rFonts w:cs="Times New Roman"/>
          <w:szCs w:val="24"/>
          <w:lang w:eastAsia="lv-LV"/>
        </w:rPr>
        <w:t xml:space="preserve"> administrācijas pakalpojumu sniegšanai šai mērķa grupai nav nepieciešami. </w:t>
      </w:r>
      <w:r w:rsidRPr="00DE3788">
        <w:rPr>
          <w:rFonts w:cs="Times New Roman"/>
          <w:szCs w:val="24"/>
          <w:lang w:eastAsia="lv-LV"/>
        </w:rPr>
        <w:t xml:space="preserve"> </w:t>
      </w:r>
    </w:p>
    <w:p w14:paraId="1B39DA7C" w14:textId="16B992AF" w:rsidR="007B210B" w:rsidRDefault="007B210B" w:rsidP="007B210B">
      <w:pPr>
        <w:spacing w:before="120" w:after="120" w:line="240" w:lineRule="auto"/>
        <w:ind w:firstLine="720"/>
        <w:jc w:val="both"/>
        <w:rPr>
          <w:rFonts w:cs="Times New Roman"/>
          <w:szCs w:val="24"/>
        </w:rPr>
      </w:pPr>
      <w:r w:rsidRPr="00DE3788">
        <w:rPr>
          <w:rFonts w:cs="Times New Roman"/>
          <w:iCs/>
          <w:szCs w:val="24"/>
        </w:rPr>
        <w:t>Detaliz</w:t>
      </w:r>
      <w:r w:rsidR="00B51D92">
        <w:rPr>
          <w:rFonts w:cs="Times New Roman"/>
          <w:iCs/>
          <w:szCs w:val="24"/>
        </w:rPr>
        <w:t>ēta informācija par LM</w:t>
      </w:r>
      <w:r w:rsidR="0097759F">
        <w:rPr>
          <w:rFonts w:cs="Times New Roman"/>
          <w:iCs/>
          <w:szCs w:val="24"/>
        </w:rPr>
        <w:t xml:space="preserve"> un</w:t>
      </w:r>
      <w:r w:rsidRPr="00DE3788">
        <w:rPr>
          <w:rFonts w:cs="Times New Roman"/>
          <w:iCs/>
          <w:szCs w:val="24"/>
        </w:rPr>
        <w:t xml:space="preserve"> Veselības</w:t>
      </w:r>
      <w:r w:rsidR="00B51D92">
        <w:rPr>
          <w:rFonts w:cs="Times New Roman"/>
          <w:iCs/>
          <w:szCs w:val="24"/>
        </w:rPr>
        <w:t xml:space="preserve"> ministrijas</w:t>
      </w:r>
      <w:r w:rsidRPr="00DE3788">
        <w:rPr>
          <w:rFonts w:cs="Times New Roman"/>
          <w:iCs/>
          <w:szCs w:val="24"/>
        </w:rPr>
        <w:t xml:space="preserve">, kā arī pašvaldību finanšu aprēķiniem saistībā ar Plāna pasākumu ieviešanu ir </w:t>
      </w:r>
      <w:r w:rsidRPr="00774BEE">
        <w:rPr>
          <w:rFonts w:cs="Times New Roman"/>
          <w:iCs/>
          <w:szCs w:val="24"/>
        </w:rPr>
        <w:t>pieejama tabulā Nr.3. „</w:t>
      </w:r>
      <w:r w:rsidRPr="00774BEE">
        <w:rPr>
          <w:rFonts w:cs="Times New Roman"/>
          <w:szCs w:val="24"/>
        </w:rPr>
        <w:t>Paredzēto pasākumu detalizēti finansējuma aprēķini”.</w:t>
      </w:r>
    </w:p>
    <w:p w14:paraId="6D914AD2" w14:textId="77777777" w:rsidR="006751DA" w:rsidRDefault="006751DA">
      <w:pPr>
        <w:spacing w:after="0" w:line="240" w:lineRule="auto"/>
        <w:rPr>
          <w:rFonts w:cs="Times New Roman"/>
          <w:sz w:val="18"/>
          <w:szCs w:val="18"/>
        </w:rPr>
        <w:sectPr w:rsidR="006751DA" w:rsidSect="00956037">
          <w:headerReference w:type="default" r:id="rId18"/>
          <w:footerReference w:type="default" r:id="rId19"/>
          <w:footerReference w:type="first" r:id="rId20"/>
          <w:pgSz w:w="11906" w:h="16838"/>
          <w:pgMar w:top="1418" w:right="1134" w:bottom="1134" w:left="1701" w:header="709" w:footer="709" w:gutter="0"/>
          <w:cols w:space="708"/>
          <w:docGrid w:linePitch="360"/>
        </w:sectPr>
      </w:pPr>
      <w:r>
        <w:rPr>
          <w:rFonts w:cs="Times New Roman"/>
          <w:sz w:val="18"/>
          <w:szCs w:val="18"/>
        </w:rPr>
        <w:br w:type="page"/>
      </w:r>
    </w:p>
    <w:p w14:paraId="6B6A942A" w14:textId="17748EA7" w:rsidR="006751DA" w:rsidRDefault="006751DA">
      <w:pPr>
        <w:spacing w:after="0" w:line="240" w:lineRule="auto"/>
        <w:rPr>
          <w:rFonts w:cs="Times New Roman"/>
          <w:sz w:val="18"/>
          <w:szCs w:val="18"/>
        </w:rPr>
      </w:pPr>
    </w:p>
    <w:p w14:paraId="7E71F1FE" w14:textId="142B6CC4" w:rsidR="006751DA" w:rsidRDefault="006751DA" w:rsidP="006751DA">
      <w:pPr>
        <w:tabs>
          <w:tab w:val="left" w:pos="3828"/>
        </w:tabs>
        <w:spacing w:after="0" w:line="240" w:lineRule="auto"/>
        <w:ind w:firstLine="720"/>
        <w:jc w:val="both"/>
        <w:rPr>
          <w:rFonts w:eastAsia="Times New Roman"/>
          <w:lang w:eastAsia="lv-LV"/>
        </w:rPr>
      </w:pPr>
      <w:r>
        <w:rPr>
          <w:rFonts w:eastAsia="Times New Roman"/>
          <w:lang w:eastAsia="lv-LV"/>
        </w:rPr>
        <w:t>Tabula Nr.2. Kopsavilkums par P</w:t>
      </w:r>
      <w:r w:rsidRPr="00B521CF">
        <w:rPr>
          <w:rFonts w:eastAsia="Times New Roman"/>
          <w:lang w:eastAsia="lv-LV"/>
        </w:rPr>
        <w:t>lānā iekļauto uzdevumu īstenošanai nepieciešamo valsts un pašvaldību budžeta finansējumu (</w:t>
      </w:r>
      <w:r w:rsidRPr="00B521CF">
        <w:rPr>
          <w:rFonts w:eastAsia="Times New Roman"/>
          <w:i/>
          <w:lang w:eastAsia="lv-LV"/>
        </w:rPr>
        <w:t>euro</w:t>
      </w:r>
      <w:r w:rsidRPr="00B521CF">
        <w:rPr>
          <w:rFonts w:eastAsia="Times New Roman"/>
          <w:lang w:eastAsia="lv-LV"/>
        </w:rPr>
        <w:t>)</w:t>
      </w:r>
    </w:p>
    <w:p w14:paraId="580A322C" w14:textId="77777777" w:rsidR="00F529F3" w:rsidRDefault="00F529F3" w:rsidP="006751DA">
      <w:pPr>
        <w:tabs>
          <w:tab w:val="left" w:pos="3828"/>
        </w:tabs>
        <w:spacing w:after="0" w:line="240" w:lineRule="auto"/>
        <w:ind w:firstLine="720"/>
        <w:jc w:val="both"/>
        <w:rPr>
          <w:rFonts w:eastAsia="Times New Roman"/>
          <w:lang w:eastAsia="lv-LV"/>
        </w:rPr>
      </w:pPr>
    </w:p>
    <w:p w14:paraId="7F129937" w14:textId="18323BED" w:rsidR="006751DA" w:rsidRDefault="006751DA" w:rsidP="000C28AD">
      <w:pPr>
        <w:tabs>
          <w:tab w:val="left" w:pos="3828"/>
        </w:tabs>
        <w:spacing w:after="0" w:line="240" w:lineRule="auto"/>
        <w:jc w:val="both"/>
        <w:rPr>
          <w:rFonts w:eastAsia="Times New Roman"/>
          <w:lang w:eastAsia="lv-LV"/>
        </w:rPr>
      </w:pPr>
    </w:p>
    <w:tbl>
      <w:tblPr>
        <w:tblW w:w="14791" w:type="dxa"/>
        <w:jc w:val="center"/>
        <w:tblLayout w:type="fixed"/>
        <w:tblLook w:val="04A0" w:firstRow="1" w:lastRow="0" w:firstColumn="1" w:lastColumn="0" w:noHBand="0" w:noVBand="1"/>
      </w:tblPr>
      <w:tblGrid>
        <w:gridCol w:w="1858"/>
        <w:gridCol w:w="1372"/>
        <w:gridCol w:w="1559"/>
        <w:gridCol w:w="1134"/>
        <w:gridCol w:w="1134"/>
        <w:gridCol w:w="1134"/>
        <w:gridCol w:w="1276"/>
        <w:gridCol w:w="1134"/>
        <w:gridCol w:w="992"/>
        <w:gridCol w:w="1134"/>
        <w:gridCol w:w="993"/>
        <w:gridCol w:w="1071"/>
      </w:tblGrid>
      <w:tr w:rsidR="000A660F" w:rsidRPr="00B521CF" w14:paraId="4FBB6A75" w14:textId="77777777" w:rsidTr="003309D5">
        <w:trPr>
          <w:trHeight w:val="705"/>
          <w:jc w:val="center"/>
        </w:trPr>
        <w:tc>
          <w:tcPr>
            <w:tcW w:w="1858" w:type="dxa"/>
            <w:vMerge w:val="restart"/>
            <w:tcBorders>
              <w:top w:val="single" w:sz="4" w:space="0" w:color="auto"/>
              <w:left w:val="single" w:sz="4" w:space="0" w:color="auto"/>
              <w:right w:val="single" w:sz="4" w:space="0" w:color="auto"/>
            </w:tcBorders>
            <w:shd w:val="clear" w:color="auto" w:fill="auto"/>
            <w:noWrap/>
            <w:vAlign w:val="center"/>
            <w:hideMark/>
          </w:tcPr>
          <w:p w14:paraId="10FF561F" w14:textId="77777777" w:rsidR="000A660F" w:rsidRPr="00B521CF" w:rsidRDefault="000A660F" w:rsidP="003309D5">
            <w:pPr>
              <w:spacing w:after="0" w:line="240" w:lineRule="auto"/>
              <w:jc w:val="center"/>
              <w:rPr>
                <w:rFonts w:eastAsia="Times New Roman" w:cs="Times New Roman"/>
                <w:sz w:val="20"/>
                <w:szCs w:val="20"/>
                <w:lang w:eastAsia="lv-LV"/>
              </w:rPr>
            </w:pPr>
            <w:r w:rsidRPr="00B521CF">
              <w:rPr>
                <w:rFonts w:eastAsia="Times New Roman" w:cs="Times New Roman"/>
                <w:b/>
                <w:bCs/>
                <w:sz w:val="20"/>
                <w:szCs w:val="20"/>
                <w:lang w:eastAsia="lv-LV"/>
              </w:rPr>
              <w:t>Uzdevums</w:t>
            </w:r>
          </w:p>
        </w:tc>
        <w:tc>
          <w:tcPr>
            <w:tcW w:w="1372" w:type="dxa"/>
            <w:vMerge w:val="restart"/>
            <w:tcBorders>
              <w:top w:val="single" w:sz="4" w:space="0" w:color="auto"/>
              <w:left w:val="nil"/>
              <w:right w:val="single" w:sz="4" w:space="0" w:color="auto"/>
            </w:tcBorders>
            <w:shd w:val="clear" w:color="auto" w:fill="auto"/>
            <w:noWrap/>
            <w:vAlign w:val="center"/>
            <w:hideMark/>
          </w:tcPr>
          <w:p w14:paraId="2E97A7F9" w14:textId="77777777" w:rsidR="000A660F" w:rsidRPr="00B521CF" w:rsidRDefault="000A660F" w:rsidP="003309D5">
            <w:pPr>
              <w:spacing w:after="0" w:line="240" w:lineRule="auto"/>
              <w:jc w:val="center"/>
              <w:rPr>
                <w:rFonts w:eastAsia="Times New Roman" w:cs="Times New Roman"/>
                <w:sz w:val="20"/>
                <w:szCs w:val="20"/>
                <w:lang w:eastAsia="lv-LV"/>
              </w:rPr>
            </w:pPr>
            <w:r w:rsidRPr="00B521CF">
              <w:rPr>
                <w:rFonts w:eastAsia="Times New Roman" w:cs="Times New Roman"/>
                <w:b/>
                <w:bCs/>
                <w:sz w:val="20"/>
                <w:szCs w:val="20"/>
                <w:lang w:eastAsia="lv-LV"/>
              </w:rPr>
              <w:t>Pasākums</w:t>
            </w:r>
          </w:p>
        </w:tc>
        <w:tc>
          <w:tcPr>
            <w:tcW w:w="1559" w:type="dxa"/>
            <w:vMerge w:val="restart"/>
            <w:tcBorders>
              <w:top w:val="single" w:sz="4" w:space="0" w:color="auto"/>
              <w:left w:val="nil"/>
              <w:right w:val="single" w:sz="4" w:space="0" w:color="auto"/>
            </w:tcBorders>
            <w:shd w:val="clear" w:color="auto" w:fill="auto"/>
            <w:noWrap/>
            <w:vAlign w:val="center"/>
            <w:hideMark/>
          </w:tcPr>
          <w:p w14:paraId="0B13C497" w14:textId="77777777" w:rsidR="000A660F" w:rsidRPr="00B521CF" w:rsidRDefault="000A660F" w:rsidP="003309D5">
            <w:pPr>
              <w:spacing w:after="0" w:line="240" w:lineRule="auto"/>
              <w:jc w:val="center"/>
              <w:rPr>
                <w:rFonts w:eastAsia="Times New Roman" w:cs="Times New Roman"/>
                <w:sz w:val="20"/>
                <w:szCs w:val="20"/>
                <w:lang w:eastAsia="lv-LV"/>
              </w:rPr>
            </w:pPr>
            <w:r w:rsidRPr="00B521CF">
              <w:rPr>
                <w:rFonts w:eastAsia="Times New Roman" w:cs="Times New Roman"/>
                <w:b/>
                <w:bCs/>
                <w:sz w:val="20"/>
                <w:szCs w:val="20"/>
                <w:lang w:eastAsia="lv-LV"/>
              </w:rPr>
              <w:t>Budžeta programmas (apakš-programmas)</w:t>
            </w:r>
            <w:r w:rsidRPr="00B521CF">
              <w:rPr>
                <w:rFonts w:eastAsia="Times New Roman" w:cs="Times New Roman"/>
                <w:b/>
                <w:bCs/>
                <w:sz w:val="20"/>
                <w:szCs w:val="20"/>
                <w:lang w:eastAsia="lv-LV"/>
              </w:rPr>
              <w:br/>
              <w:t>kods un nosaukums</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10699320"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Vidēja termiņa budžeta ietvara likumā plānotais finansējums</w:t>
            </w:r>
          </w:p>
        </w:tc>
        <w:tc>
          <w:tcPr>
            <w:tcW w:w="5529" w:type="dxa"/>
            <w:gridSpan w:val="5"/>
            <w:tcBorders>
              <w:top w:val="single" w:sz="4" w:space="0" w:color="auto"/>
              <w:left w:val="nil"/>
              <w:bottom w:val="single" w:sz="4" w:space="0" w:color="auto"/>
              <w:right w:val="single" w:sz="4" w:space="0" w:color="auto"/>
            </w:tcBorders>
            <w:shd w:val="clear" w:color="auto" w:fill="auto"/>
            <w:vAlign w:val="center"/>
            <w:hideMark/>
          </w:tcPr>
          <w:p w14:paraId="3D3DE3EE"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Papildu nepieciešamais finansējums 202</w:t>
            </w:r>
            <w:r>
              <w:rPr>
                <w:rFonts w:eastAsia="Times New Roman" w:cs="Times New Roman"/>
                <w:b/>
                <w:bCs/>
                <w:sz w:val="20"/>
                <w:szCs w:val="20"/>
                <w:lang w:eastAsia="lv-LV"/>
              </w:rPr>
              <w:t>2</w:t>
            </w:r>
            <w:r w:rsidRPr="00B521CF">
              <w:rPr>
                <w:rFonts w:eastAsia="Times New Roman" w:cs="Times New Roman"/>
                <w:b/>
                <w:bCs/>
                <w:sz w:val="20"/>
                <w:szCs w:val="20"/>
                <w:lang w:eastAsia="lv-LV"/>
              </w:rPr>
              <w:t>.-202</w:t>
            </w:r>
            <w:r>
              <w:rPr>
                <w:rFonts w:eastAsia="Times New Roman" w:cs="Times New Roman"/>
                <w:b/>
                <w:bCs/>
                <w:sz w:val="20"/>
                <w:szCs w:val="20"/>
                <w:lang w:eastAsia="lv-LV"/>
              </w:rPr>
              <w:t>4</w:t>
            </w:r>
            <w:r w:rsidRPr="00B521CF">
              <w:rPr>
                <w:rFonts w:eastAsia="Times New Roman" w:cs="Times New Roman"/>
                <w:b/>
                <w:bCs/>
                <w:sz w:val="20"/>
                <w:szCs w:val="20"/>
                <w:lang w:eastAsia="lv-LV"/>
              </w:rPr>
              <w:t>.gadam</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0A5DE8DF"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Pasākuma īstenoša-nas gads</w:t>
            </w:r>
            <w:r w:rsidRPr="00B521CF">
              <w:rPr>
                <w:rFonts w:eastAsia="Times New Roman" w:cs="Times New Roman"/>
                <w:b/>
                <w:bCs/>
                <w:sz w:val="20"/>
                <w:szCs w:val="20"/>
                <w:lang w:eastAsia="lv-LV"/>
              </w:rPr>
              <w:br/>
            </w:r>
            <w:r w:rsidRPr="00B521CF">
              <w:rPr>
                <w:rFonts w:eastAsia="Times New Roman" w:cs="Times New Roman"/>
                <w:b/>
                <w:bCs/>
                <w:sz w:val="20"/>
                <w:szCs w:val="20"/>
                <w:shd w:val="clear" w:color="auto" w:fill="FFFFFF" w:themeFill="background1"/>
                <w:lang w:eastAsia="lv-LV"/>
              </w:rPr>
              <w:t xml:space="preserve"> (ja pasākuma īstenošana ir terminēta)</w:t>
            </w:r>
          </w:p>
        </w:tc>
      </w:tr>
      <w:tr w:rsidR="000A660F" w:rsidRPr="00B521CF" w14:paraId="2CCC2276" w14:textId="77777777" w:rsidTr="003309D5">
        <w:trPr>
          <w:trHeight w:val="1515"/>
          <w:jc w:val="center"/>
        </w:trPr>
        <w:tc>
          <w:tcPr>
            <w:tcW w:w="1858" w:type="dxa"/>
            <w:vMerge/>
            <w:tcBorders>
              <w:left w:val="single" w:sz="4" w:space="0" w:color="auto"/>
              <w:bottom w:val="single" w:sz="4" w:space="0" w:color="auto"/>
              <w:right w:val="single" w:sz="4" w:space="0" w:color="auto"/>
            </w:tcBorders>
            <w:shd w:val="clear" w:color="auto" w:fill="auto"/>
            <w:vAlign w:val="center"/>
            <w:hideMark/>
          </w:tcPr>
          <w:p w14:paraId="63EFF43A" w14:textId="77777777" w:rsidR="000A660F" w:rsidRPr="00B521CF" w:rsidRDefault="000A660F" w:rsidP="003309D5">
            <w:pPr>
              <w:spacing w:after="0" w:line="240" w:lineRule="auto"/>
              <w:jc w:val="center"/>
              <w:rPr>
                <w:rFonts w:eastAsia="Times New Roman" w:cs="Times New Roman"/>
                <w:b/>
                <w:bCs/>
                <w:sz w:val="20"/>
                <w:szCs w:val="20"/>
                <w:lang w:eastAsia="lv-LV"/>
              </w:rPr>
            </w:pPr>
          </w:p>
        </w:tc>
        <w:tc>
          <w:tcPr>
            <w:tcW w:w="1372" w:type="dxa"/>
            <w:vMerge/>
            <w:tcBorders>
              <w:left w:val="nil"/>
              <w:bottom w:val="nil"/>
              <w:right w:val="single" w:sz="4" w:space="0" w:color="auto"/>
            </w:tcBorders>
            <w:shd w:val="clear" w:color="auto" w:fill="auto"/>
            <w:vAlign w:val="center"/>
            <w:hideMark/>
          </w:tcPr>
          <w:p w14:paraId="07793A3A" w14:textId="77777777" w:rsidR="000A660F" w:rsidRPr="00B521CF" w:rsidRDefault="000A660F" w:rsidP="003309D5">
            <w:pPr>
              <w:spacing w:after="0" w:line="240" w:lineRule="auto"/>
              <w:jc w:val="center"/>
              <w:rPr>
                <w:rFonts w:eastAsia="Times New Roman" w:cs="Times New Roman"/>
                <w:b/>
                <w:bCs/>
                <w:sz w:val="20"/>
                <w:szCs w:val="20"/>
                <w:lang w:eastAsia="lv-LV"/>
              </w:rPr>
            </w:pPr>
          </w:p>
        </w:tc>
        <w:tc>
          <w:tcPr>
            <w:tcW w:w="1559" w:type="dxa"/>
            <w:vMerge/>
            <w:tcBorders>
              <w:left w:val="nil"/>
              <w:bottom w:val="nil"/>
              <w:right w:val="single" w:sz="4" w:space="0" w:color="auto"/>
            </w:tcBorders>
            <w:shd w:val="clear" w:color="auto" w:fill="auto"/>
            <w:vAlign w:val="center"/>
            <w:hideMark/>
          </w:tcPr>
          <w:p w14:paraId="50BB7ECA" w14:textId="77777777" w:rsidR="000A660F" w:rsidRPr="00B521CF" w:rsidRDefault="000A660F" w:rsidP="003309D5">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43FBDC4E" w14:textId="77777777" w:rsidR="000A660F" w:rsidRPr="00B521CF" w:rsidRDefault="000A660F" w:rsidP="003309D5">
            <w:pPr>
              <w:spacing w:after="0" w:line="240" w:lineRule="auto"/>
              <w:jc w:val="center"/>
              <w:rPr>
                <w:rFonts w:eastAsia="Times New Roman" w:cs="Times New Roman"/>
                <w:b/>
                <w:bCs/>
                <w:sz w:val="20"/>
                <w:szCs w:val="20"/>
                <w:lang w:eastAsia="lv-LV"/>
              </w:rPr>
            </w:pPr>
            <w:r>
              <w:rPr>
                <w:rFonts w:eastAsia="Times New Roman" w:cs="Times New Roman"/>
                <w:b/>
                <w:bCs/>
                <w:sz w:val="20"/>
                <w:szCs w:val="20"/>
                <w:lang w:eastAsia="lv-LV"/>
              </w:rPr>
              <w:t>2021</w:t>
            </w:r>
            <w:r w:rsidRPr="00B521CF">
              <w:rPr>
                <w:rFonts w:eastAsia="Times New Roman" w:cs="Times New Roman"/>
                <w:b/>
                <w:bCs/>
                <w:sz w:val="20"/>
                <w:szCs w:val="20"/>
                <w:lang w:eastAsia="lv-LV"/>
              </w:rPr>
              <w:t xml:space="preserve">. </w:t>
            </w:r>
          </w:p>
          <w:p w14:paraId="303F7CC5"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(n gads)</w:t>
            </w:r>
          </w:p>
        </w:tc>
        <w:tc>
          <w:tcPr>
            <w:tcW w:w="1134" w:type="dxa"/>
            <w:tcBorders>
              <w:top w:val="nil"/>
              <w:left w:val="nil"/>
              <w:bottom w:val="single" w:sz="4" w:space="0" w:color="auto"/>
              <w:right w:val="single" w:sz="4" w:space="0" w:color="auto"/>
            </w:tcBorders>
            <w:shd w:val="clear" w:color="auto" w:fill="auto"/>
            <w:vAlign w:val="center"/>
            <w:hideMark/>
          </w:tcPr>
          <w:p w14:paraId="0EA262A4"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202</w:t>
            </w:r>
            <w:r>
              <w:rPr>
                <w:rFonts w:eastAsia="Times New Roman" w:cs="Times New Roman"/>
                <w:b/>
                <w:bCs/>
                <w:sz w:val="20"/>
                <w:szCs w:val="20"/>
                <w:lang w:eastAsia="lv-LV"/>
              </w:rPr>
              <w:t>2</w:t>
            </w:r>
            <w:r w:rsidRPr="00B521CF">
              <w:rPr>
                <w:rFonts w:eastAsia="Times New Roman" w:cs="Times New Roman"/>
                <w:b/>
                <w:bCs/>
                <w:sz w:val="20"/>
                <w:szCs w:val="20"/>
                <w:lang w:eastAsia="lv-LV"/>
              </w:rPr>
              <w:t xml:space="preserve">. (n + 1) </w:t>
            </w:r>
          </w:p>
        </w:tc>
        <w:tc>
          <w:tcPr>
            <w:tcW w:w="1134" w:type="dxa"/>
            <w:tcBorders>
              <w:top w:val="nil"/>
              <w:left w:val="nil"/>
              <w:bottom w:val="single" w:sz="4" w:space="0" w:color="auto"/>
              <w:right w:val="single" w:sz="4" w:space="0" w:color="auto"/>
            </w:tcBorders>
            <w:shd w:val="clear" w:color="auto" w:fill="auto"/>
            <w:vAlign w:val="center"/>
            <w:hideMark/>
          </w:tcPr>
          <w:p w14:paraId="06AEF597"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202</w:t>
            </w:r>
            <w:r>
              <w:rPr>
                <w:rFonts w:eastAsia="Times New Roman" w:cs="Times New Roman"/>
                <w:b/>
                <w:bCs/>
                <w:sz w:val="20"/>
                <w:szCs w:val="20"/>
                <w:lang w:eastAsia="lv-LV"/>
              </w:rPr>
              <w:t>3</w:t>
            </w:r>
            <w:r w:rsidRPr="00B521CF">
              <w:rPr>
                <w:rFonts w:eastAsia="Times New Roman" w:cs="Times New Roman"/>
                <w:b/>
                <w:bCs/>
                <w:sz w:val="20"/>
                <w:szCs w:val="20"/>
                <w:lang w:eastAsia="lv-LV"/>
              </w:rPr>
              <w:t>. (n + 2 )</w:t>
            </w:r>
          </w:p>
        </w:tc>
        <w:tc>
          <w:tcPr>
            <w:tcW w:w="1276" w:type="dxa"/>
            <w:tcBorders>
              <w:top w:val="nil"/>
              <w:left w:val="nil"/>
              <w:bottom w:val="single" w:sz="4" w:space="0" w:color="auto"/>
              <w:right w:val="single" w:sz="4" w:space="0" w:color="auto"/>
            </w:tcBorders>
            <w:shd w:val="clear" w:color="auto" w:fill="auto"/>
            <w:vAlign w:val="center"/>
            <w:hideMark/>
          </w:tcPr>
          <w:p w14:paraId="01104454" w14:textId="77777777" w:rsidR="000A660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w:t>
            </w:r>
            <w:r>
              <w:rPr>
                <w:rFonts w:eastAsia="Times New Roman" w:cs="Times New Roman"/>
                <w:b/>
                <w:bCs/>
                <w:sz w:val="20"/>
                <w:szCs w:val="20"/>
                <w:lang w:eastAsia="lv-LV"/>
              </w:rPr>
              <w:t>022</w:t>
            </w:r>
            <w:r w:rsidRPr="00B521CF">
              <w:rPr>
                <w:rFonts w:eastAsia="Times New Roman" w:cs="Times New Roman"/>
                <w:b/>
                <w:bCs/>
                <w:sz w:val="20"/>
                <w:szCs w:val="20"/>
                <w:lang w:eastAsia="lv-LV"/>
              </w:rPr>
              <w:t>.</w:t>
            </w:r>
          </w:p>
          <w:p w14:paraId="6819ECE8"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 xml:space="preserve"> (n + 1)</w:t>
            </w:r>
          </w:p>
        </w:tc>
        <w:tc>
          <w:tcPr>
            <w:tcW w:w="1134" w:type="dxa"/>
            <w:tcBorders>
              <w:top w:val="nil"/>
              <w:left w:val="nil"/>
              <w:bottom w:val="single" w:sz="4" w:space="0" w:color="auto"/>
              <w:right w:val="single" w:sz="4" w:space="0" w:color="auto"/>
            </w:tcBorders>
            <w:shd w:val="clear" w:color="auto" w:fill="auto"/>
            <w:vAlign w:val="center"/>
            <w:hideMark/>
          </w:tcPr>
          <w:p w14:paraId="45A2686F"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202</w:t>
            </w:r>
            <w:r>
              <w:rPr>
                <w:rFonts w:eastAsia="Times New Roman" w:cs="Times New Roman"/>
                <w:b/>
                <w:bCs/>
                <w:sz w:val="20"/>
                <w:szCs w:val="20"/>
                <w:lang w:eastAsia="lv-LV"/>
              </w:rPr>
              <w:t>3</w:t>
            </w:r>
            <w:r w:rsidRPr="00B521CF">
              <w:rPr>
                <w:rFonts w:eastAsia="Times New Roman" w:cs="Times New Roman"/>
                <w:b/>
                <w:bCs/>
                <w:sz w:val="20"/>
                <w:szCs w:val="20"/>
                <w:lang w:eastAsia="lv-LV"/>
              </w:rPr>
              <w:t>. (n + 2)</w:t>
            </w:r>
          </w:p>
        </w:tc>
        <w:tc>
          <w:tcPr>
            <w:tcW w:w="992" w:type="dxa"/>
            <w:tcBorders>
              <w:top w:val="nil"/>
              <w:left w:val="nil"/>
              <w:bottom w:val="single" w:sz="4" w:space="0" w:color="auto"/>
              <w:right w:val="single" w:sz="4" w:space="0" w:color="auto"/>
            </w:tcBorders>
            <w:shd w:val="clear" w:color="auto" w:fill="auto"/>
            <w:vAlign w:val="center"/>
            <w:hideMark/>
          </w:tcPr>
          <w:p w14:paraId="028D3BB3"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w:t>
            </w:r>
            <w:r>
              <w:rPr>
                <w:rFonts w:eastAsia="Times New Roman" w:cs="Times New Roman"/>
                <w:b/>
                <w:bCs/>
                <w:sz w:val="20"/>
                <w:szCs w:val="20"/>
                <w:lang w:eastAsia="lv-LV"/>
              </w:rPr>
              <w:t>024</w:t>
            </w:r>
            <w:r w:rsidRPr="00B521CF">
              <w:rPr>
                <w:rFonts w:eastAsia="Times New Roman" w:cs="Times New Roman"/>
                <w:b/>
                <w:bCs/>
                <w:sz w:val="20"/>
                <w:szCs w:val="20"/>
                <w:lang w:eastAsia="lv-LV"/>
              </w:rPr>
              <w:t>. (n + 3)</w:t>
            </w:r>
          </w:p>
        </w:tc>
        <w:tc>
          <w:tcPr>
            <w:tcW w:w="1134" w:type="dxa"/>
            <w:tcBorders>
              <w:top w:val="nil"/>
              <w:left w:val="nil"/>
              <w:bottom w:val="single" w:sz="4" w:space="0" w:color="auto"/>
              <w:right w:val="single" w:sz="4" w:space="0" w:color="auto"/>
            </w:tcBorders>
            <w:shd w:val="clear" w:color="auto" w:fill="FFFFFF" w:themeFill="background1"/>
            <w:hideMark/>
          </w:tcPr>
          <w:p w14:paraId="7F37FF8A"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 xml:space="preserve">turpmākajā laikposmā līdz pasākuma pabeig-šanai </w:t>
            </w:r>
            <w:r w:rsidRPr="00B521CF">
              <w:rPr>
                <w:rFonts w:eastAsia="Times New Roman" w:cs="Times New Roman"/>
                <w:b/>
                <w:bCs/>
                <w:sz w:val="20"/>
                <w:szCs w:val="20"/>
                <w:lang w:eastAsia="lv-LV"/>
              </w:rPr>
              <w:br/>
              <w:t>(ja pasākuma īstenošana ir terminēta)</w:t>
            </w:r>
          </w:p>
        </w:tc>
        <w:tc>
          <w:tcPr>
            <w:tcW w:w="993" w:type="dxa"/>
            <w:tcBorders>
              <w:top w:val="nil"/>
              <w:left w:val="nil"/>
              <w:bottom w:val="single" w:sz="4" w:space="0" w:color="auto"/>
              <w:right w:val="single" w:sz="4" w:space="0" w:color="auto"/>
            </w:tcBorders>
            <w:shd w:val="clear" w:color="auto" w:fill="FFFFFF" w:themeFill="background1"/>
            <w:hideMark/>
          </w:tcPr>
          <w:p w14:paraId="22535636" w14:textId="77777777" w:rsidR="000A660F" w:rsidRPr="00B521CF" w:rsidRDefault="000A660F" w:rsidP="003309D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 xml:space="preserve">turpmāk ik gadu </w:t>
            </w:r>
            <w:r w:rsidRPr="00B521CF">
              <w:rPr>
                <w:rFonts w:eastAsia="Times New Roman" w:cs="Times New Roman"/>
                <w:b/>
                <w:bCs/>
                <w:sz w:val="20"/>
                <w:szCs w:val="20"/>
                <w:lang w:eastAsia="lv-LV"/>
              </w:rPr>
              <w:br/>
              <w:t>(ja pasā-kuma izpilde nav termi-nēta)</w:t>
            </w:r>
          </w:p>
        </w:tc>
        <w:tc>
          <w:tcPr>
            <w:tcW w:w="107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21F1095" w14:textId="77777777" w:rsidR="000A660F" w:rsidRPr="00B521CF" w:rsidRDefault="000A660F" w:rsidP="003309D5">
            <w:pPr>
              <w:spacing w:after="0" w:line="240" w:lineRule="auto"/>
              <w:rPr>
                <w:rFonts w:eastAsia="Times New Roman" w:cs="Times New Roman"/>
                <w:b/>
                <w:bCs/>
                <w:sz w:val="20"/>
                <w:szCs w:val="20"/>
                <w:lang w:eastAsia="lv-LV"/>
              </w:rPr>
            </w:pPr>
          </w:p>
        </w:tc>
      </w:tr>
      <w:tr w:rsidR="000A660F" w:rsidRPr="00BE135E" w14:paraId="23EB9DCD" w14:textId="77777777" w:rsidTr="003309D5">
        <w:trPr>
          <w:trHeight w:val="456"/>
          <w:jc w:val="center"/>
        </w:trPr>
        <w:tc>
          <w:tcPr>
            <w:tcW w:w="185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52C5EF" w14:textId="77777777" w:rsidR="000A660F" w:rsidRPr="00482E46" w:rsidRDefault="000A660F" w:rsidP="003309D5">
            <w:pPr>
              <w:spacing w:after="0" w:line="240" w:lineRule="auto"/>
              <w:jc w:val="center"/>
              <w:rPr>
                <w:rFonts w:eastAsia="Times New Roman" w:cs="Times New Roman"/>
                <w:b/>
                <w:bCs/>
                <w:sz w:val="16"/>
                <w:szCs w:val="16"/>
                <w:lang w:eastAsia="lv-LV"/>
              </w:rPr>
            </w:pPr>
            <w:r w:rsidRPr="00482E46">
              <w:rPr>
                <w:rFonts w:eastAsia="Times New Roman" w:cs="Times New Roman"/>
                <w:b/>
                <w:bCs/>
                <w:sz w:val="16"/>
                <w:szCs w:val="16"/>
                <w:lang w:eastAsia="lv-LV"/>
              </w:rPr>
              <w:t>Finansējums plāna realizācijai kopā</w:t>
            </w:r>
          </w:p>
        </w:tc>
        <w:tc>
          <w:tcPr>
            <w:tcW w:w="13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803D16" w14:textId="77777777" w:rsidR="000A660F" w:rsidRPr="00482E46" w:rsidRDefault="000A660F" w:rsidP="003309D5">
            <w:pPr>
              <w:spacing w:after="0" w:line="240" w:lineRule="auto"/>
              <w:jc w:val="center"/>
              <w:rPr>
                <w:rFonts w:eastAsia="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2AB457F9" w14:textId="77777777" w:rsidR="000A660F" w:rsidRPr="00482E46" w:rsidRDefault="000A660F" w:rsidP="003309D5">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FC345" w14:textId="77777777" w:rsidR="000A660F" w:rsidRPr="009B21D6" w:rsidRDefault="000A660F" w:rsidP="003309D5">
            <w:pPr>
              <w:spacing w:after="0" w:line="240" w:lineRule="auto"/>
              <w:jc w:val="center"/>
              <w:rPr>
                <w:rFonts w:cs="Times New Roman"/>
                <w:iCs/>
                <w:sz w:val="16"/>
                <w:szCs w:val="16"/>
              </w:rPr>
            </w:pPr>
            <w:r w:rsidRPr="009B21D6">
              <w:rPr>
                <w:rFonts w:cs="Times New Roman"/>
                <w:b/>
                <w:bCs/>
                <w:sz w:val="16"/>
                <w:szCs w:val="16"/>
              </w:rPr>
              <w:t>95 703 495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1329C7" w14:textId="77777777" w:rsidR="000A660F" w:rsidRPr="009B21D6" w:rsidRDefault="000A660F" w:rsidP="003309D5">
            <w:pPr>
              <w:spacing w:after="0" w:line="240" w:lineRule="auto"/>
              <w:jc w:val="center"/>
              <w:rPr>
                <w:rFonts w:cs="Times New Roman"/>
                <w:iCs/>
                <w:sz w:val="16"/>
                <w:szCs w:val="16"/>
              </w:rPr>
            </w:pPr>
            <w:r w:rsidRPr="009B21D6">
              <w:rPr>
                <w:rFonts w:cs="Times New Roman"/>
                <w:b/>
                <w:bCs/>
                <w:sz w:val="16"/>
                <w:szCs w:val="16"/>
              </w:rPr>
              <w:t>94 059 085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366680" w14:textId="77777777" w:rsidR="000A660F" w:rsidRPr="009B21D6" w:rsidRDefault="000A660F" w:rsidP="003309D5">
            <w:pPr>
              <w:spacing w:after="0" w:line="240" w:lineRule="auto"/>
              <w:jc w:val="center"/>
              <w:rPr>
                <w:rFonts w:cs="Times New Roman"/>
                <w:iCs/>
                <w:sz w:val="16"/>
                <w:szCs w:val="16"/>
              </w:rPr>
            </w:pPr>
            <w:r w:rsidRPr="009B21D6">
              <w:rPr>
                <w:rFonts w:cs="Times New Roman"/>
                <w:b/>
                <w:bCs/>
                <w:sz w:val="16"/>
                <w:szCs w:val="16"/>
              </w:rPr>
              <w:t>92 190 247</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07009C" w14:textId="77777777" w:rsidR="000A660F" w:rsidRPr="009B21D6" w:rsidRDefault="000A660F" w:rsidP="003309D5">
            <w:pPr>
              <w:spacing w:after="0" w:line="240" w:lineRule="auto"/>
              <w:jc w:val="center"/>
              <w:rPr>
                <w:rFonts w:eastAsia="Times New Roman" w:cs="Times New Roman"/>
                <w:sz w:val="16"/>
                <w:szCs w:val="16"/>
                <w:lang w:eastAsia="lv-LV"/>
              </w:rPr>
            </w:pPr>
            <w:r w:rsidRPr="009B21D6">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AF55C8" w14:textId="77777777" w:rsidR="000A660F" w:rsidRPr="009B21D6" w:rsidRDefault="000A660F" w:rsidP="003309D5">
            <w:pPr>
              <w:spacing w:after="0" w:line="240" w:lineRule="auto"/>
              <w:jc w:val="center"/>
              <w:rPr>
                <w:rFonts w:eastAsia="Times New Roman" w:cs="Times New Roman"/>
                <w:sz w:val="16"/>
                <w:szCs w:val="16"/>
                <w:lang w:eastAsia="lv-LV"/>
              </w:rPr>
            </w:pPr>
            <w:r w:rsidRPr="009B21D6">
              <w:rPr>
                <w:rFonts w:cs="Times New Roman"/>
                <w:b/>
                <w:bCs/>
                <w:sz w:val="16"/>
                <w:szCs w:val="16"/>
              </w:rPr>
              <w:t>76 901 800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AD643" w14:textId="77777777" w:rsidR="000A660F" w:rsidRPr="009B21D6" w:rsidRDefault="000A660F" w:rsidP="003309D5">
            <w:pPr>
              <w:spacing w:after="0" w:line="240" w:lineRule="auto"/>
              <w:jc w:val="center"/>
              <w:rPr>
                <w:rFonts w:eastAsia="Times New Roman" w:cs="Times New Roman"/>
                <w:sz w:val="16"/>
                <w:szCs w:val="16"/>
                <w:lang w:eastAsia="lv-LV"/>
              </w:rPr>
            </w:pPr>
            <w:r w:rsidRPr="009B21D6">
              <w:rPr>
                <w:rFonts w:cs="Times New Roman"/>
                <w:b/>
                <w:bCs/>
                <w:sz w:val="16"/>
                <w:szCs w:val="16"/>
              </w:rPr>
              <w:t>90 361 669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7AA4E1" w14:textId="77777777" w:rsidR="000A660F" w:rsidRPr="00FB5E9C" w:rsidRDefault="000A660F" w:rsidP="003309D5">
            <w:pPr>
              <w:spacing w:after="0" w:line="240" w:lineRule="auto"/>
              <w:jc w:val="center"/>
              <w:rPr>
                <w:rFonts w:eastAsia="Times New Roman" w:cs="Times New Roman"/>
                <w:b/>
                <w:bCs/>
                <w:sz w:val="16"/>
                <w:szCs w:val="16"/>
                <w:lang w:eastAsia="lv-LV"/>
              </w:rPr>
            </w:pPr>
            <w:r w:rsidRPr="00FB5E9C">
              <w:rPr>
                <w:rFonts w:eastAsia="Times New Roman" w:cs="Times New Roman"/>
                <w:b/>
                <w:bCs/>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140BBB" w14:textId="77777777" w:rsidR="000A660F" w:rsidRPr="00FB5E9C" w:rsidRDefault="000A660F" w:rsidP="003309D5">
            <w:pPr>
              <w:spacing w:after="0" w:line="240" w:lineRule="auto"/>
              <w:jc w:val="center"/>
              <w:rPr>
                <w:rFonts w:eastAsia="Times New Roman" w:cs="Times New Roman"/>
                <w:b/>
                <w:bCs/>
                <w:sz w:val="16"/>
                <w:szCs w:val="16"/>
                <w:lang w:eastAsia="lv-LV"/>
              </w:rPr>
            </w:pPr>
            <w:r w:rsidRPr="00FB5E9C">
              <w:rPr>
                <w:rFonts w:eastAsia="Times New Roman" w:cs="Times New Roman"/>
                <w:b/>
                <w:bCs/>
                <w:sz w:val="16"/>
                <w:szCs w:val="16"/>
                <w:lang w:eastAsia="lv-LV"/>
              </w:rPr>
              <w:t>90 361 669</w:t>
            </w:r>
          </w:p>
        </w:tc>
        <w:tc>
          <w:tcPr>
            <w:tcW w:w="1071" w:type="dxa"/>
            <w:tcBorders>
              <w:top w:val="nil"/>
              <w:left w:val="nil"/>
              <w:bottom w:val="single" w:sz="4" w:space="0" w:color="auto"/>
              <w:right w:val="single" w:sz="4" w:space="0" w:color="auto"/>
            </w:tcBorders>
            <w:shd w:val="clear" w:color="auto" w:fill="D9D9D9" w:themeFill="background1" w:themeFillShade="D9"/>
            <w:vAlign w:val="center"/>
          </w:tcPr>
          <w:p w14:paraId="0212BD0F" w14:textId="77777777" w:rsidR="000A660F" w:rsidRPr="00FB5E9C" w:rsidRDefault="000A660F" w:rsidP="003309D5">
            <w:pPr>
              <w:spacing w:after="0" w:line="240" w:lineRule="auto"/>
              <w:jc w:val="center"/>
              <w:rPr>
                <w:rFonts w:eastAsia="Times New Roman" w:cs="Times New Roman"/>
                <w:b/>
                <w:bCs/>
                <w:sz w:val="16"/>
                <w:szCs w:val="16"/>
                <w:lang w:eastAsia="lv-LV"/>
              </w:rPr>
            </w:pPr>
            <w:r w:rsidRPr="00FB5E9C">
              <w:rPr>
                <w:rFonts w:eastAsia="Times New Roman" w:cs="Times New Roman"/>
                <w:b/>
                <w:bCs/>
                <w:sz w:val="16"/>
                <w:szCs w:val="16"/>
                <w:lang w:eastAsia="lv-LV"/>
              </w:rPr>
              <w:t>-</w:t>
            </w:r>
          </w:p>
        </w:tc>
      </w:tr>
      <w:tr w:rsidR="000A660F" w:rsidRPr="00BE135E" w14:paraId="3C22F47A" w14:textId="77777777" w:rsidTr="003309D5">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vAlign w:val="center"/>
            <w:hideMark/>
          </w:tcPr>
          <w:p w14:paraId="2111818A" w14:textId="77777777" w:rsidR="000A660F" w:rsidRPr="00482E46" w:rsidRDefault="000A660F" w:rsidP="003309D5">
            <w:pPr>
              <w:spacing w:after="0" w:line="240" w:lineRule="auto"/>
              <w:jc w:val="center"/>
              <w:rPr>
                <w:rFonts w:eastAsia="Times New Roman" w:cs="Times New Roman"/>
                <w:iCs/>
                <w:sz w:val="16"/>
                <w:szCs w:val="16"/>
                <w:lang w:eastAsia="lv-LV"/>
              </w:rPr>
            </w:pPr>
            <w:r w:rsidRPr="00482E46">
              <w:rPr>
                <w:rFonts w:eastAsia="Times New Roman" w:cs="Times New Roman"/>
                <w:iCs/>
                <w:sz w:val="16"/>
                <w:szCs w:val="16"/>
                <w:lang w:eastAsia="lv-LV"/>
              </w:rPr>
              <w:t>tajā skaitā</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A3613A"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hideMark/>
          </w:tcPr>
          <w:p w14:paraId="11D5BC99"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4FB0FAD8"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53941253"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728FDC88"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1276" w:type="dxa"/>
            <w:tcBorders>
              <w:top w:val="nil"/>
              <w:left w:val="nil"/>
              <w:bottom w:val="single" w:sz="4" w:space="0" w:color="auto"/>
              <w:right w:val="nil"/>
            </w:tcBorders>
            <w:shd w:val="clear" w:color="auto" w:fill="FFFFFF" w:themeFill="background1"/>
            <w:vAlign w:val="bottom"/>
          </w:tcPr>
          <w:p w14:paraId="140C3A35"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3421ACD7"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2" w:type="dxa"/>
            <w:tcBorders>
              <w:top w:val="nil"/>
              <w:left w:val="nil"/>
              <w:bottom w:val="single" w:sz="4" w:space="0" w:color="auto"/>
              <w:right w:val="nil"/>
            </w:tcBorders>
            <w:shd w:val="clear" w:color="auto" w:fill="FFFFFF" w:themeFill="background1"/>
            <w:vAlign w:val="bottom"/>
          </w:tcPr>
          <w:p w14:paraId="0AF086AE"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486B7B21"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nil"/>
              <w:left w:val="nil"/>
              <w:bottom w:val="single" w:sz="4" w:space="0" w:color="auto"/>
              <w:right w:val="nil"/>
            </w:tcBorders>
            <w:shd w:val="clear" w:color="auto" w:fill="FFFFFF" w:themeFill="background1"/>
            <w:vAlign w:val="bottom"/>
          </w:tcPr>
          <w:p w14:paraId="5E5F8A7C"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1250ADA9"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39E7D752" w14:textId="77777777" w:rsidTr="003309D5">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hideMark/>
          </w:tcPr>
          <w:p w14:paraId="2409BC1F"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82B5E6" w14:textId="77777777" w:rsidR="000A660F" w:rsidRPr="005D053F" w:rsidRDefault="000A660F" w:rsidP="003309D5">
            <w:pPr>
              <w:spacing w:after="0" w:line="240" w:lineRule="auto"/>
              <w:jc w:val="center"/>
              <w:rPr>
                <w:rFonts w:eastAsia="Times New Roman" w:cs="Times New Roman"/>
                <w:b/>
                <w:iCs/>
                <w:sz w:val="16"/>
                <w:szCs w:val="16"/>
                <w:lang w:eastAsia="lv-LV"/>
              </w:rPr>
            </w:pPr>
            <w:r w:rsidRPr="005D053F">
              <w:rPr>
                <w:rFonts w:cs="Times New Roman"/>
                <w:b/>
                <w:sz w:val="16"/>
                <w:szCs w:val="16"/>
              </w:rPr>
              <w:t>18. Labklājības ministrija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FAB7" w14:textId="77777777" w:rsidR="000A660F" w:rsidRPr="00482E46" w:rsidRDefault="000A660F" w:rsidP="003309D5">
            <w:pPr>
              <w:spacing w:after="0" w:line="240" w:lineRule="auto"/>
              <w:jc w:val="center"/>
              <w:rPr>
                <w:rFonts w:eastAsia="Times New Roman" w:cs="Times New Roman"/>
                <w:b/>
                <w:i/>
                <w:iCs/>
                <w:sz w:val="16"/>
                <w:szCs w:val="16"/>
                <w:lang w:eastAsia="lv-LV"/>
              </w:rPr>
            </w:pPr>
            <w:r>
              <w:rPr>
                <w:rFonts w:cs="Times New Roman"/>
                <w:b/>
                <w:i/>
                <w:iCs/>
                <w:sz w:val="16"/>
                <w:szCs w:val="16"/>
              </w:rPr>
              <w:t xml:space="preserve">Konsolidētais </w:t>
            </w:r>
            <w:r w:rsidRPr="00482E46">
              <w:rPr>
                <w:rFonts w:cs="Times New Roman"/>
                <w:b/>
                <w:i/>
                <w:iCs/>
                <w:sz w:val="16"/>
                <w:szCs w:val="16"/>
              </w:rPr>
              <w:t>budžets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7273B" w14:textId="77777777" w:rsidR="000A660F" w:rsidRPr="005D053F" w:rsidRDefault="000A660F" w:rsidP="003309D5">
            <w:pPr>
              <w:spacing w:after="0" w:line="240" w:lineRule="auto"/>
              <w:jc w:val="center"/>
              <w:rPr>
                <w:rFonts w:cs="Times New Roman"/>
                <w:b/>
                <w:i/>
                <w:iCs/>
                <w:sz w:val="16"/>
                <w:szCs w:val="16"/>
              </w:rPr>
            </w:pPr>
            <w:r w:rsidRPr="005D053F">
              <w:rPr>
                <w:rFonts w:cs="Times New Roman"/>
                <w:b/>
                <w:sz w:val="16"/>
                <w:szCs w:val="16"/>
              </w:rPr>
              <w:t>69 079 914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78D9BA" w14:textId="77777777" w:rsidR="000A660F" w:rsidRPr="005D053F" w:rsidRDefault="000A660F" w:rsidP="003309D5">
            <w:pPr>
              <w:spacing w:after="0" w:line="240" w:lineRule="auto"/>
              <w:jc w:val="center"/>
              <w:rPr>
                <w:rFonts w:cs="Times New Roman"/>
                <w:b/>
                <w:i/>
                <w:iCs/>
                <w:sz w:val="16"/>
                <w:szCs w:val="16"/>
              </w:rPr>
            </w:pPr>
            <w:r w:rsidRPr="005D053F">
              <w:rPr>
                <w:rFonts w:cs="Times New Roman"/>
                <w:b/>
                <w:sz w:val="16"/>
                <w:szCs w:val="16"/>
              </w:rPr>
              <w:t>69 637 414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57F80" w14:textId="77777777" w:rsidR="000A660F" w:rsidRPr="005D053F" w:rsidRDefault="000A660F" w:rsidP="003309D5">
            <w:pPr>
              <w:spacing w:after="0" w:line="240" w:lineRule="auto"/>
              <w:jc w:val="center"/>
              <w:rPr>
                <w:rFonts w:cs="Times New Roman"/>
                <w:b/>
                <w:i/>
                <w:iCs/>
                <w:sz w:val="16"/>
                <w:szCs w:val="16"/>
              </w:rPr>
            </w:pPr>
            <w:r w:rsidRPr="005D053F">
              <w:rPr>
                <w:rFonts w:cs="Times New Roman"/>
                <w:b/>
                <w:sz w:val="16"/>
                <w:szCs w:val="16"/>
              </w:rPr>
              <w:t>69 863 201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391D8D" w14:textId="77777777" w:rsidR="000A660F" w:rsidRPr="005D053F" w:rsidRDefault="000A660F" w:rsidP="003309D5">
            <w:pPr>
              <w:spacing w:after="0" w:line="240" w:lineRule="auto"/>
              <w:jc w:val="center"/>
              <w:rPr>
                <w:rFonts w:cs="Times New Roman"/>
                <w:b/>
                <w:i/>
                <w:iCs/>
                <w:sz w:val="16"/>
                <w:szCs w:val="16"/>
              </w:rPr>
            </w:pPr>
            <w:r w:rsidRPr="005D053F">
              <w:rPr>
                <w:rFonts w:cs="Times New Roman"/>
                <w:b/>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2F9213" w14:textId="77777777" w:rsidR="000A660F" w:rsidRPr="005D053F" w:rsidRDefault="000A660F" w:rsidP="003309D5">
            <w:pPr>
              <w:spacing w:after="0" w:line="240" w:lineRule="auto"/>
              <w:jc w:val="center"/>
              <w:rPr>
                <w:rFonts w:cs="Times New Roman"/>
                <w:b/>
                <w:i/>
                <w:iCs/>
                <w:sz w:val="16"/>
                <w:szCs w:val="16"/>
              </w:rPr>
            </w:pPr>
            <w:r w:rsidRPr="005D053F">
              <w:rPr>
                <w:rFonts w:cs="Times New Roman"/>
                <w:b/>
                <w:sz w:val="16"/>
                <w:szCs w:val="16"/>
              </w:rPr>
              <w:t>27 744 568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3B34C" w14:textId="77777777" w:rsidR="000A660F" w:rsidRPr="005D053F" w:rsidRDefault="000A660F" w:rsidP="003309D5">
            <w:pPr>
              <w:spacing w:after="0" w:line="240" w:lineRule="auto"/>
              <w:jc w:val="center"/>
              <w:rPr>
                <w:rFonts w:cs="Times New Roman"/>
                <w:b/>
                <w:i/>
                <w:iCs/>
                <w:sz w:val="16"/>
                <w:szCs w:val="16"/>
              </w:rPr>
            </w:pPr>
            <w:r w:rsidRPr="005D053F">
              <w:rPr>
                <w:rFonts w:cs="Times New Roman"/>
                <w:b/>
                <w:sz w:val="16"/>
                <w:szCs w:val="16"/>
              </w:rPr>
              <w:t>38 448 768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266FE" w14:textId="77777777" w:rsidR="000A660F" w:rsidRPr="00223B5F" w:rsidRDefault="000A660F" w:rsidP="003309D5">
            <w:pPr>
              <w:spacing w:after="0" w:line="240" w:lineRule="auto"/>
              <w:jc w:val="center"/>
              <w:rPr>
                <w:rFonts w:cs="Times New Roman"/>
                <w:i/>
                <w:i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35E5D4" w14:textId="77777777" w:rsidR="000A660F" w:rsidRPr="00223B5F" w:rsidRDefault="000A660F" w:rsidP="003309D5">
            <w:pPr>
              <w:spacing w:after="0" w:line="240" w:lineRule="auto"/>
              <w:jc w:val="center"/>
              <w:rPr>
                <w:rFonts w:cs="Times New Roman"/>
                <w:i/>
                <w:iCs/>
                <w:sz w:val="16"/>
                <w:szCs w:val="16"/>
              </w:rPr>
            </w:pPr>
            <w:r w:rsidRPr="005D053F">
              <w:rPr>
                <w:rFonts w:cs="Times New Roman"/>
                <w:b/>
                <w:sz w:val="16"/>
                <w:szCs w:val="16"/>
              </w:rPr>
              <w:t>38 448 768</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EE1C3" w14:textId="77777777" w:rsidR="000A660F" w:rsidRPr="00482E46" w:rsidRDefault="000A660F" w:rsidP="003309D5">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0A660F" w:rsidRPr="00BE135E" w14:paraId="24A3A360" w14:textId="77777777" w:rsidTr="003309D5">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tcPr>
          <w:p w14:paraId="0E3C4AB2"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3A0A4357" w14:textId="77777777" w:rsidR="000A660F" w:rsidRPr="005D053F" w:rsidRDefault="000A660F" w:rsidP="003309D5">
            <w:pPr>
              <w:spacing w:after="0" w:line="240" w:lineRule="auto"/>
              <w:jc w:val="center"/>
              <w:rPr>
                <w:rFonts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62EAE" w14:textId="77777777" w:rsidR="000A660F" w:rsidRPr="005D053F" w:rsidRDefault="000A660F" w:rsidP="003309D5">
            <w:pPr>
              <w:spacing w:after="0" w:line="240" w:lineRule="auto"/>
              <w:jc w:val="center"/>
              <w:rPr>
                <w:rFonts w:cs="Times New Roman"/>
                <w:i/>
                <w:iCs/>
                <w:sz w:val="16"/>
                <w:szCs w:val="16"/>
              </w:rPr>
            </w:pPr>
            <w:r w:rsidRPr="005D053F">
              <w:rPr>
                <w:rFonts w:cs="Times New Roman"/>
                <w:i/>
                <w:iCs/>
                <w:sz w:val="16"/>
                <w:szCs w:val="16"/>
              </w:rPr>
              <w:t>tajā skaitā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F9AD63" w14:textId="77777777" w:rsidR="000A660F" w:rsidRPr="005D053F" w:rsidRDefault="000A660F" w:rsidP="003309D5">
            <w:pPr>
              <w:spacing w:after="0" w:line="240" w:lineRule="auto"/>
              <w:jc w:val="center"/>
              <w:rPr>
                <w:rFonts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DA98C" w14:textId="77777777" w:rsidR="000A660F" w:rsidRPr="005D053F" w:rsidRDefault="000A660F" w:rsidP="003309D5">
            <w:pPr>
              <w:spacing w:after="0" w:line="240" w:lineRule="auto"/>
              <w:jc w:val="center"/>
              <w:rPr>
                <w:rFonts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DE3FFE" w14:textId="77777777" w:rsidR="000A660F" w:rsidRPr="005D053F" w:rsidRDefault="000A660F" w:rsidP="003309D5">
            <w:pPr>
              <w:spacing w:after="0" w:line="240" w:lineRule="auto"/>
              <w:jc w:val="center"/>
              <w:rPr>
                <w:rFonts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49CED6" w14:textId="77777777" w:rsidR="000A660F" w:rsidRPr="005D053F" w:rsidRDefault="000A660F" w:rsidP="003309D5">
            <w:pPr>
              <w:spacing w:after="0" w:line="240" w:lineRule="auto"/>
              <w:jc w:val="center"/>
              <w:rPr>
                <w:rFonts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90C03B" w14:textId="77777777" w:rsidR="000A660F" w:rsidRPr="005D053F" w:rsidRDefault="000A660F" w:rsidP="003309D5">
            <w:pPr>
              <w:spacing w:after="0" w:line="240" w:lineRule="auto"/>
              <w:jc w:val="center"/>
              <w:rPr>
                <w:rFonts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2B8521" w14:textId="77777777" w:rsidR="000A660F" w:rsidRPr="005D053F" w:rsidRDefault="000A660F" w:rsidP="003309D5">
            <w:pPr>
              <w:spacing w:after="0" w:line="240" w:lineRule="auto"/>
              <w:jc w:val="center"/>
              <w:rPr>
                <w:rFonts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F19D4" w14:textId="77777777" w:rsidR="000A660F" w:rsidRPr="00223B5F" w:rsidRDefault="000A660F" w:rsidP="003309D5">
            <w:pPr>
              <w:spacing w:after="0" w:line="240" w:lineRule="auto"/>
              <w:jc w:val="center"/>
              <w:rPr>
                <w:rFonts w:cs="Times New Roman"/>
                <w:i/>
                <w:i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AEC7DC" w14:textId="77777777" w:rsidR="000A660F" w:rsidRPr="00223B5F" w:rsidRDefault="000A660F" w:rsidP="003309D5">
            <w:pPr>
              <w:spacing w:after="0" w:line="240" w:lineRule="auto"/>
              <w:jc w:val="center"/>
              <w:rPr>
                <w:rFonts w:cs="Times New Roman"/>
                <w:i/>
                <w:i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627D9"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443C06A2" w14:textId="77777777" w:rsidTr="003309D5">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hideMark/>
          </w:tcPr>
          <w:p w14:paraId="34BF50CC"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8B816B"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0C182" w14:textId="77777777" w:rsidR="000A660F" w:rsidRPr="00482E46" w:rsidRDefault="000A660F" w:rsidP="003309D5">
            <w:pPr>
              <w:spacing w:after="0" w:line="240" w:lineRule="auto"/>
              <w:jc w:val="center"/>
              <w:rPr>
                <w:rFonts w:eastAsia="Times New Roman" w:cs="Times New Roman"/>
                <w:b/>
                <w:i/>
                <w:iCs/>
                <w:sz w:val="16"/>
                <w:szCs w:val="16"/>
                <w:lang w:eastAsia="lv-LV"/>
              </w:rPr>
            </w:pPr>
            <w:r w:rsidRPr="00482E46">
              <w:rPr>
                <w:rFonts w:cs="Times New Roman"/>
                <w:b/>
                <w:i/>
                <w:iCs/>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C77AF" w14:textId="77777777" w:rsidR="000A660F" w:rsidRPr="00BE065D" w:rsidRDefault="000A660F" w:rsidP="003309D5">
            <w:pPr>
              <w:spacing w:after="0" w:line="240" w:lineRule="auto"/>
              <w:jc w:val="center"/>
              <w:rPr>
                <w:rFonts w:cs="Times New Roman"/>
                <w:i/>
                <w:iCs/>
                <w:sz w:val="16"/>
                <w:szCs w:val="16"/>
              </w:rPr>
            </w:pPr>
            <w:r w:rsidRPr="00BE065D">
              <w:rPr>
                <w:rFonts w:cs="Times New Roman"/>
                <w:b/>
                <w:bCs/>
                <w:sz w:val="16"/>
                <w:szCs w:val="16"/>
              </w:rPr>
              <w:t>69 079 914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5E26" w14:textId="77777777" w:rsidR="000A660F" w:rsidRPr="00BE065D" w:rsidRDefault="000A660F" w:rsidP="003309D5">
            <w:pPr>
              <w:spacing w:after="0" w:line="240" w:lineRule="auto"/>
              <w:jc w:val="center"/>
              <w:rPr>
                <w:rFonts w:cs="Times New Roman"/>
                <w:i/>
                <w:iCs/>
                <w:sz w:val="16"/>
                <w:szCs w:val="16"/>
              </w:rPr>
            </w:pPr>
            <w:r w:rsidRPr="00BE065D">
              <w:rPr>
                <w:rFonts w:cs="Times New Roman"/>
                <w:b/>
                <w:bCs/>
                <w:sz w:val="16"/>
                <w:szCs w:val="16"/>
              </w:rPr>
              <w:t>69 637 414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0AF06" w14:textId="77777777" w:rsidR="000A660F" w:rsidRPr="00BE065D" w:rsidRDefault="000A660F" w:rsidP="003309D5">
            <w:pPr>
              <w:spacing w:after="0" w:line="240" w:lineRule="auto"/>
              <w:jc w:val="center"/>
              <w:rPr>
                <w:rFonts w:cs="Times New Roman"/>
                <w:i/>
                <w:iCs/>
                <w:sz w:val="16"/>
                <w:szCs w:val="16"/>
              </w:rPr>
            </w:pPr>
            <w:r w:rsidRPr="00BE065D">
              <w:rPr>
                <w:rFonts w:cs="Times New Roman"/>
                <w:b/>
                <w:bCs/>
                <w:sz w:val="16"/>
                <w:szCs w:val="16"/>
              </w:rPr>
              <w:t>69 863 201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73D24" w14:textId="77777777" w:rsidR="000A660F" w:rsidRPr="00BE065D" w:rsidRDefault="000A660F" w:rsidP="003309D5">
            <w:pPr>
              <w:spacing w:after="0" w:line="240" w:lineRule="auto"/>
              <w:jc w:val="center"/>
              <w:rPr>
                <w:rFonts w:cs="Times New Roman"/>
                <w:i/>
                <w:iCs/>
                <w:sz w:val="16"/>
                <w:szCs w:val="16"/>
              </w:rPr>
            </w:pPr>
            <w:r w:rsidRPr="00BE065D">
              <w:rPr>
                <w:rFonts w:cs="Times New Roman"/>
                <w:b/>
                <w:bCs/>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15E40" w14:textId="77777777" w:rsidR="000A660F" w:rsidRPr="00BE065D" w:rsidRDefault="000A660F" w:rsidP="003309D5">
            <w:pPr>
              <w:spacing w:after="0" w:line="240" w:lineRule="auto"/>
              <w:jc w:val="center"/>
              <w:rPr>
                <w:rFonts w:cs="Times New Roman"/>
                <w:i/>
                <w:iCs/>
                <w:sz w:val="16"/>
                <w:szCs w:val="16"/>
              </w:rPr>
            </w:pPr>
            <w:r w:rsidRPr="00BE065D">
              <w:rPr>
                <w:rFonts w:cs="Times New Roman"/>
                <w:b/>
                <w:bCs/>
                <w:sz w:val="16"/>
                <w:szCs w:val="16"/>
              </w:rPr>
              <w:t>27 744 568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99A4BA" w14:textId="77777777" w:rsidR="000A660F" w:rsidRPr="00BE065D" w:rsidRDefault="000A660F" w:rsidP="003309D5">
            <w:pPr>
              <w:spacing w:after="0" w:line="240" w:lineRule="auto"/>
              <w:jc w:val="center"/>
              <w:rPr>
                <w:rFonts w:cs="Times New Roman"/>
                <w:i/>
                <w:iCs/>
                <w:sz w:val="16"/>
                <w:szCs w:val="16"/>
              </w:rPr>
            </w:pPr>
            <w:r w:rsidRPr="00BE065D">
              <w:rPr>
                <w:rFonts w:cs="Times New Roman"/>
                <w:b/>
                <w:bCs/>
                <w:sz w:val="16"/>
                <w:szCs w:val="16"/>
              </w:rPr>
              <w:t>38 448 768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477D" w14:textId="77777777" w:rsidR="000A660F" w:rsidRPr="00223B5F" w:rsidRDefault="000A660F" w:rsidP="003309D5">
            <w:pPr>
              <w:spacing w:after="0" w:line="240" w:lineRule="auto"/>
              <w:jc w:val="center"/>
              <w:rPr>
                <w:rFonts w:cs="Times New Roman"/>
                <w:i/>
                <w:i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307108" w14:textId="77777777" w:rsidR="000A660F" w:rsidRPr="00223B5F" w:rsidRDefault="000A660F" w:rsidP="003309D5">
            <w:pPr>
              <w:spacing w:after="0" w:line="240" w:lineRule="auto"/>
              <w:jc w:val="center"/>
              <w:rPr>
                <w:rFonts w:cs="Times New Roman"/>
                <w:i/>
                <w:iCs/>
                <w:sz w:val="16"/>
                <w:szCs w:val="16"/>
              </w:rPr>
            </w:pPr>
            <w:r w:rsidRPr="00BE065D">
              <w:rPr>
                <w:rFonts w:cs="Times New Roman"/>
                <w:b/>
                <w:bCs/>
                <w:sz w:val="16"/>
                <w:szCs w:val="16"/>
              </w:rPr>
              <w:t>38 448 768</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D2BF4" w14:textId="77777777" w:rsidR="000A660F" w:rsidRPr="00482E46" w:rsidRDefault="000A660F" w:rsidP="003309D5">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0A660F" w:rsidRPr="00BE135E" w14:paraId="1CBBB64E"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74A45"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5749159A"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E9B4D" w14:textId="77777777" w:rsidR="000A660F" w:rsidRPr="00482E46" w:rsidRDefault="000A660F" w:rsidP="003309D5">
            <w:pPr>
              <w:spacing w:after="0" w:line="240" w:lineRule="auto"/>
              <w:jc w:val="center"/>
              <w:rPr>
                <w:rFonts w:eastAsia="Times New Roman" w:cs="Times New Roman"/>
                <w:iCs/>
                <w:sz w:val="16"/>
                <w:szCs w:val="16"/>
                <w:lang w:eastAsia="lv-LV"/>
              </w:rPr>
            </w:pPr>
            <w:r w:rsidRPr="00482E46">
              <w:rPr>
                <w:rFonts w:cs="Times New Roman"/>
                <w:sz w:val="16"/>
                <w:szCs w:val="16"/>
              </w:rPr>
              <w:t xml:space="preserve">04.00.00 </w:t>
            </w:r>
            <w:r>
              <w:rPr>
                <w:rFonts w:cs="Times New Roman"/>
                <w:sz w:val="16"/>
                <w:szCs w:val="16"/>
              </w:rPr>
              <w:t>“</w:t>
            </w:r>
            <w:r w:rsidRPr="00482E46">
              <w:rPr>
                <w:rFonts w:cs="Times New Roman"/>
                <w:sz w:val="16"/>
                <w:szCs w:val="16"/>
              </w:rPr>
              <w:t>Valsts atbalsts sociālajai apdrošināšanai</w:t>
            </w:r>
            <w:r>
              <w:rPr>
                <w:rFonts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89117"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57 742 012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3216F"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57 937 235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65F63"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58 172 080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3E6B"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6677"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22 123 631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8A3AB"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30 488 006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BB90E"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71112" w14:textId="77777777" w:rsidR="000A660F" w:rsidRPr="00223B5F"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30 488 006</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6C837" w14:textId="77777777" w:rsidR="000A660F" w:rsidRPr="00482E46" w:rsidRDefault="000A660F" w:rsidP="003309D5">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0A660F" w:rsidRPr="00BE135E" w14:paraId="532214A3"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D9D62"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049BAAA5"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E40F3" w14:textId="77777777" w:rsidR="000A660F" w:rsidRPr="00482E46" w:rsidRDefault="000A660F" w:rsidP="003309D5">
            <w:pPr>
              <w:spacing w:after="0" w:line="240" w:lineRule="auto"/>
              <w:jc w:val="center"/>
              <w:rPr>
                <w:rFonts w:cs="Times New Roman"/>
                <w:sz w:val="16"/>
                <w:szCs w:val="16"/>
              </w:rPr>
            </w:pPr>
            <w:r>
              <w:rPr>
                <w:rFonts w:cs="Times New Roman"/>
                <w:sz w:val="16"/>
                <w:szCs w:val="16"/>
              </w:rPr>
              <w:t>05.01.00 “</w:t>
            </w:r>
            <w:r w:rsidRPr="00FC5CCD">
              <w:rPr>
                <w:rFonts w:cs="Times New Roman"/>
                <w:sz w:val="16"/>
                <w:szCs w:val="16"/>
              </w:rPr>
              <w:t>Sociālās rehabilitācijas valsts programmas</w:t>
            </w:r>
            <w:r>
              <w:rPr>
                <w:rFonts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E8F47"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33 318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B914E"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33 318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21022"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33 318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1EE65"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3973E"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12 261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1DC9"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16 741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97006"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B8560" w14:textId="77777777" w:rsidR="000A660F" w:rsidRPr="00223B5F"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16 741</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87CA2"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0E864D9C"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E9D7C"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5D6C89F1"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4D1F9" w14:textId="77777777" w:rsidR="000A660F" w:rsidRPr="00482E46" w:rsidRDefault="000A660F" w:rsidP="003309D5">
            <w:pPr>
              <w:spacing w:after="0" w:line="240" w:lineRule="auto"/>
              <w:jc w:val="center"/>
              <w:rPr>
                <w:rFonts w:cs="Times New Roman"/>
                <w:sz w:val="16"/>
                <w:szCs w:val="16"/>
              </w:rPr>
            </w:pPr>
            <w:r>
              <w:rPr>
                <w:rFonts w:cs="Times New Roman"/>
                <w:sz w:val="16"/>
                <w:szCs w:val="16"/>
              </w:rPr>
              <w:t>05.03.00 “</w:t>
            </w:r>
            <w:r w:rsidRPr="00FC5CCD">
              <w:rPr>
                <w:rFonts w:cs="Times New Roman"/>
                <w:sz w:val="16"/>
                <w:szCs w:val="16"/>
              </w:rPr>
              <w:t>Aprūpe valsts sociālās aprūpes institūcijās</w:t>
            </w:r>
            <w:r>
              <w:rPr>
                <w:rFonts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7F4C0"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219 779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6BE6"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219 779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4406"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219 779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3828E"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45C79"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88 479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C7475"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120 143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C98ED"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38F91" w14:textId="77777777" w:rsidR="000A660F" w:rsidRPr="00223B5F"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120 143</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794DA"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2964E591"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C080D"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DC545"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5CD24" w14:textId="77777777" w:rsidR="000A660F" w:rsidRPr="00482E46" w:rsidRDefault="000A660F" w:rsidP="003309D5">
            <w:pPr>
              <w:spacing w:after="0" w:line="240" w:lineRule="auto"/>
              <w:jc w:val="center"/>
              <w:rPr>
                <w:rFonts w:eastAsia="Times New Roman" w:cs="Times New Roman"/>
                <w:iCs/>
                <w:sz w:val="16"/>
                <w:szCs w:val="16"/>
                <w:lang w:eastAsia="lv-LV"/>
              </w:rPr>
            </w:pPr>
            <w:r w:rsidRPr="00482E46">
              <w:rPr>
                <w:rFonts w:cs="Times New Roman"/>
                <w:sz w:val="16"/>
                <w:szCs w:val="16"/>
              </w:rPr>
              <w:t>20.01.00 "Valsts sociālie pabalsti"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BDF8F"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10 759 076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C1FA2"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11 317 309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6438C"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11 438 024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A2674"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7620CC1"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5 520 197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900F11" w14:textId="77777777" w:rsidR="000A660F" w:rsidRPr="00BE065D"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7 823 878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C9EFFE6"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ACC1D28" w14:textId="77777777" w:rsidR="000A660F" w:rsidRPr="00223B5F"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7 823 878</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73875215" w14:textId="77777777" w:rsidR="000A660F" w:rsidRPr="00482E46" w:rsidRDefault="000A660F" w:rsidP="003309D5">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0A660F" w:rsidRPr="00BE135E" w14:paraId="6FA1CDBC"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7C1EC"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730D4"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93AC3" w14:textId="77777777" w:rsidR="000A660F" w:rsidRPr="00BE065D" w:rsidRDefault="000A660F" w:rsidP="003309D5">
            <w:pPr>
              <w:spacing w:after="0" w:line="240" w:lineRule="auto"/>
              <w:jc w:val="center"/>
              <w:rPr>
                <w:rFonts w:cs="Times New Roman"/>
                <w:sz w:val="16"/>
                <w:szCs w:val="16"/>
              </w:rPr>
            </w:pPr>
            <w:r w:rsidRPr="00BE065D">
              <w:rPr>
                <w:rFonts w:cs="Times New Roman"/>
                <w:sz w:val="16"/>
                <w:szCs w:val="16"/>
              </w:rPr>
              <w:t>97.02.00 “Nozares centralizēto funkciju izpilde”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02D85" w14:textId="77777777" w:rsidR="000A660F" w:rsidRPr="00BE065D" w:rsidRDefault="000A660F" w:rsidP="003309D5">
            <w:pPr>
              <w:spacing w:after="0" w:line="240" w:lineRule="auto"/>
              <w:jc w:val="center"/>
              <w:rPr>
                <w:rFonts w:cs="Times New Roman"/>
                <w:sz w:val="16"/>
                <w:szCs w:val="16"/>
              </w:rPr>
            </w:pPr>
            <w:r w:rsidRPr="00BE065D">
              <w:rPr>
                <w:rFonts w:cs="Times New Roman"/>
                <w:sz w:val="16"/>
                <w:szCs w:val="16"/>
              </w:rPr>
              <w:t>325 729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F29A0" w14:textId="77777777" w:rsidR="000A660F" w:rsidRPr="00BE065D" w:rsidRDefault="000A660F" w:rsidP="003309D5">
            <w:pPr>
              <w:spacing w:after="0" w:line="240" w:lineRule="auto"/>
              <w:jc w:val="center"/>
              <w:rPr>
                <w:rFonts w:cs="Times New Roman"/>
                <w:sz w:val="16"/>
                <w:szCs w:val="16"/>
              </w:rPr>
            </w:pPr>
            <w:r w:rsidRPr="00BE065D">
              <w:rPr>
                <w:rFonts w:cs="Times New Roman"/>
                <w:sz w:val="16"/>
                <w:szCs w:val="16"/>
              </w:rPr>
              <w:t>129 773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C9E97" w14:textId="77777777" w:rsidR="000A660F" w:rsidRPr="00BE065D" w:rsidRDefault="000A660F" w:rsidP="003309D5">
            <w:pPr>
              <w:spacing w:after="0" w:line="240" w:lineRule="auto"/>
              <w:jc w:val="center"/>
              <w:rPr>
                <w:rFonts w:cs="Times New Roman"/>
                <w:sz w:val="16"/>
                <w:szCs w:val="16"/>
              </w:rPr>
            </w:pPr>
            <w:r w:rsidRPr="00BE065D">
              <w:rPr>
                <w:rFonts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CDAED" w14:textId="77777777" w:rsidR="000A660F" w:rsidRPr="00BE065D" w:rsidRDefault="000A660F" w:rsidP="003309D5">
            <w:pPr>
              <w:spacing w:after="0" w:line="240" w:lineRule="auto"/>
              <w:jc w:val="center"/>
              <w:rPr>
                <w:rFonts w:cs="Times New Roman"/>
                <w:sz w:val="16"/>
                <w:szCs w:val="16"/>
              </w:rPr>
            </w:pPr>
            <w:r w:rsidRPr="00BE065D">
              <w:rPr>
                <w:rFonts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FF7884B" w14:textId="77777777" w:rsidR="000A660F" w:rsidRPr="00BE065D" w:rsidRDefault="000A660F" w:rsidP="003309D5">
            <w:pPr>
              <w:spacing w:after="0" w:line="240" w:lineRule="auto"/>
              <w:jc w:val="center"/>
              <w:rPr>
                <w:rFonts w:cs="Times New Roman"/>
                <w:sz w:val="16"/>
                <w:szCs w:val="16"/>
              </w:rPr>
            </w:pPr>
            <w:r w:rsidRPr="00BE065D">
              <w:rPr>
                <w:rFonts w:cs="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34890D" w14:textId="77777777" w:rsidR="000A660F" w:rsidRPr="00BE065D" w:rsidRDefault="000A660F" w:rsidP="003309D5">
            <w:pPr>
              <w:spacing w:after="0" w:line="240" w:lineRule="auto"/>
              <w:jc w:val="center"/>
              <w:rPr>
                <w:rFonts w:cs="Times New Roman"/>
                <w:sz w:val="16"/>
                <w:szCs w:val="16"/>
              </w:rPr>
            </w:pPr>
            <w:r w:rsidRPr="00BE065D">
              <w:rPr>
                <w:rFonts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87A8F77"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0DE969B" w14:textId="77777777" w:rsidR="000A660F" w:rsidRPr="00223B5F" w:rsidRDefault="000A660F" w:rsidP="003309D5">
            <w:pPr>
              <w:spacing w:after="0" w:line="240" w:lineRule="auto"/>
              <w:jc w:val="center"/>
              <w:rPr>
                <w:rFonts w:eastAsia="Times New Roman" w:cs="Times New Roman"/>
                <w:sz w:val="16"/>
                <w:szCs w:val="16"/>
                <w:lang w:eastAsia="lv-LV"/>
              </w:rPr>
            </w:pPr>
            <w:r w:rsidRPr="00BE065D">
              <w:rPr>
                <w:rFonts w:cs="Times New Roman"/>
                <w:sz w:val="16"/>
                <w:szCs w:val="16"/>
              </w:rPr>
              <w:t>0</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664491FF"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48CA6E5F"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E86EE"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B2604"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E1ADB" w14:textId="77777777" w:rsidR="000A660F" w:rsidRPr="00482E46" w:rsidRDefault="000A660F" w:rsidP="003309D5">
            <w:pPr>
              <w:spacing w:after="0" w:line="240" w:lineRule="auto"/>
              <w:jc w:val="center"/>
              <w:rPr>
                <w:rFonts w:eastAsia="Times New Roman" w:cs="Times New Roman"/>
                <w:b/>
                <w:i/>
                <w:iCs/>
                <w:sz w:val="16"/>
                <w:szCs w:val="16"/>
                <w:lang w:eastAsia="lv-LV"/>
              </w:rPr>
            </w:pPr>
            <w:r w:rsidRPr="00482E46">
              <w:rPr>
                <w:rFonts w:cs="Times New Roman"/>
                <w:b/>
                <w:i/>
                <w:iCs/>
                <w:sz w:val="16"/>
                <w:szCs w:val="16"/>
              </w:rPr>
              <w:t>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90E43"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57 699 972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4FDDA"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57 902 790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2B620D"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58 141 698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D35A3"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F686F"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22 114 847</w:t>
            </w:r>
          </w:p>
        </w:tc>
        <w:tc>
          <w:tcPr>
            <w:tcW w:w="992" w:type="dxa"/>
            <w:tcBorders>
              <w:top w:val="single" w:sz="4" w:space="0" w:color="auto"/>
              <w:left w:val="nil"/>
              <w:bottom w:val="single" w:sz="4" w:space="0" w:color="auto"/>
              <w:right w:val="single" w:sz="4" w:space="0" w:color="auto"/>
            </w:tcBorders>
            <w:shd w:val="clear" w:color="auto" w:fill="auto"/>
            <w:vAlign w:val="center"/>
          </w:tcPr>
          <w:p w14:paraId="52B657B8"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30 474 491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8500F2D"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2630950" w14:textId="77777777" w:rsidR="000A660F" w:rsidRPr="00223B5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30 474 491</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5C692557" w14:textId="77777777" w:rsidR="000A660F" w:rsidRPr="00482E46" w:rsidRDefault="000A660F" w:rsidP="003309D5">
            <w:pPr>
              <w:spacing w:after="0" w:line="240" w:lineRule="auto"/>
              <w:jc w:val="center"/>
              <w:rPr>
                <w:rFonts w:eastAsia="Times New Roman" w:cs="Times New Roman"/>
                <w:b/>
                <w:sz w:val="16"/>
                <w:szCs w:val="16"/>
                <w:lang w:eastAsia="lv-LV"/>
              </w:rPr>
            </w:pPr>
            <w:r w:rsidRPr="00482E46">
              <w:rPr>
                <w:rFonts w:eastAsia="Times New Roman" w:cs="Times New Roman"/>
                <w:b/>
                <w:sz w:val="16"/>
                <w:szCs w:val="16"/>
                <w:lang w:eastAsia="lv-LV"/>
              </w:rPr>
              <w:t>-</w:t>
            </w:r>
          </w:p>
        </w:tc>
      </w:tr>
      <w:tr w:rsidR="000A660F" w:rsidRPr="00BE135E" w14:paraId="3C2AEDA4"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8FE58"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2228E"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457FC" w14:textId="77777777" w:rsidR="000A660F" w:rsidRPr="00482E46" w:rsidRDefault="000A660F" w:rsidP="003309D5">
            <w:pPr>
              <w:spacing w:after="0" w:line="240" w:lineRule="auto"/>
              <w:jc w:val="center"/>
              <w:rPr>
                <w:rFonts w:eastAsia="Times New Roman" w:cs="Times New Roman"/>
                <w:iCs/>
                <w:sz w:val="16"/>
                <w:szCs w:val="16"/>
                <w:lang w:eastAsia="lv-LV"/>
              </w:rPr>
            </w:pPr>
            <w:r w:rsidRPr="00482E46">
              <w:rPr>
                <w:rFonts w:cs="Times New Roman"/>
                <w:sz w:val="16"/>
                <w:szCs w:val="16"/>
              </w:rPr>
              <w:t>04.01.00 “Valsts pensiju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203370"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27 404 270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2482D"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27 331 080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79CD2"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27 270 544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C80027"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BAA62C"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10 674 559</w:t>
            </w:r>
          </w:p>
        </w:tc>
        <w:tc>
          <w:tcPr>
            <w:tcW w:w="992" w:type="dxa"/>
            <w:tcBorders>
              <w:top w:val="single" w:sz="4" w:space="0" w:color="auto"/>
              <w:left w:val="nil"/>
              <w:bottom w:val="single" w:sz="4" w:space="0" w:color="auto"/>
              <w:right w:val="single" w:sz="4" w:space="0" w:color="auto"/>
            </w:tcBorders>
            <w:shd w:val="clear" w:color="auto" w:fill="auto"/>
            <w:vAlign w:val="center"/>
          </w:tcPr>
          <w:p w14:paraId="2A859CD5"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14 909 047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2DE6FB8"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70C59B" w14:textId="77777777" w:rsidR="000A660F" w:rsidRPr="00223B5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14 909 047</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23598408" w14:textId="77777777" w:rsidR="000A660F" w:rsidRPr="00482E46" w:rsidRDefault="000A660F" w:rsidP="003309D5">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0A660F" w:rsidRPr="00BE135E" w14:paraId="471D3A10"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B7209"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4482ABB8" w14:textId="77777777" w:rsidR="000A660F" w:rsidRPr="00482E46" w:rsidRDefault="000A660F" w:rsidP="003309D5">
            <w:pPr>
              <w:spacing w:after="0" w:line="240" w:lineRule="auto"/>
              <w:jc w:val="center"/>
              <w:rPr>
                <w:rFonts w:eastAsia="Times New Roman" w:cs="Times New Roman"/>
                <w:iCs/>
                <w:sz w:val="16"/>
                <w:szCs w:val="16"/>
                <w:highlight w:val="yellow"/>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293A0" w14:textId="77777777" w:rsidR="000A660F" w:rsidRPr="00482E46" w:rsidRDefault="000A660F" w:rsidP="003309D5">
            <w:pPr>
              <w:spacing w:after="0" w:line="240" w:lineRule="auto"/>
              <w:jc w:val="center"/>
              <w:rPr>
                <w:rFonts w:eastAsia="Times New Roman" w:cs="Times New Roman"/>
                <w:iCs/>
                <w:sz w:val="16"/>
                <w:szCs w:val="16"/>
                <w:lang w:eastAsia="lv-LV"/>
              </w:rPr>
            </w:pPr>
            <w:r w:rsidRPr="00482E46">
              <w:rPr>
                <w:rFonts w:cs="Times New Roman"/>
                <w:sz w:val="16"/>
                <w:szCs w:val="16"/>
              </w:rPr>
              <w:t>04.02.00 “Nodarbinātības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E63C89"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229 686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D44B1"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191 698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0E382"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171 379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94EEAF"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57E2D"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49 538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164C93"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76 215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4A780"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1ABC54" w14:textId="77777777" w:rsidR="000A660F" w:rsidRPr="00223B5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76 215</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7D2C3" w14:textId="77777777" w:rsidR="000A660F" w:rsidRPr="00482E46" w:rsidRDefault="000A660F" w:rsidP="003309D5">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0A660F" w:rsidRPr="00BE135E" w14:paraId="7ABCC11D"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4CA2"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620DAE01"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93D52" w14:textId="77777777" w:rsidR="000A660F" w:rsidRPr="00482E46" w:rsidRDefault="000A660F" w:rsidP="003309D5">
            <w:pPr>
              <w:spacing w:after="0" w:line="240" w:lineRule="auto"/>
              <w:jc w:val="center"/>
              <w:rPr>
                <w:rFonts w:eastAsia="Times New Roman" w:cs="Times New Roman"/>
                <w:iCs/>
                <w:sz w:val="16"/>
                <w:szCs w:val="16"/>
                <w:lang w:eastAsia="lv-LV"/>
              </w:rPr>
            </w:pPr>
            <w:r w:rsidRPr="00482E46">
              <w:rPr>
                <w:rFonts w:cs="Times New Roman"/>
                <w:sz w:val="16"/>
                <w:szCs w:val="16"/>
              </w:rPr>
              <w:t>04.03.00 “Darba negadījumu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124E47"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901 052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1CB51"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927 803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1ADE1"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956 126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86734"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C2742"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391 805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CAE212"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565 299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FB73D"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356BD0" w14:textId="77777777" w:rsidR="000A660F" w:rsidRPr="00482E46"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565 299</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5DD6F" w14:textId="77777777" w:rsidR="000A660F" w:rsidRPr="00482E46" w:rsidRDefault="000A660F" w:rsidP="003309D5">
            <w:pPr>
              <w:spacing w:after="0" w:line="240" w:lineRule="auto"/>
              <w:jc w:val="center"/>
              <w:rPr>
                <w:rFonts w:eastAsia="Times New Roman" w:cs="Times New Roman"/>
                <w:sz w:val="16"/>
                <w:szCs w:val="16"/>
                <w:lang w:eastAsia="lv-LV"/>
              </w:rPr>
            </w:pPr>
            <w:r>
              <w:rPr>
                <w:rFonts w:eastAsia="Times New Roman" w:cs="Times New Roman"/>
                <w:sz w:val="16"/>
                <w:szCs w:val="16"/>
                <w:lang w:eastAsia="lv-LV"/>
              </w:rPr>
              <w:t>-</w:t>
            </w:r>
          </w:p>
        </w:tc>
      </w:tr>
      <w:tr w:rsidR="000A660F" w:rsidRPr="00BE135E" w14:paraId="4B285E27"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974EA"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706C1"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FA78" w14:textId="77777777" w:rsidR="000A660F" w:rsidRPr="00482E46" w:rsidRDefault="000A660F" w:rsidP="003309D5">
            <w:pPr>
              <w:spacing w:after="0" w:line="240" w:lineRule="auto"/>
              <w:jc w:val="center"/>
              <w:rPr>
                <w:rFonts w:eastAsia="Times New Roman" w:cs="Times New Roman"/>
                <w:iCs/>
                <w:sz w:val="16"/>
                <w:szCs w:val="16"/>
                <w:lang w:eastAsia="lv-LV"/>
              </w:rPr>
            </w:pPr>
            <w:r w:rsidRPr="00482E46">
              <w:rPr>
                <w:rFonts w:cs="Times New Roman"/>
                <w:sz w:val="16"/>
                <w:szCs w:val="16"/>
              </w:rPr>
              <w:t>04.04.00 “Invaliditātes, maternitātes un slimības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17BE11"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29 164 964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33805"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29 452 209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8C0E0"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29 743 649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C3FE6"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6C0B08"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10 998 945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F01FC0"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14 923 930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EED87"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EB39A6" w14:textId="77777777" w:rsidR="000A660F" w:rsidRPr="00482E46" w:rsidRDefault="000A660F" w:rsidP="003309D5">
            <w:pPr>
              <w:spacing w:after="0" w:line="240" w:lineRule="auto"/>
              <w:jc w:val="center"/>
              <w:rPr>
                <w:rFonts w:eastAsia="Times New Roman" w:cs="Times New Roman"/>
                <w:sz w:val="16"/>
                <w:szCs w:val="16"/>
                <w:lang w:eastAsia="lv-LV"/>
              </w:rPr>
            </w:pPr>
            <w:r w:rsidRPr="005D053F">
              <w:rPr>
                <w:rFonts w:cs="Times New Roman"/>
                <w:sz w:val="16"/>
                <w:szCs w:val="16"/>
              </w:rPr>
              <w:t>14 923 930</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F5478"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48FF11E9"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0E0D9"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2AAEC724" w14:textId="77777777" w:rsidR="000A660F" w:rsidRPr="005D053F" w:rsidRDefault="000A660F" w:rsidP="003309D5">
            <w:pPr>
              <w:spacing w:after="0" w:line="240" w:lineRule="auto"/>
              <w:jc w:val="center"/>
              <w:rPr>
                <w:rFonts w:eastAsia="Times New Roman" w:cs="Times New Roman"/>
                <w:b/>
                <w:iCs/>
                <w:sz w:val="16"/>
                <w:szCs w:val="16"/>
                <w:lang w:eastAsia="lv-LV"/>
              </w:rPr>
            </w:pPr>
            <w:r w:rsidRPr="005D053F">
              <w:rPr>
                <w:rFonts w:eastAsia="Times New Roman" w:cs="Times New Roman"/>
                <w:b/>
                <w:iCs/>
                <w:sz w:val="16"/>
                <w:szCs w:val="16"/>
                <w:lang w:eastAsia="lv-LV"/>
              </w:rPr>
              <w:t>29. Veselības ministrija</w:t>
            </w:r>
          </w:p>
        </w:tc>
        <w:tc>
          <w:tcPr>
            <w:tcW w:w="1559" w:type="dxa"/>
            <w:tcBorders>
              <w:top w:val="single" w:sz="4" w:space="0" w:color="auto"/>
              <w:left w:val="nil"/>
              <w:bottom w:val="single" w:sz="4" w:space="0" w:color="auto"/>
              <w:right w:val="nil"/>
            </w:tcBorders>
            <w:shd w:val="clear" w:color="auto" w:fill="FFFFFF" w:themeFill="background1"/>
            <w:vAlign w:val="center"/>
          </w:tcPr>
          <w:p w14:paraId="0E1A6F8C" w14:textId="77777777" w:rsidR="000A660F" w:rsidRPr="005D053F" w:rsidRDefault="000A660F" w:rsidP="003309D5">
            <w:pPr>
              <w:spacing w:after="0" w:line="240" w:lineRule="auto"/>
              <w:jc w:val="center"/>
              <w:rPr>
                <w:rFonts w:eastAsia="Times New Roman" w:cs="Times New Roman"/>
                <w:b/>
                <w:iCs/>
                <w:sz w:val="16"/>
                <w:szCs w:val="16"/>
                <w:lang w:eastAsia="lv-LV"/>
              </w:rPr>
            </w:pPr>
            <w:r w:rsidRPr="005D053F">
              <w:rPr>
                <w:rFonts w:eastAsia="Times New Roman" w:cs="Times New Roman"/>
                <w:b/>
                <w:iCs/>
                <w:sz w:val="16"/>
                <w:szCs w:val="16"/>
                <w:lang w:eastAsia="lv-LV"/>
              </w:rPr>
              <w:t>33.00.00 „Veselības aprūpes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35FB91"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1 582 480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00BBDF"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1 361 437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343DD2"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1 151 550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452AA"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54387F"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413 551</w:t>
            </w:r>
          </w:p>
        </w:tc>
        <w:tc>
          <w:tcPr>
            <w:tcW w:w="992" w:type="dxa"/>
            <w:tcBorders>
              <w:top w:val="single" w:sz="4" w:space="0" w:color="auto"/>
              <w:left w:val="nil"/>
              <w:bottom w:val="single" w:sz="4" w:space="0" w:color="auto"/>
              <w:right w:val="single" w:sz="4" w:space="0" w:color="auto"/>
            </w:tcBorders>
            <w:shd w:val="clear" w:color="auto" w:fill="auto"/>
            <w:vAlign w:val="center"/>
          </w:tcPr>
          <w:p w14:paraId="4B084836"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600 245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7C724EC"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DE03B63" w14:textId="77777777" w:rsidR="000A660F" w:rsidRPr="00223B5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600 245</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2E533403"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4B86308B"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EE1AC"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5F046F01" w14:textId="77777777" w:rsidR="000A660F" w:rsidRPr="005D053F" w:rsidRDefault="000A660F" w:rsidP="003309D5">
            <w:pPr>
              <w:spacing w:after="0" w:line="240" w:lineRule="auto"/>
              <w:jc w:val="center"/>
              <w:rPr>
                <w:rFonts w:eastAsia="Times New Roman" w:cs="Times New Roman"/>
                <w:b/>
                <w:iCs/>
                <w:sz w:val="16"/>
                <w:szCs w:val="16"/>
                <w:lang w:eastAsia="lv-LV"/>
              </w:rPr>
            </w:pPr>
            <w:r>
              <w:rPr>
                <w:rFonts w:eastAsia="Times New Roman" w:cs="Times New Roman"/>
                <w:b/>
                <w:iCs/>
                <w:sz w:val="16"/>
                <w:szCs w:val="16"/>
                <w:lang w:eastAsia="lv-LV"/>
              </w:rPr>
              <w:t>Pašvaldību budžets (GMI pabalsta</w:t>
            </w:r>
            <w:r w:rsidRPr="005D053F">
              <w:rPr>
                <w:rFonts w:eastAsia="Times New Roman" w:cs="Times New Roman"/>
                <w:b/>
                <w:iCs/>
                <w:sz w:val="16"/>
                <w:szCs w:val="16"/>
                <w:lang w:eastAsia="lv-LV"/>
              </w:rPr>
              <w:t xml:space="preserve"> un mājokļa pabalsta nodrošināšanai)</w:t>
            </w:r>
          </w:p>
          <w:p w14:paraId="48236C61" w14:textId="77777777" w:rsidR="000A660F" w:rsidRPr="005D053F" w:rsidRDefault="000A660F" w:rsidP="003309D5">
            <w:pPr>
              <w:spacing w:after="0" w:line="240" w:lineRule="auto"/>
              <w:jc w:val="center"/>
              <w:rPr>
                <w:rFonts w:eastAsia="Times New Roman" w:cs="Times New Roman"/>
                <w:b/>
                <w:i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tcPr>
          <w:p w14:paraId="1201981D" w14:textId="77777777" w:rsidR="000A660F" w:rsidRPr="005D053F" w:rsidRDefault="000A660F" w:rsidP="003309D5">
            <w:pPr>
              <w:spacing w:after="0" w:line="240" w:lineRule="auto"/>
              <w:jc w:val="center"/>
              <w:rPr>
                <w:rFonts w:eastAsia="Times New Roman" w:cs="Times New Roman"/>
                <w:b/>
                <w:i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353FF7"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25 041 101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E3BFBF"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23 060 234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FD422"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21 175 496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B9FCB5"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209C39"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48 743 681</w:t>
            </w:r>
          </w:p>
        </w:tc>
        <w:tc>
          <w:tcPr>
            <w:tcW w:w="992" w:type="dxa"/>
            <w:tcBorders>
              <w:top w:val="single" w:sz="4" w:space="0" w:color="auto"/>
              <w:left w:val="nil"/>
              <w:bottom w:val="single" w:sz="4" w:space="0" w:color="auto"/>
              <w:right w:val="single" w:sz="4" w:space="0" w:color="auto"/>
            </w:tcBorders>
            <w:shd w:val="clear" w:color="auto" w:fill="auto"/>
            <w:vAlign w:val="center"/>
          </w:tcPr>
          <w:p w14:paraId="1E1602D6"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51 312 656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D779433" w14:textId="77777777" w:rsidR="000A660F" w:rsidRPr="00223B5F"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F7D34CD" w14:textId="77777777" w:rsidR="000A660F" w:rsidRPr="00223B5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51 312 656</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015F993B"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521CF" w14:paraId="37812C36" w14:textId="77777777" w:rsidTr="003309D5">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601229B" w14:textId="77777777" w:rsidR="000A660F" w:rsidRPr="00482E46" w:rsidRDefault="000A660F" w:rsidP="003309D5">
            <w:pPr>
              <w:spacing w:after="0" w:line="240" w:lineRule="auto"/>
              <w:rPr>
                <w:rFonts w:eastAsia="Times New Roman" w:cs="Times New Roman"/>
                <w:b/>
                <w:bCs/>
                <w:sz w:val="16"/>
                <w:szCs w:val="16"/>
                <w:lang w:eastAsia="lv-LV"/>
              </w:rPr>
            </w:pPr>
            <w:r w:rsidRPr="00482E46">
              <w:rPr>
                <w:rFonts w:eastAsia="Times New Roman" w:cs="Times New Roman"/>
                <w:b/>
                <w:bCs/>
                <w:sz w:val="16"/>
                <w:szCs w:val="16"/>
                <w:lang w:eastAsia="lv-LV"/>
              </w:rPr>
              <w:t>PLĀNA PASĀKUMI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97F02" w14:textId="77777777" w:rsidR="000A660F" w:rsidRPr="00482E46" w:rsidRDefault="000A660F" w:rsidP="003309D5">
            <w:pPr>
              <w:spacing w:after="0" w:line="240" w:lineRule="auto"/>
              <w:jc w:val="both"/>
              <w:rPr>
                <w:rFonts w:eastAsia="Times New Roman" w:cs="Times New Roman"/>
                <w:sz w:val="16"/>
                <w:szCs w:val="16"/>
                <w:lang w:eastAsia="lv-LV"/>
              </w:rPr>
            </w:pPr>
            <w:r w:rsidRPr="00482E46">
              <w:rPr>
                <w:rFonts w:eastAsia="Times New Roman" w:cs="Times New Roman"/>
                <w:sz w:val="16"/>
                <w:szCs w:val="16"/>
                <w:lang w:eastAsia="lv-LV"/>
              </w:rPr>
              <w:t> </w:t>
            </w:r>
          </w:p>
        </w:tc>
        <w:tc>
          <w:tcPr>
            <w:tcW w:w="1559" w:type="dxa"/>
            <w:tcBorders>
              <w:top w:val="single" w:sz="4" w:space="0" w:color="auto"/>
              <w:left w:val="nil"/>
              <w:bottom w:val="single" w:sz="4" w:space="0" w:color="auto"/>
              <w:right w:val="nil"/>
            </w:tcBorders>
            <w:shd w:val="clear" w:color="auto" w:fill="FFFFFF" w:themeFill="background1"/>
            <w:hideMark/>
          </w:tcPr>
          <w:p w14:paraId="2FAA3C61" w14:textId="77777777" w:rsidR="000A660F" w:rsidRPr="00482E46" w:rsidRDefault="000A660F" w:rsidP="003309D5">
            <w:pPr>
              <w:spacing w:after="0" w:line="240" w:lineRule="auto"/>
              <w:jc w:val="both"/>
              <w:rPr>
                <w:rFonts w:eastAsia="Times New Roman" w:cs="Times New Roman"/>
                <w:sz w:val="16"/>
                <w:szCs w:val="16"/>
                <w:lang w:eastAsia="lv-LV"/>
              </w:rPr>
            </w:pPr>
            <w:r w:rsidRPr="00482E46">
              <w:rPr>
                <w:rFonts w:eastAsia="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DB281C"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29E8FF7"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805CFBE"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11FFA423"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488CC9"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54DCC17"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49B7CBA"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7C0CB466"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0E719C2D"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D23381" w14:paraId="3FE542DC" w14:textId="77777777" w:rsidTr="003309D5">
        <w:trPr>
          <w:trHeight w:val="312"/>
          <w:jc w:val="center"/>
        </w:trPr>
        <w:tc>
          <w:tcPr>
            <w:tcW w:w="1858"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7189E07E" w14:textId="77777777" w:rsidR="000A660F" w:rsidRPr="00D23381" w:rsidRDefault="000A660F" w:rsidP="003309D5">
            <w:pPr>
              <w:pStyle w:val="ListParagraph"/>
              <w:numPr>
                <w:ilvl w:val="0"/>
                <w:numId w:val="35"/>
              </w:numPr>
              <w:spacing w:after="0" w:line="240" w:lineRule="auto"/>
              <w:ind w:left="29" w:firstLine="0"/>
              <w:jc w:val="both"/>
              <w:rPr>
                <w:rFonts w:eastAsia="Times New Roman" w:cs="Times New Roman"/>
                <w:b/>
                <w:bCs/>
                <w:sz w:val="16"/>
                <w:szCs w:val="16"/>
                <w:lang w:eastAsia="lv-LV"/>
              </w:rPr>
            </w:pPr>
            <w:r w:rsidRPr="00D23381">
              <w:rPr>
                <w:rFonts w:eastAsia="Times New Roman" w:cs="Times New Roman"/>
                <w:b/>
                <w:bCs/>
                <w:sz w:val="16"/>
                <w:szCs w:val="16"/>
                <w:lang w:eastAsia="lv-LV"/>
              </w:rPr>
              <w:t>Mainīt minimālo ienākumu sliekšņu noteikšanas principus, piesaistot tos sociālekonomiskam rādītājam</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6298C" w14:textId="77777777" w:rsidR="000A660F" w:rsidRPr="00D23381" w:rsidRDefault="000A660F" w:rsidP="003309D5">
            <w:pPr>
              <w:spacing w:after="0" w:line="240" w:lineRule="auto"/>
              <w:jc w:val="center"/>
              <w:rPr>
                <w:rFonts w:eastAsia="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D9D9D9" w:themeFill="background1" w:themeFillShade="D9"/>
            <w:hideMark/>
          </w:tcPr>
          <w:p w14:paraId="3D24CFBA" w14:textId="77777777" w:rsidR="000A660F" w:rsidRPr="00D23381" w:rsidRDefault="000A660F" w:rsidP="003309D5">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41F3AD" w14:textId="77777777" w:rsidR="000A660F" w:rsidRPr="005D053F" w:rsidRDefault="000A660F" w:rsidP="003309D5">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2E1D46" w14:textId="77777777" w:rsidR="000A660F" w:rsidRPr="005D053F" w:rsidRDefault="000A660F" w:rsidP="003309D5">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25CFB5" w14:textId="77777777" w:rsidR="000A660F" w:rsidRPr="005D053F" w:rsidRDefault="000A660F" w:rsidP="003309D5">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9E4552" w14:textId="77777777" w:rsidR="000A660F" w:rsidRPr="005D053F" w:rsidRDefault="000A660F" w:rsidP="003309D5">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0D62A4A" w14:textId="77777777" w:rsidR="000A660F" w:rsidRPr="005D053F" w:rsidRDefault="000A660F" w:rsidP="003309D5">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212801" w14:textId="77777777" w:rsidR="000A660F" w:rsidRPr="005D053F" w:rsidRDefault="000A660F" w:rsidP="003309D5">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A08A75F" w14:textId="77777777" w:rsidR="000A660F" w:rsidRPr="00D23381" w:rsidRDefault="000A660F" w:rsidP="003309D5">
            <w:pPr>
              <w:spacing w:after="0" w:line="240" w:lineRule="auto"/>
              <w:jc w:val="center"/>
              <w:rPr>
                <w:rFonts w:eastAsia="Times New Roman" w:cs="Times New Roman"/>
                <w:b/>
                <w:b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09CED7" w14:textId="77777777" w:rsidR="000A660F" w:rsidRPr="00D23381" w:rsidRDefault="000A660F" w:rsidP="003309D5">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50D417" w14:textId="77777777" w:rsidR="000A660F" w:rsidRPr="00D23381" w:rsidRDefault="000A660F" w:rsidP="003309D5">
            <w:pPr>
              <w:spacing w:after="0" w:line="240" w:lineRule="auto"/>
              <w:jc w:val="center"/>
              <w:rPr>
                <w:rFonts w:eastAsia="Times New Roman" w:cs="Times New Roman"/>
                <w:b/>
                <w:bCs/>
                <w:sz w:val="16"/>
                <w:szCs w:val="16"/>
                <w:lang w:eastAsia="lv-LV"/>
              </w:rPr>
            </w:pPr>
          </w:p>
        </w:tc>
      </w:tr>
      <w:tr w:rsidR="000A660F" w:rsidRPr="00D23381" w14:paraId="28D083D0" w14:textId="77777777" w:rsidTr="003309D5">
        <w:trPr>
          <w:trHeight w:val="312"/>
          <w:jc w:val="center"/>
        </w:trPr>
        <w:tc>
          <w:tcPr>
            <w:tcW w:w="1858"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5942B6DB" w14:textId="77777777" w:rsidR="000A660F" w:rsidRPr="00D23381" w:rsidRDefault="000A660F" w:rsidP="003309D5">
            <w:pPr>
              <w:pStyle w:val="ListParagraph"/>
              <w:numPr>
                <w:ilvl w:val="0"/>
                <w:numId w:val="35"/>
              </w:numPr>
              <w:spacing w:after="0" w:line="240" w:lineRule="auto"/>
              <w:ind w:left="29" w:firstLine="0"/>
              <w:jc w:val="both"/>
              <w:rPr>
                <w:rFonts w:eastAsia="Times New Roman" w:cs="Times New Roman"/>
                <w:b/>
                <w:bCs/>
                <w:sz w:val="16"/>
                <w:szCs w:val="16"/>
                <w:lang w:eastAsia="lv-LV"/>
              </w:rPr>
            </w:pPr>
            <w:r w:rsidRPr="00716FC4">
              <w:rPr>
                <w:rFonts w:eastAsia="Times New Roman" w:cs="Times New Roman"/>
                <w:b/>
                <w:iCs/>
                <w:sz w:val="16"/>
                <w:szCs w:val="16"/>
                <w:lang w:eastAsia="lv-LV"/>
              </w:rPr>
              <w:t>Mainīt minimālo ienākumu sliekšņu pārskatīšanas nosacījumus, lai nodrošinātu to atbilstību reālajai sociālekonomiskajai situācijai</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DCD97" w14:textId="77777777" w:rsidR="000A660F" w:rsidRPr="00D23381" w:rsidRDefault="000A660F" w:rsidP="003309D5">
            <w:pPr>
              <w:spacing w:after="0" w:line="240" w:lineRule="auto"/>
              <w:jc w:val="center"/>
              <w:rPr>
                <w:rFonts w:eastAsia="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D9D9D9" w:themeFill="background1" w:themeFillShade="D9"/>
          </w:tcPr>
          <w:p w14:paraId="6275187C" w14:textId="77777777" w:rsidR="000A660F" w:rsidRPr="00D23381" w:rsidRDefault="000A660F" w:rsidP="003309D5">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3925FD" w14:textId="77777777" w:rsidR="000A660F" w:rsidRPr="005D053F" w:rsidRDefault="000A660F" w:rsidP="003309D5">
            <w:pPr>
              <w:spacing w:after="0" w:line="240" w:lineRule="auto"/>
              <w:jc w:val="center"/>
              <w:rPr>
                <w:rFonts w:cs="Times New Roman"/>
                <w:b/>
                <w:bCs/>
                <w:sz w:val="16"/>
                <w:szCs w:val="16"/>
              </w:rPr>
            </w:pPr>
            <w:r w:rsidRPr="005D053F">
              <w:rPr>
                <w:rFonts w:cs="Times New Roman"/>
                <w:b/>
                <w:bCs/>
                <w:sz w:val="16"/>
                <w:szCs w:val="16"/>
              </w:rPr>
              <w:t>69 079 914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7325B0" w14:textId="77777777" w:rsidR="000A660F" w:rsidRPr="005D053F" w:rsidRDefault="000A660F" w:rsidP="003309D5">
            <w:pPr>
              <w:spacing w:after="0" w:line="240" w:lineRule="auto"/>
              <w:jc w:val="center"/>
              <w:rPr>
                <w:rFonts w:cs="Times New Roman"/>
                <w:b/>
                <w:bCs/>
                <w:sz w:val="16"/>
                <w:szCs w:val="16"/>
              </w:rPr>
            </w:pPr>
            <w:r w:rsidRPr="005D053F">
              <w:rPr>
                <w:rFonts w:cs="Times New Roman"/>
                <w:b/>
                <w:bCs/>
                <w:sz w:val="16"/>
                <w:szCs w:val="16"/>
              </w:rPr>
              <w:t>69 637 414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479B56C" w14:textId="77777777" w:rsidR="000A660F" w:rsidRPr="005D053F" w:rsidRDefault="000A660F" w:rsidP="003309D5">
            <w:pPr>
              <w:spacing w:after="0" w:line="240" w:lineRule="auto"/>
              <w:jc w:val="center"/>
              <w:rPr>
                <w:rFonts w:cs="Times New Roman"/>
                <w:b/>
                <w:bCs/>
                <w:sz w:val="16"/>
                <w:szCs w:val="16"/>
              </w:rPr>
            </w:pPr>
            <w:r w:rsidRPr="005D053F">
              <w:rPr>
                <w:rFonts w:cs="Times New Roman"/>
                <w:b/>
                <w:bCs/>
                <w:sz w:val="16"/>
                <w:szCs w:val="16"/>
              </w:rPr>
              <w:t>69 863 201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31939A" w14:textId="77777777" w:rsidR="000A660F" w:rsidRPr="005D053F" w:rsidRDefault="000A660F" w:rsidP="003309D5">
            <w:pPr>
              <w:spacing w:after="0" w:line="240" w:lineRule="auto"/>
              <w:jc w:val="center"/>
              <w:rPr>
                <w:rFonts w:cs="Times New Roman"/>
                <w:b/>
                <w:bCs/>
                <w:sz w:val="16"/>
                <w:szCs w:val="16"/>
              </w:rPr>
            </w:pPr>
            <w:r w:rsidRPr="005D053F">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4F84A99" w14:textId="77777777" w:rsidR="000A660F" w:rsidRPr="005D053F" w:rsidRDefault="000A660F" w:rsidP="003309D5">
            <w:pPr>
              <w:spacing w:after="0" w:line="240" w:lineRule="auto"/>
              <w:jc w:val="center"/>
              <w:rPr>
                <w:rFonts w:cs="Times New Roman"/>
                <w:b/>
                <w:bCs/>
                <w:sz w:val="16"/>
                <w:szCs w:val="16"/>
              </w:rPr>
            </w:pPr>
            <w:r w:rsidRPr="005D053F">
              <w:rPr>
                <w:rFonts w:cs="Times New Roman"/>
                <w:b/>
                <w:bCs/>
                <w:sz w:val="16"/>
                <w:szCs w:val="16"/>
              </w:rPr>
              <w:t>27 744 568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4528647" w14:textId="77777777" w:rsidR="000A660F" w:rsidRPr="005D053F" w:rsidRDefault="000A660F" w:rsidP="003309D5">
            <w:pPr>
              <w:spacing w:after="0" w:line="240" w:lineRule="auto"/>
              <w:rPr>
                <w:rFonts w:cs="Times New Roman"/>
                <w:b/>
                <w:bCs/>
                <w:sz w:val="16"/>
                <w:szCs w:val="16"/>
              </w:rPr>
            </w:pPr>
            <w:r w:rsidRPr="005D053F">
              <w:rPr>
                <w:rFonts w:cs="Times New Roman"/>
                <w:b/>
                <w:bCs/>
                <w:sz w:val="16"/>
                <w:szCs w:val="16"/>
              </w:rPr>
              <w:t>38 448 768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F6428F" w14:textId="77777777" w:rsidR="000A660F" w:rsidRPr="00D23381" w:rsidRDefault="000A660F" w:rsidP="003309D5">
            <w:pPr>
              <w:spacing w:after="0" w:line="240" w:lineRule="auto"/>
              <w:jc w:val="center"/>
              <w:rPr>
                <w:rFonts w:eastAsia="Times New Roman" w:cs="Times New Roman"/>
                <w:b/>
                <w:b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E644FF4" w14:textId="77777777" w:rsidR="000A660F" w:rsidRPr="005D053F" w:rsidRDefault="000A660F" w:rsidP="003309D5">
            <w:pPr>
              <w:spacing w:after="0" w:line="240" w:lineRule="auto"/>
              <w:jc w:val="center"/>
              <w:rPr>
                <w:rFonts w:cs="Times New Roman"/>
                <w:b/>
                <w:bCs/>
                <w:sz w:val="16"/>
                <w:szCs w:val="16"/>
              </w:rPr>
            </w:pPr>
            <w:r w:rsidRPr="005D053F">
              <w:rPr>
                <w:rFonts w:cs="Times New Roman"/>
                <w:b/>
                <w:bCs/>
                <w:sz w:val="16"/>
                <w:szCs w:val="16"/>
              </w:rPr>
              <w:t>38 448 768</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95BFB9E" w14:textId="77777777" w:rsidR="000A660F" w:rsidRPr="00D23381" w:rsidRDefault="000A660F" w:rsidP="003309D5">
            <w:pPr>
              <w:spacing w:after="0" w:line="240" w:lineRule="auto"/>
              <w:jc w:val="center"/>
              <w:rPr>
                <w:rFonts w:eastAsia="Times New Roman" w:cs="Times New Roman"/>
                <w:b/>
                <w:bCs/>
                <w:sz w:val="16"/>
                <w:szCs w:val="16"/>
                <w:lang w:eastAsia="lv-LV"/>
              </w:rPr>
            </w:pPr>
          </w:p>
        </w:tc>
      </w:tr>
      <w:tr w:rsidR="000A660F" w:rsidRPr="00BE135E" w14:paraId="4AEE2E54"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hideMark/>
          </w:tcPr>
          <w:p w14:paraId="625D8ADE" w14:textId="77777777" w:rsidR="000A660F" w:rsidRPr="005D053F" w:rsidRDefault="000A660F" w:rsidP="003309D5">
            <w:pPr>
              <w:pStyle w:val="ListParagraph"/>
              <w:numPr>
                <w:ilvl w:val="1"/>
                <w:numId w:val="35"/>
              </w:numPr>
              <w:spacing w:after="0" w:line="240" w:lineRule="auto"/>
              <w:ind w:left="315"/>
              <w:jc w:val="both"/>
              <w:rPr>
                <w:rFonts w:eastAsia="Times New Roman" w:cs="Times New Roman"/>
                <w:b/>
                <w:sz w:val="16"/>
                <w:szCs w:val="16"/>
                <w:lang w:eastAsia="lv-LV"/>
              </w:rPr>
            </w:pPr>
            <w:r>
              <w:rPr>
                <w:rFonts w:eastAsia="Times New Roman" w:cs="Times New Roman"/>
                <w:b/>
                <w:sz w:val="16"/>
                <w:szCs w:val="16"/>
                <w:lang w:eastAsia="lv-LV"/>
              </w:rPr>
              <w:t>Minimālo pensiju paaugstināšana.</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54B5A" w14:textId="77777777" w:rsidR="000A660F" w:rsidRPr="00482E46" w:rsidRDefault="000A660F" w:rsidP="003309D5">
            <w:pPr>
              <w:spacing w:after="0" w:line="240" w:lineRule="auto"/>
              <w:jc w:val="center"/>
              <w:rPr>
                <w:rFonts w:eastAsia="Times New Roman" w:cs="Times New Roman"/>
                <w:sz w:val="16"/>
                <w:szCs w:val="16"/>
                <w:lang w:eastAsia="lv-LV"/>
              </w:rPr>
            </w:pPr>
            <w:r w:rsidRPr="001644B4">
              <w:rPr>
                <w:rFonts w:eastAsia="Times New Roman" w:cs="Times New Roman"/>
                <w:sz w:val="16"/>
                <w:szCs w:val="16"/>
                <w:lang w:eastAsia="lv-LV"/>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15489A55" w14:textId="77777777" w:rsidR="000A660F" w:rsidRPr="00CB6406" w:rsidRDefault="000A660F" w:rsidP="003309D5">
            <w:pPr>
              <w:spacing w:after="0" w:line="240" w:lineRule="auto"/>
              <w:jc w:val="center"/>
              <w:rPr>
                <w:rFonts w:eastAsia="Times New Roman" w:cs="Times New Roman"/>
                <w:sz w:val="16"/>
                <w:szCs w:val="16"/>
                <w:lang w:eastAsia="lv-LV"/>
              </w:rPr>
            </w:pPr>
            <w:r w:rsidRPr="00CB6406">
              <w:rPr>
                <w:rFonts w:eastAsia="Times New Roman" w:cs="Times New Roman"/>
                <w:sz w:val="16"/>
                <w:szCs w:val="16"/>
                <w:lang w:eastAsia="lv-LV"/>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55722B"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51 241 272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099371"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51 455 327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6A3C40"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51 686 231</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965A2A"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0DBAEC"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18 534 177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C8DC61" w14:textId="77777777" w:rsidR="000A660F" w:rsidRPr="005D053F"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25 449 791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66BB5D9D" w14:textId="77777777" w:rsidR="000A660F" w:rsidRPr="00CB640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D032AD9" w14:textId="77777777" w:rsidR="000A660F" w:rsidRPr="00CB6406" w:rsidRDefault="000A660F" w:rsidP="003309D5">
            <w:pPr>
              <w:spacing w:after="0" w:line="240" w:lineRule="auto"/>
              <w:jc w:val="center"/>
              <w:rPr>
                <w:rFonts w:eastAsia="Times New Roman" w:cs="Times New Roman"/>
                <w:sz w:val="16"/>
                <w:szCs w:val="16"/>
                <w:lang w:eastAsia="lv-LV"/>
              </w:rPr>
            </w:pPr>
            <w:r w:rsidRPr="005D053F">
              <w:rPr>
                <w:rFonts w:cs="Times New Roman"/>
                <w:b/>
                <w:bCs/>
                <w:sz w:val="16"/>
                <w:szCs w:val="16"/>
              </w:rPr>
              <w:t>25 449 791</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3D8FA65E" w14:textId="77777777" w:rsidR="000A660F" w:rsidRPr="00CB6406" w:rsidRDefault="000A660F" w:rsidP="003309D5">
            <w:pPr>
              <w:spacing w:after="0" w:line="240" w:lineRule="auto"/>
              <w:jc w:val="center"/>
              <w:rPr>
                <w:rFonts w:eastAsia="Times New Roman" w:cs="Times New Roman"/>
                <w:sz w:val="16"/>
                <w:szCs w:val="16"/>
                <w:lang w:eastAsia="lv-LV"/>
              </w:rPr>
            </w:pPr>
          </w:p>
        </w:tc>
      </w:tr>
      <w:tr w:rsidR="000A660F" w:rsidRPr="00BE135E" w14:paraId="731938AB"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E741F9D"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7ED8E5F"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F7B9F2A" w14:textId="77777777" w:rsidR="000A660F" w:rsidRPr="00FF75D4" w:rsidRDefault="000A660F" w:rsidP="003309D5">
            <w:pPr>
              <w:spacing w:after="0" w:line="240" w:lineRule="auto"/>
              <w:rPr>
                <w:rFonts w:eastAsia="Times New Roman" w:cs="Times New Roman"/>
                <w:i/>
                <w:iCs/>
                <w:sz w:val="16"/>
                <w:szCs w:val="16"/>
                <w:lang w:eastAsia="lv-LV"/>
              </w:rPr>
            </w:pPr>
            <w:r w:rsidRPr="00FF75D4">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(04.01.00 “Valsts pensiju speciālais budžets”)</w:t>
            </w:r>
            <w:r w:rsidRPr="00FF75D4">
              <w:rPr>
                <w:rFonts w:eastAsia="Times New Roman" w:cs="Times New Roman"/>
                <w:i/>
                <w:iCs/>
                <w:sz w:val="16"/>
                <w:szCs w:val="16"/>
                <w:lang w:eastAsia="lv-LV"/>
              </w:rPr>
              <w:t>, lai nodrošinātu noteiktām iedzīvotāju grupām, pārtraucot aktīvās darba gaitas,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95E121"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22 508 641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4EA84C7"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22 435 451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3F4C5AB"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22 374 915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50293B"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4A9CCA"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sz w:val="16"/>
                <w:szCs w:val="16"/>
              </w:rPr>
              <w:t>7 672 694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6DE1D9"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sz w:val="16"/>
                <w:szCs w:val="16"/>
              </w:rPr>
              <w:t>10 712 794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57E3452"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5AA1C9C"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bCs/>
                <w:i/>
                <w:sz w:val="16"/>
                <w:szCs w:val="16"/>
              </w:rPr>
              <w:t>10 712 794</w:t>
            </w:r>
          </w:p>
        </w:tc>
        <w:tc>
          <w:tcPr>
            <w:tcW w:w="1071" w:type="dxa"/>
            <w:tcBorders>
              <w:top w:val="single" w:sz="4" w:space="0" w:color="auto"/>
              <w:left w:val="nil"/>
              <w:bottom w:val="single" w:sz="4" w:space="0" w:color="auto"/>
              <w:right w:val="single" w:sz="4" w:space="0" w:color="auto"/>
            </w:tcBorders>
            <w:shd w:val="clear" w:color="auto" w:fill="auto"/>
            <w:noWrap/>
          </w:tcPr>
          <w:p w14:paraId="5A1858F3"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77591D" w14:paraId="50FBED66"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99FE285" w14:textId="77777777" w:rsidR="000A660F" w:rsidRPr="0077591D"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5C1DF74"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9A66EDC"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 (atbalsts minimālās vecuma pensijas saņēmējiem)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7C25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22 053 964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BE85ED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21 980 856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C8A9400"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21 920 402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5CAB9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D30FAFC"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7 512 087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1951B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10 491 049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560ADDA"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8FA4BE8" w14:textId="77777777" w:rsidR="000A660F" w:rsidRPr="0077591D"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10 491 049</w:t>
            </w:r>
          </w:p>
        </w:tc>
        <w:tc>
          <w:tcPr>
            <w:tcW w:w="1071" w:type="dxa"/>
            <w:tcBorders>
              <w:top w:val="single" w:sz="4" w:space="0" w:color="auto"/>
              <w:left w:val="nil"/>
              <w:bottom w:val="single" w:sz="4" w:space="0" w:color="auto"/>
              <w:right w:val="single" w:sz="4" w:space="0" w:color="auto"/>
            </w:tcBorders>
            <w:shd w:val="clear" w:color="auto" w:fill="auto"/>
            <w:noWrap/>
          </w:tcPr>
          <w:p w14:paraId="053EB03E" w14:textId="77777777" w:rsidR="000A660F" w:rsidRPr="0077591D" w:rsidRDefault="000A660F" w:rsidP="003309D5">
            <w:pPr>
              <w:spacing w:after="0" w:line="240" w:lineRule="auto"/>
              <w:jc w:val="center"/>
              <w:rPr>
                <w:rFonts w:eastAsia="Times New Roman" w:cs="Times New Roman"/>
                <w:sz w:val="16"/>
                <w:szCs w:val="16"/>
                <w:lang w:eastAsia="lv-LV"/>
              </w:rPr>
            </w:pPr>
          </w:p>
        </w:tc>
      </w:tr>
      <w:tr w:rsidR="000A660F" w:rsidRPr="0077591D" w14:paraId="2D9E8895"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6BCF48B4" w14:textId="77777777" w:rsidR="000A660F" w:rsidRPr="0077591D"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A251BC1"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4CA6600D"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 (atbalsts personas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FC19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304 244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8739DA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304 162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673953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304 080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302363"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0CA86F3"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109 042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A7E70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149 739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856CDB7"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51E949C" w14:textId="77777777" w:rsidR="000A660F" w:rsidRPr="0077591D"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149 739</w:t>
            </w:r>
          </w:p>
        </w:tc>
        <w:tc>
          <w:tcPr>
            <w:tcW w:w="1071" w:type="dxa"/>
            <w:tcBorders>
              <w:top w:val="single" w:sz="4" w:space="0" w:color="auto"/>
              <w:left w:val="nil"/>
              <w:bottom w:val="single" w:sz="4" w:space="0" w:color="auto"/>
              <w:right w:val="single" w:sz="4" w:space="0" w:color="auto"/>
            </w:tcBorders>
            <w:shd w:val="clear" w:color="auto" w:fill="auto"/>
            <w:noWrap/>
          </w:tcPr>
          <w:p w14:paraId="1138082E" w14:textId="77777777" w:rsidR="000A660F" w:rsidRPr="0077591D" w:rsidRDefault="000A660F" w:rsidP="003309D5">
            <w:pPr>
              <w:spacing w:after="0" w:line="240" w:lineRule="auto"/>
              <w:jc w:val="center"/>
              <w:rPr>
                <w:rFonts w:eastAsia="Times New Roman" w:cs="Times New Roman"/>
                <w:sz w:val="16"/>
                <w:szCs w:val="16"/>
                <w:lang w:eastAsia="lv-LV"/>
              </w:rPr>
            </w:pPr>
          </w:p>
        </w:tc>
      </w:tr>
      <w:tr w:rsidR="000A660F" w:rsidRPr="0077591D" w14:paraId="37F6D23A"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5EA74A0" w14:textId="77777777" w:rsidR="000A660F" w:rsidRPr="0077591D"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E88F650"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675E533F"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 (atbalsts pensijas saņēmēja nāves gadījumā pārdzīvojušam laulātajam)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C7F3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150 433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C9926F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150 433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A789E3C"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150 433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5B28C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4394BD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51 565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1F4B4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72 006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C96AF6B"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BD45531" w14:textId="77777777" w:rsidR="000A660F" w:rsidRPr="0077591D"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72 006</w:t>
            </w:r>
          </w:p>
        </w:tc>
        <w:tc>
          <w:tcPr>
            <w:tcW w:w="1071" w:type="dxa"/>
            <w:tcBorders>
              <w:top w:val="single" w:sz="4" w:space="0" w:color="auto"/>
              <w:left w:val="nil"/>
              <w:bottom w:val="single" w:sz="4" w:space="0" w:color="auto"/>
              <w:right w:val="single" w:sz="4" w:space="0" w:color="auto"/>
            </w:tcBorders>
            <w:shd w:val="clear" w:color="auto" w:fill="auto"/>
            <w:noWrap/>
          </w:tcPr>
          <w:p w14:paraId="7BD510EA" w14:textId="77777777" w:rsidR="000A660F" w:rsidRPr="0077591D" w:rsidRDefault="000A660F" w:rsidP="003309D5">
            <w:pPr>
              <w:spacing w:after="0" w:line="240" w:lineRule="auto"/>
              <w:jc w:val="center"/>
              <w:rPr>
                <w:rFonts w:eastAsia="Times New Roman" w:cs="Times New Roman"/>
                <w:sz w:val="16"/>
                <w:szCs w:val="16"/>
                <w:lang w:eastAsia="lv-LV"/>
              </w:rPr>
            </w:pPr>
          </w:p>
        </w:tc>
      </w:tr>
      <w:tr w:rsidR="000A660F" w:rsidRPr="00BE135E" w14:paraId="499D179A"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12EBC03B"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93A6402"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501B92FE" w14:textId="77777777" w:rsidR="000A660F" w:rsidRPr="00115BEC" w:rsidRDefault="000A660F" w:rsidP="003309D5">
            <w:pPr>
              <w:spacing w:after="0" w:line="240" w:lineRule="auto"/>
              <w:rPr>
                <w:rFonts w:eastAsia="Times New Roman" w:cs="Times New Roman"/>
                <w:i/>
                <w:iCs/>
                <w:sz w:val="16"/>
                <w:szCs w:val="16"/>
                <w:lang w:eastAsia="lv-LV"/>
              </w:rPr>
            </w:pPr>
            <w:r w:rsidRPr="00115BEC">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(04.04.00 “Invaliditātes, maternitātes un slimību speciālais budžets”)</w:t>
            </w:r>
            <w:r w:rsidRPr="00115BEC">
              <w:rPr>
                <w:rFonts w:eastAsia="Times New Roman" w:cs="Times New Roman"/>
                <w:i/>
                <w:iCs/>
                <w:sz w:val="16"/>
                <w:szCs w:val="16"/>
                <w:lang w:eastAsia="lv-LV"/>
              </w:rPr>
              <w:t>, lai nodrošinātu noteiktām iedzīvotāju grupām, iegūstot invaliditāti,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2F443"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28 732 631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9C18DF3"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29 019 876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16F746D"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29 311 316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D24893"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36F41D"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10 861 483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3FC5AB"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14 736 997</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98EEF62" w14:textId="77777777" w:rsidR="000A660F" w:rsidRPr="00115BEC"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8280A1" w14:textId="77777777" w:rsidR="000A660F" w:rsidRPr="00115BEC" w:rsidRDefault="000A660F" w:rsidP="003309D5">
            <w:pPr>
              <w:spacing w:after="0" w:line="240" w:lineRule="auto"/>
              <w:jc w:val="center"/>
              <w:rPr>
                <w:rFonts w:eastAsia="Times New Roman" w:cs="Times New Roman"/>
                <w:i/>
                <w:iCs/>
                <w:sz w:val="16"/>
                <w:szCs w:val="16"/>
                <w:lang w:eastAsia="lv-LV"/>
              </w:rPr>
            </w:pPr>
            <w:r w:rsidRPr="00C11ECE">
              <w:rPr>
                <w:rFonts w:cs="Times New Roman"/>
                <w:bCs/>
                <w:i/>
                <w:sz w:val="16"/>
                <w:szCs w:val="16"/>
              </w:rPr>
              <w:t>14 736 997</w:t>
            </w:r>
          </w:p>
        </w:tc>
        <w:tc>
          <w:tcPr>
            <w:tcW w:w="1071" w:type="dxa"/>
            <w:tcBorders>
              <w:top w:val="single" w:sz="4" w:space="0" w:color="auto"/>
              <w:left w:val="nil"/>
              <w:bottom w:val="single" w:sz="4" w:space="0" w:color="auto"/>
              <w:right w:val="single" w:sz="4" w:space="0" w:color="auto"/>
            </w:tcBorders>
            <w:shd w:val="clear" w:color="auto" w:fill="auto"/>
            <w:noWrap/>
          </w:tcPr>
          <w:p w14:paraId="588D8E68" w14:textId="77777777" w:rsidR="000A660F" w:rsidRPr="00115BEC" w:rsidRDefault="000A660F" w:rsidP="003309D5">
            <w:pPr>
              <w:spacing w:after="0" w:line="240" w:lineRule="auto"/>
              <w:jc w:val="center"/>
              <w:rPr>
                <w:rFonts w:eastAsia="Times New Roman" w:cs="Times New Roman"/>
                <w:i/>
                <w:iCs/>
                <w:sz w:val="16"/>
                <w:szCs w:val="16"/>
                <w:lang w:eastAsia="lv-LV"/>
              </w:rPr>
            </w:pPr>
          </w:p>
        </w:tc>
      </w:tr>
      <w:tr w:rsidR="000A660F" w:rsidRPr="0077591D" w14:paraId="32CE5502" w14:textId="77777777" w:rsidTr="003309D5">
        <w:trPr>
          <w:trHeight w:val="405"/>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A9F5766" w14:textId="77777777" w:rsidR="000A660F" w:rsidRPr="0077591D"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89F79"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03AC05F"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cs="Times New Roman"/>
                <w:sz w:val="16"/>
                <w:szCs w:val="16"/>
              </w:rPr>
              <w:t>04.00.00 “Valsts atbalsts sociālajai apdrošināšanai” (atbalsts minimālās invaliditātes pensijas saņēmējiem)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F2C71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28 663 074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4CBA6B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28 950 319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3C8E9D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29 241 759</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BFD1F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2E7E4E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10 835 709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452D7C"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14 702 038</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9EED765"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3ACA265E" w14:textId="77777777" w:rsidR="000A660F" w:rsidRPr="0077591D"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14 702 038</w:t>
            </w:r>
          </w:p>
        </w:tc>
        <w:tc>
          <w:tcPr>
            <w:tcW w:w="1071" w:type="dxa"/>
            <w:tcBorders>
              <w:top w:val="single" w:sz="4" w:space="0" w:color="auto"/>
              <w:left w:val="nil"/>
              <w:bottom w:val="single" w:sz="4" w:space="0" w:color="auto"/>
              <w:right w:val="single" w:sz="4" w:space="0" w:color="auto"/>
            </w:tcBorders>
            <w:shd w:val="clear" w:color="auto" w:fill="auto"/>
            <w:noWrap/>
          </w:tcPr>
          <w:p w14:paraId="782EB478" w14:textId="77777777" w:rsidR="000A660F" w:rsidRPr="0077591D" w:rsidRDefault="000A660F" w:rsidP="003309D5">
            <w:pPr>
              <w:spacing w:after="0" w:line="240" w:lineRule="auto"/>
              <w:jc w:val="center"/>
              <w:rPr>
                <w:rFonts w:eastAsia="Times New Roman" w:cs="Times New Roman"/>
                <w:sz w:val="16"/>
                <w:szCs w:val="16"/>
                <w:lang w:eastAsia="lv-LV"/>
              </w:rPr>
            </w:pPr>
          </w:p>
        </w:tc>
      </w:tr>
      <w:tr w:rsidR="000A660F" w:rsidRPr="0077591D" w14:paraId="0D2C32B1"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09FF97B" w14:textId="77777777" w:rsidR="000A660F" w:rsidRPr="0077591D"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32AFAA"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789C747"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cs="Times New Roman"/>
                <w:sz w:val="16"/>
                <w:szCs w:val="16"/>
              </w:rPr>
              <w:t>04.00.00 “Valsts atbalsts sociālajai apdrošināšanai” (atbalsts pensijas saņēmēja nāves gadījumā pārdzīvojušam laulātajam)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AEC34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69 557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A87A9B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69 557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1864FE8"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69 557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B4583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9A9F7A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25 774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8E6CD3"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34 959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AF1CC77"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93DEE0F" w14:textId="77777777" w:rsidR="000A660F" w:rsidRPr="0077591D"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34 959</w:t>
            </w:r>
          </w:p>
        </w:tc>
        <w:tc>
          <w:tcPr>
            <w:tcW w:w="1071" w:type="dxa"/>
            <w:tcBorders>
              <w:top w:val="single" w:sz="4" w:space="0" w:color="auto"/>
              <w:left w:val="nil"/>
              <w:bottom w:val="single" w:sz="4" w:space="0" w:color="auto"/>
              <w:right w:val="single" w:sz="4" w:space="0" w:color="auto"/>
            </w:tcBorders>
            <w:shd w:val="clear" w:color="auto" w:fill="auto"/>
            <w:noWrap/>
          </w:tcPr>
          <w:p w14:paraId="37E2A6F7" w14:textId="77777777" w:rsidR="000A660F" w:rsidRPr="0077591D" w:rsidRDefault="000A660F" w:rsidP="003309D5">
            <w:pPr>
              <w:spacing w:after="0" w:line="240" w:lineRule="auto"/>
              <w:jc w:val="center"/>
              <w:rPr>
                <w:rFonts w:eastAsia="Times New Roman" w:cs="Times New Roman"/>
                <w:sz w:val="16"/>
                <w:szCs w:val="16"/>
                <w:lang w:eastAsia="lv-LV"/>
              </w:rPr>
            </w:pPr>
          </w:p>
        </w:tc>
      </w:tr>
      <w:tr w:rsidR="000A660F" w:rsidRPr="00BE135E" w14:paraId="0764D046"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73A1656C" w14:textId="77777777" w:rsidR="000A660F" w:rsidRPr="00C11ECE" w:rsidRDefault="000A660F" w:rsidP="003309D5">
            <w:pPr>
              <w:pStyle w:val="ListParagraph"/>
              <w:numPr>
                <w:ilvl w:val="1"/>
                <w:numId w:val="35"/>
              </w:numPr>
              <w:spacing w:after="0" w:line="240" w:lineRule="auto"/>
              <w:ind w:left="315"/>
              <w:jc w:val="both"/>
              <w:rPr>
                <w:rFonts w:eastAsia="Times New Roman" w:cs="Times New Roman"/>
                <w:b/>
                <w:sz w:val="16"/>
                <w:szCs w:val="16"/>
                <w:lang w:eastAsia="lv-LV"/>
              </w:rPr>
            </w:pPr>
            <w:r w:rsidRPr="00C11ECE">
              <w:rPr>
                <w:rFonts w:eastAsia="Times New Roman" w:cs="Times New Roman"/>
                <w:b/>
                <w:sz w:val="16"/>
                <w:szCs w:val="16"/>
                <w:lang w:eastAsia="lv-LV"/>
              </w:rPr>
              <w:t>Valsts sociālā nodrošināju</w:t>
            </w:r>
            <w:r>
              <w:rPr>
                <w:rFonts w:eastAsia="Times New Roman" w:cs="Times New Roman"/>
                <w:b/>
                <w:sz w:val="16"/>
                <w:szCs w:val="16"/>
                <w:lang w:eastAsia="lv-LV"/>
              </w:rPr>
              <w:t>ma pabalsta apmēra palielināšana</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CD81F" w14:textId="77777777" w:rsidR="000A660F" w:rsidRPr="007B64FB" w:rsidRDefault="000A660F" w:rsidP="003309D5">
            <w:pPr>
              <w:spacing w:after="0" w:line="240" w:lineRule="auto"/>
              <w:jc w:val="center"/>
              <w:rPr>
                <w:rFonts w:eastAsia="Times New Roman" w:cs="Times New Roman"/>
                <w:sz w:val="16"/>
                <w:szCs w:val="16"/>
                <w:lang w:eastAsia="lv-LV"/>
              </w:rPr>
            </w:pPr>
            <w:r w:rsidRPr="007B64FB">
              <w:rPr>
                <w:rFonts w:cs="Times New Roman"/>
                <w:sz w:val="16"/>
                <w:szCs w:val="16"/>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14BBE8B8" w14:textId="77777777" w:rsidR="000A660F" w:rsidRPr="007B64FB" w:rsidRDefault="000A660F" w:rsidP="003309D5">
            <w:pPr>
              <w:spacing w:after="0" w:line="240" w:lineRule="auto"/>
              <w:jc w:val="center"/>
              <w:rPr>
                <w:rFonts w:eastAsia="Times New Roman" w:cs="Times New Roman"/>
                <w:sz w:val="16"/>
                <w:szCs w:val="16"/>
                <w:lang w:eastAsia="lv-LV"/>
              </w:rPr>
            </w:pPr>
            <w:r w:rsidRPr="007B64FB">
              <w:rPr>
                <w:rFonts w:cs="Times New Roman"/>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B8AF4"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10 195 604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6E5749"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10 741 027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17382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10 865 062</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5D2FA1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D0A20A"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4 966 863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E539C9"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6 986 297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7BE6A7B6"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BCED32"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6 986 297</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1CE48F94"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4E6EAABB"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4196C70D" w14:textId="77777777" w:rsidR="000A660F" w:rsidRPr="00C74FFD"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F0B59" w14:textId="77777777" w:rsidR="000A660F" w:rsidRPr="00C74FFD" w:rsidRDefault="000A660F" w:rsidP="003309D5">
            <w:pPr>
              <w:spacing w:after="0" w:line="240" w:lineRule="auto"/>
              <w:jc w:val="center"/>
              <w:rPr>
                <w:rFonts w:cs="Times New Roman"/>
                <w:i/>
                <w:iCs/>
                <w:sz w:val="16"/>
                <w:szCs w:val="16"/>
              </w:rPr>
            </w:pPr>
          </w:p>
        </w:tc>
        <w:tc>
          <w:tcPr>
            <w:tcW w:w="1559" w:type="dxa"/>
            <w:tcBorders>
              <w:top w:val="single" w:sz="4" w:space="0" w:color="auto"/>
              <w:left w:val="nil"/>
              <w:bottom w:val="single" w:sz="4" w:space="0" w:color="auto"/>
              <w:right w:val="nil"/>
            </w:tcBorders>
            <w:shd w:val="clear" w:color="auto" w:fill="FFFFFF" w:themeFill="background1"/>
          </w:tcPr>
          <w:p w14:paraId="69433610" w14:textId="77777777" w:rsidR="000A660F" w:rsidRPr="00C74FFD" w:rsidRDefault="000A660F" w:rsidP="003309D5">
            <w:pPr>
              <w:spacing w:after="0" w:line="240" w:lineRule="auto"/>
              <w:jc w:val="center"/>
              <w:rPr>
                <w:rFonts w:cs="Times New Roman"/>
                <w:i/>
                <w:iCs/>
                <w:sz w:val="16"/>
                <w:szCs w:val="16"/>
              </w:rPr>
            </w:pPr>
            <w:r w:rsidRPr="00C74FFD">
              <w:rPr>
                <w:rFonts w:cs="Times New Roman"/>
                <w:i/>
                <w:iCs/>
                <w:sz w:val="16"/>
                <w:szCs w:val="16"/>
              </w:rPr>
              <w:t>20.01.00 “Valsts sociālie pabalsti” (valsts sociālā nodrošinājuma pabalsts pensijas vecumu sasniegušām personām)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7DF0C2"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829 562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48A205D"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916 309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2085A1E"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927 102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75EB92"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7DAFC22"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268 008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0788C1"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412 320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7163D3D" w14:textId="77777777" w:rsidR="000A660F" w:rsidRPr="00C74FFD"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B3820EF" w14:textId="77777777" w:rsidR="000A660F" w:rsidRPr="00C74FFD"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412 320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03542727" w14:textId="77777777" w:rsidR="000A660F" w:rsidRPr="00C74FFD" w:rsidRDefault="000A660F" w:rsidP="003309D5">
            <w:pPr>
              <w:spacing w:after="0" w:line="240" w:lineRule="auto"/>
              <w:jc w:val="center"/>
              <w:rPr>
                <w:rFonts w:eastAsia="Times New Roman" w:cs="Times New Roman"/>
                <w:i/>
                <w:iCs/>
                <w:sz w:val="16"/>
                <w:szCs w:val="16"/>
                <w:lang w:eastAsia="lv-LV"/>
              </w:rPr>
            </w:pPr>
          </w:p>
        </w:tc>
      </w:tr>
      <w:tr w:rsidR="000A660F" w:rsidRPr="00BE135E" w14:paraId="34F75C62"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6989E2F" w14:textId="77777777" w:rsidR="000A660F" w:rsidRPr="00C74FFD"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7F917D0" w14:textId="77777777" w:rsidR="000A660F" w:rsidRPr="00C74FFD" w:rsidRDefault="000A660F" w:rsidP="003309D5">
            <w:pPr>
              <w:spacing w:after="0" w:line="240" w:lineRule="auto"/>
              <w:jc w:val="center"/>
              <w:rPr>
                <w:rFonts w:cs="Times New Roman"/>
                <w:i/>
                <w:iCs/>
                <w:sz w:val="16"/>
                <w:szCs w:val="16"/>
              </w:rPr>
            </w:pPr>
          </w:p>
        </w:tc>
        <w:tc>
          <w:tcPr>
            <w:tcW w:w="1559" w:type="dxa"/>
            <w:tcBorders>
              <w:top w:val="single" w:sz="4" w:space="0" w:color="auto"/>
              <w:left w:val="nil"/>
              <w:bottom w:val="single" w:sz="4" w:space="0" w:color="auto"/>
              <w:right w:val="nil"/>
            </w:tcBorders>
            <w:shd w:val="clear" w:color="auto" w:fill="FFFFFF" w:themeFill="background1"/>
          </w:tcPr>
          <w:p w14:paraId="1A135CE2" w14:textId="77777777" w:rsidR="000A660F" w:rsidRPr="00C74FFD" w:rsidRDefault="000A660F" w:rsidP="003309D5">
            <w:pPr>
              <w:spacing w:after="0" w:line="240" w:lineRule="auto"/>
              <w:jc w:val="center"/>
              <w:rPr>
                <w:rFonts w:cs="Times New Roman"/>
                <w:i/>
                <w:iCs/>
                <w:sz w:val="16"/>
                <w:szCs w:val="16"/>
              </w:rPr>
            </w:pPr>
            <w:r w:rsidRPr="00C74FFD">
              <w:rPr>
                <w:rFonts w:cs="Times New Roman"/>
                <w:i/>
                <w:iCs/>
                <w:sz w:val="16"/>
                <w:szCs w:val="16"/>
              </w:rPr>
              <w:t>20.01.00 “Valsts sociālie pabalsti” (valsts sociālā nodrošinājuma pabalsts personām ar invaliditāti)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F072A"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8 899 910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E22D7E2"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9 824 718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9C0DC3C"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9 937 960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CDA92F"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AE06389"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4 698 855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577B74"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6 573 977</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027CE34" w14:textId="77777777" w:rsidR="000A660F" w:rsidRPr="00C74FFD"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21EA284" w14:textId="77777777" w:rsidR="000A660F" w:rsidRPr="00C74FFD"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6 573 977</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2C4D8516" w14:textId="77777777" w:rsidR="000A660F" w:rsidRPr="00C74FFD" w:rsidRDefault="000A660F" w:rsidP="003309D5">
            <w:pPr>
              <w:spacing w:after="0" w:line="240" w:lineRule="auto"/>
              <w:jc w:val="center"/>
              <w:rPr>
                <w:rFonts w:eastAsia="Times New Roman" w:cs="Times New Roman"/>
                <w:i/>
                <w:iCs/>
                <w:sz w:val="16"/>
                <w:szCs w:val="16"/>
                <w:lang w:eastAsia="lv-LV"/>
              </w:rPr>
            </w:pPr>
          </w:p>
        </w:tc>
      </w:tr>
      <w:tr w:rsidR="000A660F" w:rsidRPr="00BE135E" w14:paraId="0F73C61F"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109FE8B5" w14:textId="77777777" w:rsidR="000A660F" w:rsidRPr="00C74FFD"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AF17B5" w14:textId="77777777" w:rsidR="000A660F" w:rsidRPr="00C74FFD" w:rsidRDefault="000A660F" w:rsidP="003309D5">
            <w:pPr>
              <w:spacing w:after="0" w:line="240" w:lineRule="auto"/>
              <w:jc w:val="center"/>
              <w:rPr>
                <w:rFonts w:cs="Times New Roman"/>
                <w:i/>
                <w:iCs/>
                <w:sz w:val="16"/>
                <w:szCs w:val="16"/>
              </w:rPr>
            </w:pPr>
          </w:p>
        </w:tc>
        <w:tc>
          <w:tcPr>
            <w:tcW w:w="1559" w:type="dxa"/>
            <w:tcBorders>
              <w:top w:val="single" w:sz="4" w:space="0" w:color="auto"/>
              <w:left w:val="nil"/>
              <w:bottom w:val="single" w:sz="4" w:space="0" w:color="auto"/>
              <w:right w:val="nil"/>
            </w:tcBorders>
            <w:shd w:val="clear" w:color="auto" w:fill="FFFFFF" w:themeFill="background1"/>
          </w:tcPr>
          <w:p w14:paraId="152D5E30" w14:textId="77777777" w:rsidR="000A660F" w:rsidRPr="00C74FFD" w:rsidRDefault="000A660F" w:rsidP="003309D5">
            <w:pPr>
              <w:spacing w:after="0" w:line="240" w:lineRule="auto"/>
              <w:jc w:val="center"/>
              <w:rPr>
                <w:rFonts w:cs="Times New Roman"/>
                <w:i/>
                <w:iCs/>
                <w:sz w:val="16"/>
                <w:szCs w:val="16"/>
              </w:rPr>
            </w:pPr>
            <w:r w:rsidRPr="00BD720E">
              <w:rPr>
                <w:rFonts w:cs="Times New Roman"/>
                <w:i/>
                <w:iCs/>
                <w:sz w:val="16"/>
                <w:szCs w:val="16"/>
              </w:rPr>
              <w:t>20.01.00 “Valsts sociālie pabalsti” (</w:t>
            </w:r>
            <w:r>
              <w:rPr>
                <w:rFonts w:cs="Times New Roman"/>
                <w:i/>
                <w:iCs/>
                <w:sz w:val="16"/>
                <w:szCs w:val="16"/>
              </w:rPr>
              <w:t>vienreizēja piemaksa 2021.gada maijā, lai pārietu uz VSNP izmaksu par iepriekšējo mēnesi</w:t>
            </w:r>
            <w:r w:rsidRPr="00BD720E">
              <w:rPr>
                <w:rFonts w:cs="Times New Roman"/>
                <w:i/>
                <w:i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30C57"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466 132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67D2239"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996BC86"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CB3607"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CE459C0"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53DEDC" w14:textId="77777777" w:rsidR="000A660F" w:rsidRPr="00C11ECE" w:rsidRDefault="000A660F" w:rsidP="003309D5">
            <w:pPr>
              <w:spacing w:after="0" w:line="240" w:lineRule="auto"/>
              <w:jc w:val="center"/>
              <w:rPr>
                <w:rFonts w:cs="Times New Roman"/>
                <w:i/>
                <w:iCs/>
                <w:sz w:val="16"/>
                <w:szCs w:val="16"/>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F997C08" w14:textId="77777777" w:rsidR="000A660F" w:rsidRPr="00C74FFD"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E381E23" w14:textId="77777777" w:rsidR="000A660F" w:rsidRPr="00C74FFD" w:rsidRDefault="000A660F" w:rsidP="003309D5">
            <w:pPr>
              <w:spacing w:after="0" w:line="240" w:lineRule="auto"/>
              <w:jc w:val="center"/>
              <w:rPr>
                <w:rFonts w:eastAsia="Times New Roman" w:cs="Times New Roman"/>
                <w:i/>
                <w:iCs/>
                <w:sz w:val="16"/>
                <w:szCs w:val="16"/>
                <w:lang w:eastAsia="lv-LV"/>
              </w:rPr>
            </w:pPr>
            <w:r w:rsidRPr="00B663E8">
              <w:rPr>
                <w:rFonts w:eastAsia="Times New Roman" w:cs="Times New Roman"/>
                <w:i/>
                <w:iCs/>
                <w:sz w:val="16"/>
                <w:szCs w:val="16"/>
                <w:lang w:eastAsia="lv-LV"/>
              </w:rPr>
              <w:t>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49E91FBF" w14:textId="77777777" w:rsidR="000A660F" w:rsidRPr="00C74FFD" w:rsidRDefault="000A660F" w:rsidP="003309D5">
            <w:pPr>
              <w:spacing w:after="0" w:line="240" w:lineRule="auto"/>
              <w:jc w:val="center"/>
              <w:rPr>
                <w:rFonts w:eastAsia="Times New Roman" w:cs="Times New Roman"/>
                <w:i/>
                <w:iCs/>
                <w:sz w:val="16"/>
                <w:szCs w:val="16"/>
                <w:lang w:eastAsia="lv-LV"/>
              </w:rPr>
            </w:pPr>
          </w:p>
        </w:tc>
      </w:tr>
      <w:tr w:rsidR="000A660F" w:rsidRPr="00BE135E" w14:paraId="5F71FB7E"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67843DAB" w14:textId="77777777" w:rsidR="000A660F" w:rsidRPr="00C11ECE" w:rsidRDefault="000A660F" w:rsidP="003309D5">
            <w:pPr>
              <w:pStyle w:val="ListParagraph"/>
              <w:numPr>
                <w:ilvl w:val="1"/>
                <w:numId w:val="35"/>
              </w:numPr>
              <w:spacing w:after="0" w:line="240" w:lineRule="auto"/>
              <w:ind w:left="315"/>
              <w:jc w:val="both"/>
              <w:rPr>
                <w:rFonts w:eastAsia="Times New Roman" w:cs="Times New Roman"/>
                <w:b/>
                <w:sz w:val="16"/>
                <w:szCs w:val="16"/>
                <w:lang w:eastAsia="lv-LV"/>
              </w:rPr>
            </w:pPr>
            <w:r w:rsidRPr="00C11ECE">
              <w:rPr>
                <w:rFonts w:eastAsia="Times New Roman" w:cs="Times New Roman"/>
                <w:b/>
                <w:sz w:val="16"/>
                <w:szCs w:val="16"/>
                <w:lang w:eastAsia="lv-LV"/>
              </w:rPr>
              <w:t>Ar valsts sociālā nodrošinājuma pabalsta un pensiju apmēru pār</w:t>
            </w:r>
            <w:r>
              <w:rPr>
                <w:rFonts w:eastAsia="Times New Roman" w:cs="Times New Roman"/>
                <w:b/>
                <w:sz w:val="16"/>
                <w:szCs w:val="16"/>
                <w:lang w:eastAsia="lv-LV"/>
              </w:rPr>
              <w:t>skatīšanu saistītie pakalpojumi</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EC1FB" w14:textId="77777777" w:rsidR="000A660F" w:rsidRPr="009E0CC0" w:rsidRDefault="000A660F" w:rsidP="003309D5">
            <w:pPr>
              <w:spacing w:after="0" w:line="240" w:lineRule="auto"/>
              <w:jc w:val="center"/>
              <w:rPr>
                <w:rFonts w:eastAsia="Times New Roman" w:cs="Times New Roman"/>
                <w:sz w:val="16"/>
                <w:szCs w:val="16"/>
                <w:lang w:eastAsia="lv-LV"/>
              </w:rPr>
            </w:pPr>
            <w:r w:rsidRPr="009E0CC0">
              <w:rPr>
                <w:rFonts w:cs="Times New Roman"/>
                <w:sz w:val="16"/>
                <w:szCs w:val="16"/>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1DA49380" w14:textId="77777777" w:rsidR="000A660F" w:rsidRPr="009E0CC0" w:rsidRDefault="000A660F" w:rsidP="003309D5">
            <w:pPr>
              <w:spacing w:after="0" w:line="240" w:lineRule="auto"/>
              <w:jc w:val="center"/>
              <w:rPr>
                <w:rFonts w:eastAsia="Times New Roman" w:cs="Times New Roman"/>
                <w:sz w:val="16"/>
                <w:szCs w:val="16"/>
                <w:lang w:eastAsia="lv-LV"/>
              </w:rPr>
            </w:pPr>
            <w:r w:rsidRPr="009E0CC0">
              <w:rPr>
                <w:rFonts w:cs="Times New Roman"/>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BB5CC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2 224 928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7E24E5A"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2 199 964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E49E4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2 197 987</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99AE03"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B5923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1 159 654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B71BD4"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1 701 992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7DB3514E"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430D80"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b/>
                <w:bCs/>
                <w:sz w:val="16"/>
                <w:szCs w:val="16"/>
              </w:rPr>
              <w:t>1 701 992</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1E69E48F"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3F55C2AB"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2C9FDCC"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A399A"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2B208F28" w14:textId="77777777" w:rsidR="000A660F" w:rsidRPr="008B0D90" w:rsidRDefault="000A660F" w:rsidP="003309D5">
            <w:pPr>
              <w:spacing w:after="0" w:line="240" w:lineRule="auto"/>
              <w:rPr>
                <w:rFonts w:eastAsia="Times New Roman" w:cs="Times New Roman"/>
                <w:i/>
                <w:iCs/>
                <w:sz w:val="16"/>
                <w:szCs w:val="16"/>
                <w:lang w:eastAsia="lv-LV"/>
              </w:rPr>
            </w:pPr>
            <w:r w:rsidRPr="008B0D90">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(04.02.00 “Nodarbinātības speciālais budžets”)</w:t>
            </w:r>
            <w:r w:rsidRPr="008B0D90">
              <w:rPr>
                <w:rFonts w:eastAsia="Times New Roman" w:cs="Times New Roman"/>
                <w:i/>
                <w:iCs/>
                <w:sz w:val="16"/>
                <w:szCs w:val="16"/>
                <w:lang w:eastAsia="lv-LV"/>
              </w:rPr>
              <w:t>, lai nodrošinātu pabalsta paaugstināšanu personām bezdarba gadījumā, tostarp personām, kurām visā pabalsta aprēķina periodā netiek izmantota personas iemaksu alga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0AC94"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271 726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F896256"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226 143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48E5C66"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201 761</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7BA91E"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13CB99"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iCs/>
                <w:sz w:val="16"/>
                <w:szCs w:val="16"/>
              </w:rPr>
              <w:t>58 322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769568"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iCs/>
                <w:sz w:val="16"/>
                <w:szCs w:val="16"/>
              </w:rPr>
              <w:t>89 730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94E950B"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B88DCE"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bCs/>
                <w:i/>
                <w:iCs/>
                <w:sz w:val="16"/>
                <w:szCs w:val="16"/>
              </w:rPr>
              <w:t>89 730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4124E443"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77591D" w14:paraId="1F92CF23"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819FC47" w14:textId="77777777" w:rsidR="000A660F" w:rsidRPr="0077591D"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F007AE"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4E63A0E3" w14:textId="77777777" w:rsidR="000A660F" w:rsidRPr="0077591D" w:rsidRDefault="000A660F" w:rsidP="003309D5">
            <w:pPr>
              <w:spacing w:after="0" w:line="240" w:lineRule="auto"/>
              <w:jc w:val="center"/>
              <w:rPr>
                <w:sz w:val="16"/>
                <w:szCs w:val="16"/>
              </w:rPr>
            </w:pPr>
            <w:r w:rsidRPr="0077591D">
              <w:rPr>
                <w:rFonts w:eastAsia="Times New Roman" w:cs="Times New Roman"/>
                <w:sz w:val="16"/>
                <w:szCs w:val="16"/>
                <w:lang w:eastAsia="lv-LV"/>
              </w:rPr>
              <w:t>04.00.00 “Valsts atbalsts sociālajai apdrošināšanai”</w:t>
            </w:r>
          </w:p>
          <w:p w14:paraId="5F1FF5E9"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sz w:val="16"/>
                <w:szCs w:val="16"/>
              </w:rPr>
              <w:t>(</w:t>
            </w:r>
            <w:r w:rsidRPr="0077591D">
              <w:rPr>
                <w:rFonts w:eastAsia="Times New Roman" w:cs="Times New Roman"/>
                <w:sz w:val="16"/>
                <w:szCs w:val="16"/>
                <w:lang w:eastAsia="lv-LV"/>
              </w:rPr>
              <w:t>atbalsts personas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29D67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19 427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8167A5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19 427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1610C6B"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19 427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26150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70265B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5 616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043810"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8 640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6E79999"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DFC6FFB" w14:textId="77777777" w:rsidR="000A660F" w:rsidRPr="0077591D"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8 640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2860AB27" w14:textId="77777777" w:rsidR="000A660F" w:rsidRPr="0077591D" w:rsidRDefault="000A660F" w:rsidP="003309D5">
            <w:pPr>
              <w:spacing w:after="0" w:line="240" w:lineRule="auto"/>
              <w:jc w:val="center"/>
              <w:rPr>
                <w:rFonts w:eastAsia="Times New Roman" w:cs="Times New Roman"/>
                <w:sz w:val="16"/>
                <w:szCs w:val="16"/>
                <w:lang w:eastAsia="lv-LV"/>
              </w:rPr>
            </w:pPr>
          </w:p>
        </w:tc>
      </w:tr>
      <w:tr w:rsidR="000A660F" w:rsidRPr="0077591D" w14:paraId="2F8421F3"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E212EA1" w14:textId="77777777" w:rsidR="000A660F" w:rsidRPr="0077591D"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A06CA2E"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31870B92"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r w:rsidRPr="0077591D">
              <w:rPr>
                <w:sz w:val="16"/>
                <w:szCs w:val="16"/>
              </w:rPr>
              <w:t xml:space="preserve"> (</w:t>
            </w:r>
            <w:r w:rsidRPr="0077591D">
              <w:rPr>
                <w:rFonts w:eastAsia="Times New Roman" w:cs="Times New Roman"/>
                <w:sz w:val="16"/>
                <w:szCs w:val="16"/>
                <w:lang w:eastAsia="lv-LV"/>
              </w:rPr>
              <w:t>atbalsts bezdarbnieka pabalsta saņēmējiem, kuriem visā pabalsta aprēķina periodā netiek izmantota personas iemaksu alga, un par kurām bezdarba periodā tiek veiktas iemaksas pensiju apdrošināšanai)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3B71C"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210 259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924633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172 271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3FE4D9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151 952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F30D7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05975B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43 922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069AC4"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67 575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6C3980"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5E6DDB5" w14:textId="77777777" w:rsidR="000A660F" w:rsidRPr="0077591D"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67 575</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14D44C69" w14:textId="77777777" w:rsidR="000A660F" w:rsidRPr="0077591D" w:rsidRDefault="000A660F" w:rsidP="003309D5">
            <w:pPr>
              <w:spacing w:after="0" w:line="240" w:lineRule="auto"/>
              <w:jc w:val="center"/>
              <w:rPr>
                <w:rFonts w:eastAsia="Times New Roman" w:cs="Times New Roman"/>
                <w:sz w:val="16"/>
                <w:szCs w:val="16"/>
                <w:lang w:eastAsia="lv-LV"/>
              </w:rPr>
            </w:pPr>
          </w:p>
        </w:tc>
      </w:tr>
      <w:tr w:rsidR="000A660F" w:rsidRPr="0077591D" w14:paraId="521946A1"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7B173DE4" w14:textId="77777777" w:rsidR="000A660F" w:rsidRPr="0077591D"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5AE5322"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4BB80A34" w14:textId="77777777" w:rsidR="000A660F" w:rsidRPr="0077591D" w:rsidRDefault="000A660F" w:rsidP="003309D5">
            <w:pPr>
              <w:spacing w:after="0" w:line="240" w:lineRule="auto"/>
              <w:jc w:val="center"/>
              <w:rPr>
                <w:rFonts w:eastAsia="Times New Roman" w:cs="Times New Roman"/>
                <w:sz w:val="16"/>
                <w:szCs w:val="16"/>
                <w:lang w:eastAsia="lv-LV"/>
              </w:rPr>
            </w:pPr>
            <w:r w:rsidRPr="009F585F">
              <w:rPr>
                <w:rFonts w:eastAsia="Times New Roman" w:cs="Times New Roman"/>
                <w:sz w:val="16"/>
                <w:szCs w:val="16"/>
                <w:lang w:eastAsia="lv-LV"/>
              </w:rPr>
              <w:t>04.00.00 “Valsts atbalsts sociālajai apdrošināšanai” (</w:t>
            </w:r>
            <w:r>
              <w:rPr>
                <w:rFonts w:eastAsia="Times New Roman" w:cs="Times New Roman"/>
                <w:sz w:val="16"/>
                <w:szCs w:val="16"/>
                <w:lang w:eastAsia="lv-LV"/>
              </w:rPr>
              <w:t>iemaksas pensiju apdrošināšanai par bezdarbnieka pabalsta saņēmējiem</w:t>
            </w:r>
            <w:r w:rsidRPr="009F585F">
              <w:rPr>
                <w:rFonts w:eastAsia="Times New Roman" w:cs="Times New Roman"/>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6C585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42 040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D85C73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34 445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038591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30 382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BE34C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7FB67F9" w14:textId="77777777" w:rsidR="000A660F" w:rsidRPr="00C11ECE" w:rsidRDefault="000A660F" w:rsidP="003309D5">
            <w:pPr>
              <w:spacing w:after="0" w:line="240" w:lineRule="auto"/>
              <w:jc w:val="center"/>
              <w:rPr>
                <w:rFonts w:cs="Times New Roman"/>
                <w:sz w:val="16"/>
                <w:szCs w:val="16"/>
              </w:rPr>
            </w:pPr>
            <w:r w:rsidRPr="00C11ECE">
              <w:rPr>
                <w:rFonts w:cs="Times New Roman"/>
                <w:iCs/>
                <w:sz w:val="16"/>
                <w:szCs w:val="16"/>
              </w:rPr>
              <w:t>8 784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D07F58" w14:textId="77777777" w:rsidR="000A660F" w:rsidRPr="00C11ECE" w:rsidRDefault="000A660F" w:rsidP="003309D5">
            <w:pPr>
              <w:spacing w:after="0" w:line="240" w:lineRule="auto"/>
              <w:jc w:val="center"/>
              <w:rPr>
                <w:rFonts w:cs="Times New Roman"/>
                <w:sz w:val="16"/>
                <w:szCs w:val="16"/>
              </w:rPr>
            </w:pPr>
            <w:r w:rsidRPr="00C11ECE">
              <w:rPr>
                <w:rFonts w:cs="Times New Roman"/>
                <w:iCs/>
                <w:sz w:val="16"/>
                <w:szCs w:val="16"/>
              </w:rPr>
              <w:t>13 515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3B21C2D" w14:textId="77777777" w:rsidR="000A660F" w:rsidRPr="0077591D"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2EFAF95" w14:textId="77777777" w:rsidR="000A660F" w:rsidRPr="0077591D"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13 515</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502FBAAC" w14:textId="77777777" w:rsidR="000A660F" w:rsidRPr="0077591D" w:rsidRDefault="000A660F" w:rsidP="003309D5">
            <w:pPr>
              <w:spacing w:after="0" w:line="240" w:lineRule="auto"/>
              <w:jc w:val="center"/>
              <w:rPr>
                <w:rFonts w:eastAsia="Times New Roman" w:cs="Times New Roman"/>
                <w:sz w:val="16"/>
                <w:szCs w:val="16"/>
                <w:lang w:eastAsia="lv-LV"/>
              </w:rPr>
            </w:pPr>
          </w:p>
        </w:tc>
      </w:tr>
      <w:tr w:rsidR="000A660F" w:rsidRPr="00BE135E" w14:paraId="7D460ADE"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EB768C7"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D3B6F69"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7C2DF62B" w14:textId="77777777" w:rsidR="000A660F" w:rsidRPr="007415E7" w:rsidRDefault="000A660F" w:rsidP="003309D5">
            <w:pPr>
              <w:spacing w:after="0" w:line="240" w:lineRule="auto"/>
              <w:rPr>
                <w:rFonts w:eastAsia="Times New Roman" w:cs="Times New Roman"/>
                <w:i/>
                <w:iCs/>
                <w:sz w:val="16"/>
                <w:szCs w:val="16"/>
                <w:lang w:eastAsia="lv-LV"/>
              </w:rPr>
            </w:pPr>
            <w:r w:rsidRPr="007415E7">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(04.03.00 “Darba negadījumu speciālais budžets)”</w:t>
            </w:r>
            <w:r w:rsidRPr="007415E7">
              <w:rPr>
                <w:rFonts w:eastAsia="Times New Roman" w:cs="Times New Roman"/>
                <w:i/>
                <w:iCs/>
                <w:sz w:val="16"/>
                <w:szCs w:val="16"/>
                <w:lang w:eastAsia="lv-LV"/>
              </w:rPr>
              <w:t>, lai nodrošinātu noteiktām iedzīvotāju grupām, iegūstot darbspēju zudumu darba negadījumā,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49C676"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891 230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B4F53A4"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917 981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D488BF3"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946 304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2DCD29"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24563E"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iCs/>
                <w:sz w:val="16"/>
                <w:szCs w:val="16"/>
              </w:rPr>
              <w:t>385 565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0D52C8"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iCs/>
                <w:sz w:val="16"/>
                <w:szCs w:val="16"/>
              </w:rPr>
              <w:t>556 563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A2D765C"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2267A2"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bCs/>
                <w:i/>
                <w:iCs/>
                <w:sz w:val="16"/>
                <w:szCs w:val="16"/>
              </w:rPr>
              <w:t>556 563</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2BEEA53E"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5AB0F139"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31BF491"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21359"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332D31C6"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p>
          <w:p w14:paraId="67DB4DBF" w14:textId="77777777" w:rsidR="000A660F" w:rsidRPr="00482E46"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(atlīdzības par darbspēju zaudējumu minimālais apmērs)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289E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440 508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AB143E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467 259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D85C3D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495 582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7C6C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852BEA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323 258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68E323"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437 349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7DE80B8"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DFCE5DE"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437 349</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3A0B3304"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78CFAD03"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1231091"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F63FD"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1FEBCE88"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p>
          <w:p w14:paraId="345F0748" w14:textId="77777777" w:rsidR="000A660F" w:rsidRPr="00482E46"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(atlīdzības par ārstēšanās izdevumiem izmaksājamais apmērs sakarā ar nelaimes gadījumiem darbā vai arodslimību)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720C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40 473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2A096E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40 473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5C91ED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40 473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B1D82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4BD4DA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11 700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587CB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18 000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6B68201"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12A6394E"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18 000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0DF1301E"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2D0C36EF"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22D3C2F"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AA6B9"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128AE445"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p>
          <w:p w14:paraId="7563F578" w14:textId="77777777" w:rsidR="000A660F" w:rsidRPr="00482E46"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(slimības pabalsta izmaksājamais apmērs sakarā ar nelaimes gadījumiem darbā vai arodslimību)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CCE499"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151 632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D6A798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151 632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8C60A5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151 632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885A18"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9F5090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50 607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69631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101 214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0B065B"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7FF8FD9"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101 214</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023E59EB"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4C55B1C7"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48A428E5"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CC1C144"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10203302" w14:textId="77777777" w:rsidR="000A660F" w:rsidRPr="0077591D"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p>
          <w:p w14:paraId="3E519D62" w14:textId="77777777" w:rsidR="000A660F" w:rsidRPr="00482E46" w:rsidRDefault="000A660F" w:rsidP="003309D5">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(atlīdzības par darbspēju zaudējumu izmaksājamais apmērs sakarā ar nelaimes gadījumiem darbā vai arodslimību)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0F8148"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258 617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9DF885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258 617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F7E3BA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258 617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C2A15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DB5AC8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A889E9"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45BFABCD"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652EB08F"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4B385D07"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53A68AE7"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E921023"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481D753"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542E3F00" w14:textId="77777777" w:rsidR="000A660F" w:rsidRPr="00AF3455" w:rsidRDefault="000A660F" w:rsidP="003309D5">
            <w:pPr>
              <w:spacing w:after="0" w:line="240" w:lineRule="auto"/>
              <w:rPr>
                <w:rFonts w:eastAsia="Times New Roman" w:cs="Times New Roman"/>
                <w:i/>
                <w:iCs/>
                <w:sz w:val="16"/>
                <w:szCs w:val="16"/>
                <w:lang w:eastAsia="lv-LV"/>
              </w:rPr>
            </w:pPr>
            <w:r w:rsidRPr="00AF3455">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(04.04.00 “Invaliditātes, maternitātes un slimību speciālais budžets”)</w:t>
            </w:r>
            <w:r w:rsidRPr="00AF3455">
              <w:rPr>
                <w:rFonts w:eastAsia="Times New Roman" w:cs="Times New Roman"/>
                <w:i/>
                <w:iCs/>
                <w:sz w:val="16"/>
                <w:szCs w:val="16"/>
                <w:lang w:eastAsia="lv-LV"/>
              </w:rPr>
              <w:t>, lai nodrošinātu noteiktām iedzīvotāju grupām, ģimenes locekļa nāves gadījumā vai iegūstot darbspēju zudumu darba negadījumā,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33D784"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432 333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8DFA7BD"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432 333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732CDC2"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432 333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0C6BFC"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977A97"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iCs/>
                <w:sz w:val="16"/>
                <w:szCs w:val="16"/>
              </w:rPr>
              <w:t>137 462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46B6BE" w14:textId="77777777" w:rsidR="000A660F" w:rsidRPr="00C11ECE" w:rsidRDefault="000A660F" w:rsidP="003309D5">
            <w:pPr>
              <w:spacing w:after="0" w:line="240" w:lineRule="auto"/>
              <w:jc w:val="center"/>
              <w:rPr>
                <w:rFonts w:eastAsia="Times New Roman" w:cs="Times New Roman"/>
                <w:i/>
                <w:sz w:val="16"/>
                <w:szCs w:val="16"/>
                <w:lang w:eastAsia="lv-LV"/>
              </w:rPr>
            </w:pPr>
            <w:r w:rsidRPr="00C11ECE">
              <w:rPr>
                <w:rFonts w:cs="Times New Roman"/>
                <w:bCs/>
                <w:i/>
                <w:iCs/>
                <w:sz w:val="16"/>
                <w:szCs w:val="16"/>
              </w:rPr>
              <w:t>186 933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DD603B"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C17CAB"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bCs/>
                <w:i/>
                <w:iCs/>
                <w:sz w:val="16"/>
                <w:szCs w:val="16"/>
              </w:rPr>
              <w:t>186 933</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73D87FAA"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023FA187"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72B9A5B"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ECD781E"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4B85CF52" w14:textId="77777777" w:rsidR="000A660F" w:rsidRPr="00482E46" w:rsidRDefault="000A660F" w:rsidP="003309D5">
            <w:pPr>
              <w:spacing w:after="0" w:line="240" w:lineRule="auto"/>
              <w:jc w:val="center"/>
              <w:rPr>
                <w:rFonts w:eastAsia="Times New Roman" w:cs="Times New Roman"/>
                <w:sz w:val="16"/>
                <w:szCs w:val="16"/>
                <w:lang w:eastAsia="lv-LV"/>
              </w:rPr>
            </w:pPr>
            <w:r w:rsidRPr="0068071B">
              <w:rPr>
                <w:rFonts w:eastAsia="Times New Roman" w:cs="Times New Roman"/>
                <w:sz w:val="16"/>
                <w:szCs w:val="16"/>
                <w:lang w:eastAsia="lv-LV"/>
              </w:rPr>
              <w:t xml:space="preserve">04.00.00 </w:t>
            </w:r>
            <w:r>
              <w:rPr>
                <w:rFonts w:eastAsia="Times New Roman" w:cs="Times New Roman"/>
                <w:sz w:val="16"/>
                <w:szCs w:val="16"/>
                <w:lang w:eastAsia="lv-LV"/>
              </w:rPr>
              <w:t>“</w:t>
            </w:r>
            <w:r w:rsidRPr="0068071B">
              <w:rPr>
                <w:rFonts w:eastAsia="Times New Roman" w:cs="Times New Roman"/>
                <w:sz w:val="16"/>
                <w:szCs w:val="16"/>
                <w:lang w:eastAsia="lv-LV"/>
              </w:rPr>
              <w:t>Valsts atbalsts sociālajai apdrošināšanai</w:t>
            </w:r>
            <w:r>
              <w:rPr>
                <w:rFonts w:eastAsia="Times New Roman" w:cs="Times New Roman"/>
                <w:sz w:val="16"/>
                <w:szCs w:val="16"/>
                <w:lang w:eastAsia="lv-LV"/>
              </w:rPr>
              <w:t>” (</w:t>
            </w:r>
            <w:r w:rsidRPr="0068071B">
              <w:rPr>
                <w:rFonts w:eastAsia="Times New Roman" w:cs="Times New Roman"/>
                <w:sz w:val="16"/>
                <w:szCs w:val="16"/>
                <w:lang w:eastAsia="lv-LV"/>
              </w:rPr>
              <w:t>atbalsts apdrošinātas personas apgādībā bijuša ģimenes locekļa nāves gadījumā</w:t>
            </w:r>
            <w:r>
              <w:rPr>
                <w:rFonts w:eastAsia="Times New Roman" w:cs="Times New Roman"/>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F4E0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17 808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4109F09"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17 808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CB1DCDB"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17 808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72AD6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0740FC8"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5 148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8E35B0"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7 920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DAE6619"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168F99A9"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7 920</w:t>
            </w:r>
          </w:p>
        </w:tc>
        <w:tc>
          <w:tcPr>
            <w:tcW w:w="1071" w:type="dxa"/>
            <w:tcBorders>
              <w:top w:val="single" w:sz="4" w:space="0" w:color="auto"/>
              <w:left w:val="nil"/>
              <w:bottom w:val="single" w:sz="4" w:space="0" w:color="auto"/>
              <w:right w:val="single" w:sz="4" w:space="0" w:color="auto"/>
            </w:tcBorders>
            <w:shd w:val="clear" w:color="auto" w:fill="auto"/>
            <w:noWrap/>
          </w:tcPr>
          <w:p w14:paraId="1E06B44D"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750DC013"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E246A51"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0FA110"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10A2A20E" w14:textId="77777777" w:rsidR="000A660F" w:rsidRPr="00482E46" w:rsidRDefault="000A660F" w:rsidP="003309D5">
            <w:pPr>
              <w:spacing w:after="0" w:line="240" w:lineRule="auto"/>
              <w:jc w:val="center"/>
              <w:rPr>
                <w:rFonts w:eastAsia="Times New Roman" w:cs="Times New Roman"/>
                <w:sz w:val="16"/>
                <w:szCs w:val="16"/>
                <w:lang w:eastAsia="lv-LV"/>
              </w:rPr>
            </w:pPr>
            <w:r w:rsidRPr="0068071B">
              <w:rPr>
                <w:rFonts w:eastAsia="Times New Roman" w:cs="Times New Roman"/>
                <w:sz w:val="16"/>
                <w:szCs w:val="16"/>
                <w:lang w:eastAsia="lv-LV"/>
              </w:rPr>
              <w:t>04.00.00 “Valsts atbalsts sociālajai apdrošināšanai” (darbā nodarītā kaitējuma atlīdzības minimālais apmērs)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2FB240"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414 525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2D61FD0"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414 525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B8F2AE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414 525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6CDC0C"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14277D4"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132 314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FBADB8"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179 013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B446467"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39CCB2D6"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179 013</w:t>
            </w:r>
          </w:p>
        </w:tc>
        <w:tc>
          <w:tcPr>
            <w:tcW w:w="1071" w:type="dxa"/>
            <w:tcBorders>
              <w:top w:val="single" w:sz="4" w:space="0" w:color="auto"/>
              <w:left w:val="nil"/>
              <w:bottom w:val="single" w:sz="4" w:space="0" w:color="auto"/>
              <w:right w:val="single" w:sz="4" w:space="0" w:color="auto"/>
            </w:tcBorders>
            <w:shd w:val="clear" w:color="auto" w:fill="auto"/>
            <w:noWrap/>
          </w:tcPr>
          <w:p w14:paraId="7CF59979"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082036" w14:paraId="5A64E460"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B8E8254" w14:textId="77777777" w:rsidR="000A660F" w:rsidRPr="00082036"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52A99E0" w14:textId="77777777" w:rsidR="000A660F" w:rsidRPr="00082036" w:rsidRDefault="000A660F" w:rsidP="003309D5">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1E5DD32F" w14:textId="77777777" w:rsidR="000A660F" w:rsidRPr="00082036" w:rsidRDefault="000A660F" w:rsidP="003309D5">
            <w:pPr>
              <w:spacing w:after="0" w:line="240" w:lineRule="auto"/>
              <w:rPr>
                <w:rFonts w:cs="Times New Roman"/>
                <w:i/>
                <w:iCs/>
                <w:sz w:val="16"/>
                <w:szCs w:val="16"/>
              </w:rPr>
            </w:pPr>
            <w:r w:rsidRPr="00082036">
              <w:rPr>
                <w:rFonts w:cs="Times New Roman"/>
                <w:i/>
                <w:iCs/>
                <w:sz w:val="16"/>
                <w:szCs w:val="16"/>
              </w:rPr>
              <w:t>Naudas summas personiskiem izdevumiem paaugstināšana valsts sociālās aprūpes centru un līguminstitūciju klientiem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B7D61" w14:textId="77777777" w:rsidR="000A660F" w:rsidRPr="00C11ECE" w:rsidRDefault="000A660F" w:rsidP="003309D5">
            <w:pPr>
              <w:spacing w:after="0" w:line="240" w:lineRule="auto"/>
              <w:jc w:val="center"/>
              <w:rPr>
                <w:rFonts w:cs="Times New Roman"/>
                <w:i/>
                <w:iCs/>
                <w:sz w:val="16"/>
                <w:szCs w:val="16"/>
              </w:rPr>
            </w:pPr>
            <w:r w:rsidRPr="00C11ECE">
              <w:rPr>
                <w:rFonts w:cs="Times New Roman"/>
                <w:bCs/>
                <w:i/>
                <w:iCs/>
                <w:sz w:val="16"/>
                <w:szCs w:val="16"/>
              </w:rPr>
              <w:t>253 097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C85BAC4" w14:textId="77777777" w:rsidR="000A660F" w:rsidRPr="00C11ECE" w:rsidRDefault="000A660F" w:rsidP="003309D5">
            <w:pPr>
              <w:spacing w:after="0" w:line="240" w:lineRule="auto"/>
              <w:jc w:val="center"/>
              <w:rPr>
                <w:rFonts w:cs="Times New Roman"/>
                <w:i/>
                <w:iCs/>
                <w:sz w:val="16"/>
                <w:szCs w:val="16"/>
              </w:rPr>
            </w:pPr>
            <w:r w:rsidRPr="00C11ECE">
              <w:rPr>
                <w:rFonts w:cs="Times New Roman"/>
                <w:bCs/>
                <w:i/>
                <w:iCs/>
                <w:sz w:val="16"/>
                <w:szCs w:val="16"/>
              </w:rPr>
              <w:t>253 097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ACF" w14:textId="77777777" w:rsidR="000A660F" w:rsidRPr="00C11ECE" w:rsidRDefault="000A660F" w:rsidP="003309D5">
            <w:pPr>
              <w:spacing w:after="0" w:line="240" w:lineRule="auto"/>
              <w:jc w:val="center"/>
              <w:rPr>
                <w:rFonts w:cs="Times New Roman"/>
                <w:i/>
                <w:iCs/>
                <w:sz w:val="16"/>
                <w:szCs w:val="16"/>
              </w:rPr>
            </w:pPr>
            <w:r w:rsidRPr="00C11ECE">
              <w:rPr>
                <w:rFonts w:cs="Times New Roman"/>
                <w:bCs/>
                <w:i/>
                <w:iCs/>
                <w:sz w:val="16"/>
                <w:szCs w:val="16"/>
              </w:rPr>
              <w:t>253 097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EEFFE8"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6DC5906" w14:textId="77777777" w:rsidR="000A660F" w:rsidRPr="00C11ECE" w:rsidRDefault="000A660F" w:rsidP="003309D5">
            <w:pPr>
              <w:spacing w:after="0" w:line="240" w:lineRule="auto"/>
              <w:jc w:val="center"/>
              <w:rPr>
                <w:rFonts w:cs="Times New Roman"/>
                <w:i/>
                <w:iCs/>
                <w:sz w:val="16"/>
                <w:szCs w:val="16"/>
              </w:rPr>
            </w:pPr>
            <w:r w:rsidRPr="00C11ECE">
              <w:rPr>
                <w:rFonts w:cs="Times New Roman"/>
                <w:bCs/>
                <w:i/>
                <w:iCs/>
                <w:sz w:val="16"/>
                <w:szCs w:val="16"/>
              </w:rPr>
              <w:t>100 740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500AD3" w14:textId="77777777" w:rsidR="000A660F" w:rsidRPr="00C11ECE" w:rsidRDefault="000A660F" w:rsidP="003309D5">
            <w:pPr>
              <w:spacing w:after="0" w:line="240" w:lineRule="auto"/>
              <w:jc w:val="center"/>
              <w:rPr>
                <w:rFonts w:cs="Times New Roman"/>
                <w:i/>
                <w:iCs/>
                <w:sz w:val="16"/>
                <w:szCs w:val="16"/>
              </w:rPr>
            </w:pPr>
            <w:r w:rsidRPr="00C11ECE">
              <w:rPr>
                <w:rFonts w:cs="Times New Roman"/>
                <w:bCs/>
                <w:i/>
                <w:iCs/>
                <w:sz w:val="16"/>
                <w:szCs w:val="16"/>
              </w:rPr>
              <w:t>136 884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FBC4414" w14:textId="77777777" w:rsidR="000A660F" w:rsidRPr="00082036"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48C7DD2" w14:textId="77777777" w:rsidR="000A660F" w:rsidRPr="00082036"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136 884</w:t>
            </w:r>
          </w:p>
        </w:tc>
        <w:tc>
          <w:tcPr>
            <w:tcW w:w="1071" w:type="dxa"/>
            <w:tcBorders>
              <w:top w:val="single" w:sz="4" w:space="0" w:color="auto"/>
              <w:left w:val="nil"/>
              <w:bottom w:val="single" w:sz="4" w:space="0" w:color="auto"/>
              <w:right w:val="single" w:sz="4" w:space="0" w:color="auto"/>
            </w:tcBorders>
            <w:shd w:val="clear" w:color="auto" w:fill="auto"/>
            <w:noWrap/>
          </w:tcPr>
          <w:p w14:paraId="5CC3B0DD" w14:textId="77777777" w:rsidR="000A660F" w:rsidRPr="00082036" w:rsidRDefault="000A660F" w:rsidP="003309D5">
            <w:pPr>
              <w:spacing w:after="0" w:line="240" w:lineRule="auto"/>
              <w:jc w:val="center"/>
              <w:rPr>
                <w:rFonts w:eastAsia="Times New Roman" w:cs="Times New Roman"/>
                <w:i/>
                <w:iCs/>
                <w:sz w:val="16"/>
                <w:szCs w:val="16"/>
                <w:lang w:eastAsia="lv-LV"/>
              </w:rPr>
            </w:pPr>
          </w:p>
        </w:tc>
      </w:tr>
      <w:tr w:rsidR="000A660F" w:rsidRPr="003065AF" w14:paraId="73BC059E"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6B9A2BC3" w14:textId="77777777" w:rsidR="000A660F" w:rsidRPr="003065AF"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48DBF78" w14:textId="77777777" w:rsidR="000A660F" w:rsidRPr="003065AF" w:rsidRDefault="000A660F" w:rsidP="003309D5">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1CF71A2A" w14:textId="77777777" w:rsidR="000A660F" w:rsidRPr="00082036" w:rsidRDefault="000A660F" w:rsidP="003309D5">
            <w:pPr>
              <w:spacing w:after="0" w:line="240" w:lineRule="auto"/>
              <w:jc w:val="center"/>
              <w:rPr>
                <w:rFonts w:eastAsia="Times New Roman" w:cs="Times New Roman"/>
                <w:sz w:val="16"/>
                <w:szCs w:val="16"/>
                <w:lang w:eastAsia="lv-LV"/>
              </w:rPr>
            </w:pPr>
            <w:r w:rsidRPr="00082036">
              <w:rPr>
                <w:rFonts w:cs="Times New Roman"/>
                <w:sz w:val="16"/>
                <w:szCs w:val="16"/>
              </w:rPr>
              <w:t>05.01.00 “Sociālās rehabilitācijas valsts programmas” (līguminstitūciju klientiem)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3803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33 318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74BB33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33 318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E267BDB"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33 318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6A293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4BD219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12 261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BD7CD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16 741</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6AEA52" w14:textId="77777777" w:rsidR="000A660F" w:rsidRPr="003065AF"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36AC17B1" w14:textId="77777777" w:rsidR="000A660F" w:rsidRPr="003065AF" w:rsidRDefault="000A660F" w:rsidP="003309D5">
            <w:pPr>
              <w:spacing w:after="0" w:line="240" w:lineRule="auto"/>
              <w:jc w:val="center"/>
              <w:rPr>
                <w:rFonts w:eastAsia="Times New Roman" w:cs="Times New Roman"/>
                <w:i/>
                <w:iCs/>
                <w:sz w:val="16"/>
                <w:szCs w:val="16"/>
                <w:lang w:eastAsia="lv-LV"/>
              </w:rPr>
            </w:pPr>
            <w:r w:rsidRPr="00C11ECE">
              <w:rPr>
                <w:rFonts w:cs="Times New Roman"/>
                <w:iCs/>
                <w:sz w:val="16"/>
                <w:szCs w:val="16"/>
              </w:rPr>
              <w:t>16 741</w:t>
            </w:r>
          </w:p>
        </w:tc>
        <w:tc>
          <w:tcPr>
            <w:tcW w:w="1071" w:type="dxa"/>
            <w:tcBorders>
              <w:top w:val="single" w:sz="4" w:space="0" w:color="auto"/>
              <w:left w:val="nil"/>
              <w:bottom w:val="single" w:sz="4" w:space="0" w:color="auto"/>
              <w:right w:val="single" w:sz="4" w:space="0" w:color="auto"/>
            </w:tcBorders>
            <w:shd w:val="clear" w:color="auto" w:fill="auto"/>
            <w:noWrap/>
          </w:tcPr>
          <w:p w14:paraId="0315BB38" w14:textId="77777777" w:rsidR="000A660F" w:rsidRPr="003065AF" w:rsidRDefault="000A660F" w:rsidP="003309D5">
            <w:pPr>
              <w:spacing w:after="0" w:line="240" w:lineRule="auto"/>
              <w:jc w:val="center"/>
              <w:rPr>
                <w:rFonts w:eastAsia="Times New Roman" w:cs="Times New Roman"/>
                <w:i/>
                <w:iCs/>
                <w:sz w:val="16"/>
                <w:szCs w:val="16"/>
                <w:lang w:eastAsia="lv-LV"/>
              </w:rPr>
            </w:pPr>
          </w:p>
        </w:tc>
      </w:tr>
      <w:tr w:rsidR="000A660F" w:rsidRPr="003065AF" w14:paraId="01048C17"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F307A09" w14:textId="77777777" w:rsidR="000A660F" w:rsidRPr="003065AF"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1C66A95" w14:textId="77777777" w:rsidR="000A660F" w:rsidRPr="003065AF" w:rsidRDefault="000A660F" w:rsidP="003309D5">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43F3C2A0" w14:textId="77777777" w:rsidR="000A660F" w:rsidRPr="00082036" w:rsidRDefault="000A660F" w:rsidP="003309D5">
            <w:pPr>
              <w:spacing w:after="0" w:line="240" w:lineRule="auto"/>
              <w:jc w:val="center"/>
              <w:rPr>
                <w:rFonts w:eastAsia="Times New Roman" w:cs="Times New Roman"/>
                <w:sz w:val="16"/>
                <w:szCs w:val="16"/>
                <w:lang w:eastAsia="lv-LV"/>
              </w:rPr>
            </w:pPr>
            <w:r w:rsidRPr="00082036">
              <w:rPr>
                <w:rFonts w:cs="Times New Roman"/>
                <w:sz w:val="16"/>
                <w:szCs w:val="16"/>
              </w:rPr>
              <w:t>05.03.00 “Aprūpe valsts sociālās aprūpes institūcijās”</w:t>
            </w:r>
            <w:r w:rsidRPr="00082036">
              <w:t xml:space="preserve"> </w:t>
            </w:r>
            <w:r w:rsidRPr="00082036">
              <w:rPr>
                <w:rFonts w:cs="Times New Roman"/>
                <w:sz w:val="16"/>
                <w:szCs w:val="16"/>
              </w:rPr>
              <w:t>(valsts sociālās aprūpes centru klientiem)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E4E8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219 779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D98CD5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219 779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A0B6E1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219 779</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8AFAD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5C6C4F5"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88 479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7EA839"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120 143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708558A" w14:textId="77777777" w:rsidR="000A660F" w:rsidRPr="003065AF"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5C6903C" w14:textId="77777777" w:rsidR="000A660F" w:rsidRPr="003065AF" w:rsidRDefault="000A660F" w:rsidP="003309D5">
            <w:pPr>
              <w:spacing w:after="0" w:line="240" w:lineRule="auto"/>
              <w:jc w:val="center"/>
              <w:rPr>
                <w:rFonts w:eastAsia="Times New Roman" w:cs="Times New Roman"/>
                <w:i/>
                <w:iCs/>
                <w:sz w:val="16"/>
                <w:szCs w:val="16"/>
                <w:lang w:eastAsia="lv-LV"/>
              </w:rPr>
            </w:pPr>
            <w:r w:rsidRPr="00C11ECE">
              <w:rPr>
                <w:rFonts w:cs="Times New Roman"/>
                <w:iCs/>
                <w:sz w:val="16"/>
                <w:szCs w:val="16"/>
              </w:rPr>
              <w:t>120 143</w:t>
            </w:r>
          </w:p>
        </w:tc>
        <w:tc>
          <w:tcPr>
            <w:tcW w:w="1071" w:type="dxa"/>
            <w:tcBorders>
              <w:top w:val="single" w:sz="4" w:space="0" w:color="auto"/>
              <w:left w:val="nil"/>
              <w:bottom w:val="single" w:sz="4" w:space="0" w:color="auto"/>
              <w:right w:val="single" w:sz="4" w:space="0" w:color="auto"/>
            </w:tcBorders>
            <w:shd w:val="clear" w:color="auto" w:fill="auto"/>
            <w:noWrap/>
          </w:tcPr>
          <w:p w14:paraId="6D98265C" w14:textId="77777777" w:rsidR="000A660F" w:rsidRPr="003065AF" w:rsidRDefault="000A660F" w:rsidP="003309D5">
            <w:pPr>
              <w:spacing w:after="0" w:line="240" w:lineRule="auto"/>
              <w:jc w:val="center"/>
              <w:rPr>
                <w:rFonts w:eastAsia="Times New Roman" w:cs="Times New Roman"/>
                <w:i/>
                <w:iCs/>
                <w:sz w:val="16"/>
                <w:szCs w:val="16"/>
                <w:lang w:eastAsia="lv-LV"/>
              </w:rPr>
            </w:pPr>
          </w:p>
        </w:tc>
      </w:tr>
      <w:tr w:rsidR="000A660F" w:rsidRPr="00162719" w14:paraId="61710F31"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67EFACA" w14:textId="77777777" w:rsidR="000A660F" w:rsidRPr="00162719"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067E635" w14:textId="77777777" w:rsidR="000A660F" w:rsidRPr="00162719" w:rsidRDefault="000A660F" w:rsidP="003309D5">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5CF767E4" w14:textId="77777777" w:rsidR="000A660F" w:rsidRPr="00162719" w:rsidRDefault="000A660F" w:rsidP="003309D5">
            <w:pPr>
              <w:spacing w:after="0" w:line="240" w:lineRule="auto"/>
              <w:rPr>
                <w:rFonts w:eastAsia="Times New Roman" w:cs="Times New Roman"/>
                <w:i/>
                <w:iCs/>
                <w:sz w:val="16"/>
                <w:szCs w:val="16"/>
                <w:lang w:eastAsia="lv-LV"/>
              </w:rPr>
            </w:pPr>
            <w:r w:rsidRPr="00162719">
              <w:rPr>
                <w:rFonts w:cs="Times New Roman"/>
                <w:i/>
                <w:iCs/>
                <w:sz w:val="16"/>
                <w:szCs w:val="16"/>
              </w:rPr>
              <w:t>Paaugstināts atbalsts valsts sociālā nodrošinājuma pabalsta saņēmēja nāves gadījumā, kā arī sniegts lielāks atbalsts Černobiļas atomelektrostacijas (ČAES) avārijas seku likvidēšanas dalībniekiem un mirušo ČAES dalībnieku ģimenēm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5975F7"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376 542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50F39ED"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370 410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42E37F3"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364 492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25530C"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EFD12C"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477 565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384858"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731 882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3C3D20" w14:textId="77777777" w:rsidR="000A660F" w:rsidRPr="00162719"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01B07D" w14:textId="77777777" w:rsidR="000A660F" w:rsidRPr="00162719"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731 882</w:t>
            </w:r>
          </w:p>
        </w:tc>
        <w:tc>
          <w:tcPr>
            <w:tcW w:w="1071" w:type="dxa"/>
            <w:tcBorders>
              <w:top w:val="single" w:sz="4" w:space="0" w:color="auto"/>
              <w:left w:val="nil"/>
              <w:bottom w:val="single" w:sz="4" w:space="0" w:color="auto"/>
              <w:right w:val="single" w:sz="4" w:space="0" w:color="auto"/>
            </w:tcBorders>
            <w:shd w:val="clear" w:color="auto" w:fill="auto"/>
            <w:noWrap/>
          </w:tcPr>
          <w:p w14:paraId="44DCB0A2" w14:textId="77777777" w:rsidR="000A660F" w:rsidRPr="00162719" w:rsidRDefault="000A660F" w:rsidP="003309D5">
            <w:pPr>
              <w:spacing w:after="0" w:line="240" w:lineRule="auto"/>
              <w:jc w:val="center"/>
              <w:rPr>
                <w:rFonts w:eastAsia="Times New Roman" w:cs="Times New Roman"/>
                <w:i/>
                <w:iCs/>
                <w:sz w:val="16"/>
                <w:szCs w:val="16"/>
                <w:lang w:eastAsia="lv-LV"/>
              </w:rPr>
            </w:pPr>
          </w:p>
        </w:tc>
      </w:tr>
      <w:tr w:rsidR="000A660F" w:rsidRPr="00BE135E" w14:paraId="4727F829"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4960AA8F"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0F09"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5E599300" w14:textId="77777777" w:rsidR="000A660F" w:rsidRPr="00482E46" w:rsidRDefault="000A660F" w:rsidP="003309D5">
            <w:pPr>
              <w:spacing w:after="0" w:line="240" w:lineRule="auto"/>
              <w:jc w:val="center"/>
              <w:rPr>
                <w:rFonts w:eastAsia="Times New Roman" w:cs="Times New Roman"/>
                <w:sz w:val="16"/>
                <w:szCs w:val="16"/>
                <w:lang w:eastAsia="lv-LV"/>
              </w:rPr>
            </w:pPr>
            <w:r w:rsidRPr="00162719">
              <w:rPr>
                <w:rFonts w:eastAsia="Times New Roman" w:cs="Times New Roman"/>
                <w:sz w:val="16"/>
                <w:szCs w:val="16"/>
                <w:lang w:eastAsia="lv-LV"/>
              </w:rPr>
              <w:t>20.01.00 “Valsts sociālie pabalsti” (</w:t>
            </w:r>
            <w:r>
              <w:rPr>
                <w:rFonts w:eastAsia="Times New Roman" w:cs="Times New Roman"/>
                <w:sz w:val="16"/>
                <w:szCs w:val="16"/>
                <w:lang w:eastAsia="lv-LV"/>
              </w:rPr>
              <w:t>a</w:t>
            </w:r>
            <w:r w:rsidRPr="00162719">
              <w:rPr>
                <w:rFonts w:eastAsia="Times New Roman" w:cs="Times New Roman"/>
                <w:sz w:val="16"/>
                <w:szCs w:val="16"/>
                <w:lang w:eastAsia="lv-LV"/>
              </w:rPr>
              <w:t>pbedīšanas pabalsta valsts sociālā nodrošinājum pabalsta saņēmēja nāves gadījumā saņēmēji</w:t>
            </w:r>
            <w:r>
              <w:rPr>
                <w:rFonts w:eastAsia="Times New Roman" w:cs="Times New Roman"/>
                <w:sz w:val="16"/>
                <w:szCs w:val="16"/>
                <w:lang w:eastAsia="lv-LV"/>
              </w:rPr>
              <w:t>em</w:t>
            </w:r>
            <w:r w:rsidRPr="00162719">
              <w:rPr>
                <w:rFonts w:eastAsia="Times New Roman" w:cs="Times New Roman"/>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952D3"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46 494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C9B2AB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47 598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7C3767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48 700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A3A87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182A7C8"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21 421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6B9998"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30 122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6F03277"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7CCB554"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30 122</w:t>
            </w:r>
          </w:p>
        </w:tc>
        <w:tc>
          <w:tcPr>
            <w:tcW w:w="1071" w:type="dxa"/>
            <w:tcBorders>
              <w:top w:val="single" w:sz="4" w:space="0" w:color="auto"/>
              <w:left w:val="nil"/>
              <w:bottom w:val="single" w:sz="4" w:space="0" w:color="auto"/>
              <w:right w:val="single" w:sz="4" w:space="0" w:color="auto"/>
            </w:tcBorders>
            <w:shd w:val="clear" w:color="auto" w:fill="auto"/>
            <w:noWrap/>
          </w:tcPr>
          <w:p w14:paraId="135536E7"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42E137E2"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6368183B"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B767962"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7B1B784B" w14:textId="77777777" w:rsidR="000A660F" w:rsidRPr="00482E46" w:rsidRDefault="000A660F" w:rsidP="003309D5">
            <w:pPr>
              <w:spacing w:after="0" w:line="240" w:lineRule="auto"/>
              <w:jc w:val="center"/>
              <w:rPr>
                <w:rFonts w:eastAsia="Times New Roman" w:cs="Times New Roman"/>
                <w:sz w:val="16"/>
                <w:szCs w:val="16"/>
                <w:lang w:eastAsia="lv-LV"/>
              </w:rPr>
            </w:pPr>
            <w:r w:rsidRPr="00162719">
              <w:rPr>
                <w:rFonts w:eastAsia="Times New Roman" w:cs="Times New Roman"/>
                <w:sz w:val="16"/>
                <w:szCs w:val="16"/>
                <w:lang w:eastAsia="lv-LV"/>
              </w:rPr>
              <w:t>20.01.00 “Valsts sociālie pabalsti” (</w:t>
            </w:r>
            <w:r>
              <w:rPr>
                <w:rFonts w:eastAsia="Times New Roman" w:cs="Times New Roman"/>
                <w:sz w:val="16"/>
                <w:szCs w:val="16"/>
                <w:lang w:eastAsia="lv-LV"/>
              </w:rPr>
              <w:t>v</w:t>
            </w:r>
            <w:r w:rsidRPr="00162719">
              <w:rPr>
                <w:rFonts w:eastAsia="Times New Roman" w:cs="Times New Roman"/>
                <w:sz w:val="16"/>
                <w:szCs w:val="16"/>
                <w:lang w:eastAsia="lv-LV"/>
              </w:rPr>
              <w:t>alsts sociālā pabalsta ČAES avārijas seku likvidēšanas dalībniekiem un mirušo ČAES avārijas seku likvidēšanas dalībnieku ģimenēm saņēmēji</w:t>
            </w:r>
            <w:r>
              <w:rPr>
                <w:rFonts w:eastAsia="Times New Roman" w:cs="Times New Roman"/>
                <w:sz w:val="16"/>
                <w:szCs w:val="16"/>
                <w:lang w:eastAsia="lv-LV"/>
              </w:rPr>
              <w:t>em</w:t>
            </w:r>
            <w:r w:rsidRPr="00162719">
              <w:rPr>
                <w:rFonts w:eastAsia="Times New Roman" w:cs="Times New Roman"/>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2D153"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330 048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385559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322 812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D304B2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315 792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C103B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7B79149"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456 144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4DA49D"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701 760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5B1080F"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638EE5F0"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701 760</w:t>
            </w:r>
          </w:p>
        </w:tc>
        <w:tc>
          <w:tcPr>
            <w:tcW w:w="1071" w:type="dxa"/>
            <w:tcBorders>
              <w:top w:val="single" w:sz="4" w:space="0" w:color="auto"/>
              <w:left w:val="nil"/>
              <w:bottom w:val="single" w:sz="4" w:space="0" w:color="auto"/>
              <w:right w:val="single" w:sz="4" w:space="0" w:color="auto"/>
            </w:tcBorders>
            <w:shd w:val="clear" w:color="auto" w:fill="auto"/>
            <w:noWrap/>
          </w:tcPr>
          <w:p w14:paraId="7C1814C1"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E46C39" w14:paraId="73E70FEC"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5529B809" w14:textId="77777777" w:rsidR="000A660F" w:rsidRPr="00C11ECE" w:rsidRDefault="000A660F" w:rsidP="003309D5">
            <w:pPr>
              <w:pStyle w:val="ListParagraph"/>
              <w:numPr>
                <w:ilvl w:val="1"/>
                <w:numId w:val="35"/>
              </w:numPr>
              <w:spacing w:after="0" w:line="240" w:lineRule="auto"/>
              <w:ind w:left="315"/>
              <w:jc w:val="both"/>
              <w:rPr>
                <w:rFonts w:eastAsia="Times New Roman" w:cs="Times New Roman"/>
                <w:b/>
                <w:sz w:val="16"/>
                <w:szCs w:val="16"/>
                <w:lang w:eastAsia="lv-LV"/>
              </w:rPr>
            </w:pPr>
            <w:r w:rsidRPr="00C11ECE">
              <w:rPr>
                <w:rFonts w:eastAsia="Times New Roman" w:cs="Times New Roman"/>
                <w:b/>
                <w:sz w:val="16"/>
                <w:szCs w:val="16"/>
                <w:lang w:eastAsia="lv-LV"/>
              </w:rPr>
              <w:t>Atbalsts bē</w:t>
            </w:r>
            <w:r>
              <w:rPr>
                <w:rFonts w:eastAsia="Times New Roman" w:cs="Times New Roman"/>
                <w:b/>
                <w:sz w:val="16"/>
                <w:szCs w:val="16"/>
                <w:lang w:eastAsia="lv-LV"/>
              </w:rPr>
              <w:t>rniem apgādnieka nāves gadījumā.</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6106E" w14:textId="77777777" w:rsidR="000A660F" w:rsidRPr="00E46C39" w:rsidRDefault="000A660F" w:rsidP="003309D5">
            <w:pPr>
              <w:spacing w:after="0" w:line="240" w:lineRule="auto"/>
              <w:jc w:val="center"/>
              <w:rPr>
                <w:rFonts w:eastAsia="Times New Roman" w:cs="Times New Roman"/>
                <w:sz w:val="16"/>
                <w:szCs w:val="16"/>
                <w:lang w:eastAsia="lv-LV"/>
              </w:rPr>
            </w:pPr>
            <w:r w:rsidRPr="00E46C39">
              <w:rPr>
                <w:rFonts w:cs="Times New Roman"/>
                <w:sz w:val="16"/>
                <w:szCs w:val="16"/>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7E3119A8" w14:textId="77777777" w:rsidR="000A660F" w:rsidRPr="00E46C39" w:rsidRDefault="000A660F" w:rsidP="003309D5">
            <w:pPr>
              <w:spacing w:after="0" w:line="240" w:lineRule="auto"/>
              <w:jc w:val="center"/>
              <w:rPr>
                <w:rFonts w:eastAsia="Times New Roman" w:cs="Times New Roman"/>
                <w:sz w:val="16"/>
                <w:szCs w:val="16"/>
                <w:lang w:eastAsia="lv-LV"/>
              </w:rPr>
            </w:pPr>
            <w:r w:rsidRPr="00E46C39">
              <w:rPr>
                <w:rFonts w:cs="Times New Roman"/>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B25019"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5 092 381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B7918C"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5 111 323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575FC1"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5 113 921</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015C49"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3E28F3"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3 083 874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B5B03F"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4 310 688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1A371CAF" w14:textId="77777777" w:rsidR="000A660F" w:rsidRPr="00E46C39"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54171A" w14:textId="77777777" w:rsidR="000A660F" w:rsidRPr="00E46C39" w:rsidRDefault="000A660F" w:rsidP="003309D5">
            <w:pPr>
              <w:spacing w:after="0" w:line="240" w:lineRule="auto"/>
              <w:jc w:val="center"/>
              <w:rPr>
                <w:rFonts w:eastAsia="Times New Roman" w:cs="Times New Roman"/>
                <w:sz w:val="16"/>
                <w:szCs w:val="16"/>
                <w:lang w:eastAsia="lv-LV"/>
              </w:rPr>
            </w:pPr>
            <w:r w:rsidRPr="00C11ECE">
              <w:rPr>
                <w:rFonts w:cs="Times New Roman"/>
                <w:b/>
                <w:bCs/>
                <w:iCs/>
                <w:sz w:val="16"/>
                <w:szCs w:val="16"/>
              </w:rPr>
              <w:t>4 310 688</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68071CC1" w14:textId="77777777" w:rsidR="000A660F" w:rsidRPr="00E46C39" w:rsidRDefault="000A660F" w:rsidP="003309D5">
            <w:pPr>
              <w:spacing w:after="0" w:line="240" w:lineRule="auto"/>
              <w:jc w:val="center"/>
              <w:rPr>
                <w:rFonts w:eastAsia="Times New Roman" w:cs="Times New Roman"/>
                <w:sz w:val="16"/>
                <w:szCs w:val="16"/>
                <w:lang w:eastAsia="lv-LV"/>
              </w:rPr>
            </w:pPr>
          </w:p>
        </w:tc>
      </w:tr>
      <w:tr w:rsidR="000A660F" w:rsidRPr="00001A16" w14:paraId="6B6294CB"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25ABB96" w14:textId="77777777" w:rsidR="000A660F" w:rsidRPr="00001A16"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1DDD" w14:textId="77777777" w:rsidR="000A660F" w:rsidRPr="00001A16" w:rsidRDefault="000A660F" w:rsidP="003309D5">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0A15A638" w14:textId="77777777" w:rsidR="000A660F" w:rsidRPr="00001A16" w:rsidRDefault="000A660F" w:rsidP="003309D5">
            <w:pPr>
              <w:spacing w:after="0" w:line="240" w:lineRule="auto"/>
              <w:rPr>
                <w:rFonts w:eastAsia="Times New Roman" w:cs="Times New Roman"/>
                <w:i/>
                <w:iCs/>
                <w:sz w:val="16"/>
                <w:szCs w:val="16"/>
                <w:lang w:eastAsia="lv-LV"/>
              </w:rPr>
            </w:pPr>
            <w:r w:rsidRPr="00001A16">
              <w:rPr>
                <w:rFonts w:eastAsia="Times New Roman" w:cs="Times New Roman"/>
                <w:i/>
                <w:iCs/>
                <w:sz w:val="16"/>
                <w:szCs w:val="16"/>
                <w:lang w:eastAsia="lv-LV"/>
              </w:rPr>
              <w:t>Transferta pārskaitījums uz sociālās apdrošināšanas speciālo budžetu, lai bērniem apgādnieka nāves gadījumā,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96715B"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4 905 451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587A70B"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4 905 451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0203BEB"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4 905 451</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A787ED"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167BF8"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3 008 105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9EB016"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4 204 989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8D61169" w14:textId="77777777" w:rsidR="000A660F" w:rsidRPr="00001A16"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766C5AF" w14:textId="77777777" w:rsidR="000A660F" w:rsidRPr="00001A16"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4 204 989</w:t>
            </w:r>
          </w:p>
        </w:tc>
        <w:tc>
          <w:tcPr>
            <w:tcW w:w="1071" w:type="dxa"/>
            <w:tcBorders>
              <w:top w:val="single" w:sz="4" w:space="0" w:color="auto"/>
              <w:left w:val="nil"/>
              <w:bottom w:val="single" w:sz="4" w:space="0" w:color="auto"/>
              <w:right w:val="single" w:sz="4" w:space="0" w:color="auto"/>
            </w:tcBorders>
            <w:shd w:val="clear" w:color="auto" w:fill="auto"/>
            <w:noWrap/>
          </w:tcPr>
          <w:p w14:paraId="0CBA8A91" w14:textId="77777777" w:rsidR="000A660F" w:rsidRPr="00001A16" w:rsidRDefault="000A660F" w:rsidP="003309D5">
            <w:pPr>
              <w:spacing w:after="0" w:line="240" w:lineRule="auto"/>
              <w:jc w:val="center"/>
              <w:rPr>
                <w:rFonts w:eastAsia="Times New Roman" w:cs="Times New Roman"/>
                <w:i/>
                <w:iCs/>
                <w:sz w:val="16"/>
                <w:szCs w:val="16"/>
                <w:lang w:eastAsia="lv-LV"/>
              </w:rPr>
            </w:pPr>
          </w:p>
        </w:tc>
      </w:tr>
      <w:tr w:rsidR="000A660F" w:rsidRPr="00BE135E" w14:paraId="13DD4CC8"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FF331D2"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CB2BB7"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6058F0EF" w14:textId="77777777" w:rsidR="000A660F" w:rsidRPr="00482E46" w:rsidRDefault="000A660F" w:rsidP="003309D5">
            <w:pPr>
              <w:spacing w:after="0" w:line="240" w:lineRule="auto"/>
              <w:jc w:val="center"/>
              <w:rPr>
                <w:rFonts w:eastAsia="Times New Roman" w:cs="Times New Roman"/>
                <w:sz w:val="16"/>
                <w:szCs w:val="16"/>
                <w:lang w:eastAsia="lv-LV"/>
              </w:rPr>
            </w:pPr>
            <w:r w:rsidRPr="00001A16">
              <w:rPr>
                <w:rFonts w:eastAsia="Times New Roman" w:cs="Times New Roman"/>
                <w:sz w:val="16"/>
                <w:szCs w:val="16"/>
                <w:lang w:eastAsia="lv-LV"/>
              </w:rPr>
              <w:t>04.00.00 “Valsts atbalsts sociālajai apdrošināšanai” (</w:t>
            </w:r>
            <w:r>
              <w:rPr>
                <w:rFonts w:eastAsia="Times New Roman" w:cs="Times New Roman"/>
                <w:sz w:val="16"/>
                <w:szCs w:val="16"/>
                <w:lang w:eastAsia="lv-LV"/>
              </w:rPr>
              <w:t xml:space="preserve">transferts uz 04.01.00 “Valsts pensiju speciālais budžets” </w:t>
            </w:r>
            <w:r w:rsidRPr="00001A16">
              <w:rPr>
                <w:rFonts w:eastAsia="Times New Roman" w:cs="Times New Roman"/>
                <w:sz w:val="16"/>
                <w:szCs w:val="16"/>
                <w:lang w:eastAsia="lv-LV"/>
              </w:rPr>
              <w:t>atbalsts bērniem apgādnieka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FD89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4 895 629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3C4010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4 895 629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1692969"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4 895 629</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668B3F"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AF8AB27"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3 001 865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CAEB01"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4 196 253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3A67EAC"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5566940"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4 196 253</w:t>
            </w:r>
          </w:p>
        </w:tc>
        <w:tc>
          <w:tcPr>
            <w:tcW w:w="1071" w:type="dxa"/>
            <w:tcBorders>
              <w:top w:val="single" w:sz="4" w:space="0" w:color="auto"/>
              <w:left w:val="nil"/>
              <w:bottom w:val="single" w:sz="4" w:space="0" w:color="auto"/>
              <w:right w:val="single" w:sz="4" w:space="0" w:color="auto"/>
            </w:tcBorders>
            <w:shd w:val="clear" w:color="auto" w:fill="auto"/>
            <w:noWrap/>
          </w:tcPr>
          <w:p w14:paraId="5F106AC7"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BE135E" w14:paraId="4BA3EFBC"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BD74B21" w14:textId="77777777" w:rsidR="000A660F" w:rsidRDefault="000A660F" w:rsidP="003309D5">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D6A0CD9"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687BD532" w14:textId="77777777" w:rsidR="000A660F" w:rsidRPr="00482E46" w:rsidRDefault="000A660F" w:rsidP="003309D5">
            <w:pPr>
              <w:spacing w:after="0" w:line="240" w:lineRule="auto"/>
              <w:jc w:val="center"/>
              <w:rPr>
                <w:rFonts w:eastAsia="Times New Roman" w:cs="Times New Roman"/>
                <w:sz w:val="16"/>
                <w:szCs w:val="16"/>
                <w:lang w:eastAsia="lv-LV"/>
              </w:rPr>
            </w:pPr>
            <w:r w:rsidRPr="00001A16">
              <w:rPr>
                <w:rFonts w:eastAsia="Times New Roman" w:cs="Times New Roman"/>
                <w:sz w:val="16"/>
                <w:szCs w:val="16"/>
                <w:lang w:eastAsia="lv-LV"/>
              </w:rPr>
              <w:t>04.00.00 “Valsts atbalsts sociālajai apdrošināšanai” (transferts uz 04.0</w:t>
            </w:r>
            <w:r>
              <w:rPr>
                <w:rFonts w:eastAsia="Times New Roman" w:cs="Times New Roman"/>
                <w:sz w:val="16"/>
                <w:szCs w:val="16"/>
                <w:lang w:eastAsia="lv-LV"/>
              </w:rPr>
              <w:t>3</w:t>
            </w:r>
            <w:r w:rsidRPr="00001A16">
              <w:rPr>
                <w:rFonts w:eastAsia="Times New Roman" w:cs="Times New Roman"/>
                <w:sz w:val="16"/>
                <w:szCs w:val="16"/>
                <w:lang w:eastAsia="lv-LV"/>
              </w:rPr>
              <w:t>.00 “</w:t>
            </w:r>
            <w:r>
              <w:rPr>
                <w:rFonts w:eastAsia="Times New Roman" w:cs="Times New Roman"/>
                <w:sz w:val="16"/>
                <w:szCs w:val="16"/>
                <w:lang w:eastAsia="lv-LV"/>
              </w:rPr>
              <w:t>Darba negadījumu</w:t>
            </w:r>
            <w:r w:rsidRPr="00001A16">
              <w:rPr>
                <w:rFonts w:eastAsia="Times New Roman" w:cs="Times New Roman"/>
                <w:sz w:val="16"/>
                <w:szCs w:val="16"/>
                <w:lang w:eastAsia="lv-LV"/>
              </w:rPr>
              <w:t xml:space="preserve"> speciālais budžets” atbalsts bērniem apgādnieka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EBC72"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9 822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7806716"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9 822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3FF92A0"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9 822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A909F3"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5EF72A4"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6 240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0DBC5E" w14:textId="77777777" w:rsidR="000A660F" w:rsidRPr="00C11ECE"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8 736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00443B"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5465C6E"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iCs/>
                <w:sz w:val="16"/>
                <w:szCs w:val="16"/>
              </w:rPr>
              <w:t>8 736</w:t>
            </w:r>
          </w:p>
        </w:tc>
        <w:tc>
          <w:tcPr>
            <w:tcW w:w="1071" w:type="dxa"/>
            <w:tcBorders>
              <w:top w:val="single" w:sz="4" w:space="0" w:color="auto"/>
              <w:left w:val="nil"/>
              <w:bottom w:val="single" w:sz="4" w:space="0" w:color="auto"/>
              <w:right w:val="single" w:sz="4" w:space="0" w:color="auto"/>
            </w:tcBorders>
            <w:shd w:val="clear" w:color="auto" w:fill="auto"/>
            <w:noWrap/>
          </w:tcPr>
          <w:p w14:paraId="3754CF5D"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7F36B3" w14:paraId="59977DDE"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6B30EE0A" w14:textId="77777777" w:rsidR="000A660F" w:rsidRPr="007F36B3"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F28E14E" w14:textId="77777777" w:rsidR="000A660F" w:rsidRPr="007F36B3" w:rsidRDefault="000A660F" w:rsidP="003309D5">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6E5847EC" w14:textId="60C326A5" w:rsidR="000A660F" w:rsidRPr="007F36B3" w:rsidRDefault="000A660F" w:rsidP="003309D5">
            <w:pPr>
              <w:spacing w:after="0" w:line="240" w:lineRule="auto"/>
              <w:jc w:val="center"/>
              <w:rPr>
                <w:rFonts w:eastAsia="Times New Roman" w:cs="Times New Roman"/>
                <w:i/>
                <w:iCs/>
                <w:sz w:val="16"/>
                <w:szCs w:val="16"/>
                <w:lang w:eastAsia="lv-LV"/>
              </w:rPr>
            </w:pPr>
            <w:r w:rsidRPr="007F36B3">
              <w:rPr>
                <w:rFonts w:eastAsia="Times New Roman" w:cs="Times New Roman"/>
                <w:i/>
                <w:iCs/>
                <w:sz w:val="16"/>
                <w:szCs w:val="16"/>
                <w:lang w:eastAsia="lv-LV"/>
              </w:rPr>
              <w:t>20.01.00 “Valsts sociālie pabalsti” (valsts sociālā nodrošinājuma pabalsts apgādnieka zaudējuma gadījumā</w:t>
            </w:r>
            <w:r w:rsidR="003277F5">
              <w:rPr>
                <w:rFonts w:eastAsia="Times New Roman" w:cs="Times New Roman"/>
                <w:i/>
                <w:iCs/>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C19BA"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186 930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003CB1C"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205 872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C93E981"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208 470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71EF47"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AF54278"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75 769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03E0F8" w14:textId="77777777" w:rsidR="000A660F" w:rsidRPr="00C11ECE"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105 699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5DA48CF" w14:textId="77777777" w:rsidR="000A660F" w:rsidRPr="007F36B3"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2280851" w14:textId="77777777" w:rsidR="000A660F" w:rsidRPr="007F36B3" w:rsidRDefault="000A660F" w:rsidP="003309D5">
            <w:pPr>
              <w:spacing w:after="0" w:line="240" w:lineRule="auto"/>
              <w:jc w:val="center"/>
              <w:rPr>
                <w:rFonts w:eastAsia="Times New Roman" w:cs="Times New Roman"/>
                <w:i/>
                <w:iCs/>
                <w:sz w:val="16"/>
                <w:szCs w:val="16"/>
                <w:lang w:eastAsia="lv-LV"/>
              </w:rPr>
            </w:pPr>
            <w:r w:rsidRPr="00C11ECE">
              <w:rPr>
                <w:rFonts w:cs="Times New Roman"/>
                <w:bCs/>
                <w:i/>
                <w:iCs/>
                <w:sz w:val="16"/>
                <w:szCs w:val="16"/>
              </w:rPr>
              <w:t>105 699</w:t>
            </w:r>
          </w:p>
        </w:tc>
        <w:tc>
          <w:tcPr>
            <w:tcW w:w="1071" w:type="dxa"/>
            <w:tcBorders>
              <w:top w:val="single" w:sz="4" w:space="0" w:color="auto"/>
              <w:left w:val="nil"/>
              <w:bottom w:val="single" w:sz="4" w:space="0" w:color="auto"/>
              <w:right w:val="single" w:sz="4" w:space="0" w:color="auto"/>
            </w:tcBorders>
            <w:shd w:val="clear" w:color="auto" w:fill="auto"/>
            <w:noWrap/>
          </w:tcPr>
          <w:p w14:paraId="54D3BA1B" w14:textId="77777777" w:rsidR="000A660F" w:rsidRPr="007F36B3" w:rsidRDefault="000A660F" w:rsidP="003309D5">
            <w:pPr>
              <w:spacing w:after="0" w:line="240" w:lineRule="auto"/>
              <w:jc w:val="center"/>
              <w:rPr>
                <w:rFonts w:eastAsia="Times New Roman" w:cs="Times New Roman"/>
                <w:i/>
                <w:iCs/>
                <w:sz w:val="16"/>
                <w:szCs w:val="16"/>
                <w:lang w:eastAsia="lv-LV"/>
              </w:rPr>
            </w:pPr>
          </w:p>
        </w:tc>
      </w:tr>
      <w:tr w:rsidR="000A660F" w:rsidRPr="00BE135E" w14:paraId="44E268BD"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23C4993F" w14:textId="77777777" w:rsidR="000A660F" w:rsidRPr="00C11ECE" w:rsidRDefault="000A660F" w:rsidP="003309D5">
            <w:pPr>
              <w:pStyle w:val="ListParagraph"/>
              <w:numPr>
                <w:ilvl w:val="1"/>
                <w:numId w:val="35"/>
              </w:numPr>
              <w:spacing w:after="0" w:line="240" w:lineRule="auto"/>
              <w:ind w:left="315"/>
              <w:jc w:val="both"/>
              <w:rPr>
                <w:rFonts w:eastAsia="Times New Roman" w:cs="Times New Roman"/>
                <w:b/>
                <w:sz w:val="16"/>
                <w:szCs w:val="16"/>
                <w:lang w:eastAsia="lv-LV"/>
              </w:rPr>
            </w:pPr>
            <w:r>
              <w:rPr>
                <w:rFonts w:eastAsia="Times New Roman" w:cs="Times New Roman"/>
                <w:b/>
                <w:sz w:val="16"/>
                <w:szCs w:val="16"/>
                <w:lang w:eastAsia="lv-LV"/>
              </w:rPr>
              <w:t>IT sistēmu pielāgošana</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37D96E" w14:textId="77777777" w:rsidR="000A660F" w:rsidRPr="001C042C" w:rsidRDefault="000A660F" w:rsidP="003309D5">
            <w:pPr>
              <w:spacing w:after="0" w:line="240" w:lineRule="auto"/>
              <w:jc w:val="center"/>
              <w:rPr>
                <w:rFonts w:eastAsia="Times New Roman" w:cs="Times New Roman"/>
                <w:sz w:val="16"/>
                <w:szCs w:val="16"/>
                <w:lang w:eastAsia="lv-LV"/>
              </w:rPr>
            </w:pPr>
            <w:r w:rsidRPr="001C042C">
              <w:rPr>
                <w:rFonts w:cs="Times New Roman"/>
                <w:sz w:val="16"/>
                <w:szCs w:val="16"/>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219D3F1C" w14:textId="77777777" w:rsidR="000A660F" w:rsidRPr="001C042C" w:rsidRDefault="000A660F" w:rsidP="003309D5">
            <w:pPr>
              <w:spacing w:after="0" w:line="240" w:lineRule="auto"/>
              <w:jc w:val="center"/>
              <w:rPr>
                <w:rFonts w:eastAsia="Times New Roman" w:cs="Times New Roman"/>
                <w:sz w:val="16"/>
                <w:szCs w:val="16"/>
                <w:lang w:eastAsia="lv-LV"/>
              </w:rPr>
            </w:pPr>
            <w:r w:rsidRPr="001C042C">
              <w:rPr>
                <w:rFonts w:cs="Times New Roman"/>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8AC919"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325 729</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F519933"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129 773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6F208E"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40B822"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E4D44F"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8B19A03" w14:textId="77777777" w:rsidR="000A660F" w:rsidRPr="00C11ECE" w:rsidRDefault="000A660F" w:rsidP="003309D5">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506E5196"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3CC1EF" w14:textId="77777777" w:rsidR="000A660F" w:rsidRPr="00482E46" w:rsidRDefault="000A660F" w:rsidP="003309D5">
            <w:pPr>
              <w:spacing w:after="0" w:line="240" w:lineRule="auto"/>
              <w:jc w:val="center"/>
              <w:rPr>
                <w:rFonts w:eastAsia="Times New Roman" w:cs="Times New Roman"/>
                <w:sz w:val="16"/>
                <w:szCs w:val="16"/>
                <w:lang w:eastAsia="lv-LV"/>
              </w:rPr>
            </w:pPr>
            <w:r w:rsidRPr="00C11ECE">
              <w:rPr>
                <w:rFonts w:cs="Times New Roman"/>
                <w:b/>
                <w:bCs/>
                <w:iCs/>
                <w:sz w:val="16"/>
                <w:szCs w:val="16"/>
              </w:rPr>
              <w:t>0</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3CE8AA84" w14:textId="77777777" w:rsidR="000A660F" w:rsidRPr="00482E46" w:rsidRDefault="000A660F" w:rsidP="003309D5">
            <w:pPr>
              <w:spacing w:after="0" w:line="240" w:lineRule="auto"/>
              <w:jc w:val="center"/>
              <w:rPr>
                <w:rFonts w:eastAsia="Times New Roman" w:cs="Times New Roman"/>
                <w:sz w:val="16"/>
                <w:szCs w:val="16"/>
                <w:lang w:eastAsia="lv-LV"/>
              </w:rPr>
            </w:pPr>
          </w:p>
        </w:tc>
      </w:tr>
      <w:tr w:rsidR="000A660F" w:rsidRPr="00F0345E" w14:paraId="598112B5" w14:textId="77777777" w:rsidTr="003309D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CD8EBE2" w14:textId="77777777" w:rsidR="000A660F" w:rsidRPr="00F0345E" w:rsidRDefault="000A660F" w:rsidP="003309D5">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8DE130B" w14:textId="77777777" w:rsidR="000A660F" w:rsidRPr="00F0345E" w:rsidRDefault="000A660F" w:rsidP="003309D5">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A8D73F3" w14:textId="77777777" w:rsidR="000A660F" w:rsidRPr="00F0345E" w:rsidRDefault="000A660F" w:rsidP="003309D5">
            <w:pPr>
              <w:spacing w:after="0" w:line="240" w:lineRule="auto"/>
              <w:jc w:val="center"/>
              <w:rPr>
                <w:rFonts w:eastAsia="Times New Roman" w:cs="Times New Roman"/>
                <w:i/>
                <w:iCs/>
                <w:sz w:val="16"/>
                <w:szCs w:val="16"/>
                <w:lang w:eastAsia="lv-LV"/>
              </w:rPr>
            </w:pPr>
            <w:r w:rsidRPr="00F0345E">
              <w:rPr>
                <w:rFonts w:eastAsia="Times New Roman" w:cs="Times New Roman"/>
                <w:i/>
                <w:iCs/>
                <w:sz w:val="16"/>
                <w:szCs w:val="16"/>
                <w:lang w:eastAsia="lv-LV"/>
              </w:rPr>
              <w:t>97.02.00 “Nozares centralizēto funkciju izpilde”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A5FAC9" w14:textId="77777777" w:rsidR="000A660F" w:rsidRPr="00C11ECE" w:rsidRDefault="000A660F" w:rsidP="003309D5">
            <w:pPr>
              <w:spacing w:after="0" w:line="240" w:lineRule="auto"/>
              <w:jc w:val="center"/>
              <w:rPr>
                <w:rFonts w:eastAsia="Times New Roman" w:cs="Times New Roman"/>
                <w:iCs/>
                <w:sz w:val="16"/>
                <w:szCs w:val="16"/>
                <w:lang w:eastAsia="lv-LV"/>
              </w:rPr>
            </w:pPr>
            <w:r w:rsidRPr="00C11ECE">
              <w:rPr>
                <w:rFonts w:cs="Times New Roman"/>
                <w:bCs/>
                <w:iCs/>
                <w:sz w:val="16"/>
                <w:szCs w:val="16"/>
              </w:rPr>
              <w:t>325 729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D92ABC3" w14:textId="77777777" w:rsidR="000A660F" w:rsidRPr="00C11ECE" w:rsidRDefault="000A660F" w:rsidP="003309D5">
            <w:pPr>
              <w:spacing w:after="0" w:line="240" w:lineRule="auto"/>
              <w:jc w:val="center"/>
              <w:rPr>
                <w:rFonts w:eastAsia="Times New Roman" w:cs="Times New Roman"/>
                <w:iCs/>
                <w:sz w:val="16"/>
                <w:szCs w:val="16"/>
                <w:lang w:eastAsia="lv-LV"/>
              </w:rPr>
            </w:pPr>
            <w:r w:rsidRPr="00C11ECE">
              <w:rPr>
                <w:rFonts w:cs="Times New Roman"/>
                <w:bCs/>
                <w:iCs/>
                <w:sz w:val="16"/>
                <w:szCs w:val="16"/>
              </w:rPr>
              <w:t>129 773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ED44144" w14:textId="77777777" w:rsidR="000A660F" w:rsidRPr="00C11ECE" w:rsidRDefault="000A660F" w:rsidP="003309D5">
            <w:pPr>
              <w:spacing w:after="0" w:line="240" w:lineRule="auto"/>
              <w:jc w:val="center"/>
              <w:rPr>
                <w:rFonts w:eastAsia="Times New Roman" w:cs="Times New Roman"/>
                <w:iCs/>
                <w:sz w:val="16"/>
                <w:szCs w:val="16"/>
                <w:lang w:eastAsia="lv-LV"/>
              </w:rPr>
            </w:pPr>
            <w:r w:rsidRPr="00C11ECE">
              <w:rPr>
                <w:rFonts w:cs="Times New Roman"/>
                <w:bCs/>
                <w:iCs/>
                <w:sz w:val="16"/>
                <w:szCs w:val="16"/>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D8970F" w14:textId="77777777" w:rsidR="000A660F" w:rsidRPr="00C11ECE" w:rsidRDefault="000A660F" w:rsidP="003309D5">
            <w:pPr>
              <w:spacing w:after="0" w:line="240" w:lineRule="auto"/>
              <w:jc w:val="center"/>
              <w:rPr>
                <w:rFonts w:eastAsia="Times New Roman" w:cs="Times New Roman"/>
                <w:iCs/>
                <w:sz w:val="16"/>
                <w:szCs w:val="16"/>
                <w:lang w:eastAsia="lv-LV"/>
              </w:rPr>
            </w:pPr>
            <w:r w:rsidRPr="00C11ECE">
              <w:rPr>
                <w:rFonts w:cs="Times New Roman"/>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ED9E" w14:textId="77777777" w:rsidR="000A660F" w:rsidRPr="00C11ECE" w:rsidRDefault="000A660F" w:rsidP="003309D5">
            <w:pPr>
              <w:spacing w:after="0" w:line="240" w:lineRule="auto"/>
              <w:jc w:val="center"/>
              <w:rPr>
                <w:rFonts w:eastAsia="Times New Roman" w:cs="Times New Roman"/>
                <w:iCs/>
                <w:sz w:val="16"/>
                <w:szCs w:val="16"/>
                <w:lang w:eastAsia="lv-LV"/>
              </w:rPr>
            </w:pPr>
            <w:r w:rsidRPr="00C11ECE">
              <w:rPr>
                <w:rFonts w:cs="Times New Roman"/>
                <w:bCs/>
                <w:iCs/>
                <w:sz w:val="16"/>
                <w:szCs w:val="16"/>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D3B811" w14:textId="77777777" w:rsidR="000A660F" w:rsidRPr="00C11ECE" w:rsidRDefault="000A660F" w:rsidP="003309D5">
            <w:pPr>
              <w:spacing w:after="0" w:line="240" w:lineRule="auto"/>
              <w:jc w:val="center"/>
              <w:rPr>
                <w:rFonts w:eastAsia="Times New Roman" w:cs="Times New Roman"/>
                <w:iCs/>
                <w:sz w:val="16"/>
                <w:szCs w:val="16"/>
                <w:lang w:eastAsia="lv-LV"/>
              </w:rPr>
            </w:pPr>
            <w:r w:rsidRPr="00C11ECE">
              <w:rPr>
                <w:rFonts w:cs="Times New Roman"/>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492CB4" w14:textId="77777777" w:rsidR="000A660F" w:rsidRPr="00F0345E" w:rsidRDefault="000A660F" w:rsidP="003309D5">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844EF00" w14:textId="77777777" w:rsidR="000A660F" w:rsidRPr="00F0345E" w:rsidRDefault="000A660F" w:rsidP="003309D5">
            <w:pPr>
              <w:spacing w:after="0" w:line="240" w:lineRule="auto"/>
              <w:jc w:val="center"/>
              <w:rPr>
                <w:rFonts w:eastAsia="Times New Roman" w:cs="Times New Roman"/>
                <w:i/>
                <w:iCs/>
                <w:sz w:val="16"/>
                <w:szCs w:val="16"/>
                <w:lang w:eastAsia="lv-LV"/>
              </w:rPr>
            </w:pPr>
            <w:r w:rsidRPr="00C11ECE">
              <w:rPr>
                <w:rFonts w:cs="Times New Roman"/>
                <w:bCs/>
                <w:iCs/>
                <w:sz w:val="16"/>
                <w:szCs w:val="16"/>
              </w:rPr>
              <w:t>0</w:t>
            </w:r>
          </w:p>
        </w:tc>
        <w:tc>
          <w:tcPr>
            <w:tcW w:w="1071" w:type="dxa"/>
            <w:tcBorders>
              <w:top w:val="single" w:sz="4" w:space="0" w:color="auto"/>
              <w:left w:val="nil"/>
              <w:bottom w:val="single" w:sz="4" w:space="0" w:color="auto"/>
              <w:right w:val="single" w:sz="4" w:space="0" w:color="auto"/>
            </w:tcBorders>
            <w:shd w:val="clear" w:color="auto" w:fill="auto"/>
            <w:noWrap/>
          </w:tcPr>
          <w:p w14:paraId="6791A558" w14:textId="77777777" w:rsidR="000A660F" w:rsidRPr="00F0345E" w:rsidRDefault="000A660F" w:rsidP="003309D5">
            <w:pPr>
              <w:spacing w:after="0" w:line="240" w:lineRule="auto"/>
              <w:jc w:val="center"/>
              <w:rPr>
                <w:rFonts w:eastAsia="Times New Roman" w:cs="Times New Roman"/>
                <w:i/>
                <w:iCs/>
                <w:sz w:val="16"/>
                <w:szCs w:val="16"/>
                <w:lang w:eastAsia="lv-LV"/>
              </w:rPr>
            </w:pPr>
          </w:p>
        </w:tc>
      </w:tr>
      <w:tr w:rsidR="000A660F" w:rsidRPr="00BE135E" w14:paraId="48A918CC" w14:textId="77777777" w:rsidTr="003309D5">
        <w:trPr>
          <w:trHeight w:val="312"/>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hideMark/>
          </w:tcPr>
          <w:p w14:paraId="47B79F9E" w14:textId="77777777" w:rsidR="000A660F" w:rsidRPr="00D23381" w:rsidRDefault="000A660F" w:rsidP="003309D5">
            <w:pPr>
              <w:pStyle w:val="ListParagraph"/>
              <w:numPr>
                <w:ilvl w:val="1"/>
                <w:numId w:val="35"/>
              </w:numPr>
              <w:spacing w:after="0" w:line="240" w:lineRule="auto"/>
              <w:ind w:left="313"/>
              <w:jc w:val="both"/>
              <w:rPr>
                <w:rFonts w:eastAsia="Times New Roman" w:cs="Times New Roman"/>
                <w:b/>
                <w:bCs/>
                <w:iCs/>
                <w:sz w:val="16"/>
                <w:szCs w:val="16"/>
                <w:lang w:eastAsia="lv-LV"/>
              </w:rPr>
            </w:pPr>
            <w:r w:rsidRPr="00D23381">
              <w:rPr>
                <w:rFonts w:eastAsia="Times New Roman" w:cs="Times New Roman"/>
                <w:b/>
                <w:bCs/>
                <w:iCs/>
                <w:sz w:val="16"/>
                <w:szCs w:val="16"/>
                <w:lang w:eastAsia="lv-LV"/>
              </w:rPr>
              <w:t>Atbalsts trūcīgām personām veselības aprūpes jomā</w:t>
            </w:r>
          </w:p>
        </w:tc>
        <w:tc>
          <w:tcPr>
            <w:tcW w:w="1372" w:type="dxa"/>
            <w:tcBorders>
              <w:top w:val="nil"/>
              <w:left w:val="single" w:sz="4" w:space="0" w:color="auto"/>
              <w:bottom w:val="single" w:sz="4" w:space="0" w:color="auto"/>
              <w:right w:val="nil"/>
            </w:tcBorders>
            <w:shd w:val="clear" w:color="auto" w:fill="F2F2F2" w:themeFill="background1" w:themeFillShade="F2"/>
          </w:tcPr>
          <w:p w14:paraId="6A733F85" w14:textId="77777777" w:rsidR="000A660F" w:rsidRPr="00D23381" w:rsidRDefault="000A660F" w:rsidP="003309D5">
            <w:pPr>
              <w:spacing w:after="0" w:line="240" w:lineRule="auto"/>
              <w:jc w:val="center"/>
              <w:rPr>
                <w:rFonts w:eastAsia="Times New Roman" w:cs="Times New Roman"/>
                <w:b/>
                <w:bCs/>
                <w:iCs/>
                <w:sz w:val="16"/>
                <w:szCs w:val="16"/>
                <w:lang w:eastAsia="lv-LV"/>
              </w:rPr>
            </w:pPr>
            <w:r w:rsidRPr="00D23381">
              <w:rPr>
                <w:rFonts w:eastAsia="Times New Roman" w:cs="Times New Roman"/>
                <w:b/>
                <w:bCs/>
                <w:iCs/>
                <w:sz w:val="16"/>
                <w:szCs w:val="16"/>
                <w:lang w:eastAsia="lv-LV"/>
              </w:rPr>
              <w:t>29 Veselības ministrija</w:t>
            </w:r>
          </w:p>
        </w:tc>
        <w:tc>
          <w:tcPr>
            <w:tcW w:w="1559" w:type="dxa"/>
            <w:tcBorders>
              <w:top w:val="nil"/>
              <w:left w:val="single" w:sz="4" w:space="0" w:color="auto"/>
              <w:bottom w:val="single" w:sz="4" w:space="0" w:color="auto"/>
              <w:right w:val="nil"/>
            </w:tcBorders>
            <w:shd w:val="clear" w:color="auto" w:fill="F2F2F2" w:themeFill="background1" w:themeFillShade="F2"/>
            <w:hideMark/>
          </w:tcPr>
          <w:p w14:paraId="6258CA53" w14:textId="77777777" w:rsidR="000A660F" w:rsidRPr="00D23381" w:rsidRDefault="000A660F" w:rsidP="003309D5">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33.00.00 “Veselības aprūpes nodrošināšana”</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356B968" w14:textId="77777777" w:rsidR="000A660F" w:rsidRPr="00C11ECE" w:rsidRDefault="000A660F" w:rsidP="003309D5">
            <w:pPr>
              <w:spacing w:after="0" w:line="240" w:lineRule="auto"/>
              <w:jc w:val="center"/>
              <w:rPr>
                <w:rFonts w:eastAsia="Times New Roman" w:cs="Times New Roman"/>
                <w:b/>
                <w:bCs/>
                <w:sz w:val="16"/>
                <w:szCs w:val="16"/>
                <w:lang w:eastAsia="lv-LV"/>
              </w:rPr>
            </w:pPr>
            <w:r w:rsidRPr="00C11ECE">
              <w:rPr>
                <w:rFonts w:cs="Times New Roman"/>
                <w:b/>
                <w:bCs/>
                <w:sz w:val="16"/>
                <w:szCs w:val="16"/>
              </w:rPr>
              <w:t>1 582 480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311389CC" w14:textId="77777777" w:rsidR="000A660F" w:rsidRPr="00C11ECE" w:rsidRDefault="000A660F" w:rsidP="003309D5">
            <w:pPr>
              <w:spacing w:after="0" w:line="240" w:lineRule="auto"/>
              <w:jc w:val="center"/>
              <w:rPr>
                <w:rFonts w:eastAsia="Times New Roman" w:cs="Times New Roman"/>
                <w:b/>
                <w:bCs/>
                <w:sz w:val="16"/>
                <w:szCs w:val="16"/>
                <w:lang w:eastAsia="lv-LV"/>
              </w:rPr>
            </w:pPr>
            <w:r w:rsidRPr="00C11ECE">
              <w:rPr>
                <w:rFonts w:cs="Times New Roman"/>
                <w:b/>
                <w:bCs/>
                <w:sz w:val="16"/>
                <w:szCs w:val="16"/>
              </w:rPr>
              <w:t>1 361 437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59A27BB" w14:textId="77777777" w:rsidR="000A660F" w:rsidRPr="00C11ECE" w:rsidRDefault="000A660F" w:rsidP="003309D5">
            <w:pPr>
              <w:spacing w:after="0" w:line="240" w:lineRule="auto"/>
              <w:jc w:val="center"/>
              <w:rPr>
                <w:rFonts w:eastAsia="Times New Roman" w:cs="Times New Roman"/>
                <w:b/>
                <w:bCs/>
                <w:sz w:val="16"/>
                <w:szCs w:val="16"/>
                <w:lang w:eastAsia="lv-LV"/>
              </w:rPr>
            </w:pPr>
            <w:r w:rsidRPr="00C11ECE">
              <w:rPr>
                <w:rFonts w:cs="Times New Roman"/>
                <w:b/>
                <w:bCs/>
                <w:sz w:val="16"/>
                <w:szCs w:val="16"/>
              </w:rPr>
              <w:t>1 151 550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15F31BDC" w14:textId="77777777" w:rsidR="000A660F" w:rsidRPr="00C11ECE" w:rsidRDefault="000A660F" w:rsidP="003309D5">
            <w:pPr>
              <w:spacing w:after="0" w:line="240" w:lineRule="auto"/>
              <w:jc w:val="center"/>
              <w:rPr>
                <w:rFonts w:eastAsia="Times New Roman" w:cs="Times New Roman"/>
                <w:b/>
                <w:bCs/>
                <w:sz w:val="16"/>
                <w:szCs w:val="16"/>
                <w:lang w:eastAsia="lv-LV"/>
              </w:rPr>
            </w:pPr>
            <w:r w:rsidRPr="00C11ECE">
              <w:rPr>
                <w:rFonts w:cs="Times New Roman"/>
                <w:b/>
                <w:bCs/>
                <w:sz w:val="16"/>
                <w:szCs w:val="16"/>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A80821E" w14:textId="77777777" w:rsidR="000A660F" w:rsidRPr="00C11ECE" w:rsidRDefault="000A660F" w:rsidP="003309D5">
            <w:pPr>
              <w:spacing w:after="0" w:line="240" w:lineRule="auto"/>
              <w:jc w:val="center"/>
              <w:rPr>
                <w:rFonts w:eastAsia="Times New Roman" w:cs="Times New Roman"/>
                <w:b/>
                <w:bCs/>
                <w:sz w:val="16"/>
                <w:szCs w:val="16"/>
                <w:lang w:eastAsia="lv-LV"/>
              </w:rPr>
            </w:pPr>
            <w:r w:rsidRPr="00C11ECE">
              <w:rPr>
                <w:rFonts w:cs="Times New Roman"/>
                <w:b/>
                <w:bCs/>
                <w:sz w:val="16"/>
                <w:szCs w:val="16"/>
              </w:rPr>
              <w:t>413 551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F0C7F69" w14:textId="77777777" w:rsidR="000A660F" w:rsidRPr="00C11ECE" w:rsidRDefault="000A660F" w:rsidP="003309D5">
            <w:pPr>
              <w:spacing w:after="0" w:line="240" w:lineRule="auto"/>
              <w:jc w:val="center"/>
              <w:rPr>
                <w:rFonts w:eastAsia="Times New Roman" w:cs="Times New Roman"/>
                <w:b/>
                <w:bCs/>
                <w:sz w:val="16"/>
                <w:szCs w:val="16"/>
                <w:lang w:eastAsia="lv-LV"/>
              </w:rPr>
            </w:pPr>
            <w:r w:rsidRPr="00C11ECE">
              <w:rPr>
                <w:rFonts w:cs="Times New Roman"/>
                <w:b/>
                <w:bCs/>
                <w:sz w:val="16"/>
                <w:szCs w:val="16"/>
              </w:rPr>
              <w:t>600 245</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3D808FB3" w14:textId="77777777" w:rsidR="000A660F" w:rsidRPr="00D23381" w:rsidRDefault="000A660F" w:rsidP="003309D5">
            <w:pPr>
              <w:spacing w:after="0" w:line="240" w:lineRule="auto"/>
              <w:jc w:val="center"/>
              <w:rPr>
                <w:rFonts w:eastAsia="Times New Roman" w:cs="Times New Roman"/>
                <w:b/>
                <w:bCs/>
                <w:sz w:val="16"/>
                <w:szCs w:val="16"/>
                <w:lang w:eastAsia="lv-LV"/>
              </w:rPr>
            </w:pPr>
          </w:p>
        </w:tc>
        <w:tc>
          <w:tcPr>
            <w:tcW w:w="993" w:type="dxa"/>
            <w:tcBorders>
              <w:top w:val="nil"/>
              <w:left w:val="nil"/>
              <w:bottom w:val="single" w:sz="4" w:space="0" w:color="auto"/>
              <w:right w:val="single" w:sz="4" w:space="0" w:color="auto"/>
            </w:tcBorders>
            <w:shd w:val="clear" w:color="auto" w:fill="F2F2F2" w:themeFill="background1" w:themeFillShade="F2"/>
            <w:noWrap/>
            <w:vAlign w:val="center"/>
          </w:tcPr>
          <w:p w14:paraId="0815947B" w14:textId="31032585" w:rsidR="000A660F" w:rsidRPr="003277F5" w:rsidRDefault="003277F5" w:rsidP="003277F5">
            <w:pPr>
              <w:spacing w:after="0" w:line="240" w:lineRule="auto"/>
              <w:rPr>
                <w:rFonts w:eastAsia="Times New Roman" w:cs="Times New Roman"/>
                <w:b/>
                <w:bCs/>
                <w:sz w:val="16"/>
                <w:szCs w:val="16"/>
                <w:lang w:eastAsia="lv-LV"/>
              </w:rPr>
            </w:pPr>
            <w:r>
              <w:rPr>
                <w:rFonts w:eastAsia="Times New Roman" w:cs="Times New Roman"/>
                <w:b/>
                <w:bCs/>
                <w:sz w:val="16"/>
                <w:szCs w:val="16"/>
                <w:lang w:eastAsia="lv-LV"/>
              </w:rPr>
              <w:t>600 245</w:t>
            </w:r>
          </w:p>
        </w:tc>
        <w:tc>
          <w:tcPr>
            <w:tcW w:w="1071" w:type="dxa"/>
            <w:tcBorders>
              <w:top w:val="nil"/>
              <w:left w:val="nil"/>
              <w:bottom w:val="single" w:sz="4" w:space="0" w:color="auto"/>
              <w:right w:val="single" w:sz="4" w:space="0" w:color="auto"/>
            </w:tcBorders>
            <w:shd w:val="clear" w:color="auto" w:fill="F2F2F2" w:themeFill="background1" w:themeFillShade="F2"/>
            <w:noWrap/>
            <w:vAlign w:val="center"/>
          </w:tcPr>
          <w:p w14:paraId="3EEDECFA" w14:textId="77777777" w:rsidR="000A660F" w:rsidRPr="00D23381" w:rsidRDefault="000A660F" w:rsidP="003309D5">
            <w:pPr>
              <w:spacing w:after="0" w:line="240" w:lineRule="auto"/>
              <w:jc w:val="center"/>
              <w:rPr>
                <w:rFonts w:eastAsia="Times New Roman" w:cs="Times New Roman"/>
                <w:b/>
                <w:bCs/>
                <w:sz w:val="16"/>
                <w:szCs w:val="16"/>
                <w:lang w:eastAsia="lv-LV"/>
              </w:rPr>
            </w:pPr>
          </w:p>
        </w:tc>
      </w:tr>
      <w:tr w:rsidR="000A660F" w:rsidRPr="00D64209" w14:paraId="28F8F268"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A292C1E" w14:textId="77777777" w:rsidR="000A660F" w:rsidRPr="00BC3F01" w:rsidRDefault="000A660F" w:rsidP="003309D5">
            <w:pPr>
              <w:pStyle w:val="ListParagraph"/>
              <w:numPr>
                <w:ilvl w:val="1"/>
                <w:numId w:val="35"/>
              </w:numPr>
              <w:spacing w:after="0" w:line="240" w:lineRule="auto"/>
              <w:ind w:left="313"/>
              <w:jc w:val="both"/>
              <w:rPr>
                <w:rFonts w:eastAsia="Times New Roman" w:cs="Times New Roman"/>
                <w:b/>
                <w:bCs/>
                <w:iCs/>
                <w:sz w:val="16"/>
                <w:szCs w:val="16"/>
                <w:lang w:eastAsia="lv-LV"/>
              </w:rPr>
            </w:pPr>
            <w:r w:rsidRPr="00BC3F01">
              <w:rPr>
                <w:rFonts w:cs="Times New Roman"/>
                <w:b/>
                <w:bCs/>
                <w:sz w:val="16"/>
                <w:szCs w:val="16"/>
              </w:rPr>
              <w:t>GMI un dzīvokļa pabalsts, sociālais atbalsts bāreņiem.</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E44DA" w14:textId="77777777" w:rsidR="000A660F" w:rsidRPr="00D64209" w:rsidRDefault="000A660F" w:rsidP="003309D5">
            <w:pPr>
              <w:spacing w:after="0" w:line="240" w:lineRule="auto"/>
              <w:jc w:val="center"/>
              <w:rPr>
                <w:rFonts w:eastAsia="Times New Roman" w:cs="Times New Roman"/>
                <w:b/>
                <w:bCs/>
                <w:iCs/>
                <w:sz w:val="16"/>
                <w:szCs w:val="16"/>
                <w:lang w:eastAsia="lv-LV"/>
              </w:rPr>
            </w:pPr>
            <w:r>
              <w:rPr>
                <w:rFonts w:eastAsia="Times New Roman" w:cs="Times New Roman"/>
                <w:b/>
                <w:bCs/>
                <w:iCs/>
                <w:sz w:val="16"/>
                <w:szCs w:val="16"/>
                <w:lang w:eastAsia="lv-LV"/>
              </w:rPr>
              <w:t>Pašvaldību budžets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443C0" w14:textId="77777777" w:rsidR="000A660F" w:rsidRPr="00D64209" w:rsidRDefault="000A660F" w:rsidP="003309D5">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D7ED72" w14:textId="77777777" w:rsidR="000A660F" w:rsidRPr="00C11ECE" w:rsidRDefault="000A660F" w:rsidP="003309D5">
            <w:pPr>
              <w:spacing w:after="0" w:line="240" w:lineRule="auto"/>
              <w:jc w:val="center"/>
              <w:rPr>
                <w:rFonts w:cs="Times New Roman"/>
                <w:b/>
                <w:bCs/>
                <w:sz w:val="16"/>
                <w:szCs w:val="16"/>
              </w:rPr>
            </w:pPr>
            <w:r w:rsidRPr="00C11ECE">
              <w:rPr>
                <w:rFonts w:cs="Times New Roman"/>
                <w:b/>
                <w:bCs/>
                <w:sz w:val="16"/>
                <w:szCs w:val="16"/>
              </w:rPr>
              <w:t>25 041 101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BD204F" w14:textId="77777777" w:rsidR="000A660F" w:rsidRPr="00C11ECE" w:rsidRDefault="000A660F" w:rsidP="003309D5">
            <w:pPr>
              <w:spacing w:after="0" w:line="240" w:lineRule="auto"/>
              <w:jc w:val="center"/>
              <w:rPr>
                <w:rFonts w:cs="Times New Roman"/>
                <w:b/>
                <w:bCs/>
                <w:sz w:val="16"/>
                <w:szCs w:val="16"/>
              </w:rPr>
            </w:pPr>
            <w:r w:rsidRPr="00C11ECE">
              <w:rPr>
                <w:rFonts w:cs="Times New Roman"/>
                <w:b/>
                <w:bCs/>
                <w:sz w:val="16"/>
                <w:szCs w:val="16"/>
              </w:rPr>
              <w:t>23 060 234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8D2DC6" w14:textId="77777777" w:rsidR="000A660F" w:rsidRPr="00C11ECE" w:rsidRDefault="000A660F" w:rsidP="003309D5">
            <w:pPr>
              <w:spacing w:after="0" w:line="240" w:lineRule="auto"/>
              <w:jc w:val="center"/>
              <w:rPr>
                <w:rFonts w:cs="Times New Roman"/>
                <w:b/>
                <w:bCs/>
                <w:sz w:val="16"/>
                <w:szCs w:val="16"/>
              </w:rPr>
            </w:pPr>
            <w:r w:rsidRPr="00C11ECE">
              <w:rPr>
                <w:rFonts w:cs="Times New Roman"/>
                <w:b/>
                <w:bCs/>
                <w:sz w:val="16"/>
                <w:szCs w:val="16"/>
              </w:rPr>
              <w:t>21 175 496</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21CBCF" w14:textId="77777777" w:rsidR="000A660F" w:rsidRPr="00C11ECE" w:rsidRDefault="000A660F" w:rsidP="003309D5">
            <w:pPr>
              <w:spacing w:after="0" w:line="240" w:lineRule="auto"/>
              <w:jc w:val="center"/>
              <w:rPr>
                <w:rFonts w:cs="Times New Roman"/>
                <w:b/>
                <w:bCs/>
                <w:sz w:val="16"/>
                <w:szCs w:val="16"/>
              </w:rPr>
            </w:pPr>
            <w:r w:rsidRPr="00C11ECE">
              <w:rPr>
                <w:rFonts w:cs="Times New Roman"/>
                <w:b/>
                <w:bCs/>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94BDF6" w14:textId="77777777" w:rsidR="000A660F" w:rsidRPr="00C11ECE" w:rsidRDefault="000A660F" w:rsidP="003309D5">
            <w:pPr>
              <w:spacing w:after="0" w:line="240" w:lineRule="auto"/>
              <w:jc w:val="center"/>
              <w:rPr>
                <w:rFonts w:cs="Times New Roman"/>
                <w:b/>
                <w:bCs/>
                <w:sz w:val="16"/>
                <w:szCs w:val="16"/>
              </w:rPr>
            </w:pPr>
            <w:r w:rsidRPr="00C11ECE">
              <w:rPr>
                <w:rFonts w:cs="Times New Roman"/>
                <w:b/>
                <w:bCs/>
                <w:sz w:val="16"/>
                <w:szCs w:val="16"/>
              </w:rPr>
              <w:t>48 743 681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484036" w14:textId="77777777" w:rsidR="000A660F" w:rsidRPr="00C11ECE" w:rsidRDefault="000A660F" w:rsidP="003309D5">
            <w:pPr>
              <w:spacing w:after="0" w:line="240" w:lineRule="auto"/>
              <w:jc w:val="center"/>
              <w:rPr>
                <w:rFonts w:cs="Times New Roman"/>
                <w:b/>
                <w:bCs/>
                <w:sz w:val="16"/>
                <w:szCs w:val="16"/>
              </w:rPr>
            </w:pPr>
            <w:r w:rsidRPr="00C11ECE">
              <w:rPr>
                <w:rFonts w:cs="Times New Roman"/>
                <w:b/>
                <w:bCs/>
                <w:sz w:val="16"/>
                <w:szCs w:val="16"/>
              </w:rPr>
              <w:t>51 312 656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D43A26" w14:textId="77777777" w:rsidR="000A660F" w:rsidRPr="00D64209" w:rsidRDefault="000A660F" w:rsidP="003309D5">
            <w:pPr>
              <w:spacing w:after="0" w:line="240" w:lineRule="auto"/>
              <w:jc w:val="center"/>
              <w:rPr>
                <w:rFonts w:cs="Times New Roman"/>
                <w:b/>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C7982C" w14:textId="77777777" w:rsidR="000A660F" w:rsidRPr="00D64209" w:rsidRDefault="000A660F" w:rsidP="003309D5">
            <w:pPr>
              <w:spacing w:after="0" w:line="240" w:lineRule="auto"/>
              <w:jc w:val="center"/>
              <w:rPr>
                <w:rFonts w:cs="Times New Roman"/>
                <w:b/>
                <w:bCs/>
                <w:sz w:val="16"/>
                <w:szCs w:val="16"/>
              </w:rPr>
            </w:pPr>
            <w:r w:rsidRPr="00C11ECE">
              <w:rPr>
                <w:rFonts w:cs="Times New Roman"/>
                <w:b/>
                <w:bCs/>
                <w:sz w:val="16"/>
                <w:szCs w:val="16"/>
              </w:rPr>
              <w:t>51 312 656</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25BE0E" w14:textId="77777777" w:rsidR="000A660F" w:rsidRPr="00D64209" w:rsidRDefault="000A660F" w:rsidP="003309D5">
            <w:pPr>
              <w:spacing w:after="0" w:line="240" w:lineRule="auto"/>
              <w:jc w:val="center"/>
              <w:rPr>
                <w:rFonts w:cs="Times New Roman"/>
                <w:b/>
                <w:bCs/>
                <w:sz w:val="16"/>
                <w:szCs w:val="16"/>
              </w:rPr>
            </w:pPr>
          </w:p>
        </w:tc>
      </w:tr>
      <w:tr w:rsidR="000A660F" w:rsidRPr="00BE135E" w14:paraId="25CC45C2" w14:textId="77777777" w:rsidTr="003309D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1785905" w14:textId="77777777" w:rsidR="000A660F" w:rsidRPr="00BC3F01" w:rsidRDefault="000A660F" w:rsidP="003309D5">
            <w:pPr>
              <w:pStyle w:val="ListParagraph"/>
              <w:numPr>
                <w:ilvl w:val="0"/>
                <w:numId w:val="35"/>
              </w:numPr>
              <w:spacing w:after="0" w:line="240" w:lineRule="auto"/>
              <w:ind w:left="313"/>
              <w:rPr>
                <w:rFonts w:eastAsia="Times New Roman" w:cs="Times New Roman"/>
                <w:b/>
                <w:iCs/>
                <w:sz w:val="16"/>
                <w:szCs w:val="16"/>
                <w:lang w:eastAsia="lv-LV"/>
              </w:rPr>
            </w:pPr>
            <w:r w:rsidRPr="00BC3F01">
              <w:rPr>
                <w:rFonts w:eastAsia="Times New Roman" w:cs="Times New Roman"/>
                <w:b/>
                <w:iCs/>
                <w:sz w:val="16"/>
                <w:szCs w:val="16"/>
                <w:lang w:eastAsia="lv-LV"/>
              </w:rPr>
              <w:t>Veikt pensiju politikas izvērtējumu, lai arī turpmāk nodrošinātu uz individuālajām iemaksām balstītās pensiju sistēmas attīstību un ilgtspēju.</w:t>
            </w:r>
          </w:p>
        </w:tc>
        <w:tc>
          <w:tcPr>
            <w:tcW w:w="1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FBFB78" w14:textId="77777777" w:rsidR="000A660F" w:rsidRPr="00482E46" w:rsidRDefault="000A660F" w:rsidP="003309D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AFEBD" w14:textId="77777777" w:rsidR="000A660F" w:rsidRPr="00482E46" w:rsidRDefault="000A660F" w:rsidP="003309D5">
            <w:pPr>
              <w:spacing w:after="0" w:line="240" w:lineRule="auto"/>
              <w:jc w:val="center"/>
              <w:rPr>
                <w:rFonts w:eastAsia="Times New Roman" w:cs="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3B71D3" w14:textId="77777777" w:rsidR="000A660F" w:rsidRPr="00482E46" w:rsidRDefault="000A660F" w:rsidP="003309D5">
            <w:pPr>
              <w:spacing w:after="0" w:line="240" w:lineRule="auto"/>
              <w:jc w:val="center"/>
              <w:rPr>
                <w:rFonts w:cs="Times New Roman"/>
                <w:sz w:val="16"/>
                <w:szCs w:val="16"/>
              </w:rPr>
            </w:pPr>
            <w:r>
              <w:rPr>
                <w:rFonts w:eastAsia="Times New Roman" w:cs="Times New Roman"/>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28A8B56" w14:textId="77777777" w:rsidR="000A660F" w:rsidRPr="00482E46" w:rsidRDefault="000A660F" w:rsidP="003309D5">
            <w:pPr>
              <w:spacing w:after="0" w:line="240" w:lineRule="auto"/>
              <w:jc w:val="center"/>
              <w:rPr>
                <w:rFonts w:cs="Times New Roman"/>
                <w:sz w:val="16"/>
                <w:szCs w:val="16"/>
              </w:rPr>
            </w:pPr>
            <w:r>
              <w:rPr>
                <w:rFonts w:eastAsia="Times New Roman" w:cs="Times New Roman"/>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103A5B" w14:textId="77777777" w:rsidR="000A660F" w:rsidRPr="00482E46" w:rsidRDefault="000A660F" w:rsidP="003309D5">
            <w:pPr>
              <w:spacing w:after="0" w:line="240" w:lineRule="auto"/>
              <w:jc w:val="center"/>
              <w:rPr>
                <w:rFonts w:cs="Times New Roman"/>
                <w:sz w:val="16"/>
                <w:szCs w:val="16"/>
              </w:rPr>
            </w:pPr>
            <w:r>
              <w:rPr>
                <w:rFonts w:eastAsia="Times New Roman" w:cs="Times New Roman"/>
                <w:b/>
                <w:bCs/>
                <w:sz w:val="16"/>
                <w:szCs w:val="1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9BA648" w14:textId="77777777" w:rsidR="000A660F" w:rsidRPr="00482E46" w:rsidRDefault="000A660F" w:rsidP="003309D5">
            <w:pPr>
              <w:spacing w:after="0" w:line="240" w:lineRule="auto"/>
              <w:jc w:val="center"/>
              <w:rPr>
                <w:rFonts w:cs="Times New Roman"/>
                <w:sz w:val="16"/>
                <w:szCs w:val="16"/>
              </w:rPr>
            </w:pPr>
            <w:r>
              <w:rPr>
                <w:rFonts w:eastAsia="Times New Roman" w:cs="Times New Roman"/>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46B6E0" w14:textId="77777777" w:rsidR="000A660F" w:rsidRPr="00482E46" w:rsidRDefault="000A660F" w:rsidP="003309D5">
            <w:pPr>
              <w:spacing w:after="0" w:line="240" w:lineRule="auto"/>
              <w:jc w:val="center"/>
              <w:rPr>
                <w:rFonts w:cs="Times New Roman"/>
                <w:sz w:val="16"/>
                <w:szCs w:val="16"/>
              </w:rPr>
            </w:pPr>
            <w:r>
              <w:rPr>
                <w:rFonts w:eastAsia="Times New Roman" w:cs="Times New Roman"/>
                <w:b/>
                <w:bCs/>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2E29B58" w14:textId="77777777" w:rsidR="000A660F" w:rsidRPr="00482E46" w:rsidRDefault="000A660F" w:rsidP="003309D5">
            <w:pPr>
              <w:spacing w:after="0" w:line="240" w:lineRule="auto"/>
              <w:jc w:val="center"/>
              <w:rPr>
                <w:rFonts w:cs="Times New Roman"/>
                <w:sz w:val="16"/>
                <w:szCs w:val="16"/>
              </w:rPr>
            </w:pPr>
            <w:r>
              <w:rPr>
                <w:rFonts w:eastAsia="Times New Roman" w:cs="Times New Roman"/>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6E80D1" w14:textId="77777777" w:rsidR="000A660F" w:rsidRPr="00482E46" w:rsidRDefault="000A660F" w:rsidP="003309D5">
            <w:pPr>
              <w:spacing w:after="0" w:line="240" w:lineRule="auto"/>
              <w:jc w:val="cente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50C9E2" w14:textId="77777777" w:rsidR="000A660F" w:rsidRPr="00482E46" w:rsidRDefault="000A660F" w:rsidP="003309D5">
            <w:pPr>
              <w:spacing w:after="0" w:line="240" w:lineRule="auto"/>
              <w:jc w:val="center"/>
              <w:rPr>
                <w:rFonts w:cs="Times New Roman"/>
                <w:sz w:val="16"/>
                <w:szCs w:val="16"/>
              </w:rPr>
            </w:pPr>
            <w:r>
              <w:rPr>
                <w:rFonts w:eastAsia="Times New Roman" w:cs="Times New Roman"/>
                <w:b/>
                <w:bCs/>
                <w:sz w:val="16"/>
                <w:szCs w:val="16"/>
                <w:lang w:eastAsia="lv-LV"/>
              </w:rPr>
              <w:t>0</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25DDBF6" w14:textId="77777777" w:rsidR="000A660F" w:rsidRPr="00482E46" w:rsidRDefault="000A660F" w:rsidP="003309D5">
            <w:pPr>
              <w:spacing w:after="0" w:line="240" w:lineRule="auto"/>
              <w:jc w:val="center"/>
              <w:rPr>
                <w:rFonts w:cs="Times New Roman"/>
                <w:sz w:val="16"/>
                <w:szCs w:val="16"/>
              </w:rPr>
            </w:pPr>
          </w:p>
        </w:tc>
      </w:tr>
    </w:tbl>
    <w:p w14:paraId="2F19E37D" w14:textId="77777777" w:rsidR="006751DA" w:rsidRDefault="006751DA" w:rsidP="000C28AD">
      <w:pPr>
        <w:tabs>
          <w:tab w:val="left" w:pos="3828"/>
        </w:tabs>
        <w:spacing w:after="0" w:line="240" w:lineRule="auto"/>
        <w:jc w:val="both"/>
        <w:rPr>
          <w:rFonts w:eastAsia="Times New Roman"/>
          <w:lang w:eastAsia="lv-LV"/>
        </w:rPr>
      </w:pPr>
    </w:p>
    <w:p w14:paraId="150D2113" w14:textId="1790F044" w:rsidR="000A660F" w:rsidRDefault="000A660F">
      <w:pPr>
        <w:spacing w:after="0" w:line="240" w:lineRule="auto"/>
        <w:rPr>
          <w:rFonts w:eastAsia="Times New Roman"/>
          <w:lang w:eastAsia="lv-LV"/>
        </w:rPr>
      </w:pPr>
      <w:r>
        <w:rPr>
          <w:rFonts w:eastAsia="Times New Roman"/>
          <w:lang w:eastAsia="lv-LV"/>
        </w:rPr>
        <w:br w:type="page"/>
      </w:r>
    </w:p>
    <w:p w14:paraId="6A2A9B07" w14:textId="77777777" w:rsidR="000A660F" w:rsidRDefault="000A660F" w:rsidP="000A660F">
      <w:pPr>
        <w:spacing w:after="0" w:line="240" w:lineRule="auto"/>
        <w:jc w:val="both"/>
        <w:rPr>
          <w:rFonts w:cs="Times New Roman"/>
          <w:szCs w:val="24"/>
        </w:rPr>
      </w:pPr>
      <w:r w:rsidRPr="00B521CF">
        <w:rPr>
          <w:rFonts w:cs="Times New Roman"/>
          <w:szCs w:val="24"/>
        </w:rPr>
        <w:t>Tabula Nr.3. Paredzēto pasākumu detalizēti finansējuma aprēķini.</w:t>
      </w:r>
    </w:p>
    <w:p w14:paraId="7C157A95" w14:textId="77777777" w:rsidR="00B265B4" w:rsidRDefault="00B265B4" w:rsidP="000A660F">
      <w:pPr>
        <w:spacing w:after="0" w:line="240" w:lineRule="auto"/>
        <w:jc w:val="both"/>
        <w:rPr>
          <w:rFonts w:cs="Times New Roman"/>
          <w:szCs w:val="24"/>
        </w:rPr>
      </w:pPr>
    </w:p>
    <w:tbl>
      <w:tblPr>
        <w:tblW w:w="15339" w:type="dxa"/>
        <w:tblInd w:w="-176" w:type="dxa"/>
        <w:tblLayout w:type="fixed"/>
        <w:tblLook w:val="04A0" w:firstRow="1" w:lastRow="0" w:firstColumn="1" w:lastColumn="0" w:noHBand="0" w:noVBand="1"/>
      </w:tblPr>
      <w:tblGrid>
        <w:gridCol w:w="1985"/>
        <w:gridCol w:w="13354"/>
      </w:tblGrid>
      <w:tr w:rsidR="000A660F" w:rsidRPr="00B521CF" w14:paraId="779062C7" w14:textId="77777777" w:rsidTr="003309D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24301F3" w14:textId="77777777" w:rsidR="000A660F" w:rsidRPr="00B265B4" w:rsidRDefault="000A660F" w:rsidP="003309D5">
            <w:pPr>
              <w:spacing w:after="0" w:line="240" w:lineRule="auto"/>
              <w:jc w:val="both"/>
              <w:rPr>
                <w:rFonts w:eastAsia="Times New Roman" w:cs="Times New Roman"/>
                <w:b/>
                <w:iCs/>
                <w:szCs w:val="24"/>
                <w:lang w:eastAsia="lv-LV"/>
              </w:rPr>
            </w:pPr>
            <w:r w:rsidRPr="00B265B4">
              <w:rPr>
                <w:rFonts w:eastAsia="Times New Roman" w:cs="Times New Roman"/>
                <w:b/>
                <w:iCs/>
                <w:szCs w:val="24"/>
                <w:lang w:eastAsia="lv-LV"/>
              </w:rPr>
              <w:t>Pasākumi</w:t>
            </w:r>
          </w:p>
        </w:tc>
        <w:tc>
          <w:tcPr>
            <w:tcW w:w="13354" w:type="dxa"/>
            <w:tcBorders>
              <w:top w:val="single" w:sz="4" w:space="0" w:color="auto"/>
              <w:left w:val="nil"/>
              <w:bottom w:val="single" w:sz="4" w:space="0" w:color="auto"/>
              <w:right w:val="single" w:sz="4" w:space="0" w:color="auto"/>
            </w:tcBorders>
            <w:shd w:val="clear" w:color="auto" w:fill="FFFFFF"/>
          </w:tcPr>
          <w:p w14:paraId="4FAE94D4" w14:textId="77777777" w:rsidR="000A660F" w:rsidRPr="00B265B4" w:rsidRDefault="000A660F" w:rsidP="003309D5">
            <w:pPr>
              <w:spacing w:after="0" w:line="240" w:lineRule="auto"/>
              <w:rPr>
                <w:rFonts w:eastAsia="Times New Roman" w:cs="Times New Roman"/>
                <w:b/>
                <w:iCs/>
                <w:szCs w:val="24"/>
                <w:lang w:eastAsia="lv-LV"/>
              </w:rPr>
            </w:pPr>
            <w:r w:rsidRPr="00B265B4">
              <w:rPr>
                <w:rFonts w:eastAsia="Times New Roman" w:cs="Times New Roman"/>
                <w:b/>
                <w:iCs/>
                <w:szCs w:val="24"/>
                <w:lang w:eastAsia="lv-LV"/>
              </w:rPr>
              <w:t>Finansējuma aprēķina apraksts</w:t>
            </w:r>
          </w:p>
        </w:tc>
      </w:tr>
      <w:tr w:rsidR="000A660F" w:rsidRPr="00B521CF" w14:paraId="3596BAEC" w14:textId="77777777" w:rsidTr="003309D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92A5D5B" w14:textId="77777777" w:rsidR="000A660F" w:rsidRPr="004634A7" w:rsidRDefault="000A660F" w:rsidP="003309D5">
            <w:pPr>
              <w:spacing w:after="0" w:line="240" w:lineRule="auto"/>
              <w:jc w:val="both"/>
              <w:rPr>
                <w:rFonts w:eastAsia="Times New Roman" w:cs="Times New Roman"/>
                <w:b/>
                <w:iCs/>
                <w:lang w:eastAsia="lv-LV"/>
              </w:rPr>
            </w:pPr>
            <w:r w:rsidRPr="004634A7">
              <w:rPr>
                <w:rFonts w:eastAsia="Times New Roman" w:cs="Times New Roman"/>
                <w:b/>
                <w:iCs/>
                <w:lang w:eastAsia="lv-LV"/>
              </w:rPr>
              <w:t>Trūcīgo personu skaits un prognozes</w:t>
            </w:r>
          </w:p>
        </w:tc>
        <w:tc>
          <w:tcPr>
            <w:tcW w:w="13354" w:type="dxa"/>
            <w:tcBorders>
              <w:top w:val="single" w:sz="4" w:space="0" w:color="auto"/>
              <w:left w:val="nil"/>
              <w:bottom w:val="single" w:sz="4" w:space="0" w:color="auto"/>
              <w:right w:val="single" w:sz="4" w:space="0" w:color="auto"/>
            </w:tcBorders>
            <w:shd w:val="clear" w:color="auto" w:fill="FFFFFF" w:themeFill="background1"/>
          </w:tcPr>
          <w:p w14:paraId="694C7001" w14:textId="77777777" w:rsidR="000A660F" w:rsidRPr="007952AC" w:rsidRDefault="000A660F" w:rsidP="003309D5">
            <w:pPr>
              <w:spacing w:after="120" w:line="240" w:lineRule="auto"/>
              <w:jc w:val="both"/>
              <w:rPr>
                <w:rFonts w:eastAsia="Times New Roman" w:cs="Times New Roman"/>
                <w:lang w:eastAsia="lv-LV"/>
              </w:rPr>
            </w:pPr>
            <w:r w:rsidRPr="004431F7">
              <w:rPr>
                <w:rFonts w:eastAsia="Times New Roman" w:cs="Times New Roman"/>
                <w:b/>
                <w:lang w:eastAsia="lv-LV"/>
              </w:rPr>
              <w:t>2019.gadā</w:t>
            </w:r>
            <w:r w:rsidRPr="007952AC">
              <w:rPr>
                <w:rFonts w:eastAsia="Times New Roman" w:cs="Times New Roman"/>
                <w:lang w:eastAsia="lv-LV"/>
              </w:rPr>
              <w:t xml:space="preserve"> Latvijā trūcīgo skaits bija </w:t>
            </w:r>
            <w:r w:rsidRPr="004431F7">
              <w:rPr>
                <w:rFonts w:eastAsia="Times New Roman" w:cs="Times New Roman"/>
                <w:b/>
                <w:lang w:eastAsia="lv-LV"/>
              </w:rPr>
              <w:t>41 522 personas</w:t>
            </w:r>
            <w:r w:rsidRPr="007952AC">
              <w:rPr>
                <w:rFonts w:eastAsia="Times New Roman" w:cs="Times New Roman"/>
                <w:lang w:eastAsia="lv-LV"/>
              </w:rPr>
              <w:t xml:space="preserve"> (faktiskais trūcīgo personu skaits par 2020. gadu būs pieejams 2021.gada jūnija sākumā</w:t>
            </w:r>
            <w:r>
              <w:rPr>
                <w:rFonts w:eastAsia="Times New Roman" w:cs="Times New Roman"/>
                <w:lang w:eastAsia="lv-LV"/>
              </w:rPr>
              <w:t>)</w:t>
            </w:r>
            <w:r w:rsidRPr="007952AC">
              <w:rPr>
                <w:rFonts w:eastAsia="Times New Roman" w:cs="Times New Roman"/>
                <w:lang w:eastAsia="lv-LV"/>
              </w:rPr>
              <w:t xml:space="preserve">. 2020.gada prognoze aprēķināta, ņemot vērā pasākumus pensionāru materiālās situācijas uzlabošanai (ar IIN neapliekamā minimuma paaugstināšana, minimālās vecuma pensijas palielināšana, valsts sociālā nodrošinājuma pabalsta palielināšana), kā rezultātā tiek prognozēts trūcīgo personu skaita samazinājums pensijas vecuma personu grupā, un kopējais skaits </w:t>
            </w:r>
            <w:r w:rsidRPr="004431F7">
              <w:rPr>
                <w:rFonts w:eastAsia="Times New Roman" w:cs="Times New Roman"/>
                <w:b/>
                <w:lang w:eastAsia="lv-LV"/>
              </w:rPr>
              <w:t xml:space="preserve">2020.gadā </w:t>
            </w:r>
            <w:r>
              <w:rPr>
                <w:rFonts w:eastAsia="Times New Roman" w:cs="Times New Roman"/>
                <w:lang w:eastAsia="lv-LV"/>
              </w:rPr>
              <w:t xml:space="preserve">tiek prognozēts </w:t>
            </w:r>
            <w:r w:rsidRPr="007952AC">
              <w:rPr>
                <w:rFonts w:eastAsia="Times New Roman" w:cs="Times New Roman"/>
                <w:lang w:eastAsia="lv-LV"/>
              </w:rPr>
              <w:t xml:space="preserve"> </w:t>
            </w:r>
            <w:r w:rsidRPr="004431F7">
              <w:rPr>
                <w:rFonts w:eastAsia="Times New Roman" w:cs="Times New Roman"/>
                <w:b/>
                <w:lang w:eastAsia="lv-LV"/>
              </w:rPr>
              <w:t>37 565 personas</w:t>
            </w:r>
            <w:r w:rsidRPr="007952AC">
              <w:rPr>
                <w:rFonts w:eastAsia="Times New Roman" w:cs="Times New Roman"/>
                <w:lang w:eastAsia="lv-LV"/>
              </w:rPr>
              <w:t xml:space="preserve">. Materiālās situācijas uzlabošanas pasākumi attiecībā uz bērniem un personām ar invaliditāti netiek ņemti vērā, jo šo grupu </w:t>
            </w:r>
            <w:r>
              <w:rPr>
                <w:rFonts w:eastAsia="Times New Roman" w:cs="Times New Roman"/>
                <w:lang w:eastAsia="lv-LV"/>
              </w:rPr>
              <w:t>vairāki</w:t>
            </w:r>
            <w:r w:rsidRPr="007952AC">
              <w:rPr>
                <w:rFonts w:eastAsia="Times New Roman" w:cs="Times New Roman"/>
                <w:lang w:eastAsia="lv-LV"/>
              </w:rPr>
              <w:t xml:space="preserve"> ienākumu veidi (piemēram, ģimenes valsts pabalsts, pabalsts personai ar invaliditāti, kurai nepieciešama kopšana u.c.) netiek ņemti vērā, izvērtējot šo grupu materiālo situāciju trūcīgas </w:t>
            </w:r>
            <w:r>
              <w:rPr>
                <w:rFonts w:eastAsia="Times New Roman" w:cs="Times New Roman"/>
                <w:lang w:eastAsia="lv-LV"/>
              </w:rPr>
              <w:t>mājsaimniecības</w:t>
            </w:r>
            <w:r w:rsidRPr="007952AC">
              <w:rPr>
                <w:rFonts w:eastAsia="Times New Roman" w:cs="Times New Roman"/>
                <w:lang w:eastAsia="lv-LV"/>
              </w:rPr>
              <w:t xml:space="preserve"> statusa noteikšanas procesā. 2020.gadā tiek prognozēts trūcīgo skaita samazinājums par 9,53 %. Personu skaita, kurām noteikta atbilstība trūcīgā statusam, samazinājuma tendence ir stabila kopš 2010.gada. </w:t>
            </w:r>
          </w:p>
          <w:p w14:paraId="3471D19F" w14:textId="77777777" w:rsidR="000A660F" w:rsidRPr="007952AC" w:rsidRDefault="000A660F" w:rsidP="003309D5">
            <w:pPr>
              <w:spacing w:after="120" w:line="240" w:lineRule="auto"/>
              <w:jc w:val="both"/>
              <w:rPr>
                <w:rFonts w:eastAsia="Times New Roman" w:cs="Times New Roman"/>
                <w:lang w:eastAsia="lv-LV"/>
              </w:rPr>
            </w:pPr>
            <w:r w:rsidRPr="004431F7">
              <w:rPr>
                <w:rFonts w:eastAsia="Times New Roman" w:cs="Times New Roman"/>
                <w:b/>
                <w:lang w:eastAsia="lv-LV"/>
              </w:rPr>
              <w:t>2021.gadā</w:t>
            </w:r>
            <w:r w:rsidRPr="007952AC">
              <w:rPr>
                <w:rFonts w:eastAsia="Times New Roman" w:cs="Times New Roman"/>
                <w:lang w:eastAsia="lv-LV"/>
              </w:rPr>
              <w:t xml:space="preserve"> trūcīgas </w:t>
            </w:r>
            <w:r w:rsidRPr="00BB635B">
              <w:rPr>
                <w:rFonts w:eastAsia="Times New Roman" w:cs="Times New Roman"/>
                <w:lang w:eastAsia="lv-LV"/>
              </w:rPr>
              <w:t xml:space="preserve">mājsaimniecības </w:t>
            </w:r>
            <w:r w:rsidRPr="007952AC">
              <w:rPr>
                <w:rFonts w:eastAsia="Times New Roman" w:cs="Times New Roman"/>
                <w:lang w:eastAsia="lv-LV"/>
              </w:rPr>
              <w:t xml:space="preserve">ienākumu </w:t>
            </w:r>
            <w:r w:rsidRPr="00BB635B">
              <w:rPr>
                <w:rFonts w:eastAsia="Times New Roman" w:cs="Times New Roman"/>
                <w:lang w:eastAsia="lv-LV"/>
              </w:rPr>
              <w:t>slieksnis</w:t>
            </w:r>
            <w:r w:rsidRPr="007952AC">
              <w:rPr>
                <w:rFonts w:eastAsia="Times New Roman" w:cs="Times New Roman"/>
                <w:lang w:eastAsia="lv-LV"/>
              </w:rPr>
              <w:t xml:space="preserve"> ir paaugstināts no 128,06</w:t>
            </w:r>
            <w:r w:rsidRPr="007952AC">
              <w:rPr>
                <w:rFonts w:eastAsia="Times New Roman" w:cs="Times New Roman"/>
                <w:i/>
                <w:lang w:eastAsia="lv-LV"/>
              </w:rPr>
              <w:t xml:space="preserve"> euro</w:t>
            </w:r>
            <w:r w:rsidRPr="007952AC">
              <w:rPr>
                <w:rFonts w:eastAsia="Times New Roman" w:cs="Times New Roman"/>
                <w:lang w:eastAsia="lv-LV"/>
              </w:rPr>
              <w:t xml:space="preserve"> līdz 272 </w:t>
            </w:r>
            <w:r w:rsidRPr="007952AC">
              <w:rPr>
                <w:rFonts w:eastAsia="Times New Roman" w:cs="Times New Roman"/>
                <w:i/>
                <w:lang w:eastAsia="lv-LV"/>
              </w:rPr>
              <w:t>euro</w:t>
            </w:r>
            <w:r w:rsidRPr="007952AC">
              <w:rPr>
                <w:rFonts w:eastAsia="Times New Roman" w:cs="Times New Roman"/>
                <w:lang w:eastAsia="lv-LV"/>
              </w:rPr>
              <w:t xml:space="preserve"> pirmajai vai vienīgajai personai mājsaimniecībā, otrajai un nākamajām personām – 0,7 jeb 190 </w:t>
            </w:r>
            <w:r w:rsidRPr="007952AC">
              <w:rPr>
                <w:rFonts w:eastAsia="Times New Roman" w:cs="Times New Roman"/>
                <w:i/>
                <w:lang w:eastAsia="lv-LV"/>
              </w:rPr>
              <w:t>euro</w:t>
            </w:r>
            <w:r w:rsidRPr="00BB635B">
              <w:rPr>
                <w:rFonts w:eastAsia="Times New Roman" w:cs="Times New Roman"/>
                <w:i/>
                <w:vertAlign w:val="superscript"/>
                <w:lang w:eastAsia="lv-LV"/>
              </w:rPr>
              <w:footnoteReference w:id="25"/>
            </w:r>
            <w:r w:rsidRPr="007952AC">
              <w:rPr>
                <w:rFonts w:eastAsia="Times New Roman" w:cs="Times New Roman"/>
                <w:lang w:eastAsia="lv-LV"/>
              </w:rPr>
              <w:t>. Ņemot vērā, ka vidējais personu skaits trūcīgā mājsaimniecībā 201</w:t>
            </w:r>
            <w:r>
              <w:rPr>
                <w:rFonts w:eastAsia="Times New Roman" w:cs="Times New Roman"/>
                <w:lang w:eastAsia="lv-LV"/>
              </w:rPr>
              <w:t>9</w:t>
            </w:r>
            <w:r w:rsidRPr="007952AC">
              <w:rPr>
                <w:rFonts w:eastAsia="Times New Roman" w:cs="Times New Roman"/>
                <w:lang w:eastAsia="lv-LV"/>
              </w:rPr>
              <w:t xml:space="preserve">.gadā bija divas personas, tiek pieņemts, ka vidējais trūcīgas </w:t>
            </w:r>
            <w:r w:rsidRPr="00BB635B">
              <w:rPr>
                <w:rFonts w:eastAsia="Times New Roman" w:cs="Times New Roman"/>
                <w:lang w:eastAsia="lv-LV"/>
              </w:rPr>
              <w:t xml:space="preserve">mājsaimniecības </w:t>
            </w:r>
            <w:r w:rsidRPr="007952AC">
              <w:rPr>
                <w:rFonts w:eastAsia="Times New Roman" w:cs="Times New Roman"/>
                <w:lang w:eastAsia="lv-LV"/>
              </w:rPr>
              <w:t xml:space="preserve">ienākumu </w:t>
            </w:r>
            <w:r w:rsidRPr="00BB635B">
              <w:rPr>
                <w:rFonts w:eastAsia="Times New Roman" w:cs="Times New Roman"/>
                <w:lang w:eastAsia="lv-LV"/>
              </w:rPr>
              <w:t>slieksnis</w:t>
            </w:r>
            <w:r w:rsidRPr="007952AC">
              <w:rPr>
                <w:rFonts w:eastAsia="Times New Roman" w:cs="Times New Roman"/>
                <w:lang w:eastAsia="lv-LV"/>
              </w:rPr>
              <w:t xml:space="preserve"> ir 231 </w:t>
            </w:r>
            <w:r w:rsidRPr="007952AC">
              <w:rPr>
                <w:rFonts w:eastAsia="Times New Roman" w:cs="Times New Roman"/>
                <w:i/>
                <w:lang w:eastAsia="lv-LV"/>
              </w:rPr>
              <w:t xml:space="preserve">euro </w:t>
            </w:r>
            <w:r w:rsidRPr="007952AC">
              <w:rPr>
                <w:rFonts w:eastAsia="Times New Roman" w:cs="Times New Roman"/>
                <w:lang w:eastAsia="lv-LV"/>
              </w:rPr>
              <w:t>((272+190)/2=231</w:t>
            </w:r>
            <w:r w:rsidRPr="007952AC">
              <w:rPr>
                <w:rFonts w:eastAsia="Times New Roman" w:cs="Times New Roman"/>
                <w:i/>
                <w:lang w:eastAsia="lv-LV"/>
              </w:rPr>
              <w:t>)</w:t>
            </w:r>
            <w:r w:rsidRPr="007952AC">
              <w:rPr>
                <w:rFonts w:eastAsia="Times New Roman" w:cs="Times New Roman"/>
                <w:lang w:eastAsia="lv-LV"/>
              </w:rPr>
              <w:t xml:space="preserve">, t.i., par 80,5% lielāks nekā </w:t>
            </w:r>
            <w:r>
              <w:rPr>
                <w:rFonts w:eastAsia="Times New Roman" w:cs="Times New Roman"/>
                <w:lang w:eastAsia="lv-LV"/>
              </w:rPr>
              <w:t>2020.gadā</w:t>
            </w:r>
            <w:r w:rsidRPr="007952AC">
              <w:rPr>
                <w:rFonts w:eastAsia="Times New Roman" w:cs="Times New Roman"/>
                <w:lang w:eastAsia="lv-LV"/>
              </w:rPr>
              <w:t xml:space="preserve"> spēkā esošais - 128,06 </w:t>
            </w:r>
            <w:r w:rsidRPr="007952AC">
              <w:rPr>
                <w:rFonts w:eastAsia="Times New Roman" w:cs="Times New Roman"/>
                <w:i/>
                <w:lang w:eastAsia="lv-LV"/>
              </w:rPr>
              <w:t>euro</w:t>
            </w:r>
            <w:r w:rsidRPr="007952AC">
              <w:rPr>
                <w:rFonts w:eastAsia="Times New Roman" w:cs="Times New Roman"/>
                <w:lang w:eastAsia="lv-LV"/>
              </w:rPr>
              <w:t xml:space="preserve">. Ņemot vērā trūcīgas </w:t>
            </w:r>
            <w:r w:rsidRPr="00BB635B">
              <w:rPr>
                <w:rFonts w:eastAsia="Times New Roman" w:cs="Times New Roman"/>
                <w:lang w:eastAsia="lv-LV"/>
              </w:rPr>
              <w:t xml:space="preserve">mājsaimniecības </w:t>
            </w:r>
            <w:r w:rsidRPr="007952AC">
              <w:rPr>
                <w:rFonts w:eastAsia="Times New Roman" w:cs="Times New Roman"/>
                <w:lang w:eastAsia="lv-LV"/>
              </w:rPr>
              <w:t xml:space="preserve">ienākumu </w:t>
            </w:r>
            <w:r w:rsidRPr="00BB635B">
              <w:rPr>
                <w:rFonts w:eastAsia="Times New Roman" w:cs="Times New Roman"/>
                <w:lang w:eastAsia="lv-LV"/>
              </w:rPr>
              <w:t>sliekšņa</w:t>
            </w:r>
            <w:r w:rsidRPr="007952AC">
              <w:rPr>
                <w:rFonts w:eastAsia="Times New Roman" w:cs="Times New Roman"/>
                <w:lang w:eastAsia="lv-LV"/>
              </w:rPr>
              <w:t xml:space="preserve"> palielinājumu, 2021.gadā tiek prognozēts trūcīgo personu skaits </w:t>
            </w:r>
            <w:r w:rsidRPr="004431F7">
              <w:rPr>
                <w:rFonts w:eastAsia="Times New Roman" w:cs="Times New Roman"/>
                <w:b/>
                <w:lang w:eastAsia="lv-LV"/>
              </w:rPr>
              <w:t>64 667 personas.</w:t>
            </w:r>
            <w:r w:rsidRPr="007952AC">
              <w:rPr>
                <w:rFonts w:eastAsia="Times New Roman" w:cs="Times New Roman"/>
                <w:lang w:eastAsia="lv-LV"/>
              </w:rPr>
              <w:t xml:space="preserve"> Tas veido trūcīgo personu skaita pieaugumu 2021.gadā salīdzinājumā ar 2020.gadu par 72,15 %, t.sk. trūcīgo pilngadīgo personu skaita pieaugumu - par 72,16%.</w:t>
            </w:r>
          </w:p>
          <w:p w14:paraId="0D8392E3" w14:textId="07514EB7" w:rsidR="000A660F" w:rsidRPr="007952AC" w:rsidRDefault="000A660F" w:rsidP="003309D5">
            <w:pPr>
              <w:spacing w:after="120" w:line="240" w:lineRule="auto"/>
              <w:jc w:val="both"/>
              <w:rPr>
                <w:rFonts w:eastAsia="Times New Roman" w:cs="Times New Roman"/>
                <w:lang w:eastAsia="lv-LV"/>
              </w:rPr>
            </w:pPr>
            <w:r w:rsidRPr="007952AC">
              <w:rPr>
                <w:rFonts w:eastAsia="Times New Roman" w:cs="Times New Roman"/>
                <w:lang w:eastAsia="lv-LV"/>
              </w:rPr>
              <w:t xml:space="preserve">Ņemot vērā, ka </w:t>
            </w:r>
            <w:r w:rsidRPr="004431F7">
              <w:rPr>
                <w:rFonts w:eastAsia="Times New Roman" w:cs="Times New Roman"/>
                <w:b/>
                <w:lang w:eastAsia="lv-LV"/>
              </w:rPr>
              <w:t>2022.gadā</w:t>
            </w:r>
            <w:r w:rsidR="00B51D92">
              <w:rPr>
                <w:rFonts w:eastAsia="Times New Roman" w:cs="Times New Roman"/>
                <w:lang w:eastAsia="lv-LV"/>
              </w:rPr>
              <w:t xml:space="preserve"> netiek plānota</w:t>
            </w:r>
            <w:r w:rsidRPr="007952AC">
              <w:rPr>
                <w:rFonts w:eastAsia="Times New Roman" w:cs="Times New Roman"/>
                <w:lang w:eastAsia="lv-LV"/>
              </w:rPr>
              <w:t xml:space="preserve"> trūcīgas </w:t>
            </w:r>
            <w:r w:rsidRPr="00BB635B">
              <w:rPr>
                <w:rFonts w:eastAsia="Times New Roman" w:cs="Times New Roman"/>
                <w:lang w:eastAsia="lv-LV"/>
              </w:rPr>
              <w:t xml:space="preserve">mājsaimniecības </w:t>
            </w:r>
            <w:r w:rsidRPr="007952AC">
              <w:rPr>
                <w:rFonts w:eastAsia="Times New Roman" w:cs="Times New Roman"/>
                <w:lang w:eastAsia="lv-LV"/>
              </w:rPr>
              <w:t xml:space="preserve">ienākumu </w:t>
            </w:r>
            <w:r w:rsidRPr="00BB635B">
              <w:rPr>
                <w:rFonts w:eastAsia="Times New Roman" w:cs="Times New Roman"/>
                <w:lang w:eastAsia="lv-LV"/>
              </w:rPr>
              <w:t xml:space="preserve">sliekšņa </w:t>
            </w:r>
            <w:r w:rsidRPr="007952AC">
              <w:rPr>
                <w:rFonts w:eastAsia="Times New Roman" w:cs="Times New Roman"/>
                <w:lang w:eastAsia="lv-LV"/>
              </w:rPr>
              <w:t xml:space="preserve">paaugstināšana, tiek prognozēts, ka trūcīgo personu skaita samazinājums būs 5%. 2022.gadā trūcīgo skaits tiek prognozēts </w:t>
            </w:r>
            <w:r w:rsidRPr="004431F7">
              <w:rPr>
                <w:rFonts w:eastAsia="Times New Roman" w:cs="Times New Roman"/>
                <w:b/>
                <w:lang w:eastAsia="lv-LV"/>
              </w:rPr>
              <w:t>61 434 personas</w:t>
            </w:r>
            <w:r w:rsidRPr="007952AC">
              <w:rPr>
                <w:rFonts w:eastAsia="Times New Roman" w:cs="Times New Roman"/>
                <w:lang w:eastAsia="lv-LV"/>
              </w:rPr>
              <w:t>.</w:t>
            </w:r>
            <w:r w:rsidRPr="007952AC" w:rsidDel="005D6AAC">
              <w:rPr>
                <w:rFonts w:eastAsia="Times New Roman" w:cs="Times New Roman"/>
                <w:lang w:eastAsia="lv-LV"/>
              </w:rPr>
              <w:t xml:space="preserve"> </w:t>
            </w:r>
          </w:p>
          <w:p w14:paraId="0BA6C4F1" w14:textId="77777777" w:rsidR="000A660F" w:rsidRPr="007952AC" w:rsidRDefault="000A660F" w:rsidP="003309D5">
            <w:pPr>
              <w:spacing w:after="120" w:line="240" w:lineRule="auto"/>
              <w:jc w:val="both"/>
              <w:rPr>
                <w:rFonts w:eastAsia="Times New Roman" w:cs="Times New Roman"/>
                <w:lang w:eastAsia="lv-LV"/>
              </w:rPr>
            </w:pPr>
            <w:r w:rsidRPr="004431F7">
              <w:rPr>
                <w:rFonts w:eastAsia="Times New Roman" w:cs="Times New Roman"/>
                <w:b/>
                <w:lang w:eastAsia="lv-LV"/>
              </w:rPr>
              <w:t>2023.gadā</w:t>
            </w:r>
            <w:r w:rsidRPr="007952AC">
              <w:rPr>
                <w:rFonts w:eastAsia="Times New Roman" w:cs="Times New Roman"/>
                <w:lang w:eastAsia="lv-LV"/>
              </w:rPr>
              <w:t xml:space="preserve"> trūcīgas </w:t>
            </w:r>
            <w:r w:rsidRPr="00BB635B">
              <w:rPr>
                <w:rFonts w:eastAsia="Times New Roman" w:cs="Times New Roman"/>
                <w:lang w:eastAsia="lv-LV"/>
              </w:rPr>
              <w:t xml:space="preserve">mājsaimniecības </w:t>
            </w:r>
            <w:r w:rsidRPr="007952AC">
              <w:rPr>
                <w:rFonts w:eastAsia="Times New Roman" w:cs="Times New Roman"/>
                <w:lang w:eastAsia="lv-LV"/>
              </w:rPr>
              <w:t xml:space="preserve">ienākumu </w:t>
            </w:r>
            <w:r w:rsidRPr="00BB635B">
              <w:rPr>
                <w:rFonts w:eastAsia="Times New Roman" w:cs="Times New Roman"/>
                <w:lang w:eastAsia="lv-LV"/>
              </w:rPr>
              <w:t>slieksnis</w:t>
            </w:r>
            <w:r w:rsidRPr="007952AC">
              <w:rPr>
                <w:rFonts w:eastAsia="Times New Roman" w:cs="Times New Roman"/>
                <w:lang w:eastAsia="lv-LV"/>
              </w:rPr>
              <w:t xml:space="preserve"> tiek paaugstināts līdz 305 </w:t>
            </w:r>
            <w:r w:rsidRPr="007952AC">
              <w:rPr>
                <w:rFonts w:eastAsia="Times New Roman" w:cs="Times New Roman"/>
                <w:i/>
                <w:lang w:eastAsia="lv-LV"/>
              </w:rPr>
              <w:t>euro</w:t>
            </w:r>
            <w:r w:rsidRPr="007952AC">
              <w:rPr>
                <w:rFonts w:eastAsia="Times New Roman" w:cs="Times New Roman"/>
                <w:lang w:eastAsia="lv-LV"/>
              </w:rPr>
              <w:t xml:space="preserve"> pirmajai vai vienīgajai personai mājsaimniecībā, otrajai un nākamajām personām – 0,7 jeb 214 </w:t>
            </w:r>
            <w:r w:rsidRPr="007952AC">
              <w:rPr>
                <w:rFonts w:eastAsia="Times New Roman" w:cs="Times New Roman"/>
                <w:i/>
                <w:lang w:eastAsia="lv-LV"/>
              </w:rPr>
              <w:t>euro</w:t>
            </w:r>
            <w:r w:rsidRPr="007952AC">
              <w:rPr>
                <w:rFonts w:eastAsia="Times New Roman" w:cs="Times New Roman"/>
                <w:lang w:eastAsia="lv-LV"/>
              </w:rPr>
              <w:t>. Ņemot vērā, ka vidējais personu skaits trūcīgā mājsaimniecībā 201</w:t>
            </w:r>
            <w:r>
              <w:rPr>
                <w:rFonts w:eastAsia="Times New Roman" w:cs="Times New Roman"/>
                <w:lang w:eastAsia="lv-LV"/>
              </w:rPr>
              <w:t>9</w:t>
            </w:r>
            <w:r w:rsidRPr="007952AC">
              <w:rPr>
                <w:rFonts w:eastAsia="Times New Roman" w:cs="Times New Roman"/>
                <w:lang w:eastAsia="lv-LV"/>
              </w:rPr>
              <w:t xml:space="preserve">.gadā bija divas personas, tiek pieņemts, ka vidējais trūcīgas </w:t>
            </w:r>
            <w:r w:rsidRPr="00BB635B">
              <w:rPr>
                <w:rFonts w:eastAsia="Times New Roman" w:cs="Times New Roman"/>
                <w:lang w:eastAsia="lv-LV"/>
              </w:rPr>
              <w:t xml:space="preserve">mājsaimniecības </w:t>
            </w:r>
            <w:r w:rsidRPr="007952AC">
              <w:rPr>
                <w:rFonts w:eastAsia="Times New Roman" w:cs="Times New Roman"/>
                <w:lang w:eastAsia="lv-LV"/>
              </w:rPr>
              <w:t xml:space="preserve">ienākumu </w:t>
            </w:r>
            <w:r w:rsidRPr="00BB635B">
              <w:rPr>
                <w:rFonts w:eastAsia="Times New Roman" w:cs="Times New Roman"/>
                <w:lang w:eastAsia="lv-LV"/>
              </w:rPr>
              <w:t>slieksnis</w:t>
            </w:r>
            <w:r w:rsidRPr="007952AC">
              <w:rPr>
                <w:rFonts w:eastAsia="Times New Roman" w:cs="Times New Roman"/>
                <w:lang w:eastAsia="lv-LV"/>
              </w:rPr>
              <w:t xml:space="preserve"> ir 259,5 </w:t>
            </w:r>
            <w:r w:rsidRPr="007952AC">
              <w:rPr>
                <w:rFonts w:eastAsia="Times New Roman" w:cs="Times New Roman"/>
                <w:i/>
                <w:lang w:eastAsia="lv-LV"/>
              </w:rPr>
              <w:t xml:space="preserve">euro </w:t>
            </w:r>
            <w:r w:rsidRPr="007952AC">
              <w:rPr>
                <w:rFonts w:eastAsia="Times New Roman" w:cs="Times New Roman"/>
                <w:lang w:eastAsia="lv-LV"/>
              </w:rPr>
              <w:t>((305+214)/2=259,5</w:t>
            </w:r>
            <w:r w:rsidRPr="007952AC">
              <w:rPr>
                <w:rFonts w:eastAsia="Times New Roman" w:cs="Times New Roman"/>
                <w:i/>
                <w:lang w:eastAsia="lv-LV"/>
              </w:rPr>
              <w:t>)</w:t>
            </w:r>
            <w:r w:rsidRPr="007952AC">
              <w:rPr>
                <w:rFonts w:eastAsia="Times New Roman" w:cs="Times New Roman"/>
                <w:lang w:eastAsia="lv-LV"/>
              </w:rPr>
              <w:t xml:space="preserve">, t.i., par 102,7% lielāks nekā </w:t>
            </w:r>
            <w:r>
              <w:rPr>
                <w:rFonts w:eastAsia="Times New Roman" w:cs="Times New Roman"/>
                <w:lang w:eastAsia="lv-LV"/>
              </w:rPr>
              <w:t>2020.gadā</w:t>
            </w:r>
            <w:r w:rsidRPr="007952AC">
              <w:rPr>
                <w:rFonts w:eastAsia="Times New Roman" w:cs="Times New Roman"/>
                <w:lang w:eastAsia="lv-LV"/>
              </w:rPr>
              <w:t xml:space="preserve"> spēkā esošais - 128,06 </w:t>
            </w:r>
            <w:r w:rsidRPr="007952AC">
              <w:rPr>
                <w:rFonts w:eastAsia="Times New Roman" w:cs="Times New Roman"/>
                <w:i/>
                <w:lang w:eastAsia="lv-LV"/>
              </w:rPr>
              <w:t>euro</w:t>
            </w:r>
            <w:r w:rsidRPr="007952AC">
              <w:rPr>
                <w:rFonts w:eastAsia="Times New Roman" w:cs="Times New Roman"/>
                <w:lang w:eastAsia="lv-LV"/>
              </w:rPr>
              <w:t xml:space="preserve">. 2023.gadā tiek prognozēts trūcīgo skaits </w:t>
            </w:r>
            <w:r w:rsidRPr="004431F7">
              <w:rPr>
                <w:rFonts w:eastAsia="Times New Roman" w:cs="Times New Roman"/>
                <w:b/>
                <w:lang w:eastAsia="lv-LV"/>
              </w:rPr>
              <w:t>72 643 personas</w:t>
            </w:r>
            <w:r w:rsidRPr="007952AC">
              <w:rPr>
                <w:rFonts w:eastAsia="Times New Roman" w:cs="Times New Roman"/>
                <w:lang w:eastAsia="lv-LV"/>
              </w:rPr>
              <w:t>. Tas veido trūcīgo personu skaita pieaugumu 2023.gadā salīdzinājumā ar 2022.gadu par 4,85 %, t.sk. trūcīgo pilngadīgo personu skaita pieaugumu - par 4,85%.</w:t>
            </w:r>
          </w:p>
          <w:p w14:paraId="17DE070D" w14:textId="77777777" w:rsidR="000A660F" w:rsidRDefault="000A660F" w:rsidP="003309D5">
            <w:pPr>
              <w:spacing w:after="120" w:line="240" w:lineRule="auto"/>
              <w:jc w:val="both"/>
              <w:rPr>
                <w:rFonts w:eastAsia="Times New Roman" w:cs="Times New Roman"/>
                <w:lang w:eastAsia="lv-LV"/>
              </w:rPr>
            </w:pPr>
            <w:r w:rsidRPr="004431F7">
              <w:rPr>
                <w:rFonts w:eastAsia="Times New Roman" w:cs="Times New Roman"/>
                <w:b/>
                <w:lang w:eastAsia="lv-LV"/>
              </w:rPr>
              <w:t>2024.gadā</w:t>
            </w:r>
            <w:r w:rsidRPr="007952AC">
              <w:rPr>
                <w:rFonts w:eastAsia="Times New Roman" w:cs="Times New Roman"/>
                <w:lang w:eastAsia="lv-LV"/>
              </w:rPr>
              <w:t xml:space="preserve"> trūcīgas </w:t>
            </w:r>
            <w:r w:rsidRPr="00BB635B">
              <w:rPr>
                <w:rFonts w:eastAsia="Times New Roman" w:cs="Times New Roman"/>
                <w:lang w:eastAsia="lv-LV"/>
              </w:rPr>
              <w:t xml:space="preserve">mājsaimniecības </w:t>
            </w:r>
            <w:r w:rsidRPr="007952AC">
              <w:rPr>
                <w:rFonts w:eastAsia="Times New Roman" w:cs="Times New Roman"/>
                <w:lang w:eastAsia="lv-LV"/>
              </w:rPr>
              <w:t xml:space="preserve">ienākumu </w:t>
            </w:r>
            <w:r w:rsidRPr="00BB635B">
              <w:rPr>
                <w:rFonts w:eastAsia="Times New Roman" w:cs="Times New Roman"/>
                <w:lang w:eastAsia="lv-LV"/>
              </w:rPr>
              <w:t>slieksnis</w:t>
            </w:r>
            <w:r w:rsidRPr="007952AC">
              <w:rPr>
                <w:rFonts w:eastAsia="Times New Roman" w:cs="Times New Roman"/>
                <w:lang w:eastAsia="lv-LV"/>
              </w:rPr>
              <w:t xml:space="preserve"> tiek paaugstināts līdz 318 </w:t>
            </w:r>
            <w:r w:rsidRPr="007952AC">
              <w:rPr>
                <w:rFonts w:eastAsia="Times New Roman" w:cs="Times New Roman"/>
                <w:i/>
                <w:lang w:eastAsia="lv-LV"/>
              </w:rPr>
              <w:t>euro</w:t>
            </w:r>
            <w:r w:rsidRPr="007952AC">
              <w:rPr>
                <w:rFonts w:eastAsia="Times New Roman" w:cs="Times New Roman"/>
                <w:lang w:eastAsia="lv-LV"/>
              </w:rPr>
              <w:t xml:space="preserve"> pirmajai vai vienīgajai personai mājsaimniecībā, otrajai un nākamajām personām – 0,7 jeb 223 </w:t>
            </w:r>
            <w:r w:rsidRPr="007952AC">
              <w:rPr>
                <w:rFonts w:eastAsia="Times New Roman" w:cs="Times New Roman"/>
                <w:i/>
                <w:lang w:eastAsia="lv-LV"/>
              </w:rPr>
              <w:t>euro</w:t>
            </w:r>
            <w:r w:rsidRPr="007952AC">
              <w:rPr>
                <w:rFonts w:eastAsia="Times New Roman" w:cs="Times New Roman"/>
                <w:lang w:eastAsia="lv-LV"/>
              </w:rPr>
              <w:t>. Ņemot vērā, ka vidējais personu skaits trūcīgā mājsaimniecībā 201</w:t>
            </w:r>
            <w:r>
              <w:rPr>
                <w:rFonts w:eastAsia="Times New Roman" w:cs="Times New Roman"/>
                <w:lang w:eastAsia="lv-LV"/>
              </w:rPr>
              <w:t>9</w:t>
            </w:r>
            <w:r w:rsidRPr="007952AC">
              <w:rPr>
                <w:rFonts w:eastAsia="Times New Roman" w:cs="Times New Roman"/>
                <w:lang w:eastAsia="lv-LV"/>
              </w:rPr>
              <w:t xml:space="preserve">.gadā bija divas personas, tiek pieņemts, ka vidējais trūcīgas </w:t>
            </w:r>
            <w:r w:rsidRPr="00BB635B">
              <w:rPr>
                <w:rFonts w:eastAsia="Times New Roman" w:cs="Times New Roman"/>
                <w:lang w:eastAsia="lv-LV"/>
              </w:rPr>
              <w:t xml:space="preserve">mājsaimniecības </w:t>
            </w:r>
            <w:r w:rsidRPr="007952AC">
              <w:rPr>
                <w:rFonts w:eastAsia="Times New Roman" w:cs="Times New Roman"/>
                <w:lang w:eastAsia="lv-LV"/>
              </w:rPr>
              <w:t xml:space="preserve">ienākumu </w:t>
            </w:r>
            <w:r w:rsidRPr="00BB635B">
              <w:rPr>
                <w:rFonts w:eastAsia="Times New Roman" w:cs="Times New Roman"/>
                <w:lang w:eastAsia="lv-LV"/>
              </w:rPr>
              <w:t>slieksnis</w:t>
            </w:r>
            <w:r w:rsidRPr="007952AC">
              <w:rPr>
                <w:rFonts w:eastAsia="Times New Roman" w:cs="Times New Roman"/>
                <w:lang w:eastAsia="lv-LV"/>
              </w:rPr>
              <w:t xml:space="preserve"> ir 270,5 </w:t>
            </w:r>
            <w:r w:rsidRPr="007952AC">
              <w:rPr>
                <w:rFonts w:eastAsia="Times New Roman" w:cs="Times New Roman"/>
                <w:i/>
                <w:lang w:eastAsia="lv-LV"/>
              </w:rPr>
              <w:t xml:space="preserve">euro </w:t>
            </w:r>
            <w:r w:rsidRPr="007952AC">
              <w:rPr>
                <w:rFonts w:eastAsia="Times New Roman" w:cs="Times New Roman"/>
                <w:lang w:eastAsia="lv-LV"/>
              </w:rPr>
              <w:t>((318+223)/2=270,5</w:t>
            </w:r>
            <w:r w:rsidRPr="007952AC">
              <w:rPr>
                <w:rFonts w:eastAsia="Times New Roman" w:cs="Times New Roman"/>
                <w:i/>
                <w:lang w:eastAsia="lv-LV"/>
              </w:rPr>
              <w:t>)</w:t>
            </w:r>
            <w:r w:rsidRPr="007952AC">
              <w:rPr>
                <w:rFonts w:eastAsia="Times New Roman" w:cs="Times New Roman"/>
                <w:lang w:eastAsia="lv-LV"/>
              </w:rPr>
              <w:t xml:space="preserve">, t.i., par 111,3% lielāks nekā </w:t>
            </w:r>
            <w:r>
              <w:rPr>
                <w:rFonts w:eastAsia="Times New Roman" w:cs="Times New Roman"/>
                <w:lang w:eastAsia="lv-LV"/>
              </w:rPr>
              <w:t>2020.gadā</w:t>
            </w:r>
            <w:r w:rsidRPr="007952AC">
              <w:rPr>
                <w:rFonts w:eastAsia="Times New Roman" w:cs="Times New Roman"/>
                <w:lang w:eastAsia="lv-LV"/>
              </w:rPr>
              <w:t xml:space="preserve"> spēkā esošais - 128,06 </w:t>
            </w:r>
            <w:r w:rsidRPr="007952AC">
              <w:rPr>
                <w:rFonts w:eastAsia="Times New Roman" w:cs="Times New Roman"/>
                <w:i/>
                <w:lang w:eastAsia="lv-LV"/>
              </w:rPr>
              <w:t>euro</w:t>
            </w:r>
            <w:r w:rsidRPr="007952AC">
              <w:rPr>
                <w:rFonts w:eastAsia="Times New Roman" w:cs="Times New Roman"/>
                <w:lang w:eastAsia="lv-LV"/>
              </w:rPr>
              <w:t xml:space="preserve">. 2024.gadā tiek prognozēts trūcīgo skaits </w:t>
            </w:r>
            <w:r w:rsidRPr="004431F7">
              <w:rPr>
                <w:rFonts w:eastAsia="Times New Roman" w:cs="Times New Roman"/>
                <w:b/>
                <w:lang w:eastAsia="lv-LV"/>
              </w:rPr>
              <w:t>75 722 personas</w:t>
            </w:r>
            <w:r w:rsidRPr="007952AC">
              <w:rPr>
                <w:rFonts w:eastAsia="Times New Roman" w:cs="Times New Roman"/>
                <w:lang w:eastAsia="lv-LV"/>
              </w:rPr>
              <w:t>. Tas veido trūcīgo personu skaita pieaugumu 2024.gadā salīdzinājumā ar 2023.gadu par 4,24 %, t.sk. trūcīgo pilngadīgo personu skaita pieaugumu - par 4,24%.</w:t>
            </w:r>
          </w:p>
          <w:p w14:paraId="3BC14BB9" w14:textId="77777777" w:rsidR="000A660F" w:rsidRPr="00CD32A0" w:rsidRDefault="000A660F" w:rsidP="003309D5">
            <w:pPr>
              <w:spacing w:before="120" w:after="120" w:line="240" w:lineRule="auto"/>
              <w:rPr>
                <w:rFonts w:eastAsia="Times New Roman" w:cs="Times New Roman"/>
                <w:lang w:eastAsia="lv-LV"/>
              </w:rPr>
            </w:pPr>
            <w:r w:rsidRPr="007952AC">
              <w:rPr>
                <w:rFonts w:eastAsia="Times New Roman" w:cs="Times New Roman"/>
                <w:lang w:eastAsia="lv-LV"/>
              </w:rPr>
              <w:t xml:space="preserve">Tabula Nr. </w:t>
            </w:r>
            <w:r>
              <w:rPr>
                <w:rFonts w:eastAsia="Times New Roman" w:cs="Times New Roman"/>
                <w:lang w:eastAsia="lv-LV"/>
              </w:rPr>
              <w:t>3.</w:t>
            </w:r>
            <w:r w:rsidRPr="007952AC">
              <w:rPr>
                <w:rFonts w:eastAsia="Times New Roman" w:cs="Times New Roman"/>
                <w:lang w:eastAsia="lv-LV"/>
              </w:rPr>
              <w:t>1. Trūcīgo personu skaita dinamika 2016. – 202</w:t>
            </w:r>
            <w:r>
              <w:rPr>
                <w:rFonts w:eastAsia="Times New Roman" w:cs="Times New Roman"/>
                <w:lang w:eastAsia="lv-LV"/>
              </w:rPr>
              <w:t>4</w:t>
            </w:r>
            <w:r w:rsidRPr="007952AC">
              <w:rPr>
                <w:rFonts w:eastAsia="Times New Roman" w:cs="Times New Roman"/>
                <w:lang w:eastAsia="lv-LV"/>
              </w:rPr>
              <w:t>.gadu periodā</w:t>
            </w:r>
            <w:r w:rsidRPr="000225C6">
              <w:rPr>
                <w:rFonts w:eastAsia="Times New Roman" w:cs="Times New Roman"/>
                <w:sz w:val="20"/>
                <w:szCs w:val="20"/>
                <w:lang w:eastAsia="lv-LV"/>
              </w:rPr>
              <w:t>.</w:t>
            </w:r>
          </w:p>
          <w:tbl>
            <w:tblPr>
              <w:tblW w:w="12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134"/>
              <w:gridCol w:w="993"/>
              <w:gridCol w:w="1134"/>
              <w:gridCol w:w="992"/>
              <w:gridCol w:w="1276"/>
              <w:gridCol w:w="1134"/>
              <w:gridCol w:w="1134"/>
              <w:gridCol w:w="1134"/>
              <w:gridCol w:w="1134"/>
            </w:tblGrid>
            <w:tr w:rsidR="000A660F" w:rsidRPr="006B0570" w14:paraId="55A51B3D" w14:textId="77777777" w:rsidTr="003309D5">
              <w:trPr>
                <w:trHeight w:val="540"/>
              </w:trPr>
              <w:tc>
                <w:tcPr>
                  <w:tcW w:w="2601" w:type="dxa"/>
                  <w:vAlign w:val="center"/>
                  <w:hideMark/>
                </w:tcPr>
                <w:p w14:paraId="0182D56C" w14:textId="77777777" w:rsidR="000A660F" w:rsidRPr="006B0570" w:rsidRDefault="000A660F" w:rsidP="003309D5">
                  <w:pPr>
                    <w:spacing w:after="0" w:line="240" w:lineRule="auto"/>
                    <w:jc w:val="center"/>
                    <w:rPr>
                      <w:rFonts w:eastAsia="Times New Roman" w:cs="Times New Roman"/>
                      <w:color w:val="000000"/>
                      <w:sz w:val="20"/>
                      <w:szCs w:val="20"/>
                      <w:lang w:eastAsia="lv-LV"/>
                    </w:rPr>
                  </w:pPr>
                  <w:r w:rsidRPr="006B0570">
                    <w:rPr>
                      <w:rFonts w:eastAsia="Times New Roman" w:cs="Times New Roman"/>
                      <w:color w:val="000000"/>
                      <w:sz w:val="20"/>
                      <w:szCs w:val="20"/>
                      <w:lang w:eastAsia="lv-LV"/>
                    </w:rPr>
                    <w:t>Indikatori</w:t>
                  </w:r>
                </w:p>
              </w:tc>
              <w:tc>
                <w:tcPr>
                  <w:tcW w:w="1134" w:type="dxa"/>
                  <w:vAlign w:val="bottom"/>
                  <w:hideMark/>
                </w:tcPr>
                <w:p w14:paraId="13424237" w14:textId="77777777" w:rsidR="000A660F" w:rsidRPr="001653CB" w:rsidRDefault="000A660F" w:rsidP="003309D5">
                  <w:pPr>
                    <w:spacing w:after="0" w:line="240" w:lineRule="auto"/>
                    <w:jc w:val="center"/>
                    <w:rPr>
                      <w:rFonts w:eastAsia="Times New Roman" w:cs="Times New Roman"/>
                      <w:b/>
                      <w:bCs/>
                      <w:sz w:val="20"/>
                      <w:szCs w:val="20"/>
                      <w:lang w:eastAsia="lv-LV"/>
                    </w:rPr>
                  </w:pPr>
                  <w:r w:rsidRPr="001653CB">
                    <w:rPr>
                      <w:rFonts w:eastAsia="Times New Roman" w:cs="Times New Roman"/>
                      <w:b/>
                      <w:bCs/>
                      <w:sz w:val="20"/>
                      <w:szCs w:val="20"/>
                      <w:lang w:eastAsia="lv-LV"/>
                    </w:rPr>
                    <w:t>2016. fakts</w:t>
                  </w:r>
                </w:p>
              </w:tc>
              <w:tc>
                <w:tcPr>
                  <w:tcW w:w="993" w:type="dxa"/>
                  <w:vAlign w:val="bottom"/>
                  <w:hideMark/>
                </w:tcPr>
                <w:p w14:paraId="6FF2F160" w14:textId="77777777" w:rsidR="000A660F" w:rsidRPr="001653CB" w:rsidRDefault="000A660F" w:rsidP="003309D5">
                  <w:pPr>
                    <w:spacing w:after="0" w:line="240" w:lineRule="auto"/>
                    <w:jc w:val="center"/>
                    <w:rPr>
                      <w:rFonts w:eastAsia="Times New Roman" w:cs="Times New Roman"/>
                      <w:b/>
                      <w:bCs/>
                      <w:iCs/>
                      <w:sz w:val="20"/>
                      <w:szCs w:val="20"/>
                      <w:lang w:eastAsia="lv-LV"/>
                    </w:rPr>
                  </w:pPr>
                  <w:r w:rsidRPr="001653CB">
                    <w:rPr>
                      <w:rFonts w:eastAsia="Times New Roman" w:cs="Times New Roman"/>
                      <w:b/>
                      <w:bCs/>
                      <w:iCs/>
                      <w:sz w:val="20"/>
                      <w:szCs w:val="20"/>
                      <w:lang w:eastAsia="lv-LV"/>
                    </w:rPr>
                    <w:t>2017. fakts</w:t>
                  </w:r>
                </w:p>
              </w:tc>
              <w:tc>
                <w:tcPr>
                  <w:tcW w:w="1134" w:type="dxa"/>
                  <w:vAlign w:val="bottom"/>
                  <w:hideMark/>
                </w:tcPr>
                <w:p w14:paraId="5622DA76" w14:textId="77777777" w:rsidR="000A660F" w:rsidRPr="001653CB" w:rsidRDefault="000A660F" w:rsidP="003309D5">
                  <w:pPr>
                    <w:spacing w:after="0" w:line="240" w:lineRule="auto"/>
                    <w:jc w:val="center"/>
                    <w:rPr>
                      <w:rFonts w:eastAsia="Times New Roman" w:cs="Times New Roman"/>
                      <w:b/>
                      <w:bCs/>
                      <w:iCs/>
                      <w:sz w:val="20"/>
                      <w:szCs w:val="20"/>
                      <w:lang w:eastAsia="lv-LV"/>
                    </w:rPr>
                  </w:pPr>
                  <w:r w:rsidRPr="001653CB">
                    <w:rPr>
                      <w:rFonts w:eastAsia="Times New Roman" w:cs="Times New Roman"/>
                      <w:b/>
                      <w:bCs/>
                      <w:iCs/>
                      <w:sz w:val="20"/>
                      <w:szCs w:val="20"/>
                      <w:lang w:eastAsia="lv-LV"/>
                    </w:rPr>
                    <w:t>2018. fakts</w:t>
                  </w:r>
                </w:p>
              </w:tc>
              <w:tc>
                <w:tcPr>
                  <w:tcW w:w="992" w:type="dxa"/>
                  <w:vAlign w:val="bottom"/>
                  <w:hideMark/>
                </w:tcPr>
                <w:p w14:paraId="1223B65D" w14:textId="77777777" w:rsidR="000A660F" w:rsidRPr="001653CB" w:rsidRDefault="000A660F" w:rsidP="003309D5">
                  <w:pPr>
                    <w:spacing w:after="0" w:line="240" w:lineRule="auto"/>
                    <w:jc w:val="center"/>
                    <w:rPr>
                      <w:rFonts w:eastAsia="Times New Roman" w:cs="Times New Roman"/>
                      <w:b/>
                      <w:bCs/>
                      <w:iCs/>
                      <w:sz w:val="20"/>
                      <w:szCs w:val="20"/>
                      <w:lang w:eastAsia="lv-LV"/>
                    </w:rPr>
                  </w:pPr>
                  <w:r w:rsidRPr="001653CB">
                    <w:rPr>
                      <w:rFonts w:eastAsia="Times New Roman" w:cs="Times New Roman"/>
                      <w:b/>
                      <w:bCs/>
                      <w:iCs/>
                      <w:sz w:val="20"/>
                      <w:szCs w:val="20"/>
                      <w:lang w:eastAsia="lv-LV"/>
                    </w:rPr>
                    <w:t>2019. fakts</w:t>
                  </w:r>
                </w:p>
              </w:tc>
              <w:tc>
                <w:tcPr>
                  <w:tcW w:w="1276" w:type="dxa"/>
                  <w:vAlign w:val="bottom"/>
                  <w:hideMark/>
                </w:tcPr>
                <w:p w14:paraId="7F17CAEC" w14:textId="77777777" w:rsidR="000A660F" w:rsidRPr="006B0570" w:rsidRDefault="000A660F" w:rsidP="003309D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2020. prognoze</w:t>
                  </w:r>
                </w:p>
              </w:tc>
              <w:tc>
                <w:tcPr>
                  <w:tcW w:w="1134" w:type="dxa"/>
                  <w:vAlign w:val="bottom"/>
                  <w:hideMark/>
                </w:tcPr>
                <w:p w14:paraId="4ED0C854" w14:textId="77777777" w:rsidR="000A660F" w:rsidRPr="006B0570" w:rsidRDefault="000A660F" w:rsidP="003309D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2021. prognoze</w:t>
                  </w:r>
                </w:p>
              </w:tc>
              <w:tc>
                <w:tcPr>
                  <w:tcW w:w="1134" w:type="dxa"/>
                  <w:vAlign w:val="bottom"/>
                  <w:hideMark/>
                </w:tcPr>
                <w:p w14:paraId="3AA21D73" w14:textId="77777777" w:rsidR="000A660F" w:rsidRPr="006B0570" w:rsidRDefault="000A660F" w:rsidP="003309D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2022. prognoze</w:t>
                  </w:r>
                </w:p>
              </w:tc>
              <w:tc>
                <w:tcPr>
                  <w:tcW w:w="1134" w:type="dxa"/>
                  <w:vAlign w:val="bottom"/>
                  <w:hideMark/>
                </w:tcPr>
                <w:p w14:paraId="7850A3EF" w14:textId="77777777" w:rsidR="000A660F" w:rsidRPr="006B0570" w:rsidRDefault="000A660F" w:rsidP="003309D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2023. prognoze</w:t>
                  </w:r>
                </w:p>
              </w:tc>
              <w:tc>
                <w:tcPr>
                  <w:tcW w:w="1134" w:type="dxa"/>
                  <w:vAlign w:val="bottom"/>
                  <w:hideMark/>
                </w:tcPr>
                <w:p w14:paraId="48ADFBE3" w14:textId="77777777" w:rsidR="000A660F" w:rsidRPr="006B0570" w:rsidRDefault="000A660F" w:rsidP="003309D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2024. prognoze</w:t>
                  </w:r>
                </w:p>
              </w:tc>
            </w:tr>
            <w:tr w:rsidR="000A660F" w:rsidRPr="006B0570" w14:paraId="224596BB" w14:textId="77777777" w:rsidTr="003309D5">
              <w:trPr>
                <w:trHeight w:val="525"/>
              </w:trPr>
              <w:tc>
                <w:tcPr>
                  <w:tcW w:w="2601" w:type="dxa"/>
                  <w:vAlign w:val="bottom"/>
                  <w:hideMark/>
                </w:tcPr>
                <w:p w14:paraId="3A12E2F4"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 xml:space="preserve">Kopā trūcīgās personas, t.sk. </w:t>
                  </w:r>
                </w:p>
              </w:tc>
              <w:tc>
                <w:tcPr>
                  <w:tcW w:w="1134" w:type="dxa"/>
                  <w:noWrap/>
                  <w:vAlign w:val="bottom"/>
                  <w:hideMark/>
                </w:tcPr>
                <w:p w14:paraId="019984C9" w14:textId="77777777" w:rsidR="000A660F" w:rsidRPr="006B0570" w:rsidRDefault="000A660F" w:rsidP="003309D5">
                  <w:pPr>
                    <w:spacing w:after="0" w:line="240" w:lineRule="auto"/>
                    <w:jc w:val="right"/>
                    <w:rPr>
                      <w:rFonts w:eastAsia="Times New Roman" w:cs="Times New Roman"/>
                      <w:b/>
                      <w:bCs/>
                      <w:iCs/>
                      <w:sz w:val="20"/>
                      <w:szCs w:val="20"/>
                      <w:lang w:eastAsia="lv-LV"/>
                    </w:rPr>
                  </w:pPr>
                  <w:r w:rsidRPr="006B0570">
                    <w:rPr>
                      <w:rFonts w:eastAsia="Times New Roman" w:cs="Times New Roman"/>
                      <w:b/>
                      <w:bCs/>
                      <w:iCs/>
                      <w:sz w:val="20"/>
                      <w:szCs w:val="20"/>
                      <w:lang w:eastAsia="lv-LV"/>
                    </w:rPr>
                    <w:t>68 816</w:t>
                  </w:r>
                </w:p>
              </w:tc>
              <w:tc>
                <w:tcPr>
                  <w:tcW w:w="993" w:type="dxa"/>
                  <w:noWrap/>
                  <w:vAlign w:val="bottom"/>
                  <w:hideMark/>
                </w:tcPr>
                <w:p w14:paraId="7987B3D6" w14:textId="77777777" w:rsidR="000A660F" w:rsidRPr="006B0570" w:rsidRDefault="000A660F" w:rsidP="003309D5">
                  <w:pPr>
                    <w:spacing w:after="0" w:line="240" w:lineRule="auto"/>
                    <w:jc w:val="right"/>
                    <w:rPr>
                      <w:rFonts w:eastAsia="Times New Roman" w:cs="Times New Roman"/>
                      <w:b/>
                      <w:bCs/>
                      <w:iCs/>
                      <w:sz w:val="20"/>
                      <w:szCs w:val="20"/>
                      <w:lang w:eastAsia="lv-LV"/>
                    </w:rPr>
                  </w:pPr>
                  <w:r w:rsidRPr="006B0570">
                    <w:rPr>
                      <w:rFonts w:eastAsia="Times New Roman" w:cs="Times New Roman"/>
                      <w:b/>
                      <w:bCs/>
                      <w:iCs/>
                      <w:sz w:val="20"/>
                      <w:szCs w:val="20"/>
                      <w:lang w:eastAsia="lv-LV"/>
                    </w:rPr>
                    <w:t>62 260</w:t>
                  </w:r>
                </w:p>
              </w:tc>
              <w:tc>
                <w:tcPr>
                  <w:tcW w:w="1134" w:type="dxa"/>
                  <w:noWrap/>
                  <w:vAlign w:val="bottom"/>
                  <w:hideMark/>
                </w:tcPr>
                <w:p w14:paraId="660B0803" w14:textId="77777777" w:rsidR="000A660F" w:rsidRPr="006B0570" w:rsidRDefault="000A660F" w:rsidP="003309D5">
                  <w:pPr>
                    <w:spacing w:after="0" w:line="240" w:lineRule="auto"/>
                    <w:jc w:val="right"/>
                    <w:rPr>
                      <w:rFonts w:eastAsia="Times New Roman" w:cs="Times New Roman"/>
                      <w:b/>
                      <w:bCs/>
                      <w:iCs/>
                      <w:sz w:val="20"/>
                      <w:szCs w:val="20"/>
                      <w:lang w:eastAsia="lv-LV"/>
                    </w:rPr>
                  </w:pPr>
                  <w:r w:rsidRPr="006B0570">
                    <w:rPr>
                      <w:rFonts w:eastAsia="Times New Roman" w:cs="Times New Roman"/>
                      <w:b/>
                      <w:bCs/>
                      <w:iCs/>
                      <w:sz w:val="20"/>
                      <w:szCs w:val="20"/>
                      <w:lang w:eastAsia="lv-LV"/>
                    </w:rPr>
                    <w:t>50 447</w:t>
                  </w:r>
                </w:p>
              </w:tc>
              <w:tc>
                <w:tcPr>
                  <w:tcW w:w="992" w:type="dxa"/>
                  <w:noWrap/>
                  <w:vAlign w:val="bottom"/>
                  <w:hideMark/>
                </w:tcPr>
                <w:p w14:paraId="503F366D" w14:textId="77777777" w:rsidR="000A660F" w:rsidRPr="006B0570" w:rsidRDefault="000A660F" w:rsidP="003309D5">
                  <w:pPr>
                    <w:spacing w:after="0" w:line="240" w:lineRule="auto"/>
                    <w:jc w:val="right"/>
                    <w:rPr>
                      <w:rFonts w:eastAsia="Times New Roman" w:cs="Times New Roman"/>
                      <w:b/>
                      <w:bCs/>
                      <w:iCs/>
                      <w:sz w:val="20"/>
                      <w:szCs w:val="20"/>
                      <w:lang w:eastAsia="lv-LV"/>
                    </w:rPr>
                  </w:pPr>
                  <w:r w:rsidRPr="006B0570">
                    <w:rPr>
                      <w:rFonts w:eastAsia="Times New Roman" w:cs="Times New Roman"/>
                      <w:b/>
                      <w:bCs/>
                      <w:iCs/>
                      <w:sz w:val="20"/>
                      <w:szCs w:val="20"/>
                      <w:lang w:eastAsia="lv-LV"/>
                    </w:rPr>
                    <w:t>41 522</w:t>
                  </w:r>
                </w:p>
              </w:tc>
              <w:tc>
                <w:tcPr>
                  <w:tcW w:w="1276" w:type="dxa"/>
                  <w:noWrap/>
                  <w:vAlign w:val="bottom"/>
                  <w:hideMark/>
                </w:tcPr>
                <w:p w14:paraId="2417DD8C" w14:textId="77777777" w:rsidR="000A660F" w:rsidRPr="006B0570" w:rsidRDefault="000A660F" w:rsidP="003309D5">
                  <w:pPr>
                    <w:spacing w:after="0" w:line="240" w:lineRule="auto"/>
                    <w:jc w:val="right"/>
                    <w:rPr>
                      <w:rFonts w:eastAsia="Times New Roman" w:cs="Times New Roman"/>
                      <w:b/>
                      <w:bCs/>
                      <w:i/>
                      <w:sz w:val="20"/>
                      <w:szCs w:val="20"/>
                      <w:lang w:eastAsia="lv-LV"/>
                    </w:rPr>
                  </w:pPr>
                  <w:r w:rsidRPr="006B0570">
                    <w:rPr>
                      <w:rFonts w:eastAsia="Times New Roman" w:cs="Times New Roman"/>
                      <w:b/>
                      <w:bCs/>
                      <w:i/>
                      <w:sz w:val="20"/>
                      <w:szCs w:val="20"/>
                      <w:lang w:eastAsia="lv-LV"/>
                    </w:rPr>
                    <w:t>37 565</w:t>
                  </w:r>
                </w:p>
              </w:tc>
              <w:tc>
                <w:tcPr>
                  <w:tcW w:w="1134" w:type="dxa"/>
                  <w:noWrap/>
                  <w:vAlign w:val="bottom"/>
                  <w:hideMark/>
                </w:tcPr>
                <w:p w14:paraId="429B178E" w14:textId="77777777" w:rsidR="000A660F" w:rsidRPr="006B0570" w:rsidRDefault="000A660F" w:rsidP="003309D5">
                  <w:pPr>
                    <w:spacing w:after="0" w:line="240" w:lineRule="auto"/>
                    <w:jc w:val="right"/>
                    <w:rPr>
                      <w:rFonts w:eastAsia="Times New Roman" w:cs="Times New Roman"/>
                      <w:b/>
                      <w:bCs/>
                      <w:i/>
                      <w:sz w:val="20"/>
                      <w:szCs w:val="20"/>
                      <w:lang w:eastAsia="lv-LV"/>
                    </w:rPr>
                  </w:pPr>
                  <w:r w:rsidRPr="006B0570">
                    <w:rPr>
                      <w:rFonts w:eastAsia="Times New Roman" w:cs="Times New Roman"/>
                      <w:b/>
                      <w:bCs/>
                      <w:i/>
                      <w:sz w:val="20"/>
                      <w:szCs w:val="20"/>
                      <w:lang w:eastAsia="lv-LV"/>
                    </w:rPr>
                    <w:t>64 667</w:t>
                  </w:r>
                </w:p>
              </w:tc>
              <w:tc>
                <w:tcPr>
                  <w:tcW w:w="1134" w:type="dxa"/>
                  <w:noWrap/>
                  <w:vAlign w:val="bottom"/>
                  <w:hideMark/>
                </w:tcPr>
                <w:p w14:paraId="52E3784E" w14:textId="77777777" w:rsidR="000A660F" w:rsidRPr="006B0570" w:rsidRDefault="000A660F" w:rsidP="003309D5">
                  <w:pPr>
                    <w:spacing w:after="0" w:line="240" w:lineRule="auto"/>
                    <w:jc w:val="right"/>
                    <w:rPr>
                      <w:rFonts w:eastAsia="Times New Roman" w:cs="Times New Roman"/>
                      <w:b/>
                      <w:bCs/>
                      <w:i/>
                      <w:sz w:val="20"/>
                      <w:szCs w:val="20"/>
                      <w:lang w:eastAsia="lv-LV"/>
                    </w:rPr>
                  </w:pPr>
                  <w:r w:rsidRPr="006B0570">
                    <w:rPr>
                      <w:rFonts w:eastAsia="Times New Roman" w:cs="Times New Roman"/>
                      <w:b/>
                      <w:bCs/>
                      <w:i/>
                      <w:sz w:val="20"/>
                      <w:szCs w:val="20"/>
                    </w:rPr>
                    <w:t>61 434</w:t>
                  </w:r>
                </w:p>
              </w:tc>
              <w:tc>
                <w:tcPr>
                  <w:tcW w:w="1134" w:type="dxa"/>
                  <w:noWrap/>
                  <w:vAlign w:val="bottom"/>
                  <w:hideMark/>
                </w:tcPr>
                <w:p w14:paraId="7B8B1A61" w14:textId="77777777" w:rsidR="000A660F" w:rsidRPr="006B0570" w:rsidRDefault="000A660F" w:rsidP="003309D5">
                  <w:pPr>
                    <w:spacing w:after="0" w:line="240" w:lineRule="auto"/>
                    <w:jc w:val="right"/>
                    <w:rPr>
                      <w:rFonts w:eastAsia="Times New Roman" w:cs="Times New Roman"/>
                      <w:b/>
                      <w:bCs/>
                      <w:i/>
                      <w:sz w:val="20"/>
                      <w:szCs w:val="20"/>
                      <w:lang w:eastAsia="lv-LV"/>
                    </w:rPr>
                  </w:pPr>
                  <w:r w:rsidRPr="006B0570">
                    <w:rPr>
                      <w:rFonts w:eastAsia="Times New Roman" w:cs="Times New Roman"/>
                      <w:b/>
                      <w:bCs/>
                      <w:i/>
                      <w:sz w:val="20"/>
                      <w:szCs w:val="20"/>
                      <w:lang w:eastAsia="lv-LV"/>
                    </w:rPr>
                    <w:t>72 643</w:t>
                  </w:r>
                </w:p>
              </w:tc>
              <w:tc>
                <w:tcPr>
                  <w:tcW w:w="1134" w:type="dxa"/>
                  <w:noWrap/>
                  <w:vAlign w:val="bottom"/>
                  <w:hideMark/>
                </w:tcPr>
                <w:p w14:paraId="227FF779" w14:textId="77777777" w:rsidR="000A660F" w:rsidRPr="006B0570" w:rsidRDefault="000A660F" w:rsidP="003309D5">
                  <w:pPr>
                    <w:spacing w:after="0" w:line="240" w:lineRule="auto"/>
                    <w:jc w:val="right"/>
                    <w:rPr>
                      <w:rFonts w:eastAsia="Times New Roman" w:cs="Times New Roman"/>
                      <w:b/>
                      <w:i/>
                      <w:color w:val="000000"/>
                      <w:sz w:val="20"/>
                      <w:szCs w:val="20"/>
                      <w:lang w:eastAsia="lv-LV"/>
                    </w:rPr>
                  </w:pPr>
                  <w:r w:rsidRPr="006B0570">
                    <w:rPr>
                      <w:rFonts w:eastAsia="Times New Roman" w:cs="Times New Roman"/>
                      <w:b/>
                      <w:i/>
                      <w:color w:val="000000"/>
                      <w:sz w:val="20"/>
                      <w:szCs w:val="20"/>
                      <w:lang w:eastAsia="lv-LV"/>
                    </w:rPr>
                    <w:t>75</w:t>
                  </w:r>
                  <w:r>
                    <w:rPr>
                      <w:rFonts w:eastAsia="Times New Roman" w:cs="Times New Roman"/>
                      <w:b/>
                      <w:i/>
                      <w:color w:val="000000"/>
                      <w:sz w:val="20"/>
                      <w:szCs w:val="20"/>
                      <w:lang w:eastAsia="lv-LV"/>
                    </w:rPr>
                    <w:t xml:space="preserve"> </w:t>
                  </w:r>
                  <w:r w:rsidRPr="006B0570">
                    <w:rPr>
                      <w:rFonts w:eastAsia="Times New Roman" w:cs="Times New Roman"/>
                      <w:b/>
                      <w:i/>
                      <w:color w:val="000000"/>
                      <w:sz w:val="20"/>
                      <w:szCs w:val="20"/>
                      <w:lang w:eastAsia="lv-LV"/>
                    </w:rPr>
                    <w:t>722</w:t>
                  </w:r>
                </w:p>
              </w:tc>
            </w:tr>
            <w:tr w:rsidR="000A660F" w:rsidRPr="006B0570" w14:paraId="74E834DB" w14:textId="77777777" w:rsidTr="003309D5">
              <w:trPr>
                <w:trHeight w:val="300"/>
              </w:trPr>
              <w:tc>
                <w:tcPr>
                  <w:tcW w:w="2601" w:type="dxa"/>
                  <w:vAlign w:val="bottom"/>
                  <w:hideMark/>
                </w:tcPr>
                <w:p w14:paraId="62B43922"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bērni</w:t>
                  </w:r>
                </w:p>
              </w:tc>
              <w:tc>
                <w:tcPr>
                  <w:tcW w:w="1134" w:type="dxa"/>
                  <w:noWrap/>
                  <w:vAlign w:val="bottom"/>
                  <w:hideMark/>
                </w:tcPr>
                <w:p w14:paraId="3700A5D8" w14:textId="77777777" w:rsidR="000A660F" w:rsidRPr="006B0570" w:rsidRDefault="000A660F" w:rsidP="003309D5">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20 851</w:t>
                  </w:r>
                </w:p>
              </w:tc>
              <w:tc>
                <w:tcPr>
                  <w:tcW w:w="993" w:type="dxa"/>
                  <w:noWrap/>
                  <w:vAlign w:val="bottom"/>
                  <w:hideMark/>
                </w:tcPr>
                <w:p w14:paraId="2EE716CD"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18 264</w:t>
                  </w:r>
                </w:p>
              </w:tc>
              <w:tc>
                <w:tcPr>
                  <w:tcW w:w="1134" w:type="dxa"/>
                  <w:noWrap/>
                  <w:vAlign w:val="bottom"/>
                  <w:hideMark/>
                </w:tcPr>
                <w:p w14:paraId="72628D50"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13 957</w:t>
                  </w:r>
                </w:p>
              </w:tc>
              <w:tc>
                <w:tcPr>
                  <w:tcW w:w="992" w:type="dxa"/>
                  <w:noWrap/>
                  <w:vAlign w:val="bottom"/>
                  <w:hideMark/>
                </w:tcPr>
                <w:p w14:paraId="49D423E8"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10 349</w:t>
                  </w:r>
                </w:p>
              </w:tc>
              <w:tc>
                <w:tcPr>
                  <w:tcW w:w="1276" w:type="dxa"/>
                  <w:noWrap/>
                  <w:vAlign w:val="bottom"/>
                  <w:hideMark/>
                </w:tcPr>
                <w:p w14:paraId="6A726035"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9 363</w:t>
                  </w:r>
                </w:p>
              </w:tc>
              <w:tc>
                <w:tcPr>
                  <w:tcW w:w="1134" w:type="dxa"/>
                  <w:noWrap/>
                  <w:vAlign w:val="bottom"/>
                  <w:hideMark/>
                </w:tcPr>
                <w:p w14:paraId="40E1C4CB"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16 115</w:t>
                  </w:r>
                </w:p>
              </w:tc>
              <w:tc>
                <w:tcPr>
                  <w:tcW w:w="1134" w:type="dxa"/>
                  <w:noWrap/>
                  <w:vAlign w:val="bottom"/>
                  <w:hideMark/>
                </w:tcPr>
                <w:p w14:paraId="30477D08"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rPr>
                    <w:t>15 309</w:t>
                  </w:r>
                </w:p>
              </w:tc>
              <w:tc>
                <w:tcPr>
                  <w:tcW w:w="1134" w:type="dxa"/>
                  <w:noWrap/>
                  <w:vAlign w:val="bottom"/>
                  <w:hideMark/>
                </w:tcPr>
                <w:p w14:paraId="41947B37"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18 103</w:t>
                  </w:r>
                </w:p>
              </w:tc>
              <w:tc>
                <w:tcPr>
                  <w:tcW w:w="1134" w:type="dxa"/>
                  <w:noWrap/>
                  <w:vAlign w:val="bottom"/>
                  <w:hideMark/>
                </w:tcPr>
                <w:p w14:paraId="7847C89D"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18</w:t>
                  </w:r>
                  <w:r>
                    <w:rPr>
                      <w:rFonts w:eastAsia="Times New Roman" w:cs="Times New Roman"/>
                      <w:color w:val="000000"/>
                      <w:sz w:val="20"/>
                      <w:szCs w:val="20"/>
                      <w:lang w:eastAsia="lv-LV"/>
                    </w:rPr>
                    <w:t xml:space="preserve"> </w:t>
                  </w:r>
                  <w:r w:rsidRPr="006B0570">
                    <w:rPr>
                      <w:rFonts w:eastAsia="Times New Roman" w:cs="Times New Roman"/>
                      <w:color w:val="000000"/>
                      <w:sz w:val="20"/>
                      <w:szCs w:val="20"/>
                      <w:lang w:eastAsia="lv-LV"/>
                    </w:rPr>
                    <w:t>870</w:t>
                  </w:r>
                </w:p>
              </w:tc>
            </w:tr>
            <w:tr w:rsidR="000A660F" w:rsidRPr="006B0570" w14:paraId="71CE46D1" w14:textId="77777777" w:rsidTr="003309D5">
              <w:trPr>
                <w:trHeight w:val="300"/>
              </w:trPr>
              <w:tc>
                <w:tcPr>
                  <w:tcW w:w="2601" w:type="dxa"/>
                  <w:vAlign w:val="bottom"/>
                  <w:hideMark/>
                </w:tcPr>
                <w:p w14:paraId="0B409F49"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nestrādājošās personas</w:t>
                  </w:r>
                </w:p>
              </w:tc>
              <w:tc>
                <w:tcPr>
                  <w:tcW w:w="1134" w:type="dxa"/>
                  <w:noWrap/>
                  <w:vAlign w:val="bottom"/>
                  <w:hideMark/>
                </w:tcPr>
                <w:p w14:paraId="492B7262" w14:textId="77777777" w:rsidR="000A660F" w:rsidRPr="006B0570" w:rsidRDefault="000A660F" w:rsidP="003309D5">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19 442</w:t>
                  </w:r>
                </w:p>
              </w:tc>
              <w:tc>
                <w:tcPr>
                  <w:tcW w:w="993" w:type="dxa"/>
                  <w:noWrap/>
                  <w:vAlign w:val="bottom"/>
                  <w:hideMark/>
                </w:tcPr>
                <w:p w14:paraId="22D002A7"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16 937</w:t>
                  </w:r>
                </w:p>
              </w:tc>
              <w:tc>
                <w:tcPr>
                  <w:tcW w:w="1134" w:type="dxa"/>
                  <w:noWrap/>
                  <w:vAlign w:val="bottom"/>
                  <w:hideMark/>
                </w:tcPr>
                <w:p w14:paraId="21028D79"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12 545</w:t>
                  </w:r>
                </w:p>
              </w:tc>
              <w:tc>
                <w:tcPr>
                  <w:tcW w:w="992" w:type="dxa"/>
                  <w:noWrap/>
                  <w:vAlign w:val="bottom"/>
                  <w:hideMark/>
                </w:tcPr>
                <w:p w14:paraId="79FA1566"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10 031</w:t>
                  </w:r>
                </w:p>
              </w:tc>
              <w:tc>
                <w:tcPr>
                  <w:tcW w:w="1276" w:type="dxa"/>
                  <w:noWrap/>
                  <w:vAlign w:val="bottom"/>
                  <w:hideMark/>
                </w:tcPr>
                <w:p w14:paraId="0A13DDF9"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9 075</w:t>
                  </w:r>
                </w:p>
              </w:tc>
              <w:tc>
                <w:tcPr>
                  <w:tcW w:w="1134" w:type="dxa"/>
                  <w:noWrap/>
                  <w:vAlign w:val="bottom"/>
                  <w:hideMark/>
                </w:tcPr>
                <w:p w14:paraId="37374CEF"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15 068</w:t>
                  </w:r>
                </w:p>
              </w:tc>
              <w:tc>
                <w:tcPr>
                  <w:tcW w:w="1134" w:type="dxa"/>
                  <w:noWrap/>
                  <w:vAlign w:val="bottom"/>
                  <w:hideMark/>
                </w:tcPr>
                <w:p w14:paraId="5F8F3E7F"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rPr>
                    <w:t>14 315</w:t>
                  </w:r>
                </w:p>
              </w:tc>
              <w:tc>
                <w:tcPr>
                  <w:tcW w:w="1134" w:type="dxa"/>
                  <w:noWrap/>
                  <w:vAlign w:val="bottom"/>
                  <w:hideMark/>
                </w:tcPr>
                <w:p w14:paraId="155D6787"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16 926</w:t>
                  </w:r>
                </w:p>
              </w:tc>
              <w:tc>
                <w:tcPr>
                  <w:tcW w:w="1134" w:type="dxa"/>
                  <w:noWrap/>
                  <w:vAlign w:val="bottom"/>
                  <w:hideMark/>
                </w:tcPr>
                <w:p w14:paraId="3B597445"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17</w:t>
                  </w:r>
                  <w:r>
                    <w:rPr>
                      <w:rFonts w:eastAsia="Times New Roman" w:cs="Times New Roman"/>
                      <w:color w:val="000000"/>
                      <w:sz w:val="20"/>
                      <w:szCs w:val="20"/>
                      <w:lang w:eastAsia="lv-LV"/>
                    </w:rPr>
                    <w:t xml:space="preserve"> </w:t>
                  </w:r>
                  <w:r w:rsidRPr="006B0570">
                    <w:rPr>
                      <w:rFonts w:eastAsia="Times New Roman" w:cs="Times New Roman"/>
                      <w:color w:val="000000"/>
                      <w:sz w:val="20"/>
                      <w:szCs w:val="20"/>
                      <w:lang w:eastAsia="lv-LV"/>
                    </w:rPr>
                    <w:t>644</w:t>
                  </w:r>
                </w:p>
              </w:tc>
            </w:tr>
            <w:tr w:rsidR="000A660F" w:rsidRPr="006B0570" w14:paraId="700275EC" w14:textId="77777777" w:rsidTr="003309D5">
              <w:trPr>
                <w:trHeight w:val="300"/>
              </w:trPr>
              <w:tc>
                <w:tcPr>
                  <w:tcW w:w="2601" w:type="dxa"/>
                  <w:vAlign w:val="bottom"/>
                  <w:hideMark/>
                </w:tcPr>
                <w:p w14:paraId="117FB245"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pensijas vecuma personas</w:t>
                  </w:r>
                </w:p>
              </w:tc>
              <w:tc>
                <w:tcPr>
                  <w:tcW w:w="1134" w:type="dxa"/>
                  <w:noWrap/>
                  <w:vAlign w:val="bottom"/>
                  <w:hideMark/>
                </w:tcPr>
                <w:p w14:paraId="6AE6BBBC" w14:textId="77777777" w:rsidR="000A660F" w:rsidRPr="006B0570" w:rsidRDefault="000A660F" w:rsidP="003309D5">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9 920</w:t>
                  </w:r>
                </w:p>
              </w:tc>
              <w:tc>
                <w:tcPr>
                  <w:tcW w:w="993" w:type="dxa"/>
                  <w:noWrap/>
                  <w:vAlign w:val="bottom"/>
                  <w:hideMark/>
                </w:tcPr>
                <w:p w14:paraId="30BCFDC1"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9 816</w:t>
                  </w:r>
                </w:p>
              </w:tc>
              <w:tc>
                <w:tcPr>
                  <w:tcW w:w="1134" w:type="dxa"/>
                  <w:noWrap/>
                  <w:vAlign w:val="bottom"/>
                  <w:hideMark/>
                </w:tcPr>
                <w:p w14:paraId="5D5FA2AA"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9 505</w:t>
                  </w:r>
                </w:p>
              </w:tc>
              <w:tc>
                <w:tcPr>
                  <w:tcW w:w="992" w:type="dxa"/>
                  <w:noWrap/>
                  <w:vAlign w:val="bottom"/>
                  <w:hideMark/>
                </w:tcPr>
                <w:p w14:paraId="38F02D86"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8 990</w:t>
                  </w:r>
                </w:p>
              </w:tc>
              <w:tc>
                <w:tcPr>
                  <w:tcW w:w="1276" w:type="dxa"/>
                  <w:noWrap/>
                  <w:vAlign w:val="bottom"/>
                  <w:hideMark/>
                </w:tcPr>
                <w:p w14:paraId="710F3861"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8 133</w:t>
                  </w:r>
                </w:p>
              </w:tc>
              <w:tc>
                <w:tcPr>
                  <w:tcW w:w="1134" w:type="dxa"/>
                  <w:noWrap/>
                  <w:vAlign w:val="bottom"/>
                  <w:hideMark/>
                </w:tcPr>
                <w:p w14:paraId="6FF2E51C"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14 238</w:t>
                  </w:r>
                </w:p>
              </w:tc>
              <w:tc>
                <w:tcPr>
                  <w:tcW w:w="1134" w:type="dxa"/>
                  <w:noWrap/>
                  <w:vAlign w:val="bottom"/>
                  <w:hideMark/>
                </w:tcPr>
                <w:p w14:paraId="544C5762"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rPr>
                    <w:t>13 526</w:t>
                  </w:r>
                </w:p>
              </w:tc>
              <w:tc>
                <w:tcPr>
                  <w:tcW w:w="1134" w:type="dxa"/>
                  <w:noWrap/>
                  <w:vAlign w:val="bottom"/>
                  <w:hideMark/>
                </w:tcPr>
                <w:p w14:paraId="0FC14051"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15 994</w:t>
                  </w:r>
                </w:p>
              </w:tc>
              <w:tc>
                <w:tcPr>
                  <w:tcW w:w="1134" w:type="dxa"/>
                  <w:noWrap/>
                  <w:vAlign w:val="bottom"/>
                  <w:hideMark/>
                </w:tcPr>
                <w:p w14:paraId="03CD249E"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16</w:t>
                  </w:r>
                  <w:r>
                    <w:rPr>
                      <w:rFonts w:eastAsia="Times New Roman" w:cs="Times New Roman"/>
                      <w:color w:val="000000"/>
                      <w:sz w:val="20"/>
                      <w:szCs w:val="20"/>
                      <w:lang w:eastAsia="lv-LV"/>
                    </w:rPr>
                    <w:t xml:space="preserve"> </w:t>
                  </w:r>
                  <w:r w:rsidRPr="006B0570">
                    <w:rPr>
                      <w:rFonts w:eastAsia="Times New Roman" w:cs="Times New Roman"/>
                      <w:color w:val="000000"/>
                      <w:sz w:val="20"/>
                      <w:szCs w:val="20"/>
                      <w:lang w:eastAsia="lv-LV"/>
                    </w:rPr>
                    <w:t>672</w:t>
                  </w:r>
                </w:p>
              </w:tc>
            </w:tr>
            <w:tr w:rsidR="000A660F" w:rsidRPr="006B0570" w14:paraId="12930CF9" w14:textId="77777777" w:rsidTr="003309D5">
              <w:trPr>
                <w:trHeight w:val="300"/>
              </w:trPr>
              <w:tc>
                <w:tcPr>
                  <w:tcW w:w="2601" w:type="dxa"/>
                  <w:vAlign w:val="bottom"/>
                  <w:hideMark/>
                </w:tcPr>
                <w:p w14:paraId="2972C53D"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 xml:space="preserve">personas ar invaliditāti </w:t>
                  </w:r>
                </w:p>
              </w:tc>
              <w:tc>
                <w:tcPr>
                  <w:tcW w:w="1134" w:type="dxa"/>
                  <w:noWrap/>
                  <w:vAlign w:val="bottom"/>
                  <w:hideMark/>
                </w:tcPr>
                <w:p w14:paraId="33057B38" w14:textId="77777777" w:rsidR="000A660F" w:rsidRPr="006B0570" w:rsidRDefault="000A660F" w:rsidP="003309D5">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9 316</w:t>
                  </w:r>
                </w:p>
              </w:tc>
              <w:tc>
                <w:tcPr>
                  <w:tcW w:w="993" w:type="dxa"/>
                  <w:noWrap/>
                  <w:vAlign w:val="bottom"/>
                  <w:hideMark/>
                </w:tcPr>
                <w:p w14:paraId="7454E6D0"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9 041</w:t>
                  </w:r>
                </w:p>
              </w:tc>
              <w:tc>
                <w:tcPr>
                  <w:tcW w:w="1134" w:type="dxa"/>
                  <w:noWrap/>
                  <w:vAlign w:val="bottom"/>
                  <w:hideMark/>
                </w:tcPr>
                <w:p w14:paraId="7827A0BC"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8 423</w:t>
                  </w:r>
                </w:p>
              </w:tc>
              <w:tc>
                <w:tcPr>
                  <w:tcW w:w="992" w:type="dxa"/>
                  <w:noWrap/>
                  <w:vAlign w:val="bottom"/>
                  <w:hideMark/>
                </w:tcPr>
                <w:p w14:paraId="234E5126"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7 747</w:t>
                  </w:r>
                </w:p>
              </w:tc>
              <w:tc>
                <w:tcPr>
                  <w:tcW w:w="1276" w:type="dxa"/>
                  <w:noWrap/>
                  <w:vAlign w:val="bottom"/>
                  <w:hideMark/>
                </w:tcPr>
                <w:p w14:paraId="0E8BD43B"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7 009</w:t>
                  </w:r>
                </w:p>
              </w:tc>
              <w:tc>
                <w:tcPr>
                  <w:tcW w:w="1134" w:type="dxa"/>
                  <w:noWrap/>
                  <w:vAlign w:val="bottom"/>
                  <w:hideMark/>
                </w:tcPr>
                <w:p w14:paraId="2559A278"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12 270</w:t>
                  </w:r>
                </w:p>
              </w:tc>
              <w:tc>
                <w:tcPr>
                  <w:tcW w:w="1134" w:type="dxa"/>
                  <w:noWrap/>
                  <w:vAlign w:val="bottom"/>
                  <w:hideMark/>
                </w:tcPr>
                <w:p w14:paraId="7ABA908F"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rPr>
                    <w:t>11 657</w:t>
                  </w:r>
                </w:p>
              </w:tc>
              <w:tc>
                <w:tcPr>
                  <w:tcW w:w="1134" w:type="dxa"/>
                  <w:noWrap/>
                  <w:vAlign w:val="bottom"/>
                  <w:hideMark/>
                </w:tcPr>
                <w:p w14:paraId="6248BC47"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13 783</w:t>
                  </w:r>
                </w:p>
              </w:tc>
              <w:tc>
                <w:tcPr>
                  <w:tcW w:w="1134" w:type="dxa"/>
                  <w:noWrap/>
                  <w:vAlign w:val="bottom"/>
                  <w:hideMark/>
                </w:tcPr>
                <w:p w14:paraId="1B6BD33A"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14</w:t>
                  </w:r>
                  <w:r>
                    <w:rPr>
                      <w:rFonts w:eastAsia="Times New Roman" w:cs="Times New Roman"/>
                      <w:color w:val="000000"/>
                      <w:sz w:val="20"/>
                      <w:szCs w:val="20"/>
                      <w:lang w:eastAsia="lv-LV"/>
                    </w:rPr>
                    <w:t xml:space="preserve"> </w:t>
                  </w:r>
                  <w:r w:rsidRPr="006B0570">
                    <w:rPr>
                      <w:rFonts w:eastAsia="Times New Roman" w:cs="Times New Roman"/>
                      <w:color w:val="000000"/>
                      <w:sz w:val="20"/>
                      <w:szCs w:val="20"/>
                      <w:lang w:eastAsia="lv-LV"/>
                    </w:rPr>
                    <w:t>367</w:t>
                  </w:r>
                </w:p>
              </w:tc>
            </w:tr>
            <w:tr w:rsidR="000A660F" w:rsidRPr="006B0570" w14:paraId="1BAACB7D" w14:textId="77777777" w:rsidTr="003309D5">
              <w:trPr>
                <w:trHeight w:val="300"/>
              </w:trPr>
              <w:tc>
                <w:tcPr>
                  <w:tcW w:w="2601" w:type="dxa"/>
                  <w:vAlign w:val="bottom"/>
                  <w:hideMark/>
                </w:tcPr>
                <w:p w14:paraId="2E656913" w14:textId="77777777" w:rsidR="000A660F" w:rsidRPr="006B0570" w:rsidRDefault="000A660F" w:rsidP="003309D5">
                  <w:pPr>
                    <w:spacing w:after="0" w:line="240" w:lineRule="auto"/>
                    <w:jc w:val="right"/>
                    <w:rPr>
                      <w:rFonts w:eastAsia="Times New Roman" w:cs="Times New Roman"/>
                      <w:sz w:val="20"/>
                      <w:szCs w:val="20"/>
                      <w:lang w:eastAsia="lv-LV"/>
                    </w:rPr>
                  </w:pPr>
                  <w:r w:rsidRPr="006B0570">
                    <w:rPr>
                      <w:rFonts w:eastAsia="Times New Roman" w:cs="Times New Roman"/>
                      <w:sz w:val="20"/>
                      <w:szCs w:val="20"/>
                      <w:lang w:eastAsia="lv-LV"/>
                    </w:rPr>
                    <w:t>pārējās trūcīgās personas</w:t>
                  </w:r>
                </w:p>
              </w:tc>
              <w:tc>
                <w:tcPr>
                  <w:tcW w:w="1134" w:type="dxa"/>
                  <w:noWrap/>
                  <w:vAlign w:val="bottom"/>
                  <w:hideMark/>
                </w:tcPr>
                <w:p w14:paraId="037CD5B9" w14:textId="77777777" w:rsidR="000A660F" w:rsidRPr="006B0570" w:rsidRDefault="000A660F" w:rsidP="003309D5">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9 287</w:t>
                  </w:r>
                </w:p>
              </w:tc>
              <w:tc>
                <w:tcPr>
                  <w:tcW w:w="993" w:type="dxa"/>
                  <w:noWrap/>
                  <w:vAlign w:val="bottom"/>
                  <w:hideMark/>
                </w:tcPr>
                <w:p w14:paraId="671FC92F"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8 202</w:t>
                  </w:r>
                </w:p>
              </w:tc>
              <w:tc>
                <w:tcPr>
                  <w:tcW w:w="1134" w:type="dxa"/>
                  <w:noWrap/>
                  <w:vAlign w:val="bottom"/>
                  <w:hideMark/>
                </w:tcPr>
                <w:p w14:paraId="49760C01" w14:textId="77777777" w:rsidR="000A660F" w:rsidRPr="006B0570" w:rsidRDefault="000A660F" w:rsidP="003309D5">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6 017</w:t>
                  </w:r>
                </w:p>
              </w:tc>
              <w:tc>
                <w:tcPr>
                  <w:tcW w:w="992" w:type="dxa"/>
                  <w:noWrap/>
                  <w:vAlign w:val="bottom"/>
                  <w:hideMark/>
                </w:tcPr>
                <w:p w14:paraId="50B76CD6"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4 405</w:t>
                  </w:r>
                </w:p>
              </w:tc>
              <w:tc>
                <w:tcPr>
                  <w:tcW w:w="1276" w:type="dxa"/>
                  <w:noWrap/>
                  <w:vAlign w:val="bottom"/>
                  <w:hideMark/>
                </w:tcPr>
                <w:p w14:paraId="27D72BDB"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3 985</w:t>
                  </w:r>
                </w:p>
              </w:tc>
              <w:tc>
                <w:tcPr>
                  <w:tcW w:w="1134" w:type="dxa"/>
                  <w:noWrap/>
                  <w:vAlign w:val="bottom"/>
                  <w:hideMark/>
                </w:tcPr>
                <w:p w14:paraId="04BA296F"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6 976</w:t>
                  </w:r>
                </w:p>
              </w:tc>
              <w:tc>
                <w:tcPr>
                  <w:tcW w:w="1134" w:type="dxa"/>
                  <w:noWrap/>
                  <w:vAlign w:val="bottom"/>
                  <w:hideMark/>
                </w:tcPr>
                <w:p w14:paraId="74D435A1"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rPr>
                    <w:t>6 627</w:t>
                  </w:r>
                </w:p>
              </w:tc>
              <w:tc>
                <w:tcPr>
                  <w:tcW w:w="1134" w:type="dxa"/>
                  <w:noWrap/>
                  <w:vAlign w:val="bottom"/>
                  <w:hideMark/>
                </w:tcPr>
                <w:p w14:paraId="0C1A4512"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7 837</w:t>
                  </w:r>
                </w:p>
              </w:tc>
              <w:tc>
                <w:tcPr>
                  <w:tcW w:w="1134" w:type="dxa"/>
                  <w:noWrap/>
                  <w:vAlign w:val="bottom"/>
                  <w:hideMark/>
                </w:tcPr>
                <w:p w14:paraId="66D88673"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8</w:t>
                  </w:r>
                  <w:r>
                    <w:rPr>
                      <w:rFonts w:eastAsia="Times New Roman" w:cs="Times New Roman"/>
                      <w:color w:val="000000"/>
                      <w:sz w:val="20"/>
                      <w:szCs w:val="20"/>
                      <w:lang w:eastAsia="lv-LV"/>
                    </w:rPr>
                    <w:t xml:space="preserve"> </w:t>
                  </w:r>
                  <w:r w:rsidRPr="006B0570">
                    <w:rPr>
                      <w:rFonts w:eastAsia="Times New Roman" w:cs="Times New Roman"/>
                      <w:color w:val="000000"/>
                      <w:sz w:val="20"/>
                      <w:szCs w:val="20"/>
                      <w:lang w:eastAsia="lv-LV"/>
                    </w:rPr>
                    <w:t>169</w:t>
                  </w:r>
                </w:p>
              </w:tc>
            </w:tr>
            <w:tr w:rsidR="000A660F" w:rsidRPr="006B0570" w14:paraId="1202ACA3" w14:textId="77777777" w:rsidTr="003309D5">
              <w:trPr>
                <w:trHeight w:val="524"/>
              </w:trPr>
              <w:tc>
                <w:tcPr>
                  <w:tcW w:w="2601" w:type="dxa"/>
                  <w:vAlign w:val="bottom"/>
                  <w:hideMark/>
                </w:tcPr>
                <w:p w14:paraId="024D287F" w14:textId="77777777" w:rsidR="000A660F" w:rsidRPr="006B0570" w:rsidRDefault="000A660F" w:rsidP="003309D5">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Trūcīgo personu skaita pieaugums pret iepriekšējo gadu, %</w:t>
                  </w:r>
                </w:p>
              </w:tc>
              <w:tc>
                <w:tcPr>
                  <w:tcW w:w="1134" w:type="dxa"/>
                  <w:noWrap/>
                  <w:vAlign w:val="bottom"/>
                  <w:hideMark/>
                </w:tcPr>
                <w:p w14:paraId="65173872"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-15.96</w:t>
                  </w:r>
                </w:p>
              </w:tc>
              <w:tc>
                <w:tcPr>
                  <w:tcW w:w="993" w:type="dxa"/>
                  <w:noWrap/>
                  <w:vAlign w:val="bottom"/>
                  <w:hideMark/>
                </w:tcPr>
                <w:p w14:paraId="46DD62FB"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-9.53</w:t>
                  </w:r>
                </w:p>
              </w:tc>
              <w:tc>
                <w:tcPr>
                  <w:tcW w:w="1134" w:type="dxa"/>
                  <w:noWrap/>
                  <w:vAlign w:val="bottom"/>
                  <w:hideMark/>
                </w:tcPr>
                <w:p w14:paraId="362B0170"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-18.97</w:t>
                  </w:r>
                </w:p>
              </w:tc>
              <w:tc>
                <w:tcPr>
                  <w:tcW w:w="992" w:type="dxa"/>
                  <w:noWrap/>
                  <w:vAlign w:val="bottom"/>
                  <w:hideMark/>
                </w:tcPr>
                <w:p w14:paraId="2AE2FFC1"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-17.69</w:t>
                  </w:r>
                </w:p>
              </w:tc>
              <w:tc>
                <w:tcPr>
                  <w:tcW w:w="1276" w:type="dxa"/>
                  <w:noWrap/>
                  <w:vAlign w:val="bottom"/>
                  <w:hideMark/>
                </w:tcPr>
                <w:p w14:paraId="617A4F53"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-9.53</w:t>
                  </w:r>
                </w:p>
              </w:tc>
              <w:tc>
                <w:tcPr>
                  <w:tcW w:w="1134" w:type="dxa"/>
                  <w:noWrap/>
                  <w:vAlign w:val="bottom"/>
                  <w:hideMark/>
                </w:tcPr>
                <w:p w14:paraId="2C42168B"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72.15</w:t>
                  </w:r>
                </w:p>
              </w:tc>
              <w:tc>
                <w:tcPr>
                  <w:tcW w:w="1134" w:type="dxa"/>
                  <w:noWrap/>
                  <w:vAlign w:val="bottom"/>
                  <w:hideMark/>
                </w:tcPr>
                <w:p w14:paraId="7E67A1D7"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rPr>
                    <w:t>-5.00</w:t>
                  </w:r>
                </w:p>
              </w:tc>
              <w:tc>
                <w:tcPr>
                  <w:tcW w:w="1134" w:type="dxa"/>
                  <w:noWrap/>
                  <w:vAlign w:val="bottom"/>
                  <w:hideMark/>
                </w:tcPr>
                <w:p w14:paraId="68B8C304"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4.85</w:t>
                  </w:r>
                </w:p>
              </w:tc>
              <w:tc>
                <w:tcPr>
                  <w:tcW w:w="1134" w:type="dxa"/>
                  <w:noWrap/>
                  <w:vAlign w:val="bottom"/>
                  <w:hideMark/>
                </w:tcPr>
                <w:p w14:paraId="131E71DB"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4.24</w:t>
                  </w:r>
                </w:p>
              </w:tc>
            </w:tr>
            <w:tr w:rsidR="000A660F" w:rsidRPr="006B0570" w14:paraId="54223A34" w14:textId="77777777" w:rsidTr="003309D5">
              <w:trPr>
                <w:trHeight w:val="1035"/>
              </w:trPr>
              <w:tc>
                <w:tcPr>
                  <w:tcW w:w="2601" w:type="dxa"/>
                  <w:vAlign w:val="bottom"/>
                  <w:hideMark/>
                </w:tcPr>
                <w:p w14:paraId="0BA5A709" w14:textId="340086BD" w:rsidR="000A660F" w:rsidRPr="006B0570" w:rsidRDefault="000A660F" w:rsidP="003309D5">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 xml:space="preserve">Trūcīgo pilngadīgo personu (bez bērniem) </w:t>
                  </w:r>
                  <w:r w:rsidR="002924A3">
                    <w:rPr>
                      <w:rFonts w:eastAsia="Times New Roman" w:cs="Times New Roman"/>
                      <w:i/>
                      <w:iCs/>
                      <w:color w:val="000000"/>
                      <w:sz w:val="20"/>
                      <w:szCs w:val="20"/>
                      <w:lang w:eastAsia="lv-LV"/>
                    </w:rPr>
                    <w:t>skaita izmaiņas (</w:t>
                  </w:r>
                  <w:r w:rsidRPr="006B0570">
                    <w:rPr>
                      <w:rFonts w:eastAsia="Times New Roman" w:cs="Times New Roman"/>
                      <w:i/>
                      <w:iCs/>
                      <w:color w:val="000000"/>
                      <w:sz w:val="20"/>
                      <w:szCs w:val="20"/>
                      <w:lang w:eastAsia="lv-LV"/>
                    </w:rPr>
                    <w:t>pieauguma procents</w:t>
                  </w:r>
                  <w:r w:rsidR="002924A3">
                    <w:rPr>
                      <w:rFonts w:eastAsia="Times New Roman" w:cs="Times New Roman"/>
                      <w:i/>
                      <w:iCs/>
                      <w:color w:val="000000"/>
                      <w:sz w:val="20"/>
                      <w:szCs w:val="20"/>
                      <w:lang w:eastAsia="lv-LV"/>
                    </w:rPr>
                    <w:t>)</w:t>
                  </w:r>
                  <w:r w:rsidRPr="006B0570">
                    <w:rPr>
                      <w:rFonts w:eastAsia="Times New Roman" w:cs="Times New Roman"/>
                      <w:i/>
                      <w:iCs/>
                      <w:color w:val="000000"/>
                      <w:sz w:val="20"/>
                      <w:szCs w:val="20"/>
                      <w:lang w:eastAsia="lv-LV"/>
                    </w:rPr>
                    <w:t xml:space="preserve"> pret iepriekšējo gadu, %</w:t>
                  </w:r>
                </w:p>
              </w:tc>
              <w:tc>
                <w:tcPr>
                  <w:tcW w:w="1134" w:type="dxa"/>
                  <w:noWrap/>
                  <w:vAlign w:val="bottom"/>
                  <w:hideMark/>
                </w:tcPr>
                <w:p w14:paraId="6D05B220"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-13.45</w:t>
                  </w:r>
                </w:p>
              </w:tc>
              <w:tc>
                <w:tcPr>
                  <w:tcW w:w="993" w:type="dxa"/>
                  <w:noWrap/>
                  <w:vAlign w:val="bottom"/>
                  <w:hideMark/>
                </w:tcPr>
                <w:p w14:paraId="0E8F55C3"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-8.27</w:t>
                  </w:r>
                </w:p>
              </w:tc>
              <w:tc>
                <w:tcPr>
                  <w:tcW w:w="1134" w:type="dxa"/>
                  <w:noWrap/>
                  <w:vAlign w:val="bottom"/>
                  <w:hideMark/>
                </w:tcPr>
                <w:p w14:paraId="2BD9CF1E"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-17.06</w:t>
                  </w:r>
                </w:p>
              </w:tc>
              <w:tc>
                <w:tcPr>
                  <w:tcW w:w="992" w:type="dxa"/>
                  <w:noWrap/>
                  <w:vAlign w:val="bottom"/>
                  <w:hideMark/>
                </w:tcPr>
                <w:p w14:paraId="5DEB6AFE"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-14.57</w:t>
                  </w:r>
                </w:p>
              </w:tc>
              <w:tc>
                <w:tcPr>
                  <w:tcW w:w="1276" w:type="dxa"/>
                  <w:noWrap/>
                  <w:vAlign w:val="bottom"/>
                  <w:hideMark/>
                </w:tcPr>
                <w:p w14:paraId="2B747BD9"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-9.53</w:t>
                  </w:r>
                </w:p>
              </w:tc>
              <w:tc>
                <w:tcPr>
                  <w:tcW w:w="1134" w:type="dxa"/>
                  <w:noWrap/>
                  <w:vAlign w:val="bottom"/>
                  <w:hideMark/>
                </w:tcPr>
                <w:p w14:paraId="2EC00B0D"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72.16</w:t>
                  </w:r>
                </w:p>
              </w:tc>
              <w:tc>
                <w:tcPr>
                  <w:tcW w:w="1134" w:type="dxa"/>
                  <w:noWrap/>
                  <w:vAlign w:val="bottom"/>
                  <w:hideMark/>
                </w:tcPr>
                <w:p w14:paraId="1874B5AF"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rPr>
                    <w:t>-5.00</w:t>
                  </w:r>
                </w:p>
              </w:tc>
              <w:tc>
                <w:tcPr>
                  <w:tcW w:w="1134" w:type="dxa"/>
                  <w:noWrap/>
                  <w:vAlign w:val="bottom"/>
                  <w:hideMark/>
                </w:tcPr>
                <w:p w14:paraId="506ACABF"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4.85</w:t>
                  </w:r>
                </w:p>
              </w:tc>
              <w:tc>
                <w:tcPr>
                  <w:tcW w:w="1134" w:type="dxa"/>
                  <w:noWrap/>
                  <w:vAlign w:val="bottom"/>
                  <w:hideMark/>
                </w:tcPr>
                <w:p w14:paraId="2BF0E8DD"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4.24</w:t>
                  </w:r>
                </w:p>
              </w:tc>
            </w:tr>
            <w:tr w:rsidR="000A660F" w:rsidRPr="006B0570" w14:paraId="3D0E9FEA" w14:textId="77777777" w:rsidTr="003309D5">
              <w:trPr>
                <w:trHeight w:val="525"/>
              </w:trPr>
              <w:tc>
                <w:tcPr>
                  <w:tcW w:w="2601" w:type="dxa"/>
                  <w:vAlign w:val="bottom"/>
                  <w:hideMark/>
                </w:tcPr>
                <w:p w14:paraId="401FC784" w14:textId="77777777" w:rsidR="000A660F" w:rsidRPr="006B0570" w:rsidRDefault="000A660F" w:rsidP="003309D5">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Trūcīgo personu skaita pieaugums pret 2019.gadu</w:t>
                  </w:r>
                </w:p>
              </w:tc>
              <w:tc>
                <w:tcPr>
                  <w:tcW w:w="1134" w:type="dxa"/>
                  <w:shd w:val="clear" w:color="000000" w:fill="D9D9D9"/>
                  <w:noWrap/>
                  <w:vAlign w:val="bottom"/>
                  <w:hideMark/>
                </w:tcPr>
                <w:p w14:paraId="1E35D8A4" w14:textId="77777777" w:rsidR="000A660F" w:rsidRPr="006B0570" w:rsidRDefault="000A660F" w:rsidP="003309D5">
                  <w:pPr>
                    <w:spacing w:after="0" w:line="240" w:lineRule="auto"/>
                    <w:rPr>
                      <w:rFonts w:eastAsia="Times New Roman" w:cs="Times New Roman"/>
                      <w:color w:val="000000"/>
                      <w:sz w:val="20"/>
                      <w:szCs w:val="20"/>
                      <w:lang w:eastAsia="lv-LV"/>
                    </w:rPr>
                  </w:pPr>
                  <w:r w:rsidRPr="006B0570">
                    <w:rPr>
                      <w:rFonts w:eastAsia="Times New Roman" w:cs="Times New Roman"/>
                      <w:color w:val="000000"/>
                      <w:sz w:val="20"/>
                      <w:szCs w:val="20"/>
                      <w:lang w:eastAsia="lv-LV"/>
                    </w:rPr>
                    <w:t> </w:t>
                  </w:r>
                </w:p>
              </w:tc>
              <w:tc>
                <w:tcPr>
                  <w:tcW w:w="993" w:type="dxa"/>
                  <w:shd w:val="clear" w:color="000000" w:fill="D9D9D9"/>
                  <w:noWrap/>
                  <w:vAlign w:val="bottom"/>
                  <w:hideMark/>
                </w:tcPr>
                <w:p w14:paraId="12C4BC36" w14:textId="77777777" w:rsidR="000A660F" w:rsidRPr="006B0570" w:rsidRDefault="000A660F" w:rsidP="003309D5">
                  <w:pPr>
                    <w:spacing w:after="0" w:line="240" w:lineRule="auto"/>
                    <w:rPr>
                      <w:rFonts w:eastAsia="Times New Roman" w:cs="Times New Roman"/>
                      <w:color w:val="000000"/>
                      <w:sz w:val="20"/>
                      <w:szCs w:val="20"/>
                      <w:lang w:eastAsia="lv-LV"/>
                    </w:rPr>
                  </w:pPr>
                  <w:r w:rsidRPr="006B0570">
                    <w:rPr>
                      <w:rFonts w:eastAsia="Times New Roman" w:cs="Times New Roman"/>
                      <w:color w:val="000000"/>
                      <w:sz w:val="20"/>
                      <w:szCs w:val="20"/>
                      <w:lang w:eastAsia="lv-LV"/>
                    </w:rPr>
                    <w:t> </w:t>
                  </w:r>
                </w:p>
              </w:tc>
              <w:tc>
                <w:tcPr>
                  <w:tcW w:w="1134" w:type="dxa"/>
                  <w:shd w:val="clear" w:color="000000" w:fill="D9D9D9"/>
                  <w:noWrap/>
                  <w:vAlign w:val="bottom"/>
                  <w:hideMark/>
                </w:tcPr>
                <w:p w14:paraId="207512AD" w14:textId="77777777" w:rsidR="000A660F" w:rsidRPr="006B0570" w:rsidRDefault="000A660F" w:rsidP="003309D5">
                  <w:pPr>
                    <w:spacing w:after="0" w:line="240" w:lineRule="auto"/>
                    <w:rPr>
                      <w:rFonts w:eastAsia="Times New Roman" w:cs="Times New Roman"/>
                      <w:color w:val="000000"/>
                      <w:sz w:val="20"/>
                      <w:szCs w:val="20"/>
                      <w:lang w:eastAsia="lv-LV"/>
                    </w:rPr>
                  </w:pPr>
                  <w:r w:rsidRPr="006B0570">
                    <w:rPr>
                      <w:rFonts w:eastAsia="Times New Roman" w:cs="Times New Roman"/>
                      <w:color w:val="000000"/>
                      <w:sz w:val="20"/>
                      <w:szCs w:val="20"/>
                      <w:lang w:eastAsia="lv-LV"/>
                    </w:rPr>
                    <w:t> </w:t>
                  </w:r>
                </w:p>
              </w:tc>
              <w:tc>
                <w:tcPr>
                  <w:tcW w:w="992" w:type="dxa"/>
                  <w:shd w:val="clear" w:color="000000" w:fill="D9D9D9"/>
                  <w:noWrap/>
                  <w:vAlign w:val="bottom"/>
                  <w:hideMark/>
                </w:tcPr>
                <w:p w14:paraId="465A2D05" w14:textId="77777777" w:rsidR="000A660F" w:rsidRPr="006B0570" w:rsidRDefault="000A660F" w:rsidP="003309D5">
                  <w:pPr>
                    <w:spacing w:after="0" w:line="240" w:lineRule="auto"/>
                    <w:rPr>
                      <w:rFonts w:eastAsia="Times New Roman" w:cs="Times New Roman"/>
                      <w:color w:val="000000"/>
                      <w:sz w:val="20"/>
                      <w:szCs w:val="20"/>
                      <w:lang w:eastAsia="lv-LV"/>
                    </w:rPr>
                  </w:pPr>
                  <w:r w:rsidRPr="006B0570">
                    <w:rPr>
                      <w:rFonts w:eastAsia="Times New Roman" w:cs="Times New Roman"/>
                      <w:color w:val="000000"/>
                      <w:sz w:val="20"/>
                      <w:szCs w:val="20"/>
                      <w:lang w:eastAsia="lv-LV"/>
                    </w:rPr>
                    <w:t> </w:t>
                  </w:r>
                </w:p>
              </w:tc>
              <w:tc>
                <w:tcPr>
                  <w:tcW w:w="1276" w:type="dxa"/>
                  <w:noWrap/>
                  <w:vAlign w:val="bottom"/>
                  <w:hideMark/>
                </w:tcPr>
                <w:p w14:paraId="0C7DFF2C"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-3 957</w:t>
                  </w:r>
                </w:p>
              </w:tc>
              <w:tc>
                <w:tcPr>
                  <w:tcW w:w="1134" w:type="dxa"/>
                  <w:noWrap/>
                  <w:vAlign w:val="bottom"/>
                  <w:hideMark/>
                </w:tcPr>
                <w:p w14:paraId="58B2F31B"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23 145</w:t>
                  </w:r>
                </w:p>
              </w:tc>
              <w:tc>
                <w:tcPr>
                  <w:tcW w:w="1134" w:type="dxa"/>
                  <w:noWrap/>
                  <w:vAlign w:val="bottom"/>
                  <w:hideMark/>
                </w:tcPr>
                <w:p w14:paraId="64252E85"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rPr>
                    <w:t>19 912</w:t>
                  </w:r>
                </w:p>
              </w:tc>
              <w:tc>
                <w:tcPr>
                  <w:tcW w:w="1134" w:type="dxa"/>
                  <w:noWrap/>
                  <w:vAlign w:val="bottom"/>
                  <w:hideMark/>
                </w:tcPr>
                <w:p w14:paraId="01768ABF"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31 121</w:t>
                  </w:r>
                </w:p>
              </w:tc>
              <w:tc>
                <w:tcPr>
                  <w:tcW w:w="1134" w:type="dxa"/>
                  <w:noWrap/>
                  <w:vAlign w:val="bottom"/>
                  <w:hideMark/>
                </w:tcPr>
                <w:p w14:paraId="3BB5807A" w14:textId="77777777" w:rsidR="000A660F" w:rsidRPr="006B0570" w:rsidRDefault="000A660F" w:rsidP="003309D5">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34 200</w:t>
                  </w:r>
                </w:p>
              </w:tc>
            </w:tr>
          </w:tbl>
          <w:p w14:paraId="75199FE8" w14:textId="77777777" w:rsidR="000A660F" w:rsidRPr="000225C6" w:rsidRDefault="000A660F" w:rsidP="003309D5">
            <w:pPr>
              <w:spacing w:after="0" w:line="240" w:lineRule="auto"/>
              <w:rPr>
                <w:rFonts w:eastAsia="Times New Roman" w:cs="Times New Roman"/>
                <w:b/>
                <w:bCs/>
                <w:sz w:val="20"/>
                <w:szCs w:val="20"/>
                <w:lang w:eastAsia="lv-LV"/>
              </w:rPr>
            </w:pPr>
          </w:p>
          <w:p w14:paraId="7318878E" w14:textId="77777777" w:rsidR="000A660F" w:rsidRPr="001653CB" w:rsidRDefault="000A660F" w:rsidP="003309D5">
            <w:pPr>
              <w:spacing w:after="0" w:line="240" w:lineRule="auto"/>
              <w:jc w:val="both"/>
              <w:rPr>
                <w:rFonts w:eastAsia="Times New Roman" w:cs="Times New Roman"/>
                <w:b/>
                <w:bCs/>
                <w:lang w:eastAsia="lv-LV"/>
              </w:rPr>
            </w:pPr>
            <w:r w:rsidRPr="001653CB">
              <w:rPr>
                <w:rFonts w:eastAsia="Times New Roman" w:cs="Times New Roman"/>
                <w:b/>
                <w:bCs/>
                <w:lang w:eastAsia="lv-LV"/>
              </w:rPr>
              <w:t>Veselības ministrijai nepieciešamā papildu finansējuma aprēķins, ņemot vērā Plāna pasākumu ieviešanas ietekmi:</w:t>
            </w:r>
          </w:p>
          <w:p w14:paraId="0F155198" w14:textId="77777777" w:rsidR="000A660F" w:rsidRPr="001653CB" w:rsidRDefault="000A660F" w:rsidP="003309D5">
            <w:pPr>
              <w:spacing w:after="0" w:line="240" w:lineRule="auto"/>
              <w:jc w:val="both"/>
              <w:rPr>
                <w:rFonts w:eastAsia="Times New Roman" w:cs="Times New Roman"/>
                <w:iCs/>
                <w:lang w:eastAsia="lv-LV"/>
              </w:rPr>
            </w:pPr>
            <w:r w:rsidRPr="001653CB">
              <w:rPr>
                <w:rFonts w:eastAsia="Times New Roman" w:cs="Times New Roman"/>
                <w:b/>
                <w:bCs/>
                <w:lang w:eastAsia="lv-LV"/>
              </w:rPr>
              <w:t xml:space="preserve">Veselības ministrijai nepieciešamais papildu finansējums 2023.gadā un 2024.gadā </w:t>
            </w:r>
            <w:r w:rsidRPr="001653CB">
              <w:rPr>
                <w:rFonts w:eastAsia="Times New Roman" w:cs="Times New Roman"/>
                <w:bCs/>
                <w:lang w:eastAsia="lv-LV"/>
              </w:rPr>
              <w:t>tiks ieplānots</w:t>
            </w:r>
            <w:r w:rsidRPr="001653CB">
              <w:rPr>
                <w:rFonts w:eastAsia="Times New Roman" w:cs="Times New Roman"/>
                <w:b/>
                <w:bCs/>
                <w:lang w:eastAsia="lv-LV"/>
              </w:rPr>
              <w:t xml:space="preserve"> valsts pamatbudžeta programmā </w:t>
            </w:r>
            <w:r w:rsidRPr="001653CB">
              <w:rPr>
                <w:rFonts w:eastAsia="Times New Roman" w:cs="Times New Roman"/>
                <w:iCs/>
                <w:lang w:eastAsia="lv-LV"/>
              </w:rPr>
              <w:t>33.00.00 „Veselības aprūpes nodrošināšana”.</w:t>
            </w:r>
          </w:p>
          <w:p w14:paraId="3FE7E333" w14:textId="77777777" w:rsidR="000A660F" w:rsidRPr="001653CB" w:rsidRDefault="000A660F" w:rsidP="003309D5">
            <w:pPr>
              <w:spacing w:after="0" w:line="240" w:lineRule="auto"/>
              <w:jc w:val="both"/>
              <w:rPr>
                <w:rFonts w:eastAsia="Times New Roman" w:cs="Times New Roman"/>
                <w:lang w:eastAsia="lv-LV"/>
              </w:rPr>
            </w:pPr>
            <w:r w:rsidRPr="001653CB">
              <w:rPr>
                <w:rFonts w:eastAsia="Times New Roman" w:cs="Times New Roman"/>
                <w:iCs/>
                <w:u w:val="single"/>
                <w:lang w:eastAsia="lv-LV"/>
              </w:rPr>
              <w:t>Aprēķins</w:t>
            </w:r>
            <w:r w:rsidRPr="001653CB">
              <w:rPr>
                <w:rFonts w:eastAsia="Times New Roman" w:cs="Times New Roman"/>
                <w:iCs/>
                <w:lang w:eastAsia="lv-LV"/>
              </w:rPr>
              <w:t xml:space="preserve">: tiek izmantota informācija par </w:t>
            </w:r>
            <w:r w:rsidRPr="001653CB">
              <w:rPr>
                <w:rFonts w:eastAsia="Times New Roman" w:cs="Times New Roman"/>
                <w:b/>
                <w:bCs/>
                <w:lang w:eastAsia="lv-LV"/>
              </w:rPr>
              <w:t xml:space="preserve">trūcīgām personām </w:t>
            </w:r>
            <w:r w:rsidRPr="001653CB">
              <w:rPr>
                <w:rFonts w:eastAsia="Times New Roman" w:cs="Times New Roman"/>
                <w:bCs/>
                <w:lang w:eastAsia="lv-LV"/>
              </w:rPr>
              <w:t>sniegto veselības aprūpes pakalpojumu no</w:t>
            </w:r>
            <w:r w:rsidRPr="001653CB">
              <w:rPr>
                <w:rFonts w:eastAsia="Times New Roman" w:cs="Times New Roman"/>
                <w:iCs/>
                <w:lang w:eastAsia="lv-LV"/>
              </w:rPr>
              <w:t xml:space="preserve"> Nacionālā veselības dienesta (turpmāk - NVD) par 2019.gadu un </w:t>
            </w:r>
            <w:r w:rsidRPr="001653CB">
              <w:rPr>
                <w:rFonts w:eastAsia="Times New Roman" w:cs="Times New Roman"/>
                <w:lang w:eastAsia="lv-LV"/>
              </w:rPr>
              <w:t xml:space="preserve">Valsts statistikas pārskatu dati par trūcīgo personu skaitu 2019.gadā, kā arī prognozi </w:t>
            </w:r>
            <w:r>
              <w:rPr>
                <w:rFonts w:eastAsia="Times New Roman" w:cs="Times New Roman"/>
                <w:lang w:eastAsia="lv-LV"/>
              </w:rPr>
              <w:t>no 2020.līdz 2024.gadam (skat. tabulu</w:t>
            </w:r>
            <w:r w:rsidRPr="001653CB">
              <w:rPr>
                <w:rFonts w:eastAsia="Times New Roman" w:cs="Times New Roman"/>
                <w:lang w:eastAsia="lv-LV"/>
              </w:rPr>
              <w:t xml:space="preserve"> Nr.3.1.).</w:t>
            </w:r>
          </w:p>
          <w:p w14:paraId="3E03F119" w14:textId="77777777" w:rsidR="000A660F" w:rsidRPr="001653CB" w:rsidRDefault="000A660F" w:rsidP="003309D5">
            <w:pPr>
              <w:spacing w:after="0" w:line="240" w:lineRule="auto"/>
              <w:jc w:val="both"/>
              <w:rPr>
                <w:rFonts w:eastAsia="Times New Roman" w:cs="Times New Roman"/>
                <w:lang w:eastAsia="lv-LV"/>
              </w:rPr>
            </w:pPr>
            <w:r w:rsidRPr="001653CB">
              <w:rPr>
                <w:rFonts w:eastAsia="Times New Roman" w:cs="Times New Roman"/>
                <w:b/>
                <w:lang w:eastAsia="lv-LV"/>
              </w:rPr>
              <w:t>2020.gadā</w:t>
            </w:r>
            <w:r w:rsidRPr="001653CB">
              <w:rPr>
                <w:rFonts w:eastAsia="Times New Roman" w:cs="Times New Roman"/>
                <w:lang w:eastAsia="lv-LV"/>
              </w:rPr>
              <w:t xml:space="preserve"> prognozēts trūcīgo pilngadīgo personu skaita samazinājums par 9.53%. Vislielākais trūcīgo personu skaita pieaugums prognozēts </w:t>
            </w:r>
            <w:r w:rsidRPr="001653CB">
              <w:rPr>
                <w:rFonts w:eastAsia="Times New Roman" w:cs="Times New Roman"/>
                <w:b/>
                <w:lang w:eastAsia="lv-LV"/>
              </w:rPr>
              <w:t>2021.gadā</w:t>
            </w:r>
            <w:r w:rsidRPr="001653CB">
              <w:rPr>
                <w:rFonts w:eastAsia="Times New Roman" w:cs="Times New Roman"/>
                <w:lang w:eastAsia="lv-LV"/>
              </w:rPr>
              <w:t xml:space="preserve"> (72,15%), t.sk. pilngadīgo personu skaita pieaugums par 72,16%. </w:t>
            </w:r>
            <w:r w:rsidRPr="001653CB">
              <w:rPr>
                <w:rFonts w:eastAsia="Times New Roman" w:cs="Times New Roman"/>
                <w:b/>
                <w:lang w:eastAsia="lv-LV"/>
              </w:rPr>
              <w:t>2022.gadā</w:t>
            </w:r>
            <w:r w:rsidRPr="001653CB">
              <w:rPr>
                <w:rFonts w:eastAsia="Times New Roman" w:cs="Times New Roman"/>
                <w:lang w:eastAsia="lv-LV"/>
              </w:rPr>
              <w:t xml:space="preserve"> attiecīgi prognozēts trūcīgo pilngadīgo personu skaita samazinājums pret 2021.gadu par 5%, ņemot vērā, ka 2022.gadā nav plānots palielināt trūcīgo mājsaimniecību ienākumu slieksni (skat. </w:t>
            </w:r>
            <w:r>
              <w:rPr>
                <w:rFonts w:eastAsia="Times New Roman" w:cs="Times New Roman"/>
                <w:lang w:eastAsia="lv-LV"/>
              </w:rPr>
              <w:t>t</w:t>
            </w:r>
            <w:r w:rsidRPr="001653CB">
              <w:rPr>
                <w:rFonts w:eastAsia="Times New Roman" w:cs="Times New Roman"/>
                <w:lang w:eastAsia="lv-LV"/>
              </w:rPr>
              <w:t>abul</w:t>
            </w:r>
            <w:r>
              <w:rPr>
                <w:rFonts w:eastAsia="Times New Roman" w:cs="Times New Roman"/>
                <w:lang w:eastAsia="lv-LV"/>
              </w:rPr>
              <w:t>u</w:t>
            </w:r>
            <w:r w:rsidRPr="001653CB">
              <w:rPr>
                <w:rFonts w:eastAsia="Times New Roman" w:cs="Times New Roman"/>
                <w:lang w:eastAsia="lv-LV"/>
              </w:rPr>
              <w:t xml:space="preserve"> Nr.3.1.).</w:t>
            </w:r>
          </w:p>
          <w:p w14:paraId="38451031" w14:textId="77777777" w:rsidR="000A660F" w:rsidRPr="001653CB" w:rsidRDefault="000A660F" w:rsidP="003309D5">
            <w:pPr>
              <w:spacing w:after="0" w:line="240" w:lineRule="auto"/>
              <w:jc w:val="both"/>
              <w:rPr>
                <w:rFonts w:eastAsia="Times New Roman" w:cs="Times New Roman"/>
                <w:lang w:eastAsia="lv-LV"/>
              </w:rPr>
            </w:pPr>
            <w:r w:rsidRPr="001653CB">
              <w:rPr>
                <w:rFonts w:eastAsia="Times New Roman" w:cs="Times New Roman"/>
                <w:lang w:eastAsia="lv-LV"/>
              </w:rPr>
              <w:t xml:space="preserve">Trūcīgo personu, kuri saņems veselības aprūpes pakalpojumus, skaits turpmākajos gados aprēķināts, par pamatu ņemot NVD 2019.gada datus par trūcīgo personu skaitu, kuri saņēmuši veselības aprūpes pakalpojumus, un ņemot vērā trūcīgo </w:t>
            </w:r>
            <w:r w:rsidRPr="001653CB">
              <w:rPr>
                <w:rFonts w:eastAsia="Times New Roman" w:cs="Times New Roman"/>
                <w:b/>
                <w:i/>
                <w:lang w:eastAsia="lv-LV"/>
              </w:rPr>
              <w:t>pilngadīgo</w:t>
            </w:r>
            <w:r w:rsidRPr="001653CB">
              <w:rPr>
                <w:rFonts w:eastAsia="Times New Roman" w:cs="Times New Roman"/>
                <w:lang w:eastAsia="lv-LV"/>
              </w:rPr>
              <w:t xml:space="preserve"> personu skaita dinamiku. Attiecīgi pieņemot, ka pakalpojumu izmaksas paliek 2019.gada līmenī, aprēķināts nepieciešamais finansējums veselības aprūpes pakalpojumu nodrošināšanai trūcīgām pilngadīgām personām un nepieciešamais papildu finansējums pret 2019.gadu (skat. Tabula Nr.3.2.).</w:t>
            </w:r>
          </w:p>
          <w:p w14:paraId="4C8B05E9" w14:textId="77777777" w:rsidR="000A660F" w:rsidRPr="004634A7" w:rsidRDefault="000A660F" w:rsidP="003309D5">
            <w:pPr>
              <w:spacing w:after="0" w:line="240" w:lineRule="auto"/>
              <w:jc w:val="both"/>
              <w:rPr>
                <w:rFonts w:eastAsia="Times New Roman" w:cs="Times New Roman"/>
                <w:lang w:eastAsia="lv-LV"/>
              </w:rPr>
            </w:pPr>
          </w:p>
          <w:p w14:paraId="0C6E9AE2" w14:textId="77777777" w:rsidR="000A660F" w:rsidRDefault="000A660F" w:rsidP="003309D5">
            <w:pPr>
              <w:spacing w:after="0" w:line="240" w:lineRule="auto"/>
              <w:rPr>
                <w:rFonts w:eastAsia="Times New Roman" w:cs="Times New Roman"/>
                <w:bCs/>
                <w:lang w:eastAsia="lv-LV"/>
              </w:rPr>
            </w:pPr>
            <w:r w:rsidRPr="004634A7">
              <w:rPr>
                <w:rFonts w:eastAsia="Times New Roman" w:cs="Times New Roman"/>
                <w:lang w:eastAsia="lv-LV"/>
              </w:rPr>
              <w:t>Tabula Nr.3.2.</w:t>
            </w:r>
            <w:r w:rsidRPr="004634A7">
              <w:rPr>
                <w:rFonts w:eastAsia="Times New Roman" w:cs="Times New Roman"/>
                <w:bCs/>
                <w:lang w:eastAsia="lv-LV"/>
              </w:rPr>
              <w:t>Veselības ministrijai nepieciešamā papildu finansējuma aprēķins, ņemot vērā Plāna pasākumu ieviešanas ietekmi.</w:t>
            </w:r>
          </w:p>
          <w:tbl>
            <w:tblPr>
              <w:tblW w:w="13236" w:type="dxa"/>
              <w:tblLayout w:type="fixed"/>
              <w:tblLook w:val="04A0" w:firstRow="1" w:lastRow="0" w:firstColumn="1" w:lastColumn="0" w:noHBand="0" w:noVBand="1"/>
            </w:tblPr>
            <w:tblGrid>
              <w:gridCol w:w="1612"/>
              <w:gridCol w:w="709"/>
              <w:gridCol w:w="850"/>
              <w:gridCol w:w="851"/>
              <w:gridCol w:w="850"/>
              <w:gridCol w:w="993"/>
              <w:gridCol w:w="850"/>
              <w:gridCol w:w="992"/>
              <w:gridCol w:w="851"/>
              <w:gridCol w:w="992"/>
              <w:gridCol w:w="851"/>
              <w:gridCol w:w="992"/>
              <w:gridCol w:w="850"/>
              <w:gridCol w:w="993"/>
            </w:tblGrid>
            <w:tr w:rsidR="000A660F" w:rsidRPr="000225C6" w14:paraId="6740590E" w14:textId="77777777" w:rsidTr="003309D5">
              <w:trPr>
                <w:trHeight w:val="300"/>
              </w:trPr>
              <w:tc>
                <w:tcPr>
                  <w:tcW w:w="1612" w:type="dxa"/>
                  <w:vMerge w:val="restart"/>
                  <w:tcBorders>
                    <w:top w:val="single" w:sz="8" w:space="0" w:color="auto"/>
                    <w:left w:val="single" w:sz="8" w:space="0" w:color="auto"/>
                    <w:bottom w:val="single" w:sz="4" w:space="0" w:color="000000"/>
                    <w:right w:val="nil"/>
                  </w:tcBorders>
                  <w:shd w:val="clear" w:color="auto" w:fill="FFFFFF" w:themeFill="background1"/>
                  <w:noWrap/>
                  <w:vAlign w:val="center"/>
                  <w:hideMark/>
                </w:tcPr>
                <w:p w14:paraId="0A387E69"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I</w:t>
                  </w:r>
                  <w:r w:rsidRPr="000225C6">
                    <w:rPr>
                      <w:rFonts w:eastAsia="Times New Roman" w:cs="Times New Roman"/>
                      <w:sz w:val="16"/>
                      <w:szCs w:val="16"/>
                      <w:shd w:val="clear" w:color="auto" w:fill="FFFFFF" w:themeFill="background1"/>
                      <w:lang w:eastAsia="lv-LV"/>
                    </w:rPr>
                    <w:t>zdevumi</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bottom"/>
                  <w:hideMark/>
                </w:tcPr>
                <w:p w14:paraId="34563F5D"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2019.gads</w:t>
                  </w:r>
                </w:p>
              </w:tc>
              <w:tc>
                <w:tcPr>
                  <w:tcW w:w="1843" w:type="dxa"/>
                  <w:gridSpan w:val="2"/>
                  <w:tcBorders>
                    <w:top w:val="single" w:sz="8" w:space="0" w:color="auto"/>
                    <w:left w:val="nil"/>
                    <w:bottom w:val="single" w:sz="4" w:space="0" w:color="auto"/>
                    <w:right w:val="single" w:sz="8" w:space="0" w:color="000000"/>
                  </w:tcBorders>
                  <w:shd w:val="clear" w:color="auto" w:fill="BFBFBF" w:themeFill="background1" w:themeFillShade="BF"/>
                  <w:vAlign w:val="bottom"/>
                  <w:hideMark/>
                </w:tcPr>
                <w:p w14:paraId="6BC9959E"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2020.gads</w:t>
                  </w:r>
                </w:p>
              </w:tc>
              <w:tc>
                <w:tcPr>
                  <w:tcW w:w="1842" w:type="dxa"/>
                  <w:gridSpan w:val="2"/>
                  <w:tcBorders>
                    <w:top w:val="single" w:sz="8" w:space="0" w:color="auto"/>
                    <w:left w:val="nil"/>
                    <w:bottom w:val="nil"/>
                    <w:right w:val="single" w:sz="8" w:space="0" w:color="000000"/>
                  </w:tcBorders>
                  <w:shd w:val="clear" w:color="auto" w:fill="BFBFBF" w:themeFill="background1" w:themeFillShade="BF"/>
                  <w:noWrap/>
                  <w:vAlign w:val="bottom"/>
                  <w:hideMark/>
                </w:tcPr>
                <w:p w14:paraId="2F7DCF80"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2021.gads</w:t>
                  </w:r>
                </w:p>
              </w:tc>
              <w:tc>
                <w:tcPr>
                  <w:tcW w:w="1843" w:type="dxa"/>
                  <w:gridSpan w:val="2"/>
                  <w:tcBorders>
                    <w:top w:val="single" w:sz="8" w:space="0" w:color="auto"/>
                    <w:left w:val="nil"/>
                    <w:bottom w:val="nil"/>
                    <w:right w:val="single" w:sz="8" w:space="0" w:color="000000"/>
                  </w:tcBorders>
                  <w:shd w:val="clear" w:color="auto" w:fill="BFBFBF" w:themeFill="background1" w:themeFillShade="BF"/>
                  <w:noWrap/>
                  <w:vAlign w:val="bottom"/>
                  <w:hideMark/>
                </w:tcPr>
                <w:p w14:paraId="088E3A25"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 xml:space="preserve"> 2022.gads </w:t>
                  </w:r>
                </w:p>
              </w:tc>
              <w:tc>
                <w:tcPr>
                  <w:tcW w:w="1843" w:type="dxa"/>
                  <w:gridSpan w:val="2"/>
                  <w:tcBorders>
                    <w:top w:val="single" w:sz="8" w:space="0" w:color="auto"/>
                    <w:left w:val="nil"/>
                    <w:bottom w:val="single" w:sz="4" w:space="0" w:color="auto"/>
                    <w:right w:val="single" w:sz="8" w:space="0" w:color="000000"/>
                  </w:tcBorders>
                  <w:shd w:val="clear" w:color="auto" w:fill="BFBFBF" w:themeFill="background1" w:themeFillShade="BF"/>
                  <w:noWrap/>
                  <w:vAlign w:val="bottom"/>
                  <w:hideMark/>
                </w:tcPr>
                <w:p w14:paraId="53594C58"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2023.gads</w:t>
                  </w:r>
                </w:p>
              </w:tc>
              <w:tc>
                <w:tcPr>
                  <w:tcW w:w="1843" w:type="dxa"/>
                  <w:gridSpan w:val="2"/>
                  <w:tcBorders>
                    <w:top w:val="single" w:sz="8" w:space="0" w:color="auto"/>
                    <w:left w:val="nil"/>
                    <w:bottom w:val="single" w:sz="4" w:space="0" w:color="auto"/>
                    <w:right w:val="single" w:sz="8" w:space="0" w:color="000000"/>
                  </w:tcBorders>
                  <w:shd w:val="clear" w:color="auto" w:fill="BFBFBF" w:themeFill="background1" w:themeFillShade="BF"/>
                  <w:noWrap/>
                  <w:vAlign w:val="bottom"/>
                  <w:hideMark/>
                </w:tcPr>
                <w:p w14:paraId="23D2C0EF"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2024.gads</w:t>
                  </w:r>
                </w:p>
              </w:tc>
            </w:tr>
            <w:tr w:rsidR="000A660F" w:rsidRPr="000225C6" w14:paraId="34D66088" w14:textId="77777777" w:rsidTr="00B265B4">
              <w:trPr>
                <w:trHeight w:val="1424"/>
              </w:trPr>
              <w:tc>
                <w:tcPr>
                  <w:tcW w:w="1612" w:type="dxa"/>
                  <w:vMerge/>
                  <w:tcBorders>
                    <w:top w:val="single" w:sz="8" w:space="0" w:color="auto"/>
                    <w:left w:val="single" w:sz="8" w:space="0" w:color="auto"/>
                    <w:bottom w:val="single" w:sz="4" w:space="0" w:color="000000"/>
                    <w:right w:val="nil"/>
                  </w:tcBorders>
                  <w:shd w:val="clear" w:color="auto" w:fill="FFFFFF" w:themeFill="background1"/>
                  <w:vAlign w:val="center"/>
                  <w:hideMark/>
                </w:tcPr>
                <w:p w14:paraId="2AA54BD3" w14:textId="77777777" w:rsidR="000A660F" w:rsidRPr="000225C6" w:rsidRDefault="000A660F" w:rsidP="003309D5">
                  <w:pPr>
                    <w:spacing w:after="0" w:line="240" w:lineRule="auto"/>
                    <w:rPr>
                      <w:rFonts w:eastAsia="Times New Roman" w:cs="Times New Roman"/>
                      <w:sz w:val="16"/>
                      <w:szCs w:val="16"/>
                      <w:lang w:eastAsia="lv-LV"/>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25A9A0C"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Unikālo trūcīgo pacientu skaits</w:t>
                  </w:r>
                </w:p>
              </w:tc>
              <w:tc>
                <w:tcPr>
                  <w:tcW w:w="850" w:type="dxa"/>
                  <w:tcBorders>
                    <w:top w:val="nil"/>
                    <w:left w:val="nil"/>
                    <w:bottom w:val="single" w:sz="4" w:space="0" w:color="auto"/>
                    <w:right w:val="single" w:sz="4" w:space="0" w:color="auto"/>
                  </w:tcBorders>
                  <w:shd w:val="clear" w:color="auto" w:fill="auto"/>
                  <w:vAlign w:val="center"/>
                  <w:hideMark/>
                </w:tcPr>
                <w:p w14:paraId="08D4814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w:t>
                  </w:r>
                  <w:r w:rsidRPr="000225C6">
                    <w:rPr>
                      <w:rFonts w:eastAsia="Times New Roman" w:cs="Times New Roman"/>
                      <w:i/>
                      <w:iCs/>
                      <w:sz w:val="16"/>
                      <w:szCs w:val="16"/>
                      <w:lang w:eastAsia="lv-LV"/>
                    </w:rPr>
                    <w:t>euro</w:t>
                  </w:r>
                </w:p>
              </w:tc>
              <w:tc>
                <w:tcPr>
                  <w:tcW w:w="851" w:type="dxa"/>
                  <w:tcBorders>
                    <w:top w:val="nil"/>
                    <w:left w:val="nil"/>
                    <w:bottom w:val="single" w:sz="4" w:space="0" w:color="auto"/>
                    <w:right w:val="single" w:sz="8" w:space="0" w:color="auto"/>
                  </w:tcBorders>
                  <w:shd w:val="clear" w:color="auto" w:fill="auto"/>
                  <w:vAlign w:val="center"/>
                  <w:hideMark/>
                </w:tcPr>
                <w:p w14:paraId="5B7015C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Vidējās izmaksas, </w:t>
                  </w:r>
                  <w:r w:rsidRPr="000225C6">
                    <w:rPr>
                      <w:rFonts w:eastAsia="Times New Roman" w:cs="Times New Roman"/>
                      <w:i/>
                      <w:iCs/>
                      <w:sz w:val="16"/>
                      <w:szCs w:val="16"/>
                      <w:lang w:eastAsia="lv-LV"/>
                    </w:rPr>
                    <w:t>euro</w:t>
                  </w:r>
                </w:p>
              </w:tc>
              <w:tc>
                <w:tcPr>
                  <w:tcW w:w="850" w:type="dxa"/>
                  <w:tcBorders>
                    <w:top w:val="nil"/>
                    <w:left w:val="nil"/>
                    <w:bottom w:val="single" w:sz="4" w:space="0" w:color="auto"/>
                    <w:right w:val="single" w:sz="4" w:space="0" w:color="auto"/>
                  </w:tcBorders>
                  <w:shd w:val="clear" w:color="auto" w:fill="auto"/>
                  <w:vAlign w:val="center"/>
                  <w:hideMark/>
                </w:tcPr>
                <w:p w14:paraId="7600215F"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Unikālo trūcīgo pacientu skaits ar plānoto palielinājumu </w:t>
                  </w:r>
                </w:p>
              </w:tc>
              <w:tc>
                <w:tcPr>
                  <w:tcW w:w="993" w:type="dxa"/>
                  <w:tcBorders>
                    <w:top w:val="nil"/>
                    <w:left w:val="nil"/>
                    <w:bottom w:val="single" w:sz="4" w:space="0" w:color="auto"/>
                    <w:right w:val="single" w:sz="8" w:space="0" w:color="auto"/>
                  </w:tcBorders>
                  <w:shd w:val="clear" w:color="auto" w:fill="auto"/>
                  <w:vAlign w:val="center"/>
                  <w:hideMark/>
                </w:tcPr>
                <w:p w14:paraId="7E0D2E8C"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Pr="000225C6">
                    <w:rPr>
                      <w:rFonts w:eastAsia="Times New Roman" w:cs="Times New Roman"/>
                      <w:i/>
                      <w:iCs/>
                      <w:sz w:val="16"/>
                      <w:szCs w:val="16"/>
                      <w:lang w:eastAsia="lv-LV"/>
                    </w:rPr>
                    <w:t>euro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BFA69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Unikālo trūcīgo pacientu skaits ar plānoto palielinājumu</w:t>
                  </w:r>
                  <w:r w:rsidRPr="000225C6">
                    <w:rPr>
                      <w:rFonts w:eastAsia="Times New Roman" w:cs="Times New Roman"/>
                      <w:b/>
                      <w:bCs/>
                      <w:sz w:val="16"/>
                      <w:szCs w:val="16"/>
                      <w:lang w:eastAsia="lv-LV"/>
                    </w:rPr>
                    <w:t xml:space="preserve">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056616AB"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Pr="000225C6">
                    <w:rPr>
                      <w:rFonts w:eastAsia="Times New Roman" w:cs="Times New Roman"/>
                      <w:i/>
                      <w:iCs/>
                      <w:sz w:val="16"/>
                      <w:szCs w:val="16"/>
                      <w:lang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80599D"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Unikālo trūcīgo pacientu skaits ar plānoto palielinājumu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2EFABE6B"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Pr="000225C6">
                    <w:rPr>
                      <w:rFonts w:eastAsia="Times New Roman" w:cs="Times New Roman"/>
                      <w:i/>
                      <w:iCs/>
                      <w:sz w:val="16"/>
                      <w:szCs w:val="16"/>
                      <w:lang w:eastAsia="lv-LV"/>
                    </w:rPr>
                    <w:t>euro</w:t>
                  </w:r>
                </w:p>
              </w:tc>
              <w:tc>
                <w:tcPr>
                  <w:tcW w:w="851" w:type="dxa"/>
                  <w:tcBorders>
                    <w:top w:val="nil"/>
                    <w:left w:val="nil"/>
                    <w:bottom w:val="single" w:sz="4" w:space="0" w:color="auto"/>
                    <w:right w:val="single" w:sz="4" w:space="0" w:color="auto"/>
                  </w:tcBorders>
                  <w:shd w:val="clear" w:color="auto" w:fill="auto"/>
                  <w:vAlign w:val="center"/>
                  <w:hideMark/>
                </w:tcPr>
                <w:p w14:paraId="6467D54D"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Unikālo trūcīgo pacientu skaits ar plānoto palielinājumu </w:t>
                  </w:r>
                </w:p>
              </w:tc>
              <w:tc>
                <w:tcPr>
                  <w:tcW w:w="992" w:type="dxa"/>
                  <w:tcBorders>
                    <w:top w:val="nil"/>
                    <w:left w:val="nil"/>
                    <w:bottom w:val="single" w:sz="4" w:space="0" w:color="auto"/>
                    <w:right w:val="single" w:sz="8" w:space="0" w:color="auto"/>
                  </w:tcBorders>
                  <w:shd w:val="clear" w:color="auto" w:fill="auto"/>
                  <w:vAlign w:val="center"/>
                  <w:hideMark/>
                </w:tcPr>
                <w:p w14:paraId="7E6EE148"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Pr="000225C6">
                    <w:rPr>
                      <w:rFonts w:eastAsia="Times New Roman" w:cs="Times New Roman"/>
                      <w:i/>
                      <w:iCs/>
                      <w:sz w:val="16"/>
                      <w:szCs w:val="16"/>
                      <w:lang w:eastAsia="lv-LV"/>
                    </w:rPr>
                    <w:t>euro</w:t>
                  </w:r>
                </w:p>
              </w:tc>
              <w:tc>
                <w:tcPr>
                  <w:tcW w:w="850" w:type="dxa"/>
                  <w:tcBorders>
                    <w:top w:val="nil"/>
                    <w:left w:val="nil"/>
                    <w:bottom w:val="single" w:sz="4" w:space="0" w:color="auto"/>
                    <w:right w:val="single" w:sz="4" w:space="0" w:color="auto"/>
                  </w:tcBorders>
                  <w:shd w:val="clear" w:color="auto" w:fill="auto"/>
                  <w:vAlign w:val="center"/>
                  <w:hideMark/>
                </w:tcPr>
                <w:p w14:paraId="7EC5801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Unikālo trūcīgo pacientu skaits ar plānoto palielinājumu </w:t>
                  </w:r>
                </w:p>
              </w:tc>
              <w:tc>
                <w:tcPr>
                  <w:tcW w:w="993" w:type="dxa"/>
                  <w:tcBorders>
                    <w:top w:val="nil"/>
                    <w:left w:val="nil"/>
                    <w:bottom w:val="single" w:sz="4" w:space="0" w:color="auto"/>
                    <w:right w:val="single" w:sz="8" w:space="0" w:color="auto"/>
                  </w:tcBorders>
                  <w:shd w:val="clear" w:color="auto" w:fill="auto"/>
                  <w:vAlign w:val="center"/>
                  <w:hideMark/>
                </w:tcPr>
                <w:p w14:paraId="79CFD2C9"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Pr="000225C6">
                    <w:rPr>
                      <w:rFonts w:eastAsia="Times New Roman" w:cs="Times New Roman"/>
                      <w:i/>
                      <w:iCs/>
                      <w:sz w:val="16"/>
                      <w:szCs w:val="16"/>
                      <w:lang w:eastAsia="lv-LV"/>
                    </w:rPr>
                    <w:t>euro</w:t>
                  </w:r>
                </w:p>
              </w:tc>
            </w:tr>
            <w:tr w:rsidR="000A660F" w:rsidRPr="000225C6" w14:paraId="4DF32B90" w14:textId="77777777" w:rsidTr="003309D5">
              <w:trPr>
                <w:trHeight w:val="780"/>
              </w:trPr>
              <w:tc>
                <w:tcPr>
                  <w:tcW w:w="1612" w:type="dxa"/>
                  <w:tcBorders>
                    <w:top w:val="nil"/>
                    <w:left w:val="single" w:sz="8" w:space="0" w:color="auto"/>
                    <w:bottom w:val="single" w:sz="4" w:space="0" w:color="auto"/>
                    <w:right w:val="nil"/>
                  </w:tcBorders>
                  <w:shd w:val="clear" w:color="auto" w:fill="auto"/>
                  <w:vAlign w:val="bottom"/>
                  <w:hideMark/>
                </w:tcPr>
                <w:p w14:paraId="1F421075" w14:textId="77777777" w:rsidR="000A660F" w:rsidRPr="000225C6" w:rsidRDefault="000A660F" w:rsidP="003309D5">
                  <w:pPr>
                    <w:spacing w:after="0" w:line="240" w:lineRule="auto"/>
                    <w:rPr>
                      <w:rFonts w:eastAsia="Times New Roman" w:cs="Times New Roman"/>
                      <w:sz w:val="16"/>
                      <w:szCs w:val="16"/>
                      <w:lang w:eastAsia="lv-LV"/>
                    </w:rPr>
                  </w:pPr>
                  <w:r w:rsidRPr="000225C6">
                    <w:rPr>
                      <w:rFonts w:eastAsia="Times New Roman" w:cs="Times New Roman"/>
                      <w:sz w:val="16"/>
                      <w:szCs w:val="16"/>
                      <w:lang w:eastAsia="lv-LV"/>
                    </w:rPr>
                    <w:t xml:space="preserve">Trūcīgo </w:t>
                  </w:r>
                  <w:r w:rsidRPr="000225C6">
                    <w:rPr>
                      <w:rFonts w:eastAsia="Times New Roman" w:cs="Times New Roman"/>
                      <w:b/>
                      <w:bCs/>
                      <w:sz w:val="16"/>
                      <w:szCs w:val="16"/>
                      <w:lang w:eastAsia="lv-LV"/>
                    </w:rPr>
                    <w:t>pilngadīgo</w:t>
                  </w:r>
                  <w:r w:rsidRPr="000225C6">
                    <w:rPr>
                      <w:rFonts w:eastAsia="Times New Roman" w:cs="Times New Roman"/>
                      <w:sz w:val="16"/>
                      <w:szCs w:val="16"/>
                      <w:lang w:eastAsia="lv-LV"/>
                    </w:rPr>
                    <w:t xml:space="preserve"> personu (</w:t>
                  </w:r>
                  <w:r w:rsidRPr="000225C6">
                    <w:rPr>
                      <w:rFonts w:eastAsia="Times New Roman" w:cs="Times New Roman"/>
                      <w:b/>
                      <w:bCs/>
                      <w:sz w:val="16"/>
                      <w:szCs w:val="16"/>
                      <w:lang w:eastAsia="lv-LV"/>
                    </w:rPr>
                    <w:t>bez bērniem</w:t>
                  </w:r>
                  <w:r w:rsidRPr="000225C6">
                    <w:rPr>
                      <w:rFonts w:eastAsia="Times New Roman" w:cs="Times New Roman"/>
                      <w:sz w:val="16"/>
                      <w:szCs w:val="16"/>
                      <w:lang w:eastAsia="lv-LV"/>
                    </w:rPr>
                    <w:t>) pieauguma procents pret iepriekšējo gadu,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447E242E"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363EE41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1" w:type="dxa"/>
                  <w:tcBorders>
                    <w:top w:val="nil"/>
                    <w:left w:val="nil"/>
                    <w:bottom w:val="single" w:sz="4" w:space="0" w:color="auto"/>
                    <w:right w:val="single" w:sz="8" w:space="0" w:color="auto"/>
                  </w:tcBorders>
                  <w:shd w:val="clear" w:color="auto" w:fill="auto"/>
                  <w:vAlign w:val="center"/>
                  <w:hideMark/>
                </w:tcPr>
                <w:p w14:paraId="25C0DEA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7329C0FE"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-9.53</w:t>
                  </w:r>
                </w:p>
              </w:tc>
              <w:tc>
                <w:tcPr>
                  <w:tcW w:w="993" w:type="dxa"/>
                  <w:tcBorders>
                    <w:top w:val="nil"/>
                    <w:left w:val="nil"/>
                    <w:bottom w:val="single" w:sz="4" w:space="0" w:color="auto"/>
                    <w:right w:val="single" w:sz="8" w:space="0" w:color="auto"/>
                  </w:tcBorders>
                  <w:shd w:val="clear" w:color="auto" w:fill="auto"/>
                  <w:vAlign w:val="center"/>
                  <w:hideMark/>
                </w:tcPr>
                <w:p w14:paraId="23DDCFCE"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0F79CB4F"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72.16</w:t>
                  </w:r>
                </w:p>
              </w:tc>
              <w:tc>
                <w:tcPr>
                  <w:tcW w:w="992" w:type="dxa"/>
                  <w:tcBorders>
                    <w:top w:val="nil"/>
                    <w:left w:val="nil"/>
                    <w:bottom w:val="single" w:sz="4" w:space="0" w:color="auto"/>
                    <w:right w:val="single" w:sz="8" w:space="0" w:color="auto"/>
                  </w:tcBorders>
                  <w:shd w:val="clear" w:color="auto" w:fill="auto"/>
                  <w:vAlign w:val="center"/>
                  <w:hideMark/>
                </w:tcPr>
                <w:p w14:paraId="4E795563"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1" w:type="dxa"/>
                  <w:tcBorders>
                    <w:top w:val="nil"/>
                    <w:left w:val="nil"/>
                    <w:bottom w:val="single" w:sz="4" w:space="0" w:color="auto"/>
                    <w:right w:val="single" w:sz="4" w:space="0" w:color="auto"/>
                  </w:tcBorders>
                  <w:shd w:val="clear" w:color="auto" w:fill="auto"/>
                  <w:vAlign w:val="center"/>
                  <w:hideMark/>
                </w:tcPr>
                <w:p w14:paraId="1FCD9FF1"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-5.00</w:t>
                  </w:r>
                </w:p>
              </w:tc>
              <w:tc>
                <w:tcPr>
                  <w:tcW w:w="992" w:type="dxa"/>
                  <w:tcBorders>
                    <w:top w:val="nil"/>
                    <w:left w:val="nil"/>
                    <w:bottom w:val="single" w:sz="4" w:space="0" w:color="auto"/>
                    <w:right w:val="single" w:sz="8" w:space="0" w:color="auto"/>
                  </w:tcBorders>
                  <w:shd w:val="clear" w:color="auto" w:fill="auto"/>
                  <w:vAlign w:val="center"/>
                  <w:hideMark/>
                </w:tcPr>
                <w:p w14:paraId="2E7DA663"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1" w:type="dxa"/>
                  <w:tcBorders>
                    <w:top w:val="nil"/>
                    <w:left w:val="nil"/>
                    <w:bottom w:val="single" w:sz="4" w:space="0" w:color="auto"/>
                    <w:right w:val="single" w:sz="4" w:space="0" w:color="auto"/>
                  </w:tcBorders>
                  <w:shd w:val="clear" w:color="auto" w:fill="auto"/>
                  <w:vAlign w:val="center"/>
                  <w:hideMark/>
                </w:tcPr>
                <w:p w14:paraId="2564E288"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4.85</w:t>
                  </w:r>
                </w:p>
              </w:tc>
              <w:tc>
                <w:tcPr>
                  <w:tcW w:w="992" w:type="dxa"/>
                  <w:tcBorders>
                    <w:top w:val="nil"/>
                    <w:left w:val="nil"/>
                    <w:bottom w:val="single" w:sz="4" w:space="0" w:color="auto"/>
                    <w:right w:val="single" w:sz="8" w:space="0" w:color="auto"/>
                  </w:tcBorders>
                  <w:shd w:val="clear" w:color="auto" w:fill="auto"/>
                  <w:vAlign w:val="center"/>
                  <w:hideMark/>
                </w:tcPr>
                <w:p w14:paraId="2A53489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5814596A"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4.24</w:t>
                  </w:r>
                </w:p>
              </w:tc>
              <w:tc>
                <w:tcPr>
                  <w:tcW w:w="993" w:type="dxa"/>
                  <w:tcBorders>
                    <w:top w:val="nil"/>
                    <w:left w:val="nil"/>
                    <w:bottom w:val="single" w:sz="4" w:space="0" w:color="auto"/>
                    <w:right w:val="single" w:sz="8" w:space="0" w:color="auto"/>
                  </w:tcBorders>
                  <w:shd w:val="clear" w:color="auto" w:fill="auto"/>
                  <w:vAlign w:val="center"/>
                  <w:hideMark/>
                </w:tcPr>
                <w:p w14:paraId="1FB716D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r>
            <w:tr w:rsidR="000A660F" w:rsidRPr="000225C6" w14:paraId="3137D839" w14:textId="77777777" w:rsidTr="003309D5">
              <w:trPr>
                <w:trHeight w:val="300"/>
              </w:trPr>
              <w:tc>
                <w:tcPr>
                  <w:tcW w:w="1612" w:type="dxa"/>
                  <w:tcBorders>
                    <w:top w:val="nil"/>
                    <w:left w:val="single" w:sz="8" w:space="0" w:color="auto"/>
                    <w:bottom w:val="single" w:sz="4" w:space="0" w:color="auto"/>
                    <w:right w:val="nil"/>
                  </w:tcBorders>
                  <w:shd w:val="clear" w:color="auto" w:fill="auto"/>
                  <w:noWrap/>
                  <w:vAlign w:val="center"/>
                  <w:hideMark/>
                </w:tcPr>
                <w:p w14:paraId="04DB12C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636BF923"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w:t>
                  </w:r>
                </w:p>
              </w:tc>
              <w:tc>
                <w:tcPr>
                  <w:tcW w:w="850" w:type="dxa"/>
                  <w:tcBorders>
                    <w:top w:val="nil"/>
                    <w:left w:val="nil"/>
                    <w:bottom w:val="single" w:sz="4" w:space="0" w:color="auto"/>
                    <w:right w:val="single" w:sz="4" w:space="0" w:color="auto"/>
                  </w:tcBorders>
                  <w:shd w:val="clear" w:color="auto" w:fill="auto"/>
                  <w:vAlign w:val="center"/>
                  <w:hideMark/>
                </w:tcPr>
                <w:p w14:paraId="4041B14C"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3</w:t>
                  </w:r>
                </w:p>
              </w:tc>
              <w:tc>
                <w:tcPr>
                  <w:tcW w:w="851" w:type="dxa"/>
                  <w:tcBorders>
                    <w:top w:val="nil"/>
                    <w:left w:val="nil"/>
                    <w:bottom w:val="single" w:sz="4" w:space="0" w:color="auto"/>
                    <w:right w:val="single" w:sz="8" w:space="0" w:color="auto"/>
                  </w:tcBorders>
                  <w:shd w:val="clear" w:color="auto" w:fill="auto"/>
                  <w:vAlign w:val="center"/>
                  <w:hideMark/>
                </w:tcPr>
                <w:p w14:paraId="333B749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4</w:t>
                  </w:r>
                </w:p>
              </w:tc>
              <w:tc>
                <w:tcPr>
                  <w:tcW w:w="850" w:type="dxa"/>
                  <w:tcBorders>
                    <w:top w:val="nil"/>
                    <w:left w:val="nil"/>
                    <w:bottom w:val="single" w:sz="4" w:space="0" w:color="auto"/>
                    <w:right w:val="single" w:sz="4" w:space="0" w:color="auto"/>
                  </w:tcBorders>
                  <w:shd w:val="clear" w:color="auto" w:fill="auto"/>
                  <w:vAlign w:val="center"/>
                  <w:hideMark/>
                </w:tcPr>
                <w:p w14:paraId="0AF3D537"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5</w:t>
                  </w:r>
                </w:p>
              </w:tc>
              <w:tc>
                <w:tcPr>
                  <w:tcW w:w="993" w:type="dxa"/>
                  <w:tcBorders>
                    <w:top w:val="nil"/>
                    <w:left w:val="nil"/>
                    <w:bottom w:val="single" w:sz="4" w:space="0" w:color="auto"/>
                    <w:right w:val="single" w:sz="8" w:space="0" w:color="auto"/>
                  </w:tcBorders>
                  <w:shd w:val="clear" w:color="auto" w:fill="auto"/>
                  <w:vAlign w:val="center"/>
                  <w:hideMark/>
                </w:tcPr>
                <w:p w14:paraId="47476018"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6</w:t>
                  </w:r>
                </w:p>
              </w:tc>
              <w:tc>
                <w:tcPr>
                  <w:tcW w:w="850" w:type="dxa"/>
                  <w:tcBorders>
                    <w:top w:val="nil"/>
                    <w:left w:val="nil"/>
                    <w:bottom w:val="single" w:sz="4" w:space="0" w:color="auto"/>
                    <w:right w:val="single" w:sz="4" w:space="0" w:color="auto"/>
                  </w:tcBorders>
                  <w:shd w:val="clear" w:color="auto" w:fill="auto"/>
                  <w:vAlign w:val="center"/>
                  <w:hideMark/>
                </w:tcPr>
                <w:p w14:paraId="183E4CA4"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8</w:t>
                  </w:r>
                </w:p>
              </w:tc>
              <w:tc>
                <w:tcPr>
                  <w:tcW w:w="992" w:type="dxa"/>
                  <w:tcBorders>
                    <w:top w:val="nil"/>
                    <w:left w:val="nil"/>
                    <w:bottom w:val="single" w:sz="4" w:space="0" w:color="auto"/>
                    <w:right w:val="single" w:sz="8" w:space="0" w:color="auto"/>
                  </w:tcBorders>
                  <w:shd w:val="clear" w:color="auto" w:fill="auto"/>
                  <w:noWrap/>
                  <w:vAlign w:val="center"/>
                  <w:hideMark/>
                </w:tcPr>
                <w:p w14:paraId="290EF3D7"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9</w:t>
                  </w:r>
                </w:p>
              </w:tc>
              <w:tc>
                <w:tcPr>
                  <w:tcW w:w="851" w:type="dxa"/>
                  <w:tcBorders>
                    <w:top w:val="nil"/>
                    <w:left w:val="nil"/>
                    <w:bottom w:val="single" w:sz="4" w:space="0" w:color="auto"/>
                    <w:right w:val="single" w:sz="4" w:space="0" w:color="auto"/>
                  </w:tcBorders>
                  <w:shd w:val="clear" w:color="auto" w:fill="auto"/>
                  <w:noWrap/>
                  <w:vAlign w:val="center"/>
                  <w:hideMark/>
                </w:tcPr>
                <w:p w14:paraId="3DAD44CA"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11</w:t>
                  </w:r>
                </w:p>
              </w:tc>
              <w:tc>
                <w:tcPr>
                  <w:tcW w:w="992" w:type="dxa"/>
                  <w:tcBorders>
                    <w:top w:val="nil"/>
                    <w:left w:val="nil"/>
                    <w:bottom w:val="single" w:sz="4" w:space="0" w:color="auto"/>
                    <w:right w:val="single" w:sz="8" w:space="0" w:color="auto"/>
                  </w:tcBorders>
                  <w:shd w:val="clear" w:color="auto" w:fill="auto"/>
                  <w:noWrap/>
                  <w:vAlign w:val="center"/>
                  <w:hideMark/>
                </w:tcPr>
                <w:p w14:paraId="3B34D060"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12</w:t>
                  </w:r>
                </w:p>
              </w:tc>
              <w:tc>
                <w:tcPr>
                  <w:tcW w:w="851" w:type="dxa"/>
                  <w:tcBorders>
                    <w:top w:val="nil"/>
                    <w:left w:val="nil"/>
                    <w:bottom w:val="single" w:sz="4" w:space="0" w:color="auto"/>
                    <w:right w:val="single" w:sz="4" w:space="0" w:color="auto"/>
                  </w:tcBorders>
                  <w:shd w:val="clear" w:color="auto" w:fill="auto"/>
                  <w:noWrap/>
                  <w:vAlign w:val="center"/>
                  <w:hideMark/>
                </w:tcPr>
                <w:p w14:paraId="742AC84A"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14</w:t>
                  </w:r>
                </w:p>
              </w:tc>
              <w:tc>
                <w:tcPr>
                  <w:tcW w:w="992" w:type="dxa"/>
                  <w:tcBorders>
                    <w:top w:val="nil"/>
                    <w:left w:val="nil"/>
                    <w:bottom w:val="single" w:sz="4" w:space="0" w:color="auto"/>
                    <w:right w:val="single" w:sz="8" w:space="0" w:color="auto"/>
                  </w:tcBorders>
                  <w:shd w:val="clear" w:color="auto" w:fill="auto"/>
                  <w:noWrap/>
                  <w:vAlign w:val="center"/>
                  <w:hideMark/>
                </w:tcPr>
                <w:p w14:paraId="2852C1C9"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15</w:t>
                  </w:r>
                </w:p>
              </w:tc>
              <w:tc>
                <w:tcPr>
                  <w:tcW w:w="850" w:type="dxa"/>
                  <w:tcBorders>
                    <w:top w:val="nil"/>
                    <w:left w:val="nil"/>
                    <w:bottom w:val="single" w:sz="4" w:space="0" w:color="auto"/>
                    <w:right w:val="single" w:sz="4" w:space="0" w:color="auto"/>
                  </w:tcBorders>
                  <w:shd w:val="clear" w:color="auto" w:fill="auto"/>
                  <w:noWrap/>
                  <w:vAlign w:val="center"/>
                  <w:hideMark/>
                </w:tcPr>
                <w:p w14:paraId="09E0FC1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16</w:t>
                  </w:r>
                </w:p>
              </w:tc>
              <w:tc>
                <w:tcPr>
                  <w:tcW w:w="993" w:type="dxa"/>
                  <w:tcBorders>
                    <w:top w:val="nil"/>
                    <w:left w:val="nil"/>
                    <w:bottom w:val="single" w:sz="4" w:space="0" w:color="auto"/>
                    <w:right w:val="single" w:sz="8" w:space="0" w:color="auto"/>
                  </w:tcBorders>
                  <w:shd w:val="clear" w:color="auto" w:fill="auto"/>
                  <w:noWrap/>
                  <w:vAlign w:val="center"/>
                  <w:hideMark/>
                </w:tcPr>
                <w:p w14:paraId="1733971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17</w:t>
                  </w:r>
                </w:p>
              </w:tc>
            </w:tr>
            <w:tr w:rsidR="000A660F" w:rsidRPr="000225C6" w14:paraId="7F46D16D" w14:textId="77777777" w:rsidTr="003309D5">
              <w:trPr>
                <w:trHeight w:val="525"/>
              </w:trPr>
              <w:tc>
                <w:tcPr>
                  <w:tcW w:w="1612" w:type="dxa"/>
                  <w:tcBorders>
                    <w:top w:val="nil"/>
                    <w:left w:val="single" w:sz="8" w:space="0" w:color="auto"/>
                    <w:bottom w:val="single" w:sz="4" w:space="0" w:color="auto"/>
                    <w:right w:val="nil"/>
                  </w:tcBorders>
                  <w:shd w:val="clear" w:color="auto" w:fill="auto"/>
                  <w:vAlign w:val="bottom"/>
                  <w:hideMark/>
                </w:tcPr>
                <w:p w14:paraId="466EC325" w14:textId="77777777" w:rsidR="000A660F" w:rsidRPr="000225C6" w:rsidRDefault="000A660F" w:rsidP="003309D5">
                  <w:pPr>
                    <w:spacing w:after="0" w:line="240" w:lineRule="auto"/>
                    <w:rPr>
                      <w:rFonts w:eastAsia="Times New Roman" w:cs="Times New Roman"/>
                      <w:sz w:val="16"/>
                      <w:szCs w:val="16"/>
                      <w:lang w:eastAsia="lv-LV"/>
                    </w:rPr>
                  </w:pPr>
                  <w:r w:rsidRPr="000225C6">
                    <w:rPr>
                      <w:rFonts w:eastAsia="Times New Roman" w:cs="Times New Roman"/>
                      <w:sz w:val="16"/>
                      <w:szCs w:val="16"/>
                      <w:lang w:eastAsia="lv-LV"/>
                    </w:rPr>
                    <w:t>Ambulatorai ārstēšanai paredzēto zāļu iegādes izdevumu kompensācija</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22414460" w14:textId="77777777" w:rsidR="000A660F" w:rsidRPr="000225C6" w:rsidRDefault="000A660F" w:rsidP="003309D5">
                  <w:pPr>
                    <w:spacing w:after="0" w:line="240" w:lineRule="auto"/>
                    <w:jc w:val="right"/>
                    <w:rPr>
                      <w:rFonts w:eastAsia="Times New Roman" w:cs="Times New Roman"/>
                      <w:sz w:val="16"/>
                      <w:szCs w:val="16"/>
                      <w:lang w:eastAsia="lv-LV"/>
                    </w:rPr>
                  </w:pPr>
                  <w:r w:rsidRPr="000225C6">
                    <w:rPr>
                      <w:rFonts w:eastAsia="Times New Roman" w:cs="Times New Roman"/>
                      <w:sz w:val="16"/>
                      <w:szCs w:val="16"/>
                      <w:lang w:eastAsia="lv-LV"/>
                    </w:rPr>
                    <w:t>6 617</w:t>
                  </w:r>
                </w:p>
              </w:tc>
              <w:tc>
                <w:tcPr>
                  <w:tcW w:w="850" w:type="dxa"/>
                  <w:tcBorders>
                    <w:top w:val="nil"/>
                    <w:left w:val="nil"/>
                    <w:bottom w:val="single" w:sz="4" w:space="0" w:color="auto"/>
                    <w:right w:val="single" w:sz="4" w:space="0" w:color="auto"/>
                  </w:tcBorders>
                  <w:shd w:val="clear" w:color="auto" w:fill="auto"/>
                  <w:vAlign w:val="bottom"/>
                  <w:hideMark/>
                </w:tcPr>
                <w:p w14:paraId="3CE8D9DD" w14:textId="77777777" w:rsidR="000A660F" w:rsidRPr="000225C6" w:rsidRDefault="000A660F" w:rsidP="003309D5">
                  <w:pPr>
                    <w:spacing w:after="0" w:line="240" w:lineRule="auto"/>
                    <w:jc w:val="right"/>
                    <w:rPr>
                      <w:rFonts w:eastAsia="Times New Roman" w:cs="Times New Roman"/>
                      <w:sz w:val="16"/>
                      <w:szCs w:val="16"/>
                      <w:lang w:eastAsia="lv-LV"/>
                    </w:rPr>
                  </w:pPr>
                  <w:r w:rsidRPr="000225C6">
                    <w:rPr>
                      <w:rFonts w:eastAsia="Times New Roman" w:cs="Times New Roman"/>
                      <w:sz w:val="16"/>
                      <w:szCs w:val="16"/>
                      <w:lang w:eastAsia="lv-LV"/>
                    </w:rPr>
                    <w:t>1 745 238</w:t>
                  </w:r>
                </w:p>
              </w:tc>
              <w:tc>
                <w:tcPr>
                  <w:tcW w:w="851" w:type="dxa"/>
                  <w:tcBorders>
                    <w:top w:val="nil"/>
                    <w:left w:val="nil"/>
                    <w:bottom w:val="single" w:sz="4" w:space="0" w:color="auto"/>
                    <w:right w:val="single" w:sz="8" w:space="0" w:color="auto"/>
                  </w:tcBorders>
                  <w:shd w:val="clear" w:color="auto" w:fill="auto"/>
                  <w:vAlign w:val="bottom"/>
                  <w:hideMark/>
                </w:tcPr>
                <w:p w14:paraId="4BFAB599"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263.75</w:t>
                  </w:r>
                </w:p>
              </w:tc>
              <w:tc>
                <w:tcPr>
                  <w:tcW w:w="850" w:type="dxa"/>
                  <w:tcBorders>
                    <w:top w:val="nil"/>
                    <w:left w:val="nil"/>
                    <w:bottom w:val="single" w:sz="4" w:space="0" w:color="auto"/>
                    <w:right w:val="single" w:sz="4" w:space="0" w:color="auto"/>
                  </w:tcBorders>
                  <w:shd w:val="clear" w:color="auto" w:fill="auto"/>
                  <w:vAlign w:val="bottom"/>
                  <w:hideMark/>
                </w:tcPr>
                <w:p w14:paraId="6C157EE7"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5 986</w:t>
                  </w:r>
                </w:p>
              </w:tc>
              <w:tc>
                <w:tcPr>
                  <w:tcW w:w="993" w:type="dxa"/>
                  <w:tcBorders>
                    <w:top w:val="nil"/>
                    <w:left w:val="nil"/>
                    <w:bottom w:val="single" w:sz="4" w:space="0" w:color="auto"/>
                    <w:right w:val="single" w:sz="8" w:space="0" w:color="auto"/>
                  </w:tcBorders>
                  <w:shd w:val="clear" w:color="auto" w:fill="auto"/>
                  <w:noWrap/>
                  <w:vAlign w:val="bottom"/>
                  <w:hideMark/>
                </w:tcPr>
                <w:p w14:paraId="0FB25955"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1 578 808</w:t>
                  </w:r>
                </w:p>
              </w:tc>
              <w:tc>
                <w:tcPr>
                  <w:tcW w:w="850" w:type="dxa"/>
                  <w:tcBorders>
                    <w:top w:val="nil"/>
                    <w:left w:val="nil"/>
                    <w:bottom w:val="single" w:sz="4" w:space="0" w:color="auto"/>
                    <w:right w:val="single" w:sz="4" w:space="0" w:color="auto"/>
                  </w:tcBorders>
                  <w:shd w:val="clear" w:color="auto" w:fill="auto"/>
                  <w:vAlign w:val="bottom"/>
                  <w:hideMark/>
                </w:tcPr>
                <w:p w14:paraId="4819DDA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10 305</w:t>
                  </w:r>
                </w:p>
              </w:tc>
              <w:tc>
                <w:tcPr>
                  <w:tcW w:w="992" w:type="dxa"/>
                  <w:tcBorders>
                    <w:top w:val="nil"/>
                    <w:left w:val="nil"/>
                    <w:bottom w:val="single" w:sz="4" w:space="0" w:color="auto"/>
                    <w:right w:val="single" w:sz="8" w:space="0" w:color="auto"/>
                  </w:tcBorders>
                  <w:shd w:val="clear" w:color="auto" w:fill="auto"/>
                  <w:noWrap/>
                  <w:vAlign w:val="bottom"/>
                  <w:hideMark/>
                </w:tcPr>
                <w:p w14:paraId="23585BD5"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2 717 944</w:t>
                  </w:r>
                </w:p>
              </w:tc>
              <w:tc>
                <w:tcPr>
                  <w:tcW w:w="851" w:type="dxa"/>
                  <w:tcBorders>
                    <w:top w:val="nil"/>
                    <w:left w:val="nil"/>
                    <w:bottom w:val="single" w:sz="4" w:space="0" w:color="auto"/>
                    <w:right w:val="single" w:sz="4" w:space="0" w:color="auto"/>
                  </w:tcBorders>
                  <w:shd w:val="clear" w:color="auto" w:fill="auto"/>
                  <w:vAlign w:val="bottom"/>
                  <w:hideMark/>
                </w:tcPr>
                <w:p w14:paraId="0FC7B4E7"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9 790</w:t>
                  </w:r>
                </w:p>
              </w:tc>
              <w:tc>
                <w:tcPr>
                  <w:tcW w:w="992" w:type="dxa"/>
                  <w:tcBorders>
                    <w:top w:val="nil"/>
                    <w:left w:val="nil"/>
                    <w:bottom w:val="single" w:sz="4" w:space="0" w:color="auto"/>
                    <w:right w:val="single" w:sz="8" w:space="0" w:color="auto"/>
                  </w:tcBorders>
                  <w:shd w:val="clear" w:color="auto" w:fill="auto"/>
                  <w:noWrap/>
                  <w:vAlign w:val="bottom"/>
                  <w:hideMark/>
                </w:tcPr>
                <w:p w14:paraId="7B73B01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2 582 113</w:t>
                  </w:r>
                </w:p>
              </w:tc>
              <w:tc>
                <w:tcPr>
                  <w:tcW w:w="851" w:type="dxa"/>
                  <w:tcBorders>
                    <w:top w:val="nil"/>
                    <w:left w:val="nil"/>
                    <w:bottom w:val="single" w:sz="4" w:space="0" w:color="auto"/>
                    <w:right w:val="single" w:sz="4" w:space="0" w:color="auto"/>
                  </w:tcBorders>
                  <w:shd w:val="clear" w:color="auto" w:fill="auto"/>
                  <w:vAlign w:val="bottom"/>
                  <w:hideMark/>
                </w:tcPr>
                <w:p w14:paraId="20369E8C"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10 265</w:t>
                  </w:r>
                </w:p>
              </w:tc>
              <w:tc>
                <w:tcPr>
                  <w:tcW w:w="992" w:type="dxa"/>
                  <w:tcBorders>
                    <w:top w:val="nil"/>
                    <w:left w:val="nil"/>
                    <w:bottom w:val="single" w:sz="4" w:space="0" w:color="auto"/>
                    <w:right w:val="single" w:sz="8" w:space="0" w:color="auto"/>
                  </w:tcBorders>
                  <w:shd w:val="clear" w:color="auto" w:fill="auto"/>
                  <w:noWrap/>
                  <w:vAlign w:val="bottom"/>
                  <w:hideMark/>
                </w:tcPr>
                <w:p w14:paraId="6A6D2C03"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2 707 394</w:t>
                  </w:r>
                </w:p>
              </w:tc>
              <w:tc>
                <w:tcPr>
                  <w:tcW w:w="850" w:type="dxa"/>
                  <w:tcBorders>
                    <w:top w:val="nil"/>
                    <w:left w:val="nil"/>
                    <w:bottom w:val="single" w:sz="4" w:space="0" w:color="auto"/>
                    <w:right w:val="single" w:sz="4" w:space="0" w:color="auto"/>
                  </w:tcBorders>
                  <w:shd w:val="clear" w:color="auto" w:fill="auto"/>
                  <w:vAlign w:val="bottom"/>
                  <w:hideMark/>
                </w:tcPr>
                <w:p w14:paraId="793E500B"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10 700</w:t>
                  </w:r>
                </w:p>
              </w:tc>
              <w:tc>
                <w:tcPr>
                  <w:tcW w:w="993" w:type="dxa"/>
                  <w:tcBorders>
                    <w:top w:val="nil"/>
                    <w:left w:val="nil"/>
                    <w:bottom w:val="single" w:sz="4" w:space="0" w:color="auto"/>
                    <w:right w:val="single" w:sz="8" w:space="0" w:color="auto"/>
                  </w:tcBorders>
                  <w:shd w:val="clear" w:color="auto" w:fill="auto"/>
                  <w:noWrap/>
                  <w:vAlign w:val="bottom"/>
                  <w:hideMark/>
                </w:tcPr>
                <w:p w14:paraId="6691B7D8"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2 822 125</w:t>
                  </w:r>
                </w:p>
              </w:tc>
            </w:tr>
            <w:tr w:rsidR="000A660F" w:rsidRPr="000225C6" w14:paraId="44C5A7CD" w14:textId="77777777" w:rsidTr="003309D5">
              <w:trPr>
                <w:trHeight w:val="525"/>
              </w:trPr>
              <w:tc>
                <w:tcPr>
                  <w:tcW w:w="1612" w:type="dxa"/>
                  <w:tcBorders>
                    <w:top w:val="nil"/>
                    <w:left w:val="single" w:sz="8" w:space="0" w:color="auto"/>
                    <w:bottom w:val="single" w:sz="4" w:space="0" w:color="auto"/>
                    <w:right w:val="nil"/>
                  </w:tcBorders>
                  <w:shd w:val="clear" w:color="auto" w:fill="auto"/>
                  <w:vAlign w:val="bottom"/>
                  <w:hideMark/>
                </w:tcPr>
                <w:p w14:paraId="5ADD3B61" w14:textId="77777777" w:rsidR="000A660F" w:rsidRPr="000225C6" w:rsidRDefault="000A660F" w:rsidP="003309D5">
                  <w:pPr>
                    <w:spacing w:after="0" w:line="240" w:lineRule="auto"/>
                    <w:rPr>
                      <w:rFonts w:eastAsia="Times New Roman" w:cs="Times New Roman"/>
                      <w:sz w:val="16"/>
                      <w:szCs w:val="16"/>
                      <w:lang w:eastAsia="lv-LV"/>
                    </w:rPr>
                  </w:pPr>
                  <w:r w:rsidRPr="000225C6">
                    <w:rPr>
                      <w:rFonts w:eastAsia="Times New Roman" w:cs="Times New Roman"/>
                      <w:sz w:val="16"/>
                      <w:szCs w:val="16"/>
                      <w:lang w:eastAsia="lv-LV"/>
                    </w:rPr>
                    <w:t>pacientu iemaksu kompensācija no valsts budžeta - kopā</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43BF0F2" w14:textId="77777777" w:rsidR="000A660F" w:rsidRPr="000225C6" w:rsidRDefault="000A660F" w:rsidP="003309D5">
                  <w:pPr>
                    <w:spacing w:after="0" w:line="240" w:lineRule="auto"/>
                    <w:jc w:val="right"/>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A9765A8" w14:textId="77777777" w:rsidR="000A660F" w:rsidRPr="000225C6" w:rsidRDefault="000A660F" w:rsidP="003309D5">
                  <w:pPr>
                    <w:spacing w:after="0" w:line="240" w:lineRule="auto"/>
                    <w:jc w:val="right"/>
                    <w:rPr>
                      <w:rFonts w:eastAsia="Times New Roman" w:cs="Times New Roman"/>
                      <w:sz w:val="16"/>
                      <w:szCs w:val="16"/>
                      <w:lang w:eastAsia="lv-LV"/>
                    </w:rPr>
                  </w:pPr>
                  <w:r w:rsidRPr="000225C6">
                    <w:rPr>
                      <w:rFonts w:eastAsia="Times New Roman" w:cs="Times New Roman"/>
                      <w:sz w:val="16"/>
                      <w:szCs w:val="16"/>
                      <w:lang w:eastAsia="lv-LV"/>
                    </w:rPr>
                    <w:t>1 093 388</w:t>
                  </w:r>
                </w:p>
              </w:tc>
              <w:tc>
                <w:tcPr>
                  <w:tcW w:w="851" w:type="dxa"/>
                  <w:tcBorders>
                    <w:top w:val="nil"/>
                    <w:left w:val="nil"/>
                    <w:bottom w:val="single" w:sz="4" w:space="0" w:color="auto"/>
                    <w:right w:val="single" w:sz="8" w:space="0" w:color="auto"/>
                  </w:tcBorders>
                  <w:shd w:val="clear" w:color="auto" w:fill="auto"/>
                  <w:vAlign w:val="bottom"/>
                  <w:hideMark/>
                </w:tcPr>
                <w:p w14:paraId="5D23ADAE"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3CCAC946"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993" w:type="dxa"/>
                  <w:tcBorders>
                    <w:top w:val="nil"/>
                    <w:left w:val="nil"/>
                    <w:bottom w:val="single" w:sz="4" w:space="0" w:color="auto"/>
                    <w:right w:val="single" w:sz="8" w:space="0" w:color="auto"/>
                  </w:tcBorders>
                  <w:shd w:val="clear" w:color="auto" w:fill="auto"/>
                  <w:noWrap/>
                  <w:vAlign w:val="bottom"/>
                  <w:hideMark/>
                </w:tcPr>
                <w:p w14:paraId="4A984CD5"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989 265</w:t>
                  </w:r>
                </w:p>
              </w:tc>
              <w:tc>
                <w:tcPr>
                  <w:tcW w:w="850" w:type="dxa"/>
                  <w:tcBorders>
                    <w:top w:val="nil"/>
                    <w:left w:val="nil"/>
                    <w:bottom w:val="single" w:sz="4" w:space="0" w:color="auto"/>
                    <w:right w:val="single" w:sz="4" w:space="0" w:color="auto"/>
                  </w:tcBorders>
                  <w:shd w:val="clear" w:color="auto" w:fill="auto"/>
                  <w:vAlign w:val="bottom"/>
                  <w:hideMark/>
                </w:tcPr>
                <w:p w14:paraId="4FC86F61"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992" w:type="dxa"/>
                  <w:tcBorders>
                    <w:top w:val="nil"/>
                    <w:left w:val="nil"/>
                    <w:bottom w:val="single" w:sz="4" w:space="0" w:color="auto"/>
                    <w:right w:val="single" w:sz="8" w:space="0" w:color="auto"/>
                  </w:tcBorders>
                  <w:shd w:val="clear" w:color="auto" w:fill="auto"/>
                  <w:noWrap/>
                  <w:vAlign w:val="bottom"/>
                  <w:hideMark/>
                </w:tcPr>
                <w:p w14:paraId="5765BA9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1 703 162</w:t>
                  </w:r>
                </w:p>
              </w:tc>
              <w:tc>
                <w:tcPr>
                  <w:tcW w:w="851" w:type="dxa"/>
                  <w:tcBorders>
                    <w:top w:val="nil"/>
                    <w:left w:val="nil"/>
                    <w:bottom w:val="single" w:sz="4" w:space="0" w:color="auto"/>
                    <w:right w:val="single" w:sz="4" w:space="0" w:color="auto"/>
                  </w:tcBorders>
                  <w:shd w:val="clear" w:color="auto" w:fill="auto"/>
                  <w:vAlign w:val="bottom"/>
                  <w:hideMark/>
                </w:tcPr>
                <w:p w14:paraId="74B3672D"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992" w:type="dxa"/>
                  <w:tcBorders>
                    <w:top w:val="nil"/>
                    <w:left w:val="nil"/>
                    <w:bottom w:val="single" w:sz="4" w:space="0" w:color="auto"/>
                    <w:right w:val="single" w:sz="8" w:space="0" w:color="auto"/>
                  </w:tcBorders>
                  <w:shd w:val="clear" w:color="auto" w:fill="auto"/>
                  <w:noWrap/>
                  <w:vAlign w:val="bottom"/>
                  <w:hideMark/>
                </w:tcPr>
                <w:p w14:paraId="218A1805"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1 617 950</w:t>
                  </w:r>
                </w:p>
              </w:tc>
              <w:tc>
                <w:tcPr>
                  <w:tcW w:w="851" w:type="dxa"/>
                  <w:tcBorders>
                    <w:top w:val="nil"/>
                    <w:left w:val="nil"/>
                    <w:bottom w:val="single" w:sz="4" w:space="0" w:color="auto"/>
                    <w:right w:val="single" w:sz="4" w:space="0" w:color="auto"/>
                  </w:tcBorders>
                  <w:shd w:val="clear" w:color="auto" w:fill="auto"/>
                  <w:vAlign w:val="bottom"/>
                  <w:hideMark/>
                </w:tcPr>
                <w:p w14:paraId="49C8363B"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992" w:type="dxa"/>
                  <w:tcBorders>
                    <w:top w:val="nil"/>
                    <w:left w:val="nil"/>
                    <w:bottom w:val="single" w:sz="4" w:space="0" w:color="auto"/>
                    <w:right w:val="single" w:sz="8" w:space="0" w:color="auto"/>
                  </w:tcBorders>
                  <w:shd w:val="clear" w:color="auto" w:fill="auto"/>
                  <w:noWrap/>
                  <w:vAlign w:val="bottom"/>
                  <w:hideMark/>
                </w:tcPr>
                <w:p w14:paraId="20D55B0A"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1 696 333</w:t>
                  </w:r>
                </w:p>
              </w:tc>
              <w:tc>
                <w:tcPr>
                  <w:tcW w:w="850" w:type="dxa"/>
                  <w:tcBorders>
                    <w:top w:val="nil"/>
                    <w:left w:val="nil"/>
                    <w:bottom w:val="single" w:sz="4" w:space="0" w:color="auto"/>
                    <w:right w:val="single" w:sz="4" w:space="0" w:color="auto"/>
                  </w:tcBorders>
                  <w:shd w:val="clear" w:color="auto" w:fill="auto"/>
                  <w:vAlign w:val="bottom"/>
                  <w:hideMark/>
                </w:tcPr>
                <w:p w14:paraId="34124DCC"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993" w:type="dxa"/>
                  <w:tcBorders>
                    <w:top w:val="nil"/>
                    <w:left w:val="nil"/>
                    <w:bottom w:val="single" w:sz="4" w:space="0" w:color="auto"/>
                    <w:right w:val="single" w:sz="8" w:space="0" w:color="auto"/>
                  </w:tcBorders>
                  <w:shd w:val="clear" w:color="auto" w:fill="auto"/>
                  <w:noWrap/>
                  <w:vAlign w:val="bottom"/>
                  <w:hideMark/>
                </w:tcPr>
                <w:p w14:paraId="3D3F69AB"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1 768 296</w:t>
                  </w:r>
                </w:p>
              </w:tc>
            </w:tr>
            <w:tr w:rsidR="000A660F" w:rsidRPr="000225C6" w14:paraId="397FCB97" w14:textId="77777777" w:rsidTr="003309D5">
              <w:trPr>
                <w:trHeight w:val="300"/>
              </w:trPr>
              <w:tc>
                <w:tcPr>
                  <w:tcW w:w="1612" w:type="dxa"/>
                  <w:tcBorders>
                    <w:top w:val="nil"/>
                    <w:left w:val="single" w:sz="8" w:space="0" w:color="auto"/>
                    <w:bottom w:val="single" w:sz="4" w:space="0" w:color="auto"/>
                    <w:right w:val="nil"/>
                  </w:tcBorders>
                  <w:shd w:val="clear" w:color="auto" w:fill="auto"/>
                  <w:noWrap/>
                  <w:vAlign w:val="bottom"/>
                  <w:hideMark/>
                </w:tcPr>
                <w:p w14:paraId="6DC345C7" w14:textId="77777777" w:rsidR="000A660F" w:rsidRPr="000225C6" w:rsidRDefault="000A660F" w:rsidP="003309D5">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par ambulatoriem pakalpojumiem</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758C91E" w14:textId="77777777" w:rsidR="000A660F" w:rsidRPr="000225C6" w:rsidRDefault="000A660F" w:rsidP="003309D5">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22 777</w:t>
                  </w:r>
                </w:p>
              </w:tc>
              <w:tc>
                <w:tcPr>
                  <w:tcW w:w="850" w:type="dxa"/>
                  <w:tcBorders>
                    <w:top w:val="nil"/>
                    <w:left w:val="nil"/>
                    <w:bottom w:val="single" w:sz="4" w:space="0" w:color="auto"/>
                    <w:right w:val="single" w:sz="4" w:space="0" w:color="auto"/>
                  </w:tcBorders>
                  <w:shd w:val="clear" w:color="auto" w:fill="auto"/>
                  <w:noWrap/>
                  <w:vAlign w:val="bottom"/>
                  <w:hideMark/>
                </w:tcPr>
                <w:p w14:paraId="24287E69" w14:textId="77777777" w:rsidR="000A660F" w:rsidRPr="000225C6" w:rsidRDefault="000A660F" w:rsidP="003309D5">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477 520</w:t>
                  </w:r>
                </w:p>
              </w:tc>
              <w:tc>
                <w:tcPr>
                  <w:tcW w:w="851" w:type="dxa"/>
                  <w:tcBorders>
                    <w:top w:val="nil"/>
                    <w:left w:val="nil"/>
                    <w:bottom w:val="single" w:sz="4" w:space="0" w:color="auto"/>
                    <w:right w:val="single" w:sz="8" w:space="0" w:color="auto"/>
                  </w:tcBorders>
                  <w:shd w:val="clear" w:color="auto" w:fill="auto"/>
                  <w:vAlign w:val="bottom"/>
                  <w:hideMark/>
                </w:tcPr>
                <w:p w14:paraId="40863505"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20.97</w:t>
                  </w:r>
                </w:p>
              </w:tc>
              <w:tc>
                <w:tcPr>
                  <w:tcW w:w="850" w:type="dxa"/>
                  <w:tcBorders>
                    <w:top w:val="nil"/>
                    <w:left w:val="nil"/>
                    <w:bottom w:val="single" w:sz="4" w:space="0" w:color="auto"/>
                    <w:right w:val="single" w:sz="4" w:space="0" w:color="auto"/>
                  </w:tcBorders>
                  <w:shd w:val="clear" w:color="auto" w:fill="auto"/>
                  <w:vAlign w:val="bottom"/>
                  <w:hideMark/>
                </w:tcPr>
                <w:p w14:paraId="77ACE777"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20 606</w:t>
                  </w:r>
                </w:p>
              </w:tc>
              <w:tc>
                <w:tcPr>
                  <w:tcW w:w="993" w:type="dxa"/>
                  <w:tcBorders>
                    <w:top w:val="nil"/>
                    <w:left w:val="nil"/>
                    <w:bottom w:val="single" w:sz="4" w:space="0" w:color="auto"/>
                    <w:right w:val="single" w:sz="8" w:space="0" w:color="auto"/>
                  </w:tcBorders>
                  <w:shd w:val="clear" w:color="auto" w:fill="auto"/>
                  <w:noWrap/>
                  <w:vAlign w:val="bottom"/>
                  <w:hideMark/>
                </w:tcPr>
                <w:p w14:paraId="3F38BA97"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432 108</w:t>
                  </w:r>
                </w:p>
              </w:tc>
              <w:tc>
                <w:tcPr>
                  <w:tcW w:w="850" w:type="dxa"/>
                  <w:tcBorders>
                    <w:top w:val="nil"/>
                    <w:left w:val="nil"/>
                    <w:bottom w:val="single" w:sz="4" w:space="0" w:color="auto"/>
                    <w:right w:val="single" w:sz="4" w:space="0" w:color="auto"/>
                  </w:tcBorders>
                  <w:shd w:val="clear" w:color="auto" w:fill="auto"/>
                  <w:vAlign w:val="bottom"/>
                  <w:hideMark/>
                </w:tcPr>
                <w:p w14:paraId="7E5AFE28"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35 475</w:t>
                  </w:r>
                </w:p>
              </w:tc>
              <w:tc>
                <w:tcPr>
                  <w:tcW w:w="992" w:type="dxa"/>
                  <w:tcBorders>
                    <w:top w:val="nil"/>
                    <w:left w:val="nil"/>
                    <w:bottom w:val="single" w:sz="4" w:space="0" w:color="auto"/>
                    <w:right w:val="single" w:sz="8" w:space="0" w:color="auto"/>
                  </w:tcBorders>
                  <w:shd w:val="clear" w:color="auto" w:fill="auto"/>
                  <w:noWrap/>
                  <w:vAlign w:val="bottom"/>
                  <w:hideMark/>
                </w:tcPr>
                <w:p w14:paraId="03D5336E"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743 911</w:t>
                  </w:r>
                </w:p>
              </w:tc>
              <w:tc>
                <w:tcPr>
                  <w:tcW w:w="851" w:type="dxa"/>
                  <w:tcBorders>
                    <w:top w:val="nil"/>
                    <w:left w:val="nil"/>
                    <w:bottom w:val="single" w:sz="4" w:space="0" w:color="auto"/>
                    <w:right w:val="single" w:sz="4" w:space="0" w:color="auto"/>
                  </w:tcBorders>
                  <w:shd w:val="clear" w:color="auto" w:fill="auto"/>
                  <w:vAlign w:val="bottom"/>
                  <w:hideMark/>
                </w:tcPr>
                <w:p w14:paraId="2522AFD8"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33 701</w:t>
                  </w:r>
                </w:p>
              </w:tc>
              <w:tc>
                <w:tcPr>
                  <w:tcW w:w="992" w:type="dxa"/>
                  <w:tcBorders>
                    <w:top w:val="nil"/>
                    <w:left w:val="nil"/>
                    <w:bottom w:val="single" w:sz="4" w:space="0" w:color="auto"/>
                    <w:right w:val="single" w:sz="8" w:space="0" w:color="auto"/>
                  </w:tcBorders>
                  <w:shd w:val="clear" w:color="auto" w:fill="auto"/>
                  <w:noWrap/>
                  <w:vAlign w:val="bottom"/>
                  <w:hideMark/>
                </w:tcPr>
                <w:p w14:paraId="3EC0C3BE"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706 710</w:t>
                  </w:r>
                </w:p>
              </w:tc>
              <w:tc>
                <w:tcPr>
                  <w:tcW w:w="851" w:type="dxa"/>
                  <w:tcBorders>
                    <w:top w:val="nil"/>
                    <w:left w:val="nil"/>
                    <w:bottom w:val="single" w:sz="4" w:space="0" w:color="auto"/>
                    <w:right w:val="single" w:sz="4" w:space="0" w:color="auto"/>
                  </w:tcBorders>
                  <w:shd w:val="clear" w:color="auto" w:fill="auto"/>
                  <w:vAlign w:val="bottom"/>
                  <w:hideMark/>
                </w:tcPr>
                <w:p w14:paraId="04221470"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35 335</w:t>
                  </w:r>
                </w:p>
              </w:tc>
              <w:tc>
                <w:tcPr>
                  <w:tcW w:w="992" w:type="dxa"/>
                  <w:tcBorders>
                    <w:top w:val="nil"/>
                    <w:left w:val="nil"/>
                    <w:bottom w:val="single" w:sz="4" w:space="0" w:color="auto"/>
                    <w:right w:val="single" w:sz="8" w:space="0" w:color="auto"/>
                  </w:tcBorders>
                  <w:shd w:val="clear" w:color="auto" w:fill="auto"/>
                  <w:noWrap/>
                  <w:vAlign w:val="bottom"/>
                  <w:hideMark/>
                </w:tcPr>
                <w:p w14:paraId="2A76B9F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740 975</w:t>
                  </w:r>
                </w:p>
              </w:tc>
              <w:tc>
                <w:tcPr>
                  <w:tcW w:w="850" w:type="dxa"/>
                  <w:tcBorders>
                    <w:top w:val="nil"/>
                    <w:left w:val="nil"/>
                    <w:bottom w:val="single" w:sz="4" w:space="0" w:color="auto"/>
                    <w:right w:val="single" w:sz="4" w:space="0" w:color="auto"/>
                  </w:tcBorders>
                  <w:shd w:val="clear" w:color="auto" w:fill="auto"/>
                  <w:vAlign w:val="bottom"/>
                  <w:hideMark/>
                </w:tcPr>
                <w:p w14:paraId="27C847AA"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36 833</w:t>
                  </w:r>
                </w:p>
              </w:tc>
              <w:tc>
                <w:tcPr>
                  <w:tcW w:w="993" w:type="dxa"/>
                  <w:tcBorders>
                    <w:top w:val="nil"/>
                    <w:left w:val="nil"/>
                    <w:bottom w:val="single" w:sz="4" w:space="0" w:color="auto"/>
                    <w:right w:val="single" w:sz="8" w:space="0" w:color="auto"/>
                  </w:tcBorders>
                  <w:shd w:val="clear" w:color="auto" w:fill="auto"/>
                  <w:noWrap/>
                  <w:vAlign w:val="bottom"/>
                  <w:hideMark/>
                </w:tcPr>
                <w:p w14:paraId="49721AED"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772 388</w:t>
                  </w:r>
                </w:p>
              </w:tc>
            </w:tr>
            <w:tr w:rsidR="000A660F" w:rsidRPr="000225C6" w14:paraId="24BAD877" w14:textId="77777777" w:rsidTr="003309D5">
              <w:trPr>
                <w:trHeight w:val="300"/>
              </w:trPr>
              <w:tc>
                <w:tcPr>
                  <w:tcW w:w="1612" w:type="dxa"/>
                  <w:tcBorders>
                    <w:top w:val="nil"/>
                    <w:left w:val="single" w:sz="8" w:space="0" w:color="auto"/>
                    <w:bottom w:val="single" w:sz="4" w:space="0" w:color="auto"/>
                    <w:right w:val="nil"/>
                  </w:tcBorders>
                  <w:shd w:val="clear" w:color="auto" w:fill="auto"/>
                  <w:noWrap/>
                  <w:vAlign w:val="bottom"/>
                  <w:hideMark/>
                </w:tcPr>
                <w:p w14:paraId="76B2435B" w14:textId="77777777" w:rsidR="000A660F" w:rsidRPr="000225C6" w:rsidRDefault="000A660F" w:rsidP="003309D5">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par stacionāriem pakalpojumiem</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FCF02A7" w14:textId="77777777" w:rsidR="000A660F" w:rsidRPr="000225C6" w:rsidRDefault="000A660F" w:rsidP="003309D5">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3 797</w:t>
                  </w:r>
                </w:p>
              </w:tc>
              <w:tc>
                <w:tcPr>
                  <w:tcW w:w="850" w:type="dxa"/>
                  <w:tcBorders>
                    <w:top w:val="nil"/>
                    <w:left w:val="nil"/>
                    <w:bottom w:val="single" w:sz="4" w:space="0" w:color="auto"/>
                    <w:right w:val="single" w:sz="4" w:space="0" w:color="auto"/>
                  </w:tcBorders>
                  <w:shd w:val="clear" w:color="auto" w:fill="auto"/>
                  <w:noWrap/>
                  <w:vAlign w:val="bottom"/>
                  <w:hideMark/>
                </w:tcPr>
                <w:p w14:paraId="33A59F9A" w14:textId="77777777" w:rsidR="000A660F" w:rsidRPr="000225C6" w:rsidRDefault="000A660F" w:rsidP="003309D5">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615 868</w:t>
                  </w:r>
                </w:p>
              </w:tc>
              <w:tc>
                <w:tcPr>
                  <w:tcW w:w="851" w:type="dxa"/>
                  <w:tcBorders>
                    <w:top w:val="nil"/>
                    <w:left w:val="nil"/>
                    <w:bottom w:val="single" w:sz="4" w:space="0" w:color="auto"/>
                    <w:right w:val="single" w:sz="8" w:space="0" w:color="auto"/>
                  </w:tcBorders>
                  <w:shd w:val="clear" w:color="auto" w:fill="auto"/>
                  <w:vAlign w:val="bottom"/>
                  <w:hideMark/>
                </w:tcPr>
                <w:p w14:paraId="73E8B61A"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162.20</w:t>
                  </w:r>
                </w:p>
              </w:tc>
              <w:tc>
                <w:tcPr>
                  <w:tcW w:w="850" w:type="dxa"/>
                  <w:tcBorders>
                    <w:top w:val="nil"/>
                    <w:left w:val="nil"/>
                    <w:bottom w:val="single" w:sz="4" w:space="0" w:color="auto"/>
                    <w:right w:val="single" w:sz="4" w:space="0" w:color="auto"/>
                  </w:tcBorders>
                  <w:shd w:val="clear" w:color="auto" w:fill="auto"/>
                  <w:vAlign w:val="bottom"/>
                  <w:hideMark/>
                </w:tcPr>
                <w:p w14:paraId="419EF78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3 435</w:t>
                  </w:r>
                </w:p>
              </w:tc>
              <w:tc>
                <w:tcPr>
                  <w:tcW w:w="993" w:type="dxa"/>
                  <w:tcBorders>
                    <w:top w:val="nil"/>
                    <w:left w:val="nil"/>
                    <w:bottom w:val="single" w:sz="4" w:space="0" w:color="auto"/>
                    <w:right w:val="single" w:sz="8" w:space="0" w:color="auto"/>
                  </w:tcBorders>
                  <w:shd w:val="clear" w:color="auto" w:fill="auto"/>
                  <w:noWrap/>
                  <w:vAlign w:val="bottom"/>
                  <w:hideMark/>
                </w:tcPr>
                <w:p w14:paraId="0A8A1E01"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557 157</w:t>
                  </w:r>
                </w:p>
              </w:tc>
              <w:tc>
                <w:tcPr>
                  <w:tcW w:w="850" w:type="dxa"/>
                  <w:tcBorders>
                    <w:top w:val="nil"/>
                    <w:left w:val="nil"/>
                    <w:bottom w:val="single" w:sz="4" w:space="0" w:color="auto"/>
                    <w:right w:val="single" w:sz="4" w:space="0" w:color="auto"/>
                  </w:tcBorders>
                  <w:shd w:val="clear" w:color="auto" w:fill="auto"/>
                  <w:vAlign w:val="bottom"/>
                  <w:hideMark/>
                </w:tcPr>
                <w:p w14:paraId="6FADD5CA"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5 914</w:t>
                  </w:r>
                </w:p>
              </w:tc>
              <w:tc>
                <w:tcPr>
                  <w:tcW w:w="992" w:type="dxa"/>
                  <w:tcBorders>
                    <w:top w:val="nil"/>
                    <w:left w:val="nil"/>
                    <w:bottom w:val="single" w:sz="4" w:space="0" w:color="auto"/>
                    <w:right w:val="single" w:sz="8" w:space="0" w:color="auto"/>
                  </w:tcBorders>
                  <w:shd w:val="clear" w:color="auto" w:fill="auto"/>
                  <w:noWrap/>
                  <w:vAlign w:val="bottom"/>
                  <w:hideMark/>
                </w:tcPr>
                <w:p w14:paraId="7AEFA6E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959 251</w:t>
                  </w:r>
                </w:p>
              </w:tc>
              <w:tc>
                <w:tcPr>
                  <w:tcW w:w="851" w:type="dxa"/>
                  <w:tcBorders>
                    <w:top w:val="nil"/>
                    <w:left w:val="nil"/>
                    <w:bottom w:val="single" w:sz="4" w:space="0" w:color="auto"/>
                    <w:right w:val="single" w:sz="4" w:space="0" w:color="auto"/>
                  </w:tcBorders>
                  <w:shd w:val="clear" w:color="auto" w:fill="auto"/>
                  <w:vAlign w:val="bottom"/>
                  <w:hideMark/>
                </w:tcPr>
                <w:p w14:paraId="56E219B8"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5 618</w:t>
                  </w:r>
                </w:p>
              </w:tc>
              <w:tc>
                <w:tcPr>
                  <w:tcW w:w="992" w:type="dxa"/>
                  <w:tcBorders>
                    <w:top w:val="nil"/>
                    <w:left w:val="nil"/>
                    <w:bottom w:val="single" w:sz="4" w:space="0" w:color="auto"/>
                    <w:right w:val="single" w:sz="8" w:space="0" w:color="auto"/>
                  </w:tcBorders>
                  <w:shd w:val="clear" w:color="auto" w:fill="auto"/>
                  <w:noWrap/>
                  <w:vAlign w:val="bottom"/>
                  <w:hideMark/>
                </w:tcPr>
                <w:p w14:paraId="3B019E28"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911 240</w:t>
                  </w:r>
                </w:p>
              </w:tc>
              <w:tc>
                <w:tcPr>
                  <w:tcW w:w="851" w:type="dxa"/>
                  <w:tcBorders>
                    <w:top w:val="nil"/>
                    <w:left w:val="nil"/>
                    <w:bottom w:val="single" w:sz="4" w:space="0" w:color="auto"/>
                    <w:right w:val="single" w:sz="4" w:space="0" w:color="auto"/>
                  </w:tcBorders>
                  <w:shd w:val="clear" w:color="auto" w:fill="auto"/>
                  <w:vAlign w:val="bottom"/>
                  <w:hideMark/>
                </w:tcPr>
                <w:p w14:paraId="481D371A"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5 890</w:t>
                  </w:r>
                </w:p>
              </w:tc>
              <w:tc>
                <w:tcPr>
                  <w:tcW w:w="992" w:type="dxa"/>
                  <w:tcBorders>
                    <w:top w:val="nil"/>
                    <w:left w:val="nil"/>
                    <w:bottom w:val="single" w:sz="4" w:space="0" w:color="auto"/>
                    <w:right w:val="single" w:sz="8" w:space="0" w:color="auto"/>
                  </w:tcBorders>
                  <w:shd w:val="clear" w:color="auto" w:fill="auto"/>
                  <w:noWrap/>
                  <w:vAlign w:val="bottom"/>
                  <w:hideMark/>
                </w:tcPr>
                <w:p w14:paraId="23D7C0BB"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955 358</w:t>
                  </w:r>
                </w:p>
              </w:tc>
              <w:tc>
                <w:tcPr>
                  <w:tcW w:w="850" w:type="dxa"/>
                  <w:tcBorders>
                    <w:top w:val="nil"/>
                    <w:left w:val="nil"/>
                    <w:bottom w:val="single" w:sz="4" w:space="0" w:color="auto"/>
                    <w:right w:val="single" w:sz="4" w:space="0" w:color="auto"/>
                  </w:tcBorders>
                  <w:shd w:val="clear" w:color="auto" w:fill="auto"/>
                  <w:vAlign w:val="bottom"/>
                  <w:hideMark/>
                </w:tcPr>
                <w:p w14:paraId="27098912"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6 140</w:t>
                  </w:r>
                </w:p>
              </w:tc>
              <w:tc>
                <w:tcPr>
                  <w:tcW w:w="993" w:type="dxa"/>
                  <w:tcBorders>
                    <w:top w:val="nil"/>
                    <w:left w:val="nil"/>
                    <w:bottom w:val="single" w:sz="4" w:space="0" w:color="auto"/>
                    <w:right w:val="single" w:sz="8" w:space="0" w:color="auto"/>
                  </w:tcBorders>
                  <w:shd w:val="clear" w:color="auto" w:fill="auto"/>
                  <w:noWrap/>
                  <w:vAlign w:val="bottom"/>
                  <w:hideMark/>
                </w:tcPr>
                <w:p w14:paraId="33DC47CA" w14:textId="77777777" w:rsidR="000A660F" w:rsidRPr="000225C6" w:rsidRDefault="000A660F" w:rsidP="003309D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995 908</w:t>
                  </w:r>
                </w:p>
              </w:tc>
            </w:tr>
            <w:tr w:rsidR="000A660F" w:rsidRPr="000225C6" w14:paraId="4080AC09" w14:textId="77777777" w:rsidTr="003309D5">
              <w:trPr>
                <w:trHeight w:val="315"/>
              </w:trPr>
              <w:tc>
                <w:tcPr>
                  <w:tcW w:w="1612" w:type="dxa"/>
                  <w:tcBorders>
                    <w:top w:val="single" w:sz="4" w:space="0" w:color="auto"/>
                    <w:left w:val="single" w:sz="8" w:space="0" w:color="auto"/>
                    <w:bottom w:val="single" w:sz="8" w:space="0" w:color="auto"/>
                    <w:right w:val="nil"/>
                  </w:tcBorders>
                  <w:shd w:val="clear" w:color="auto" w:fill="auto"/>
                  <w:vAlign w:val="center"/>
                  <w:hideMark/>
                </w:tcPr>
                <w:p w14:paraId="2F0F1D08" w14:textId="77777777" w:rsidR="000A660F" w:rsidRPr="000225C6" w:rsidRDefault="000A660F" w:rsidP="003309D5">
                  <w:pPr>
                    <w:spacing w:after="0" w:line="240" w:lineRule="auto"/>
                    <w:rPr>
                      <w:rFonts w:eastAsia="Times New Roman" w:cs="Times New Roman"/>
                      <w:b/>
                      <w:bCs/>
                      <w:sz w:val="16"/>
                      <w:szCs w:val="16"/>
                      <w:lang w:eastAsia="lv-LV"/>
                    </w:rPr>
                  </w:pPr>
                  <w:r w:rsidRPr="000225C6">
                    <w:rPr>
                      <w:rFonts w:eastAsia="Times New Roman" w:cs="Times New Roman"/>
                      <w:b/>
                      <w:bCs/>
                      <w:sz w:val="16"/>
                      <w:szCs w:val="16"/>
                      <w:lang w:eastAsia="lv-LV"/>
                    </w:rPr>
                    <w:t>Nepieciešamie finanšu līdzekļi, euro</w:t>
                  </w:r>
                </w:p>
              </w:tc>
              <w:tc>
                <w:tcPr>
                  <w:tcW w:w="709" w:type="dxa"/>
                  <w:tcBorders>
                    <w:top w:val="nil"/>
                    <w:left w:val="single" w:sz="8" w:space="0" w:color="auto"/>
                    <w:bottom w:val="nil"/>
                    <w:right w:val="single" w:sz="4" w:space="0" w:color="auto"/>
                  </w:tcBorders>
                  <w:shd w:val="clear" w:color="auto" w:fill="auto"/>
                  <w:noWrap/>
                  <w:vAlign w:val="bottom"/>
                  <w:hideMark/>
                </w:tcPr>
                <w:p w14:paraId="71D9808A"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14:paraId="402516A8"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2 838 626</w:t>
                  </w:r>
                </w:p>
              </w:tc>
              <w:tc>
                <w:tcPr>
                  <w:tcW w:w="851" w:type="dxa"/>
                  <w:tcBorders>
                    <w:top w:val="nil"/>
                    <w:left w:val="single" w:sz="4" w:space="0" w:color="auto"/>
                    <w:bottom w:val="nil"/>
                    <w:right w:val="single" w:sz="8" w:space="0" w:color="auto"/>
                  </w:tcBorders>
                  <w:shd w:val="clear" w:color="auto" w:fill="auto"/>
                  <w:noWrap/>
                  <w:vAlign w:val="bottom"/>
                  <w:hideMark/>
                </w:tcPr>
                <w:p w14:paraId="69E313DB"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0" w:type="dxa"/>
                  <w:tcBorders>
                    <w:top w:val="nil"/>
                    <w:left w:val="nil"/>
                    <w:bottom w:val="nil"/>
                    <w:right w:val="single" w:sz="4" w:space="0" w:color="auto"/>
                  </w:tcBorders>
                  <w:shd w:val="clear" w:color="auto" w:fill="auto"/>
                  <w:noWrap/>
                  <w:vAlign w:val="bottom"/>
                  <w:hideMark/>
                </w:tcPr>
                <w:p w14:paraId="477D96D1"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3" w:type="dxa"/>
                  <w:tcBorders>
                    <w:top w:val="nil"/>
                    <w:left w:val="nil"/>
                    <w:bottom w:val="nil"/>
                    <w:right w:val="single" w:sz="8" w:space="0" w:color="auto"/>
                  </w:tcBorders>
                  <w:shd w:val="clear" w:color="000000" w:fill="EEECE1"/>
                  <w:noWrap/>
                  <w:vAlign w:val="bottom"/>
                  <w:hideMark/>
                </w:tcPr>
                <w:p w14:paraId="380FBD19"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2 568 073</w:t>
                  </w:r>
                </w:p>
              </w:tc>
              <w:tc>
                <w:tcPr>
                  <w:tcW w:w="850" w:type="dxa"/>
                  <w:tcBorders>
                    <w:top w:val="nil"/>
                    <w:left w:val="nil"/>
                    <w:bottom w:val="nil"/>
                    <w:right w:val="single" w:sz="4" w:space="0" w:color="auto"/>
                  </w:tcBorders>
                  <w:shd w:val="clear" w:color="auto" w:fill="auto"/>
                  <w:noWrap/>
                  <w:vAlign w:val="bottom"/>
                  <w:hideMark/>
                </w:tcPr>
                <w:p w14:paraId="4ED63482"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2" w:type="dxa"/>
                  <w:tcBorders>
                    <w:top w:val="nil"/>
                    <w:left w:val="nil"/>
                    <w:bottom w:val="nil"/>
                    <w:right w:val="single" w:sz="8" w:space="0" w:color="auto"/>
                  </w:tcBorders>
                  <w:shd w:val="clear" w:color="000000" w:fill="EEECE1"/>
                  <w:noWrap/>
                  <w:vAlign w:val="bottom"/>
                  <w:hideMark/>
                </w:tcPr>
                <w:p w14:paraId="0AA9438F"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4 421 106</w:t>
                  </w:r>
                </w:p>
              </w:tc>
              <w:tc>
                <w:tcPr>
                  <w:tcW w:w="851" w:type="dxa"/>
                  <w:tcBorders>
                    <w:top w:val="nil"/>
                    <w:left w:val="nil"/>
                    <w:bottom w:val="nil"/>
                    <w:right w:val="single" w:sz="4" w:space="0" w:color="auto"/>
                  </w:tcBorders>
                  <w:shd w:val="clear" w:color="auto" w:fill="auto"/>
                  <w:noWrap/>
                  <w:vAlign w:val="bottom"/>
                  <w:hideMark/>
                </w:tcPr>
                <w:p w14:paraId="1A9180BF"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2" w:type="dxa"/>
                  <w:tcBorders>
                    <w:top w:val="nil"/>
                    <w:left w:val="nil"/>
                    <w:bottom w:val="nil"/>
                    <w:right w:val="single" w:sz="8" w:space="0" w:color="auto"/>
                  </w:tcBorders>
                  <w:shd w:val="clear" w:color="000000" w:fill="EEECE1"/>
                  <w:noWrap/>
                  <w:vAlign w:val="bottom"/>
                  <w:hideMark/>
                </w:tcPr>
                <w:p w14:paraId="5B04D0EA"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4 200 063</w:t>
                  </w:r>
                </w:p>
              </w:tc>
              <w:tc>
                <w:tcPr>
                  <w:tcW w:w="851" w:type="dxa"/>
                  <w:tcBorders>
                    <w:top w:val="nil"/>
                    <w:left w:val="nil"/>
                    <w:bottom w:val="nil"/>
                    <w:right w:val="single" w:sz="4" w:space="0" w:color="auto"/>
                  </w:tcBorders>
                  <w:shd w:val="clear" w:color="auto" w:fill="auto"/>
                  <w:noWrap/>
                  <w:vAlign w:val="bottom"/>
                  <w:hideMark/>
                </w:tcPr>
                <w:p w14:paraId="62CF7D51"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2" w:type="dxa"/>
                  <w:tcBorders>
                    <w:top w:val="nil"/>
                    <w:left w:val="nil"/>
                    <w:bottom w:val="nil"/>
                    <w:right w:val="single" w:sz="8" w:space="0" w:color="auto"/>
                  </w:tcBorders>
                  <w:shd w:val="clear" w:color="000000" w:fill="EEECE1"/>
                  <w:noWrap/>
                  <w:vAlign w:val="bottom"/>
                  <w:hideMark/>
                </w:tcPr>
                <w:p w14:paraId="4D07843C"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4 403 727</w:t>
                  </w:r>
                </w:p>
              </w:tc>
              <w:tc>
                <w:tcPr>
                  <w:tcW w:w="850" w:type="dxa"/>
                  <w:tcBorders>
                    <w:top w:val="nil"/>
                    <w:left w:val="nil"/>
                    <w:bottom w:val="nil"/>
                    <w:right w:val="single" w:sz="4" w:space="0" w:color="auto"/>
                  </w:tcBorders>
                  <w:shd w:val="clear" w:color="auto" w:fill="auto"/>
                  <w:noWrap/>
                  <w:vAlign w:val="bottom"/>
                  <w:hideMark/>
                </w:tcPr>
                <w:p w14:paraId="3468DCA5"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3" w:type="dxa"/>
                  <w:tcBorders>
                    <w:top w:val="nil"/>
                    <w:left w:val="nil"/>
                    <w:bottom w:val="nil"/>
                    <w:right w:val="single" w:sz="8" w:space="0" w:color="auto"/>
                  </w:tcBorders>
                  <w:shd w:val="clear" w:color="000000" w:fill="EEECE1"/>
                  <w:noWrap/>
                  <w:vAlign w:val="bottom"/>
                  <w:hideMark/>
                </w:tcPr>
                <w:p w14:paraId="35E58088"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4 590 421</w:t>
                  </w:r>
                </w:p>
              </w:tc>
            </w:tr>
            <w:tr w:rsidR="000A660F" w:rsidRPr="000225C6" w14:paraId="2747CBFB" w14:textId="77777777" w:rsidTr="003309D5">
              <w:trPr>
                <w:trHeight w:val="525"/>
              </w:trPr>
              <w:tc>
                <w:tcPr>
                  <w:tcW w:w="1612" w:type="dxa"/>
                  <w:tcBorders>
                    <w:top w:val="single" w:sz="4" w:space="0" w:color="auto"/>
                    <w:left w:val="single" w:sz="8" w:space="0" w:color="auto"/>
                    <w:bottom w:val="single" w:sz="8" w:space="0" w:color="auto"/>
                    <w:right w:val="nil"/>
                  </w:tcBorders>
                  <w:shd w:val="clear" w:color="auto" w:fill="auto"/>
                  <w:vAlign w:val="center"/>
                  <w:hideMark/>
                </w:tcPr>
                <w:p w14:paraId="2354ABD0" w14:textId="77777777" w:rsidR="000A660F" w:rsidRPr="000225C6" w:rsidRDefault="000A660F" w:rsidP="003309D5">
                  <w:pPr>
                    <w:spacing w:after="0" w:line="240" w:lineRule="auto"/>
                    <w:rPr>
                      <w:rFonts w:eastAsia="Times New Roman" w:cs="Times New Roman"/>
                      <w:b/>
                      <w:bCs/>
                      <w:sz w:val="16"/>
                      <w:szCs w:val="16"/>
                      <w:lang w:eastAsia="lv-LV"/>
                    </w:rPr>
                  </w:pPr>
                  <w:r w:rsidRPr="000225C6">
                    <w:rPr>
                      <w:rFonts w:eastAsia="Times New Roman" w:cs="Times New Roman"/>
                      <w:b/>
                      <w:bCs/>
                      <w:sz w:val="16"/>
                      <w:szCs w:val="16"/>
                      <w:lang w:eastAsia="lv-LV"/>
                    </w:rPr>
                    <w:t>Papildus nepieciešamie finanšu līdzekļi pret 2019. gadu, euro</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2501C8A"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566382AB"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14:paraId="4298BE3A"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78C69B52"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3" w:type="dxa"/>
                  <w:tcBorders>
                    <w:top w:val="single" w:sz="4" w:space="0" w:color="auto"/>
                    <w:left w:val="nil"/>
                    <w:bottom w:val="single" w:sz="8" w:space="0" w:color="auto"/>
                    <w:right w:val="single" w:sz="8" w:space="0" w:color="auto"/>
                  </w:tcBorders>
                  <w:shd w:val="clear" w:color="000000" w:fill="EEECE1"/>
                  <w:noWrap/>
                  <w:vAlign w:val="bottom"/>
                  <w:hideMark/>
                </w:tcPr>
                <w:p w14:paraId="76419A56"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-270 553</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4DCAD7B1"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2" w:type="dxa"/>
                  <w:tcBorders>
                    <w:top w:val="single" w:sz="4" w:space="0" w:color="auto"/>
                    <w:left w:val="nil"/>
                    <w:bottom w:val="single" w:sz="8" w:space="0" w:color="auto"/>
                    <w:right w:val="single" w:sz="8" w:space="0" w:color="auto"/>
                  </w:tcBorders>
                  <w:shd w:val="clear" w:color="000000" w:fill="EEECE1"/>
                  <w:noWrap/>
                  <w:vAlign w:val="bottom"/>
                  <w:hideMark/>
                </w:tcPr>
                <w:p w14:paraId="79C18447"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1 582 480</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0FFC95FA"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2" w:type="dxa"/>
                  <w:tcBorders>
                    <w:top w:val="single" w:sz="4" w:space="0" w:color="auto"/>
                    <w:left w:val="nil"/>
                    <w:bottom w:val="single" w:sz="8" w:space="0" w:color="auto"/>
                    <w:right w:val="single" w:sz="8" w:space="0" w:color="auto"/>
                  </w:tcBorders>
                  <w:shd w:val="clear" w:color="000000" w:fill="EEECE1"/>
                  <w:noWrap/>
                  <w:vAlign w:val="bottom"/>
                  <w:hideMark/>
                </w:tcPr>
                <w:p w14:paraId="681246CC"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1 361 437</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2032FC0B"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2" w:type="dxa"/>
                  <w:tcBorders>
                    <w:top w:val="single" w:sz="4" w:space="0" w:color="auto"/>
                    <w:left w:val="nil"/>
                    <w:bottom w:val="single" w:sz="8" w:space="0" w:color="auto"/>
                    <w:right w:val="single" w:sz="8" w:space="0" w:color="auto"/>
                  </w:tcBorders>
                  <w:shd w:val="clear" w:color="000000" w:fill="EEECE1"/>
                  <w:noWrap/>
                  <w:vAlign w:val="bottom"/>
                  <w:hideMark/>
                </w:tcPr>
                <w:p w14:paraId="5EFBF61B"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1 565 101</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031D47EC" w14:textId="77777777" w:rsidR="000A660F" w:rsidRPr="000225C6" w:rsidRDefault="000A660F" w:rsidP="003309D5">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993" w:type="dxa"/>
                  <w:tcBorders>
                    <w:top w:val="single" w:sz="4" w:space="0" w:color="auto"/>
                    <w:left w:val="nil"/>
                    <w:bottom w:val="single" w:sz="8" w:space="0" w:color="auto"/>
                    <w:right w:val="single" w:sz="8" w:space="0" w:color="auto"/>
                  </w:tcBorders>
                  <w:shd w:val="clear" w:color="000000" w:fill="EEECE1"/>
                  <w:noWrap/>
                  <w:vAlign w:val="bottom"/>
                  <w:hideMark/>
                </w:tcPr>
                <w:p w14:paraId="155CE19C" w14:textId="77777777" w:rsidR="000A660F" w:rsidRPr="000225C6" w:rsidRDefault="000A660F" w:rsidP="003309D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1 751 795</w:t>
                  </w:r>
                </w:p>
              </w:tc>
            </w:tr>
            <w:tr w:rsidR="000A660F" w:rsidRPr="000225C6" w14:paraId="3B2B5FC9" w14:textId="77777777" w:rsidTr="003309D5">
              <w:trPr>
                <w:trHeight w:val="300"/>
              </w:trPr>
              <w:tc>
                <w:tcPr>
                  <w:tcW w:w="12243" w:type="dxa"/>
                  <w:gridSpan w:val="13"/>
                  <w:tcBorders>
                    <w:top w:val="nil"/>
                    <w:left w:val="nil"/>
                    <w:bottom w:val="nil"/>
                    <w:right w:val="nil"/>
                  </w:tcBorders>
                  <w:shd w:val="clear" w:color="auto" w:fill="auto"/>
                  <w:noWrap/>
                  <w:vAlign w:val="bottom"/>
                  <w:hideMark/>
                </w:tcPr>
                <w:p w14:paraId="08693068" w14:textId="77777777" w:rsidR="000A660F" w:rsidRPr="000225C6" w:rsidRDefault="000A660F" w:rsidP="003309D5">
                  <w:pPr>
                    <w:spacing w:after="0" w:line="240" w:lineRule="auto"/>
                    <w:rPr>
                      <w:rFonts w:eastAsia="Times New Roman" w:cs="Times New Roman"/>
                      <w:b/>
                      <w:bCs/>
                      <w:sz w:val="16"/>
                      <w:szCs w:val="16"/>
                      <w:lang w:eastAsia="lv-LV"/>
                    </w:rPr>
                  </w:pPr>
                  <w:r w:rsidRPr="000225C6">
                    <w:rPr>
                      <w:rFonts w:eastAsia="Times New Roman" w:cs="Times New Roman"/>
                      <w:b/>
                      <w:bCs/>
                      <w:sz w:val="16"/>
                      <w:szCs w:val="16"/>
                      <w:lang w:eastAsia="lv-LV"/>
                    </w:rPr>
                    <w:t>*Norādītais samazinājums netiek ņemts vērā, aprēķinot kopējo plānoto un papildus nepieciešamo finansējumu, jo nav tieši saistīts ar Plānā ietverto pasākumu īstenošanu</w:t>
                  </w:r>
                  <w:r>
                    <w:rPr>
                      <w:rFonts w:eastAsia="Times New Roman" w:cs="Times New Roman"/>
                      <w:b/>
                      <w:bCs/>
                      <w:sz w:val="16"/>
                      <w:szCs w:val="16"/>
                      <w:lang w:eastAsia="lv-LV"/>
                    </w:rPr>
                    <w:t>.</w:t>
                  </w:r>
                </w:p>
              </w:tc>
              <w:tc>
                <w:tcPr>
                  <w:tcW w:w="993" w:type="dxa"/>
                  <w:tcBorders>
                    <w:top w:val="nil"/>
                    <w:left w:val="nil"/>
                    <w:bottom w:val="nil"/>
                    <w:right w:val="nil"/>
                  </w:tcBorders>
                  <w:shd w:val="clear" w:color="auto" w:fill="auto"/>
                  <w:noWrap/>
                  <w:vAlign w:val="bottom"/>
                  <w:hideMark/>
                </w:tcPr>
                <w:p w14:paraId="4672BF8D" w14:textId="77777777" w:rsidR="000A660F" w:rsidRPr="000225C6" w:rsidRDefault="000A660F" w:rsidP="003309D5">
                  <w:pPr>
                    <w:spacing w:after="0" w:line="240" w:lineRule="auto"/>
                    <w:rPr>
                      <w:rFonts w:eastAsia="Times New Roman" w:cs="Times New Roman"/>
                      <w:b/>
                      <w:bCs/>
                      <w:sz w:val="16"/>
                      <w:szCs w:val="16"/>
                      <w:lang w:eastAsia="lv-LV"/>
                    </w:rPr>
                  </w:pPr>
                </w:p>
              </w:tc>
            </w:tr>
          </w:tbl>
          <w:p w14:paraId="0A067A83" w14:textId="77777777" w:rsidR="000A660F" w:rsidRPr="000225C6" w:rsidRDefault="000A660F" w:rsidP="003309D5">
            <w:pPr>
              <w:shd w:val="clear" w:color="auto" w:fill="FFFFFF" w:themeFill="background1"/>
              <w:spacing w:after="0" w:line="240" w:lineRule="auto"/>
              <w:rPr>
                <w:rFonts w:eastAsia="Times New Roman" w:cs="Times New Roman"/>
                <w:bCs/>
                <w:i/>
                <w:sz w:val="20"/>
                <w:szCs w:val="20"/>
                <w:lang w:eastAsia="lv-LV"/>
              </w:rPr>
            </w:pPr>
          </w:p>
        </w:tc>
      </w:tr>
      <w:tr w:rsidR="000A660F" w:rsidRPr="00B521CF" w14:paraId="38A00C4B" w14:textId="77777777" w:rsidTr="003309D5">
        <w:trPr>
          <w:trHeight w:val="312"/>
        </w:trPr>
        <w:tc>
          <w:tcPr>
            <w:tcW w:w="1985" w:type="dxa"/>
            <w:tcBorders>
              <w:top w:val="single" w:sz="4" w:space="0" w:color="auto"/>
              <w:left w:val="single" w:sz="4" w:space="0" w:color="auto"/>
              <w:bottom w:val="single" w:sz="4" w:space="0" w:color="auto"/>
              <w:right w:val="nil"/>
            </w:tcBorders>
            <w:shd w:val="clear" w:color="auto" w:fill="FFFFFF" w:themeFill="background1"/>
            <w:noWrap/>
            <w:hideMark/>
          </w:tcPr>
          <w:p w14:paraId="728DC693" w14:textId="77777777" w:rsidR="000A660F" w:rsidRPr="00B521CF" w:rsidRDefault="000A660F" w:rsidP="003309D5">
            <w:pPr>
              <w:spacing w:after="0" w:line="240" w:lineRule="auto"/>
              <w:rPr>
                <w:rFonts w:eastAsia="Times New Roman" w:cs="Times New Roman"/>
                <w:b/>
                <w:iCs/>
                <w:sz w:val="20"/>
                <w:szCs w:val="20"/>
                <w:lang w:eastAsia="lv-LV"/>
              </w:rPr>
            </w:pPr>
            <w:r>
              <w:rPr>
                <w:rFonts w:eastAsia="Times New Roman" w:cs="Times New Roman"/>
                <w:b/>
                <w:iCs/>
                <w:sz w:val="20"/>
                <w:szCs w:val="20"/>
                <w:lang w:eastAsia="lv-LV"/>
              </w:rPr>
              <w:t>GMI pabalsta finansējums, saņēmēju skaits un prognozes</w:t>
            </w:r>
          </w:p>
        </w:tc>
        <w:tc>
          <w:tcPr>
            <w:tcW w:w="13354" w:type="dxa"/>
            <w:tcBorders>
              <w:top w:val="nil"/>
              <w:left w:val="single" w:sz="4" w:space="0" w:color="auto"/>
              <w:bottom w:val="single" w:sz="4" w:space="0" w:color="auto"/>
              <w:right w:val="single" w:sz="4" w:space="0" w:color="auto"/>
            </w:tcBorders>
            <w:shd w:val="clear" w:color="auto" w:fill="FFFFFF" w:themeFill="background1"/>
          </w:tcPr>
          <w:p w14:paraId="4407E33F" w14:textId="77777777" w:rsidR="000A660F" w:rsidRPr="00B521CF" w:rsidRDefault="000A660F" w:rsidP="003309D5">
            <w:pPr>
              <w:spacing w:after="0" w:line="240" w:lineRule="auto"/>
              <w:rPr>
                <w:rFonts w:eastAsia="Times New Roman" w:cs="Times New Roman"/>
                <w:b/>
                <w:i/>
                <w:sz w:val="16"/>
                <w:szCs w:val="16"/>
                <w:lang w:eastAsia="lv-LV"/>
              </w:rPr>
            </w:pPr>
            <w:r w:rsidRPr="00B521CF">
              <w:rPr>
                <w:rFonts w:eastAsia="Times New Roman" w:cs="Times New Roman"/>
                <w:b/>
                <w:sz w:val="20"/>
                <w:szCs w:val="20"/>
                <w:lang w:eastAsia="lv-LV"/>
              </w:rPr>
              <w:t xml:space="preserve">LM aprēķini un skaidrojums </w:t>
            </w:r>
            <w:r w:rsidRPr="00B521CF">
              <w:rPr>
                <w:rFonts w:eastAsia="Times New Roman" w:cs="Times New Roman"/>
                <w:b/>
                <w:i/>
                <w:sz w:val="16"/>
                <w:szCs w:val="16"/>
                <w:lang w:eastAsia="lv-LV"/>
              </w:rPr>
              <w:t>(aprēķini veikti excel vidē, līdz ar to, matemātiski noapaļojot divas zīmes aiz komata, var rasties nobīdes aprēķinos):</w:t>
            </w:r>
          </w:p>
          <w:p w14:paraId="7DA5CCD0" w14:textId="77777777" w:rsidR="000A660F" w:rsidRPr="004634A7" w:rsidRDefault="000A660F" w:rsidP="003309D5">
            <w:pPr>
              <w:spacing w:after="0" w:line="240" w:lineRule="auto"/>
              <w:rPr>
                <w:rFonts w:eastAsia="Times New Roman" w:cs="Times New Roman"/>
                <w:b/>
                <w:i/>
                <w:lang w:eastAsia="lv-LV"/>
              </w:rPr>
            </w:pPr>
          </w:p>
          <w:p w14:paraId="5CAF3B1A" w14:textId="77777777" w:rsidR="000A660F" w:rsidRPr="004634A7" w:rsidRDefault="000A660F" w:rsidP="003309D5">
            <w:pPr>
              <w:spacing w:after="0" w:line="240" w:lineRule="auto"/>
              <w:jc w:val="both"/>
              <w:rPr>
                <w:rFonts w:eastAsia="Times New Roman" w:cs="Times New Roman"/>
                <w:lang w:eastAsia="lv-LV"/>
              </w:rPr>
            </w:pPr>
            <w:r w:rsidRPr="004634A7">
              <w:rPr>
                <w:rFonts w:eastAsia="Times New Roman" w:cs="Times New Roman"/>
                <w:b/>
                <w:lang w:eastAsia="lv-LV"/>
              </w:rPr>
              <w:t>2019.gadā</w:t>
            </w:r>
            <w:r w:rsidRPr="004634A7">
              <w:rPr>
                <w:rFonts w:eastAsia="Times New Roman" w:cs="Times New Roman"/>
                <w:lang w:eastAsia="lv-LV"/>
              </w:rPr>
              <w:t xml:space="preserve"> GMI pabalstu saņēma </w:t>
            </w:r>
            <w:r w:rsidRPr="004634A7">
              <w:rPr>
                <w:rFonts w:eastAsia="Times New Roman" w:cs="Times New Roman"/>
                <w:b/>
                <w:lang w:eastAsia="lv-LV"/>
              </w:rPr>
              <w:t>17 249</w:t>
            </w:r>
            <w:r w:rsidRPr="004634A7">
              <w:rPr>
                <w:rFonts w:eastAsia="Times New Roman" w:cs="Times New Roman"/>
                <w:lang w:eastAsia="lv-LV"/>
              </w:rPr>
              <w:t xml:space="preserve"> </w:t>
            </w:r>
            <w:r w:rsidRPr="004634A7">
              <w:rPr>
                <w:rFonts w:eastAsia="Times New Roman" w:cs="Times New Roman"/>
                <w:b/>
                <w:lang w:eastAsia="lv-LV"/>
              </w:rPr>
              <w:t>personas</w:t>
            </w:r>
            <w:r w:rsidRPr="004634A7">
              <w:rPr>
                <w:rFonts w:eastAsia="Times New Roman" w:cs="Times New Roman"/>
                <w:lang w:eastAsia="lv-LV"/>
              </w:rPr>
              <w:t xml:space="preserve">, t.sk. bērni 3 165; nestrādājošas personas – 6 478 un pārējās personas darbspējīgā vecumā 1 690, personas ar invaliditāti 3 097; pensijas vecuma personas – 2 819. </w:t>
            </w:r>
            <w:r w:rsidRPr="004634A7">
              <w:rPr>
                <w:rFonts w:eastAsia="Times New Roman" w:cs="Times New Roman"/>
                <w:b/>
                <w:lang w:eastAsia="lv-LV"/>
              </w:rPr>
              <w:t>2019.gadā</w:t>
            </w:r>
            <w:r w:rsidRPr="004634A7">
              <w:rPr>
                <w:rFonts w:eastAsia="Times New Roman" w:cs="Times New Roman"/>
                <w:lang w:eastAsia="lv-LV"/>
              </w:rPr>
              <w:t xml:space="preserve"> GMI pabalstam izlietoti </w:t>
            </w:r>
            <w:r w:rsidRPr="004634A7">
              <w:rPr>
                <w:rFonts w:eastAsia="Times New Roman" w:cs="Times New Roman"/>
                <w:b/>
                <w:lang w:eastAsia="lv-LV"/>
              </w:rPr>
              <w:t xml:space="preserve">4 721 053 </w:t>
            </w:r>
            <w:r w:rsidRPr="004634A7">
              <w:rPr>
                <w:rFonts w:eastAsia="Times New Roman" w:cs="Times New Roman"/>
                <w:b/>
                <w:i/>
                <w:lang w:eastAsia="lv-LV"/>
              </w:rPr>
              <w:t>euro.</w:t>
            </w:r>
            <w:r w:rsidRPr="004634A7">
              <w:rPr>
                <w:rFonts w:eastAsia="Times New Roman" w:cs="Times New Roman"/>
                <w:lang w:eastAsia="lv-LV"/>
              </w:rPr>
              <w:t xml:space="preserve"> Vidējais GMI pabalsta apmērs personai mēnesī 2019.gadā bija 42,79 </w:t>
            </w:r>
            <w:r w:rsidRPr="004634A7">
              <w:rPr>
                <w:rFonts w:eastAsia="Times New Roman" w:cs="Times New Roman"/>
                <w:i/>
                <w:lang w:eastAsia="lv-LV"/>
              </w:rPr>
              <w:t>euro</w:t>
            </w:r>
            <w:r w:rsidRPr="004634A7">
              <w:rPr>
                <w:rFonts w:eastAsia="Times New Roman" w:cs="Times New Roman"/>
                <w:lang w:eastAsia="lv-LV"/>
              </w:rPr>
              <w:t xml:space="preserve">, bet GMI pabalsta vidējais saņemšanas ilgums 2019.gadā bija 5,08 mēneši. </w:t>
            </w:r>
          </w:p>
          <w:p w14:paraId="497B31E1" w14:textId="77777777" w:rsidR="000A660F" w:rsidRPr="004634A7" w:rsidRDefault="000A660F" w:rsidP="003309D5">
            <w:pPr>
              <w:spacing w:after="0" w:line="240" w:lineRule="auto"/>
              <w:jc w:val="both"/>
              <w:rPr>
                <w:rFonts w:eastAsia="Times New Roman" w:cs="Times New Roman"/>
                <w:lang w:eastAsia="lv-LV"/>
              </w:rPr>
            </w:pPr>
          </w:p>
          <w:p w14:paraId="163571FD" w14:textId="77777777" w:rsidR="000A660F" w:rsidRPr="004634A7" w:rsidRDefault="000A660F" w:rsidP="003309D5">
            <w:pPr>
              <w:spacing w:after="0" w:line="240" w:lineRule="auto"/>
              <w:jc w:val="both"/>
              <w:rPr>
                <w:rFonts w:eastAsia="Times New Roman" w:cs="Times New Roman"/>
                <w:b/>
                <w:lang w:eastAsia="lv-LV"/>
              </w:rPr>
            </w:pPr>
            <w:r w:rsidRPr="004634A7">
              <w:rPr>
                <w:rFonts w:eastAsia="Times New Roman" w:cs="Times New Roman"/>
                <w:b/>
                <w:lang w:eastAsia="lv-LV"/>
              </w:rPr>
              <w:t>2020.gadā</w:t>
            </w:r>
            <w:r w:rsidRPr="004634A7">
              <w:rPr>
                <w:rFonts w:eastAsia="Times New Roman" w:cs="Times New Roman"/>
                <w:lang w:eastAsia="lv-LV"/>
              </w:rPr>
              <w:t xml:space="preserve"> GMI līmenis tiek  paaugstināts no 53 </w:t>
            </w:r>
            <w:r w:rsidRPr="004634A7">
              <w:rPr>
                <w:rFonts w:eastAsia="Times New Roman" w:cs="Times New Roman"/>
                <w:i/>
                <w:lang w:eastAsia="lv-LV"/>
              </w:rPr>
              <w:t>euro</w:t>
            </w:r>
            <w:r w:rsidRPr="004634A7">
              <w:rPr>
                <w:rFonts w:eastAsia="Times New Roman" w:cs="Times New Roman"/>
                <w:lang w:eastAsia="lv-LV"/>
              </w:rPr>
              <w:t xml:space="preserve">  līdz 64 </w:t>
            </w:r>
            <w:r w:rsidRPr="004634A7">
              <w:rPr>
                <w:rFonts w:eastAsia="Times New Roman" w:cs="Times New Roman"/>
                <w:i/>
                <w:lang w:eastAsia="lv-LV"/>
              </w:rPr>
              <w:t>euro</w:t>
            </w:r>
            <w:r w:rsidRPr="004634A7">
              <w:rPr>
                <w:rFonts w:eastAsia="Times New Roman" w:cs="Times New Roman"/>
                <w:lang w:eastAsia="lv-LV"/>
              </w:rPr>
              <w:t xml:space="preserve"> mēnesī, līdz ar to tiek prognozēts GMI pabalsta saņēmēju skaita pieaugums  par 15,33% . Tiek prognozēts, ka GMI pabalstu saņems </w:t>
            </w:r>
            <w:r w:rsidRPr="004634A7">
              <w:rPr>
                <w:rFonts w:eastAsia="Times New Roman" w:cs="Times New Roman"/>
                <w:b/>
                <w:lang w:eastAsia="lv-LV"/>
              </w:rPr>
              <w:t>18 852 personas</w:t>
            </w:r>
            <w:r w:rsidRPr="004634A7">
              <w:rPr>
                <w:rFonts w:eastAsia="Times New Roman" w:cs="Times New Roman"/>
                <w:lang w:eastAsia="lv-LV"/>
              </w:rPr>
              <w:t xml:space="preserve"> un GMI pabalstam tiks izlietoti </w:t>
            </w:r>
            <w:r w:rsidRPr="004634A7">
              <w:rPr>
                <w:rFonts w:eastAsia="Times New Roman" w:cs="Times New Roman"/>
                <w:b/>
                <w:lang w:eastAsia="lv-LV"/>
              </w:rPr>
              <w:t>6 167 955</w:t>
            </w:r>
            <w:r w:rsidRPr="004634A7">
              <w:rPr>
                <w:rFonts w:eastAsia="Times New Roman" w:cs="Times New Roman"/>
                <w:lang w:eastAsia="lv-LV"/>
              </w:rPr>
              <w:t xml:space="preserve"> </w:t>
            </w:r>
            <w:r w:rsidRPr="004634A7">
              <w:rPr>
                <w:rFonts w:eastAsia="Times New Roman" w:cs="Times New Roman"/>
                <w:b/>
                <w:i/>
                <w:lang w:eastAsia="lv-LV"/>
              </w:rPr>
              <w:t>euro</w:t>
            </w:r>
            <w:r w:rsidRPr="004634A7">
              <w:rPr>
                <w:rFonts w:eastAsia="Times New Roman" w:cs="Times New Roman"/>
                <w:b/>
                <w:lang w:eastAsia="lv-LV"/>
              </w:rPr>
              <w:t>.</w:t>
            </w:r>
          </w:p>
          <w:p w14:paraId="1B62A3F2" w14:textId="77777777" w:rsidR="000A660F" w:rsidRPr="004634A7" w:rsidRDefault="000A660F" w:rsidP="003309D5">
            <w:pPr>
              <w:spacing w:after="0" w:line="240" w:lineRule="auto"/>
              <w:jc w:val="both"/>
              <w:rPr>
                <w:rFonts w:eastAsia="Times New Roman" w:cs="Times New Roman"/>
                <w:lang w:eastAsia="lv-LV"/>
              </w:rPr>
            </w:pPr>
          </w:p>
          <w:p w14:paraId="323834C3" w14:textId="77777777" w:rsidR="000A660F" w:rsidRPr="004634A7" w:rsidRDefault="000A660F" w:rsidP="003309D5">
            <w:pPr>
              <w:spacing w:after="0" w:line="240" w:lineRule="auto"/>
              <w:jc w:val="both"/>
              <w:rPr>
                <w:rFonts w:eastAsia="Times New Roman" w:cs="Times New Roman"/>
                <w:lang w:eastAsia="lv-LV"/>
              </w:rPr>
            </w:pPr>
            <w:r w:rsidRPr="004634A7">
              <w:rPr>
                <w:rFonts w:eastAsia="Times New Roman" w:cs="Times New Roman"/>
                <w:b/>
                <w:lang w:eastAsia="lv-LV"/>
              </w:rPr>
              <w:t>2021</w:t>
            </w:r>
            <w:r w:rsidRPr="004634A7">
              <w:rPr>
                <w:rFonts w:eastAsia="Times New Roman" w:cs="Times New Roman"/>
                <w:lang w:eastAsia="lv-LV"/>
              </w:rPr>
              <w:t>.gadā, ņemot vērā, ka GMI slieksnis pirmajai personai tiek noteikts 109</w:t>
            </w:r>
            <w:r w:rsidRPr="004634A7">
              <w:rPr>
                <w:rFonts w:eastAsia="Times New Roman" w:cs="Times New Roman"/>
                <w:i/>
                <w:lang w:eastAsia="lv-LV"/>
              </w:rPr>
              <w:t xml:space="preserve"> euro</w:t>
            </w:r>
            <w:r w:rsidRPr="004634A7">
              <w:rPr>
                <w:rFonts w:eastAsia="Times New Roman" w:cs="Times New Roman"/>
                <w:lang w:eastAsia="lv-LV"/>
              </w:rPr>
              <w:t xml:space="preserve">; parējām personām mājsaimniecībā, nosakot GMI slieksni, tiek piemērots koeficients 0,7, t.i., GMI slieksni veido 76 </w:t>
            </w:r>
            <w:r w:rsidRPr="004634A7">
              <w:rPr>
                <w:rFonts w:eastAsia="Times New Roman" w:cs="Times New Roman"/>
                <w:i/>
                <w:lang w:eastAsia="lv-LV"/>
              </w:rPr>
              <w:t>euro,</w:t>
            </w:r>
            <w:r w:rsidRPr="004634A7">
              <w:rPr>
                <w:rFonts w:eastAsia="Times New Roman" w:cs="Times New Roman"/>
                <w:lang w:eastAsia="lv-LV"/>
              </w:rPr>
              <w:t xml:space="preserve"> turklāt</w:t>
            </w:r>
            <w:r>
              <w:rPr>
                <w:rFonts w:eastAsia="Times New Roman" w:cs="Times New Roman"/>
                <w:lang w:eastAsia="lv-LV"/>
              </w:rPr>
              <w:t>,</w:t>
            </w:r>
            <w:r w:rsidRPr="004634A7">
              <w:rPr>
                <w:rFonts w:eastAsia="Times New Roman" w:cs="Times New Roman"/>
                <w:lang w:eastAsia="lv-LV"/>
              </w:rPr>
              <w:t xml:space="preserve"> ņemot vērā arī </w:t>
            </w:r>
            <w:r>
              <w:rPr>
                <w:rFonts w:eastAsia="Times New Roman" w:cs="Times New Roman"/>
                <w:lang w:eastAsia="lv-LV"/>
              </w:rPr>
              <w:t xml:space="preserve">īstenotos </w:t>
            </w:r>
            <w:r w:rsidRPr="004634A7">
              <w:rPr>
                <w:rFonts w:eastAsia="Times New Roman" w:cs="Times New Roman"/>
                <w:lang w:eastAsia="lv-LV"/>
              </w:rPr>
              <w:t>pasākumus pensijas vecuma personām, kas samazinās pensijas vecuma personu skaitu GMI pabalsta saņēmēju vidū, GMI pabalsta saņēmēju skaits kopā tiek prognozēts  </w:t>
            </w:r>
            <w:r w:rsidRPr="004634A7">
              <w:rPr>
                <w:rFonts w:eastAsia="Times New Roman" w:cs="Times New Roman"/>
                <w:b/>
                <w:lang w:eastAsia="lv-LV"/>
              </w:rPr>
              <w:t>26 759 personas</w:t>
            </w:r>
            <w:r w:rsidRPr="004634A7">
              <w:rPr>
                <w:rFonts w:eastAsia="Times New Roman" w:cs="Times New Roman"/>
                <w:lang w:eastAsia="lv-LV"/>
              </w:rPr>
              <w:t>. Nepieciešamais finansējums 2021.gadā:  </w:t>
            </w:r>
            <w:r w:rsidRPr="004634A7">
              <w:rPr>
                <w:rFonts w:cs="Times New Roman"/>
                <w:b/>
                <w:bCs/>
              </w:rPr>
              <w:t>13 167 530</w:t>
            </w:r>
            <w:r w:rsidRPr="004634A7">
              <w:rPr>
                <w:rFonts w:eastAsia="Times New Roman" w:cs="Times New Roman"/>
                <w:lang w:eastAsia="lv-LV"/>
              </w:rPr>
              <w:t xml:space="preserve"> </w:t>
            </w:r>
            <w:r w:rsidRPr="004634A7">
              <w:rPr>
                <w:rFonts w:eastAsia="Times New Roman" w:cs="Times New Roman"/>
                <w:b/>
                <w:i/>
                <w:lang w:eastAsia="lv-LV"/>
              </w:rPr>
              <w:t>euro</w:t>
            </w:r>
            <w:r w:rsidRPr="004634A7">
              <w:rPr>
                <w:rFonts w:eastAsia="Times New Roman" w:cs="Times New Roman"/>
                <w:i/>
                <w:lang w:eastAsia="lv-LV"/>
              </w:rPr>
              <w:t xml:space="preserve">. </w:t>
            </w:r>
            <w:r w:rsidRPr="004634A7">
              <w:rPr>
                <w:rFonts w:eastAsia="Times New Roman" w:cs="Times New Roman"/>
                <w:lang w:eastAsia="lv-LV"/>
              </w:rPr>
              <w:t>kas aprēķināts šādi:</w:t>
            </w:r>
            <w:r w:rsidRPr="004634A7">
              <w:t xml:space="preserve"> </w:t>
            </w:r>
          </w:p>
          <w:p w14:paraId="314CD902" w14:textId="77777777" w:rsidR="000A660F" w:rsidRPr="004634A7" w:rsidRDefault="000A660F" w:rsidP="003309D5">
            <w:pPr>
              <w:spacing w:after="0" w:line="240" w:lineRule="auto"/>
              <w:jc w:val="both"/>
              <w:rPr>
                <w:rFonts w:eastAsia="Times New Roman" w:cs="Times New Roman"/>
                <w:i/>
                <w:lang w:eastAsia="lv-LV"/>
              </w:rPr>
            </w:pPr>
            <w:r w:rsidRPr="004634A7">
              <w:rPr>
                <w:rFonts w:eastAsia="Times New Roman" w:cs="Times New Roman"/>
                <w:lang w:eastAsia="lv-LV"/>
              </w:rPr>
              <w:t xml:space="preserve">18 160 pirmās personas mājsaimniecībā – izlietotie līdzekļi gadā = 9 939 896 </w:t>
            </w:r>
            <w:r w:rsidRPr="004634A7">
              <w:rPr>
                <w:rFonts w:eastAsia="Times New Roman" w:cs="Times New Roman"/>
                <w:i/>
                <w:lang w:eastAsia="lv-LV"/>
              </w:rPr>
              <w:t>euro;</w:t>
            </w:r>
          </w:p>
          <w:p w14:paraId="6C2DF618" w14:textId="77777777" w:rsidR="000A660F" w:rsidRPr="004634A7" w:rsidRDefault="000A660F" w:rsidP="003309D5">
            <w:pPr>
              <w:spacing w:after="0" w:line="240" w:lineRule="auto"/>
              <w:jc w:val="both"/>
              <w:rPr>
                <w:rFonts w:eastAsia="Times New Roman" w:cs="Times New Roman"/>
                <w:lang w:eastAsia="lv-LV"/>
              </w:rPr>
            </w:pPr>
            <w:r w:rsidRPr="004634A7">
              <w:rPr>
                <w:rFonts w:eastAsia="Times New Roman" w:cs="Times New Roman"/>
                <w:lang w:eastAsia="lv-LV"/>
              </w:rPr>
              <w:t xml:space="preserve">8 599 pārējās personas mājsaimniecības </w:t>
            </w:r>
            <w:r>
              <w:rPr>
                <w:rFonts w:eastAsia="Times New Roman" w:cs="Times New Roman"/>
                <w:lang w:eastAsia="lv-LV"/>
              </w:rPr>
              <w:t>–</w:t>
            </w:r>
            <w:r w:rsidRPr="004634A7">
              <w:rPr>
                <w:rFonts w:eastAsia="Times New Roman" w:cs="Times New Roman"/>
                <w:lang w:eastAsia="lv-LV"/>
              </w:rPr>
              <w:t xml:space="preserve"> izlietotie</w:t>
            </w:r>
            <w:r>
              <w:rPr>
                <w:rFonts w:eastAsia="Times New Roman" w:cs="Times New Roman"/>
                <w:lang w:eastAsia="lv-LV"/>
              </w:rPr>
              <w:t xml:space="preserve"> </w:t>
            </w:r>
            <w:r w:rsidRPr="004634A7">
              <w:rPr>
                <w:rFonts w:eastAsia="Times New Roman" w:cs="Times New Roman"/>
                <w:lang w:eastAsia="lv-LV"/>
              </w:rPr>
              <w:t xml:space="preserve">līdzekļi gadā = 3 227 633 </w:t>
            </w:r>
            <w:r w:rsidRPr="004634A7">
              <w:rPr>
                <w:rFonts w:eastAsia="Times New Roman" w:cs="Times New Roman"/>
                <w:i/>
                <w:lang w:eastAsia="lv-LV"/>
              </w:rPr>
              <w:t>euro</w:t>
            </w:r>
            <w:r w:rsidRPr="004634A7">
              <w:rPr>
                <w:rFonts w:eastAsia="Times New Roman" w:cs="Times New Roman"/>
                <w:lang w:eastAsia="lv-LV"/>
              </w:rPr>
              <w:t xml:space="preserve">. </w:t>
            </w:r>
          </w:p>
          <w:p w14:paraId="3A46E4CA" w14:textId="77777777" w:rsidR="000A660F" w:rsidRPr="004634A7" w:rsidRDefault="000A660F" w:rsidP="003309D5">
            <w:pPr>
              <w:spacing w:after="0" w:line="240" w:lineRule="auto"/>
              <w:jc w:val="both"/>
              <w:rPr>
                <w:rFonts w:eastAsia="Times New Roman" w:cs="Times New Roman"/>
                <w:lang w:eastAsia="lv-LV"/>
              </w:rPr>
            </w:pPr>
          </w:p>
          <w:p w14:paraId="4CC3ECC7" w14:textId="77777777" w:rsidR="000A660F" w:rsidRPr="004634A7" w:rsidRDefault="000A660F" w:rsidP="003309D5">
            <w:pPr>
              <w:spacing w:after="0" w:line="240" w:lineRule="auto"/>
              <w:jc w:val="both"/>
              <w:rPr>
                <w:rFonts w:eastAsia="Times New Roman" w:cs="Times New Roman"/>
                <w:lang w:eastAsia="lv-LV"/>
              </w:rPr>
            </w:pPr>
            <w:r w:rsidRPr="004634A7">
              <w:rPr>
                <w:rFonts w:eastAsia="Times New Roman" w:cs="Times New Roman"/>
                <w:b/>
                <w:shd w:val="clear" w:color="auto" w:fill="FFFFFF" w:themeFill="background1"/>
                <w:lang w:eastAsia="lv-LV"/>
              </w:rPr>
              <w:t>2022.gadā</w:t>
            </w:r>
            <w:r w:rsidRPr="004634A7">
              <w:rPr>
                <w:rFonts w:eastAsia="Times New Roman" w:cs="Times New Roman"/>
                <w:lang w:eastAsia="lv-LV"/>
              </w:rPr>
              <w:t xml:space="preserve"> attiecībā uz GMI </w:t>
            </w:r>
            <w:r>
              <w:rPr>
                <w:rFonts w:eastAsia="Times New Roman" w:cs="Times New Roman"/>
                <w:lang w:eastAsia="lv-LV"/>
              </w:rPr>
              <w:t>sliekšņa apmēru</w:t>
            </w:r>
            <w:r w:rsidRPr="004634A7">
              <w:rPr>
                <w:rFonts w:eastAsia="Times New Roman" w:cs="Times New Roman"/>
                <w:lang w:eastAsia="lv-LV"/>
              </w:rPr>
              <w:t xml:space="preserve"> </w:t>
            </w:r>
            <w:r>
              <w:rPr>
                <w:rFonts w:eastAsia="Times New Roman" w:cs="Times New Roman"/>
                <w:lang w:eastAsia="lv-LV"/>
              </w:rPr>
              <w:t>izmaiņas netiek plānotas</w:t>
            </w:r>
            <w:r w:rsidRPr="004634A7">
              <w:rPr>
                <w:rFonts w:eastAsia="Times New Roman" w:cs="Times New Roman"/>
                <w:lang w:eastAsia="lv-LV"/>
              </w:rPr>
              <w:t xml:space="preserve">, tāpēc GMI pabalsta saņēmēju skaits samazināsies, kas tiek prognozēts - </w:t>
            </w:r>
            <w:r w:rsidRPr="004634A7">
              <w:rPr>
                <w:rFonts w:eastAsia="Times New Roman" w:cs="Times New Roman"/>
                <w:b/>
                <w:lang w:eastAsia="lv-LV"/>
              </w:rPr>
              <w:t>25 694 personas</w:t>
            </w:r>
            <w:r w:rsidRPr="004634A7">
              <w:rPr>
                <w:rFonts w:eastAsia="Times New Roman" w:cs="Times New Roman"/>
                <w:lang w:eastAsia="lv-LV"/>
              </w:rPr>
              <w:t>.</w:t>
            </w:r>
          </w:p>
          <w:p w14:paraId="135F6E81" w14:textId="77777777" w:rsidR="000A660F" w:rsidRPr="004634A7" w:rsidRDefault="000A660F" w:rsidP="003309D5">
            <w:pPr>
              <w:spacing w:after="0" w:line="240" w:lineRule="auto"/>
              <w:jc w:val="both"/>
              <w:rPr>
                <w:rFonts w:eastAsia="Times New Roman" w:cs="Times New Roman"/>
                <w:lang w:eastAsia="lv-LV"/>
              </w:rPr>
            </w:pPr>
            <w:r w:rsidRPr="004634A7">
              <w:rPr>
                <w:rFonts w:eastAsia="Times New Roman" w:cs="Times New Roman"/>
                <w:lang w:eastAsia="lv-LV"/>
              </w:rPr>
              <w:t>Nepieciešamais finansējums 2022.gadā:  </w:t>
            </w:r>
            <w:r w:rsidRPr="004634A7">
              <w:rPr>
                <w:rFonts w:cs="Times New Roman"/>
                <w:b/>
                <w:bCs/>
              </w:rPr>
              <w:t>12 641 513</w:t>
            </w:r>
            <w:r w:rsidRPr="004634A7">
              <w:rPr>
                <w:rFonts w:eastAsia="Times New Roman" w:cs="Times New Roman"/>
                <w:lang w:eastAsia="lv-LV"/>
              </w:rPr>
              <w:t xml:space="preserve"> </w:t>
            </w:r>
            <w:r w:rsidRPr="004634A7">
              <w:rPr>
                <w:rFonts w:eastAsia="Times New Roman" w:cs="Times New Roman"/>
                <w:b/>
                <w:i/>
                <w:lang w:eastAsia="lv-LV"/>
              </w:rPr>
              <w:t>euro</w:t>
            </w:r>
            <w:r w:rsidRPr="004634A7">
              <w:rPr>
                <w:rFonts w:eastAsia="Times New Roman" w:cs="Times New Roman"/>
                <w:lang w:eastAsia="lv-LV"/>
              </w:rPr>
              <w:t>, kas aprēķināts šādi:</w:t>
            </w:r>
            <w:r w:rsidRPr="004634A7">
              <w:t xml:space="preserve"> </w:t>
            </w:r>
          </w:p>
          <w:p w14:paraId="4F1F0708" w14:textId="77777777" w:rsidR="000A660F" w:rsidRPr="004634A7" w:rsidRDefault="000A660F" w:rsidP="003309D5">
            <w:pPr>
              <w:spacing w:after="0" w:line="240" w:lineRule="auto"/>
              <w:jc w:val="both"/>
              <w:rPr>
                <w:rFonts w:eastAsia="Times New Roman" w:cs="Times New Roman"/>
                <w:lang w:eastAsia="lv-LV"/>
              </w:rPr>
            </w:pPr>
            <w:r w:rsidRPr="004634A7">
              <w:rPr>
                <w:rFonts w:eastAsia="Times New Roman" w:cs="Times New Roman"/>
                <w:lang w:eastAsia="lv-LV"/>
              </w:rPr>
              <w:t>17 437 pirmās personas mājsaimniecībā – izlietotie līdzekļi gadā = 9 542</w:t>
            </w:r>
            <w:r>
              <w:rPr>
                <w:rFonts w:eastAsia="Times New Roman" w:cs="Times New Roman"/>
                <w:lang w:eastAsia="lv-LV"/>
              </w:rPr>
              <w:t> </w:t>
            </w:r>
            <w:r w:rsidRPr="004634A7">
              <w:rPr>
                <w:rFonts w:eastAsia="Times New Roman" w:cs="Times New Roman"/>
                <w:lang w:eastAsia="lv-LV"/>
              </w:rPr>
              <w:t>509</w:t>
            </w:r>
            <w:r>
              <w:rPr>
                <w:rFonts w:eastAsia="Times New Roman" w:cs="Times New Roman"/>
                <w:lang w:eastAsia="lv-LV"/>
              </w:rPr>
              <w:t xml:space="preserve"> </w:t>
            </w:r>
            <w:r w:rsidRPr="004634A7">
              <w:rPr>
                <w:rFonts w:eastAsia="Times New Roman" w:cs="Times New Roman"/>
                <w:i/>
                <w:lang w:eastAsia="lv-LV"/>
              </w:rPr>
              <w:t>euro</w:t>
            </w:r>
            <w:r w:rsidRPr="004634A7">
              <w:rPr>
                <w:rFonts w:eastAsia="Times New Roman" w:cs="Times New Roman"/>
                <w:lang w:eastAsia="lv-LV"/>
              </w:rPr>
              <w:t>;</w:t>
            </w:r>
          </w:p>
          <w:p w14:paraId="745D9246" w14:textId="77777777" w:rsidR="000A660F" w:rsidRPr="004634A7" w:rsidRDefault="000A660F" w:rsidP="003309D5">
            <w:pPr>
              <w:tabs>
                <w:tab w:val="left" w:pos="10620"/>
              </w:tabs>
              <w:spacing w:after="0" w:line="240" w:lineRule="auto"/>
              <w:jc w:val="both"/>
              <w:rPr>
                <w:rFonts w:eastAsia="Times New Roman" w:cs="Times New Roman"/>
                <w:lang w:eastAsia="lv-LV"/>
              </w:rPr>
            </w:pPr>
            <w:r w:rsidRPr="004634A7">
              <w:rPr>
                <w:rFonts w:eastAsia="Times New Roman" w:cs="Times New Roman"/>
                <w:lang w:eastAsia="lv-LV"/>
              </w:rPr>
              <w:t xml:space="preserve">8 257 pārējās personas mājsaimniecības izlietotie līdzekļi gadā = 3 099 004 </w:t>
            </w:r>
            <w:r w:rsidRPr="004634A7">
              <w:rPr>
                <w:rFonts w:eastAsia="Times New Roman" w:cs="Times New Roman"/>
                <w:i/>
                <w:lang w:eastAsia="lv-LV"/>
              </w:rPr>
              <w:t>euro.</w:t>
            </w:r>
            <w:r w:rsidRPr="004634A7">
              <w:rPr>
                <w:rFonts w:eastAsia="Times New Roman" w:cs="Times New Roman"/>
                <w:lang w:eastAsia="lv-LV"/>
              </w:rPr>
              <w:t xml:space="preserve"> </w:t>
            </w:r>
          </w:p>
          <w:p w14:paraId="44C17580" w14:textId="77777777" w:rsidR="000A660F" w:rsidRPr="004634A7" w:rsidRDefault="000A660F" w:rsidP="003309D5">
            <w:pPr>
              <w:tabs>
                <w:tab w:val="left" w:pos="10620"/>
              </w:tabs>
              <w:spacing w:after="0" w:line="240" w:lineRule="auto"/>
              <w:jc w:val="both"/>
              <w:rPr>
                <w:rFonts w:eastAsia="Times New Roman" w:cs="Times New Roman"/>
                <w:lang w:eastAsia="lv-LV"/>
              </w:rPr>
            </w:pPr>
          </w:p>
          <w:p w14:paraId="4CC582E5" w14:textId="77777777" w:rsidR="000A660F" w:rsidRPr="004634A7"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r w:rsidRPr="004634A7">
              <w:rPr>
                <w:rFonts w:eastAsia="Times New Roman" w:cs="Times New Roman"/>
                <w:b/>
                <w:shd w:val="clear" w:color="auto" w:fill="FFFFFF" w:themeFill="background1"/>
                <w:lang w:eastAsia="lv-LV"/>
              </w:rPr>
              <w:t>2023.gadā</w:t>
            </w:r>
            <w:r w:rsidRPr="004634A7">
              <w:t xml:space="preserve"> </w:t>
            </w:r>
            <w:r w:rsidRPr="004634A7">
              <w:rPr>
                <w:rFonts w:eastAsia="Times New Roman" w:cs="Times New Roman"/>
                <w:shd w:val="clear" w:color="auto" w:fill="FFFFFF" w:themeFill="background1"/>
                <w:lang w:eastAsia="lv-LV"/>
              </w:rPr>
              <w:t xml:space="preserve">ņemot vērā, ka GMI slieksnis pirmajai personai tiek noteikts 122 </w:t>
            </w:r>
            <w:r w:rsidRPr="004634A7">
              <w:rPr>
                <w:rFonts w:eastAsia="Times New Roman" w:cs="Times New Roman"/>
                <w:i/>
                <w:shd w:val="clear" w:color="auto" w:fill="FFFFFF" w:themeFill="background1"/>
                <w:lang w:eastAsia="lv-LV"/>
              </w:rPr>
              <w:t>euro</w:t>
            </w:r>
            <w:r w:rsidRPr="004634A7">
              <w:rPr>
                <w:rFonts w:eastAsia="Times New Roman" w:cs="Times New Roman"/>
                <w:shd w:val="clear" w:color="auto" w:fill="FFFFFF" w:themeFill="background1"/>
                <w:lang w:eastAsia="lv-LV"/>
              </w:rPr>
              <w:t xml:space="preserve">; parējām personām mājsaimniecībā, nosakot GMI slieksni, tiek piemērots koeficients 0,7, t.i., GMI slieksni veido 85 </w:t>
            </w:r>
            <w:r w:rsidRPr="004634A7">
              <w:rPr>
                <w:rFonts w:eastAsia="Times New Roman" w:cs="Times New Roman"/>
                <w:i/>
                <w:shd w:val="clear" w:color="auto" w:fill="FFFFFF" w:themeFill="background1"/>
                <w:lang w:eastAsia="lv-LV"/>
              </w:rPr>
              <w:t>euro</w:t>
            </w:r>
            <w:r w:rsidRPr="004634A7">
              <w:rPr>
                <w:rFonts w:eastAsia="Times New Roman" w:cs="Times New Roman"/>
                <w:shd w:val="clear" w:color="auto" w:fill="FFFFFF" w:themeFill="background1"/>
                <w:lang w:eastAsia="lv-LV"/>
              </w:rPr>
              <w:t xml:space="preserve">, GMI pabalsta saņēmēju skaits kopā tiek prognozēts  </w:t>
            </w:r>
            <w:r w:rsidRPr="004634A7">
              <w:rPr>
                <w:rFonts w:eastAsia="Times New Roman" w:cs="Times New Roman"/>
                <w:b/>
                <w:shd w:val="clear" w:color="auto" w:fill="FFFFFF" w:themeFill="background1"/>
                <w:lang w:eastAsia="lv-LV"/>
              </w:rPr>
              <w:t>29 232 personas</w:t>
            </w:r>
            <w:r w:rsidRPr="004634A7">
              <w:rPr>
                <w:rFonts w:eastAsia="Times New Roman" w:cs="Times New Roman"/>
                <w:shd w:val="clear" w:color="auto" w:fill="FFFFFF" w:themeFill="background1"/>
                <w:lang w:eastAsia="lv-LV"/>
              </w:rPr>
              <w:t xml:space="preserve">. Nepieciešamais finansējums 2023.gadā:  </w:t>
            </w:r>
            <w:r w:rsidRPr="004634A7">
              <w:rPr>
                <w:rFonts w:eastAsia="Times New Roman" w:cs="Times New Roman"/>
                <w:b/>
                <w:shd w:val="clear" w:color="auto" w:fill="FFFFFF" w:themeFill="background1"/>
                <w:lang w:eastAsia="lv-LV"/>
              </w:rPr>
              <w:t xml:space="preserve">16 054 331 </w:t>
            </w:r>
            <w:r w:rsidRPr="004634A7">
              <w:rPr>
                <w:rFonts w:eastAsia="Times New Roman" w:cs="Times New Roman"/>
                <w:b/>
                <w:i/>
                <w:shd w:val="clear" w:color="auto" w:fill="FFFFFF" w:themeFill="background1"/>
                <w:lang w:eastAsia="lv-LV"/>
              </w:rPr>
              <w:t>euro</w:t>
            </w:r>
            <w:r w:rsidRPr="004634A7">
              <w:rPr>
                <w:rFonts w:eastAsia="Times New Roman" w:cs="Times New Roman"/>
                <w:b/>
                <w:shd w:val="clear" w:color="auto" w:fill="FFFFFF" w:themeFill="background1"/>
                <w:lang w:eastAsia="lv-LV"/>
              </w:rPr>
              <w:t>,</w:t>
            </w:r>
            <w:r w:rsidRPr="004634A7">
              <w:rPr>
                <w:rFonts w:eastAsia="Times New Roman" w:cs="Times New Roman"/>
                <w:shd w:val="clear" w:color="auto" w:fill="FFFFFF" w:themeFill="background1"/>
                <w:lang w:eastAsia="lv-LV"/>
              </w:rPr>
              <w:t xml:space="preserve"> kas aprēķināts šādi: </w:t>
            </w:r>
          </w:p>
          <w:p w14:paraId="503B6B66" w14:textId="77777777" w:rsidR="000A660F" w:rsidRPr="004634A7"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r w:rsidRPr="004634A7">
              <w:rPr>
                <w:rFonts w:eastAsia="Times New Roman" w:cs="Times New Roman"/>
                <w:shd w:val="clear" w:color="auto" w:fill="FFFFFF" w:themeFill="background1"/>
                <w:lang w:eastAsia="lv-LV"/>
              </w:rPr>
              <w:t xml:space="preserve">19 814 </w:t>
            </w:r>
            <w:r w:rsidRPr="004634A7">
              <w:rPr>
                <w:rFonts w:eastAsia="Times New Roman" w:cs="Times New Roman"/>
                <w:lang w:eastAsia="lv-LV"/>
              </w:rPr>
              <w:t>pirmās personas mājsaimniecībā – izlietotie līdzekļi gadā = 12 109 275</w:t>
            </w:r>
            <w:r w:rsidRPr="004634A7">
              <w:rPr>
                <w:rFonts w:eastAsia="Times New Roman" w:cs="Times New Roman"/>
                <w:i/>
                <w:shd w:val="clear" w:color="auto" w:fill="FFFFFF" w:themeFill="background1"/>
                <w:lang w:eastAsia="lv-LV"/>
              </w:rPr>
              <w:t xml:space="preserve"> euro</w:t>
            </w:r>
            <w:r w:rsidRPr="004634A7">
              <w:rPr>
                <w:rFonts w:eastAsia="Times New Roman" w:cs="Times New Roman"/>
                <w:lang w:eastAsia="lv-LV"/>
              </w:rPr>
              <w:t>;</w:t>
            </w:r>
          </w:p>
          <w:p w14:paraId="12940A97" w14:textId="77777777" w:rsidR="000A660F" w:rsidRPr="004634A7"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r w:rsidRPr="004634A7">
              <w:rPr>
                <w:rFonts w:eastAsia="Times New Roman" w:cs="Times New Roman"/>
                <w:shd w:val="clear" w:color="auto" w:fill="FFFFFF" w:themeFill="background1"/>
                <w:lang w:eastAsia="lv-LV"/>
              </w:rPr>
              <w:t xml:space="preserve">9 418 pārējās personas mājsaimniecības izlietotie līdzekļi gadā = 3 945 057 </w:t>
            </w:r>
            <w:r w:rsidRPr="004634A7">
              <w:rPr>
                <w:rFonts w:eastAsia="Times New Roman" w:cs="Times New Roman"/>
                <w:i/>
                <w:shd w:val="clear" w:color="auto" w:fill="FFFFFF" w:themeFill="background1"/>
                <w:lang w:eastAsia="lv-LV"/>
              </w:rPr>
              <w:t>euro</w:t>
            </w:r>
            <w:r w:rsidRPr="004634A7">
              <w:rPr>
                <w:rFonts w:eastAsia="Times New Roman" w:cs="Times New Roman"/>
                <w:shd w:val="clear" w:color="auto" w:fill="FFFFFF" w:themeFill="background1"/>
                <w:lang w:eastAsia="lv-LV"/>
              </w:rPr>
              <w:t xml:space="preserve">.  </w:t>
            </w:r>
          </w:p>
          <w:p w14:paraId="5466F0DC" w14:textId="77777777" w:rsidR="000A660F" w:rsidRPr="004634A7"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p>
          <w:p w14:paraId="0C3315FF" w14:textId="77777777" w:rsidR="000A660F" w:rsidRPr="004634A7"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r w:rsidRPr="004634A7">
              <w:rPr>
                <w:rFonts w:eastAsia="Times New Roman" w:cs="Times New Roman"/>
                <w:b/>
                <w:shd w:val="clear" w:color="auto" w:fill="FFFFFF" w:themeFill="background1"/>
                <w:lang w:eastAsia="lv-LV"/>
              </w:rPr>
              <w:t>2024.gadā</w:t>
            </w:r>
            <w:r w:rsidRPr="004634A7">
              <w:t xml:space="preserve"> </w:t>
            </w:r>
            <w:r w:rsidRPr="004634A7">
              <w:rPr>
                <w:rFonts w:eastAsia="Times New Roman" w:cs="Times New Roman"/>
                <w:shd w:val="clear" w:color="auto" w:fill="FFFFFF" w:themeFill="background1"/>
                <w:lang w:eastAsia="lv-LV"/>
              </w:rPr>
              <w:t xml:space="preserve">ņemot vērā, ka GMI slieksnis pirmajai personai tiek noteikts 127 </w:t>
            </w:r>
            <w:r w:rsidRPr="004634A7">
              <w:rPr>
                <w:rFonts w:eastAsia="Times New Roman" w:cs="Times New Roman"/>
                <w:i/>
                <w:shd w:val="clear" w:color="auto" w:fill="FFFFFF" w:themeFill="background1"/>
                <w:lang w:eastAsia="lv-LV"/>
              </w:rPr>
              <w:t>euro</w:t>
            </w:r>
            <w:r w:rsidRPr="004634A7">
              <w:rPr>
                <w:rFonts w:eastAsia="Times New Roman" w:cs="Times New Roman"/>
                <w:shd w:val="clear" w:color="auto" w:fill="FFFFFF" w:themeFill="background1"/>
                <w:lang w:eastAsia="lv-LV"/>
              </w:rPr>
              <w:t xml:space="preserve">; parējām personām mājsaimniecībā, nosakot GMI slieksni, tiek piemērots koeficients 0,7, t.i., GMI slieksni veido 89 </w:t>
            </w:r>
            <w:r w:rsidRPr="004634A7">
              <w:rPr>
                <w:rFonts w:eastAsia="Times New Roman" w:cs="Times New Roman"/>
                <w:i/>
                <w:shd w:val="clear" w:color="auto" w:fill="FFFFFF" w:themeFill="background1"/>
                <w:lang w:eastAsia="lv-LV"/>
              </w:rPr>
              <w:t>euro</w:t>
            </w:r>
            <w:r w:rsidRPr="004634A7">
              <w:rPr>
                <w:rFonts w:eastAsia="Times New Roman" w:cs="Times New Roman"/>
                <w:shd w:val="clear" w:color="auto" w:fill="FFFFFF" w:themeFill="background1"/>
                <w:lang w:eastAsia="lv-LV"/>
              </w:rPr>
              <w:t xml:space="preserve">, GMI pabalsta saņēmēju skaits kopā tiek prognozēts </w:t>
            </w:r>
            <w:r w:rsidRPr="004634A7">
              <w:rPr>
                <w:rFonts w:eastAsia="Times New Roman" w:cs="Times New Roman"/>
                <w:b/>
                <w:shd w:val="clear" w:color="auto" w:fill="FFFFFF" w:themeFill="background1"/>
                <w:lang w:eastAsia="lv-LV"/>
              </w:rPr>
              <w:t>30 207 personas</w:t>
            </w:r>
            <w:r w:rsidRPr="004634A7">
              <w:rPr>
                <w:rFonts w:eastAsia="Times New Roman" w:cs="Times New Roman"/>
                <w:shd w:val="clear" w:color="auto" w:fill="FFFFFF" w:themeFill="background1"/>
                <w:lang w:eastAsia="lv-LV"/>
              </w:rPr>
              <w:t xml:space="preserve">. Nepieciešamais finansējums 2024.gadā:  </w:t>
            </w:r>
            <w:r w:rsidRPr="004634A7">
              <w:rPr>
                <w:rFonts w:eastAsia="Times New Roman" w:cs="Times New Roman"/>
                <w:b/>
                <w:shd w:val="clear" w:color="auto" w:fill="FFFFFF" w:themeFill="background1"/>
                <w:lang w:eastAsia="lv-LV"/>
              </w:rPr>
              <w:t xml:space="preserve">17 237 756 </w:t>
            </w:r>
            <w:r w:rsidRPr="004634A7">
              <w:rPr>
                <w:rFonts w:eastAsia="Times New Roman" w:cs="Times New Roman"/>
                <w:b/>
                <w:i/>
                <w:shd w:val="clear" w:color="auto" w:fill="FFFFFF" w:themeFill="background1"/>
                <w:lang w:eastAsia="lv-LV"/>
              </w:rPr>
              <w:t>euro</w:t>
            </w:r>
            <w:r w:rsidRPr="004634A7">
              <w:rPr>
                <w:rFonts w:eastAsia="Times New Roman" w:cs="Times New Roman"/>
                <w:shd w:val="clear" w:color="auto" w:fill="FFFFFF" w:themeFill="background1"/>
                <w:lang w:eastAsia="lv-LV"/>
              </w:rPr>
              <w:t xml:space="preserve">, kas aprēķināts šādi: </w:t>
            </w:r>
          </w:p>
          <w:p w14:paraId="1EDF8499" w14:textId="77777777" w:rsidR="000A660F" w:rsidRPr="004634A7"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r w:rsidRPr="004634A7">
              <w:rPr>
                <w:rFonts w:eastAsia="Times New Roman" w:cs="Times New Roman"/>
                <w:lang w:eastAsia="lv-LV"/>
              </w:rPr>
              <w:t xml:space="preserve">20 452 pirmās personas mājsaimniecībā – izlietotie līdzekļi gadā = 12 968 847 </w:t>
            </w:r>
            <w:r w:rsidRPr="004634A7">
              <w:rPr>
                <w:rFonts w:eastAsia="Times New Roman" w:cs="Times New Roman"/>
                <w:i/>
                <w:lang w:eastAsia="lv-LV"/>
              </w:rPr>
              <w:t>euro</w:t>
            </w:r>
            <w:r w:rsidRPr="004634A7">
              <w:rPr>
                <w:rFonts w:eastAsia="Times New Roman" w:cs="Times New Roman"/>
                <w:lang w:eastAsia="lv-LV"/>
              </w:rPr>
              <w:t>;</w:t>
            </w:r>
          </w:p>
          <w:p w14:paraId="7FEE9474" w14:textId="77777777" w:rsidR="000A660F" w:rsidRPr="004634A7"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r w:rsidRPr="004634A7">
              <w:rPr>
                <w:rFonts w:eastAsia="Times New Roman" w:cs="Times New Roman"/>
                <w:shd w:val="clear" w:color="auto" w:fill="FFFFFF" w:themeFill="background1"/>
                <w:lang w:eastAsia="lv-LV"/>
              </w:rPr>
              <w:t xml:space="preserve">9 755 pārējās personas mājsaimniecības izlietotie līdzekļi gadā = 4 268 910 </w:t>
            </w:r>
            <w:r w:rsidRPr="004634A7">
              <w:rPr>
                <w:rFonts w:eastAsia="Times New Roman" w:cs="Times New Roman"/>
                <w:i/>
                <w:shd w:val="clear" w:color="auto" w:fill="FFFFFF" w:themeFill="background1"/>
                <w:lang w:eastAsia="lv-LV"/>
              </w:rPr>
              <w:t>euro.</w:t>
            </w:r>
            <w:r w:rsidRPr="004634A7">
              <w:rPr>
                <w:rFonts w:eastAsia="Times New Roman" w:cs="Times New Roman"/>
                <w:shd w:val="clear" w:color="auto" w:fill="FFFFFF" w:themeFill="background1"/>
                <w:lang w:eastAsia="lv-LV"/>
              </w:rPr>
              <w:t xml:space="preserve">  </w:t>
            </w:r>
          </w:p>
          <w:p w14:paraId="7EC23327" w14:textId="77777777" w:rsidR="000A660F" w:rsidRDefault="000A660F" w:rsidP="003309D5">
            <w:pPr>
              <w:tabs>
                <w:tab w:val="left" w:pos="10620"/>
              </w:tabs>
              <w:spacing w:after="0" w:line="240" w:lineRule="auto"/>
              <w:jc w:val="both"/>
              <w:rPr>
                <w:rFonts w:eastAsia="Times New Roman" w:cs="Times New Roman"/>
                <w:lang w:eastAsia="lv-LV"/>
              </w:rPr>
            </w:pPr>
          </w:p>
          <w:p w14:paraId="48FE01B8" w14:textId="77777777" w:rsidR="000A660F" w:rsidRPr="004634A7" w:rsidRDefault="000A660F" w:rsidP="003309D5">
            <w:pPr>
              <w:spacing w:after="0" w:line="240" w:lineRule="auto"/>
              <w:jc w:val="both"/>
              <w:rPr>
                <w:rFonts w:eastAsia="Times New Roman" w:cs="Times New Roman"/>
                <w:lang w:eastAsia="lv-LV"/>
              </w:rPr>
            </w:pPr>
            <w:r w:rsidRPr="004634A7">
              <w:rPr>
                <w:rFonts w:eastAsia="Times New Roman" w:cs="Times New Roman"/>
                <w:lang w:eastAsia="lv-LV"/>
              </w:rPr>
              <w:t>Tabula Nr.3.3. GMI pabalsta saņēmēju skaita dinamika un finansējums 2016. – 2024.gadā.</w:t>
            </w:r>
          </w:p>
          <w:tbl>
            <w:tblPr>
              <w:tblW w:w="12676" w:type="dxa"/>
              <w:tblLayout w:type="fixed"/>
              <w:tblLook w:val="04A0" w:firstRow="1" w:lastRow="0" w:firstColumn="1" w:lastColumn="0" w:noHBand="0" w:noVBand="1"/>
            </w:tblPr>
            <w:tblGrid>
              <w:gridCol w:w="2465"/>
              <w:gridCol w:w="1139"/>
              <w:gridCol w:w="1134"/>
              <w:gridCol w:w="992"/>
              <w:gridCol w:w="1134"/>
              <w:gridCol w:w="1134"/>
              <w:gridCol w:w="1134"/>
              <w:gridCol w:w="1276"/>
              <w:gridCol w:w="1134"/>
              <w:gridCol w:w="1134"/>
            </w:tblGrid>
            <w:tr w:rsidR="000A660F" w:rsidRPr="00740EB0" w14:paraId="050557B6" w14:textId="77777777" w:rsidTr="003309D5">
              <w:trPr>
                <w:trHeight w:val="290"/>
              </w:trPr>
              <w:tc>
                <w:tcPr>
                  <w:tcW w:w="2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4CACE" w14:textId="77777777" w:rsidR="000A660F" w:rsidRPr="00740EB0" w:rsidRDefault="000A660F" w:rsidP="003309D5">
                  <w:pPr>
                    <w:spacing w:after="0" w:line="240" w:lineRule="auto"/>
                    <w:jc w:val="center"/>
                    <w:rPr>
                      <w:rFonts w:eastAsia="Times New Roman" w:cs="Times New Roman"/>
                      <w:sz w:val="18"/>
                      <w:szCs w:val="18"/>
                      <w:lang w:eastAsia="lv-LV"/>
                    </w:rPr>
                  </w:pPr>
                  <w:r w:rsidRPr="00740EB0">
                    <w:rPr>
                      <w:rFonts w:eastAsia="Times New Roman" w:cs="Times New Roman"/>
                      <w:sz w:val="18"/>
                      <w:szCs w:val="18"/>
                      <w:lang w:eastAsia="lv-LV"/>
                    </w:rPr>
                    <w:t>Indikatori</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0E352E4F"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2016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93E4EA3"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2017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65B970F"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2018</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2BEFE1B"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2019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4271B9D"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B5B2CA7"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3CCDB9B"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2022</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14:paraId="4511BA73"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AB241"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2024</w:t>
                  </w:r>
                </w:p>
              </w:tc>
            </w:tr>
            <w:tr w:rsidR="000A660F" w:rsidRPr="00740EB0" w14:paraId="40B73C58" w14:textId="77777777" w:rsidTr="003309D5">
              <w:trPr>
                <w:trHeight w:val="392"/>
              </w:trPr>
              <w:tc>
                <w:tcPr>
                  <w:tcW w:w="2465" w:type="dxa"/>
                  <w:vMerge/>
                  <w:tcBorders>
                    <w:top w:val="single" w:sz="8" w:space="0" w:color="auto"/>
                    <w:left w:val="single" w:sz="4" w:space="0" w:color="auto"/>
                    <w:bottom w:val="single" w:sz="4" w:space="0" w:color="auto"/>
                    <w:right w:val="single" w:sz="4" w:space="0" w:color="auto"/>
                  </w:tcBorders>
                  <w:vAlign w:val="center"/>
                  <w:hideMark/>
                </w:tcPr>
                <w:p w14:paraId="39028A67" w14:textId="77777777" w:rsidR="000A660F" w:rsidRPr="00740EB0" w:rsidRDefault="000A660F" w:rsidP="003309D5">
                  <w:pPr>
                    <w:spacing w:after="0" w:line="240" w:lineRule="auto"/>
                    <w:rPr>
                      <w:rFonts w:eastAsia="Times New Roman" w:cs="Times New Roman"/>
                      <w:sz w:val="18"/>
                      <w:szCs w:val="18"/>
                      <w:lang w:eastAsia="lv-LV"/>
                    </w:rPr>
                  </w:pPr>
                </w:p>
              </w:tc>
              <w:tc>
                <w:tcPr>
                  <w:tcW w:w="1139" w:type="dxa"/>
                  <w:tcBorders>
                    <w:top w:val="nil"/>
                    <w:left w:val="nil"/>
                    <w:bottom w:val="nil"/>
                    <w:right w:val="single" w:sz="4" w:space="0" w:color="auto"/>
                  </w:tcBorders>
                  <w:shd w:val="clear" w:color="000000" w:fill="FFFFFF"/>
                  <w:vAlign w:val="center"/>
                  <w:hideMark/>
                </w:tcPr>
                <w:p w14:paraId="31846E7B"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 fakts</w:t>
                  </w:r>
                </w:p>
              </w:tc>
              <w:tc>
                <w:tcPr>
                  <w:tcW w:w="1134" w:type="dxa"/>
                  <w:tcBorders>
                    <w:top w:val="nil"/>
                    <w:left w:val="nil"/>
                    <w:bottom w:val="nil"/>
                    <w:right w:val="single" w:sz="4" w:space="0" w:color="auto"/>
                  </w:tcBorders>
                  <w:shd w:val="clear" w:color="000000" w:fill="FFFFFF"/>
                  <w:vAlign w:val="center"/>
                  <w:hideMark/>
                </w:tcPr>
                <w:p w14:paraId="408F2F16"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 fakts</w:t>
                  </w:r>
                </w:p>
              </w:tc>
              <w:tc>
                <w:tcPr>
                  <w:tcW w:w="992" w:type="dxa"/>
                  <w:tcBorders>
                    <w:top w:val="nil"/>
                    <w:left w:val="nil"/>
                    <w:bottom w:val="nil"/>
                    <w:right w:val="single" w:sz="4" w:space="0" w:color="auto"/>
                  </w:tcBorders>
                  <w:shd w:val="clear" w:color="000000" w:fill="FFFFFF"/>
                  <w:vAlign w:val="center"/>
                  <w:hideMark/>
                </w:tcPr>
                <w:p w14:paraId="500E46FE"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 fakts</w:t>
                  </w:r>
                </w:p>
              </w:tc>
              <w:tc>
                <w:tcPr>
                  <w:tcW w:w="1134" w:type="dxa"/>
                  <w:tcBorders>
                    <w:top w:val="nil"/>
                    <w:left w:val="nil"/>
                    <w:bottom w:val="nil"/>
                    <w:right w:val="single" w:sz="4" w:space="0" w:color="auto"/>
                  </w:tcBorders>
                  <w:shd w:val="clear" w:color="000000" w:fill="D9D9D9"/>
                  <w:vAlign w:val="center"/>
                  <w:hideMark/>
                </w:tcPr>
                <w:p w14:paraId="4EC65C9C"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 fakts</w:t>
                  </w:r>
                </w:p>
              </w:tc>
              <w:tc>
                <w:tcPr>
                  <w:tcW w:w="1134" w:type="dxa"/>
                  <w:tcBorders>
                    <w:top w:val="nil"/>
                    <w:left w:val="nil"/>
                    <w:bottom w:val="nil"/>
                    <w:right w:val="single" w:sz="4" w:space="0" w:color="auto"/>
                  </w:tcBorders>
                  <w:shd w:val="clear" w:color="000000" w:fill="FFFFFF"/>
                  <w:vAlign w:val="center"/>
                  <w:hideMark/>
                </w:tcPr>
                <w:p w14:paraId="2ADB9A73"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c>
                <w:tcPr>
                  <w:tcW w:w="1134" w:type="dxa"/>
                  <w:tcBorders>
                    <w:top w:val="nil"/>
                    <w:left w:val="nil"/>
                    <w:bottom w:val="nil"/>
                    <w:right w:val="single" w:sz="4" w:space="0" w:color="auto"/>
                  </w:tcBorders>
                  <w:shd w:val="clear" w:color="000000" w:fill="FFFFFF"/>
                  <w:vAlign w:val="center"/>
                  <w:hideMark/>
                </w:tcPr>
                <w:p w14:paraId="45C0F615"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c>
                <w:tcPr>
                  <w:tcW w:w="1276" w:type="dxa"/>
                  <w:tcBorders>
                    <w:top w:val="nil"/>
                    <w:left w:val="nil"/>
                    <w:bottom w:val="nil"/>
                    <w:right w:val="single" w:sz="4" w:space="0" w:color="auto"/>
                  </w:tcBorders>
                  <w:shd w:val="clear" w:color="000000" w:fill="FFFFFF"/>
                  <w:vAlign w:val="center"/>
                  <w:hideMark/>
                </w:tcPr>
                <w:p w14:paraId="16AD6856"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c>
                <w:tcPr>
                  <w:tcW w:w="1134" w:type="dxa"/>
                  <w:tcBorders>
                    <w:top w:val="nil"/>
                    <w:left w:val="nil"/>
                    <w:bottom w:val="nil"/>
                    <w:right w:val="single" w:sz="8" w:space="0" w:color="auto"/>
                  </w:tcBorders>
                  <w:shd w:val="clear" w:color="000000" w:fill="FFFFFF"/>
                  <w:vAlign w:val="center"/>
                  <w:hideMark/>
                </w:tcPr>
                <w:p w14:paraId="15886384"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c>
                <w:tcPr>
                  <w:tcW w:w="1134" w:type="dxa"/>
                  <w:tcBorders>
                    <w:top w:val="nil"/>
                    <w:left w:val="single" w:sz="4" w:space="0" w:color="auto"/>
                    <w:bottom w:val="nil"/>
                    <w:right w:val="single" w:sz="4" w:space="0" w:color="auto"/>
                  </w:tcBorders>
                  <w:shd w:val="clear" w:color="000000" w:fill="FFFFFF"/>
                  <w:vAlign w:val="center"/>
                  <w:hideMark/>
                </w:tcPr>
                <w:p w14:paraId="2C5E823E" w14:textId="77777777" w:rsidR="000A660F" w:rsidRPr="00740EB0" w:rsidRDefault="000A660F" w:rsidP="003309D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r>
            <w:tr w:rsidR="000A660F" w:rsidRPr="00740EB0" w14:paraId="79D0D7C0" w14:textId="77777777" w:rsidTr="003309D5">
              <w:trPr>
                <w:trHeight w:val="530"/>
              </w:trPr>
              <w:tc>
                <w:tcPr>
                  <w:tcW w:w="2465" w:type="dxa"/>
                  <w:tcBorders>
                    <w:top w:val="single" w:sz="8" w:space="0" w:color="auto"/>
                    <w:left w:val="single" w:sz="4" w:space="0" w:color="auto"/>
                    <w:bottom w:val="single" w:sz="4" w:space="0" w:color="auto"/>
                    <w:right w:val="single" w:sz="4" w:space="0" w:color="auto"/>
                  </w:tcBorders>
                  <w:shd w:val="clear" w:color="000000" w:fill="FFFFFF"/>
                  <w:vAlign w:val="bottom"/>
                  <w:hideMark/>
                </w:tcPr>
                <w:p w14:paraId="5092E22C" w14:textId="77777777" w:rsidR="000A660F" w:rsidRPr="00740EB0" w:rsidRDefault="000A660F" w:rsidP="003309D5">
                  <w:pPr>
                    <w:spacing w:after="0" w:line="240" w:lineRule="auto"/>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Kopā GMI saņēmējas personas, t.sk.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2DFB8289"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27 769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4CB7F5D"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25 823</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DE1D21A"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20 878</w:t>
                  </w:r>
                </w:p>
              </w:tc>
              <w:tc>
                <w:tcPr>
                  <w:tcW w:w="1134" w:type="dxa"/>
                  <w:tcBorders>
                    <w:top w:val="single" w:sz="8" w:space="0" w:color="auto"/>
                    <w:left w:val="nil"/>
                    <w:bottom w:val="single" w:sz="4" w:space="0" w:color="auto"/>
                    <w:right w:val="single" w:sz="4" w:space="0" w:color="auto"/>
                  </w:tcBorders>
                  <w:shd w:val="clear" w:color="000000" w:fill="D9D9D9"/>
                  <w:noWrap/>
                  <w:vAlign w:val="bottom"/>
                  <w:hideMark/>
                </w:tcPr>
                <w:p w14:paraId="4B45F594"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17 249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5EB0934"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18 852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4CCF2F2"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26 759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0CB3" w14:textId="77777777" w:rsidR="000A660F" w:rsidRPr="00740EB0" w:rsidRDefault="000A660F" w:rsidP="003309D5">
                  <w:pPr>
                    <w:spacing w:after="0" w:line="240" w:lineRule="auto"/>
                    <w:jc w:val="right"/>
                    <w:rPr>
                      <w:rFonts w:eastAsia="Times New Roman" w:cs="Times New Roman"/>
                      <w:b/>
                      <w:bCs/>
                      <w:color w:val="000000"/>
                      <w:sz w:val="18"/>
                      <w:szCs w:val="18"/>
                      <w:highlight w:val="yellow"/>
                      <w:lang w:eastAsia="lv-LV"/>
                    </w:rPr>
                  </w:pPr>
                  <w:r w:rsidRPr="00740EB0">
                    <w:rPr>
                      <w:rFonts w:eastAsia="Times New Roman" w:cs="Times New Roman"/>
                      <w:b/>
                      <w:bCs/>
                      <w:color w:val="000000"/>
                      <w:sz w:val="18"/>
                      <w:szCs w:val="18"/>
                      <w:lang w:eastAsia="lv-LV"/>
                    </w:rPr>
                    <w:t>25 694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8A10041"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29 232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3936D31"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30 207</w:t>
                  </w:r>
                </w:p>
              </w:tc>
            </w:tr>
            <w:tr w:rsidR="000A660F" w:rsidRPr="00740EB0" w14:paraId="270F47F5" w14:textId="77777777" w:rsidTr="003309D5">
              <w:trPr>
                <w:trHeight w:val="2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5BF1D0C4"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bērni</w:t>
                  </w:r>
                </w:p>
              </w:tc>
              <w:tc>
                <w:tcPr>
                  <w:tcW w:w="1139" w:type="dxa"/>
                  <w:tcBorders>
                    <w:top w:val="nil"/>
                    <w:left w:val="nil"/>
                    <w:bottom w:val="single" w:sz="4" w:space="0" w:color="auto"/>
                    <w:right w:val="single" w:sz="4" w:space="0" w:color="auto"/>
                  </w:tcBorders>
                  <w:shd w:val="clear" w:color="auto" w:fill="auto"/>
                  <w:noWrap/>
                  <w:vAlign w:val="bottom"/>
                  <w:hideMark/>
                </w:tcPr>
                <w:p w14:paraId="66E2DE52"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6 120</w:t>
                  </w:r>
                </w:p>
              </w:tc>
              <w:tc>
                <w:tcPr>
                  <w:tcW w:w="1134" w:type="dxa"/>
                  <w:tcBorders>
                    <w:top w:val="nil"/>
                    <w:left w:val="nil"/>
                    <w:bottom w:val="single" w:sz="4" w:space="0" w:color="auto"/>
                    <w:right w:val="single" w:sz="4" w:space="0" w:color="auto"/>
                  </w:tcBorders>
                  <w:shd w:val="clear" w:color="auto" w:fill="auto"/>
                  <w:noWrap/>
                  <w:vAlign w:val="bottom"/>
                  <w:hideMark/>
                </w:tcPr>
                <w:p w14:paraId="2877D7F1"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5 953</w:t>
                  </w:r>
                </w:p>
              </w:tc>
              <w:tc>
                <w:tcPr>
                  <w:tcW w:w="992" w:type="dxa"/>
                  <w:tcBorders>
                    <w:top w:val="nil"/>
                    <w:left w:val="nil"/>
                    <w:bottom w:val="single" w:sz="4" w:space="0" w:color="auto"/>
                    <w:right w:val="single" w:sz="4" w:space="0" w:color="auto"/>
                  </w:tcBorders>
                  <w:shd w:val="clear" w:color="auto" w:fill="auto"/>
                  <w:noWrap/>
                  <w:vAlign w:val="bottom"/>
                  <w:hideMark/>
                </w:tcPr>
                <w:p w14:paraId="18A3FE76"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4 316</w:t>
                  </w:r>
                </w:p>
              </w:tc>
              <w:tc>
                <w:tcPr>
                  <w:tcW w:w="1134" w:type="dxa"/>
                  <w:tcBorders>
                    <w:top w:val="nil"/>
                    <w:left w:val="nil"/>
                    <w:bottom w:val="single" w:sz="4" w:space="0" w:color="auto"/>
                    <w:right w:val="single" w:sz="4" w:space="0" w:color="auto"/>
                  </w:tcBorders>
                  <w:shd w:val="clear" w:color="000000" w:fill="D9D9D9"/>
                  <w:noWrap/>
                  <w:vAlign w:val="bottom"/>
                  <w:hideMark/>
                </w:tcPr>
                <w:p w14:paraId="6665BA66"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3 165</w:t>
                  </w:r>
                </w:p>
              </w:tc>
              <w:tc>
                <w:tcPr>
                  <w:tcW w:w="1134" w:type="dxa"/>
                  <w:tcBorders>
                    <w:top w:val="nil"/>
                    <w:left w:val="nil"/>
                    <w:bottom w:val="single" w:sz="4" w:space="0" w:color="auto"/>
                    <w:right w:val="single" w:sz="4" w:space="0" w:color="auto"/>
                  </w:tcBorders>
                  <w:shd w:val="clear" w:color="auto" w:fill="auto"/>
                  <w:noWrap/>
                  <w:vAlign w:val="bottom"/>
                  <w:hideMark/>
                </w:tcPr>
                <w:p w14:paraId="67ACCA79"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3 459</w:t>
                  </w:r>
                </w:p>
              </w:tc>
              <w:tc>
                <w:tcPr>
                  <w:tcW w:w="1134" w:type="dxa"/>
                  <w:tcBorders>
                    <w:top w:val="nil"/>
                    <w:left w:val="nil"/>
                    <w:bottom w:val="single" w:sz="4" w:space="0" w:color="auto"/>
                    <w:right w:val="single" w:sz="4" w:space="0" w:color="auto"/>
                  </w:tcBorders>
                  <w:shd w:val="clear" w:color="auto" w:fill="auto"/>
                  <w:noWrap/>
                  <w:vAlign w:val="bottom"/>
                  <w:hideMark/>
                </w:tcPr>
                <w:p w14:paraId="6AE0619D"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4 817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0DC630"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4 625</w:t>
                  </w:r>
                </w:p>
              </w:tc>
              <w:tc>
                <w:tcPr>
                  <w:tcW w:w="1134" w:type="dxa"/>
                  <w:tcBorders>
                    <w:top w:val="nil"/>
                    <w:left w:val="nil"/>
                    <w:bottom w:val="single" w:sz="4" w:space="0" w:color="auto"/>
                    <w:right w:val="single" w:sz="4" w:space="0" w:color="auto"/>
                  </w:tcBorders>
                  <w:shd w:val="clear" w:color="auto" w:fill="auto"/>
                  <w:noWrap/>
                  <w:vAlign w:val="bottom"/>
                  <w:hideMark/>
                </w:tcPr>
                <w:p w14:paraId="5478E68B"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5 262</w:t>
                  </w:r>
                </w:p>
              </w:tc>
              <w:tc>
                <w:tcPr>
                  <w:tcW w:w="1134" w:type="dxa"/>
                  <w:tcBorders>
                    <w:top w:val="nil"/>
                    <w:left w:val="nil"/>
                    <w:bottom w:val="single" w:sz="4" w:space="0" w:color="auto"/>
                    <w:right w:val="single" w:sz="4" w:space="0" w:color="auto"/>
                  </w:tcBorders>
                  <w:shd w:val="clear" w:color="auto" w:fill="auto"/>
                  <w:noWrap/>
                  <w:vAlign w:val="bottom"/>
                  <w:hideMark/>
                </w:tcPr>
                <w:p w14:paraId="3D314ACC"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5 437</w:t>
                  </w:r>
                </w:p>
              </w:tc>
            </w:tr>
            <w:tr w:rsidR="000A660F" w:rsidRPr="00740EB0" w14:paraId="52538717" w14:textId="77777777" w:rsidTr="003309D5">
              <w:trPr>
                <w:trHeight w:val="2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10483F4C"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nestrādājošās personas</w:t>
                  </w:r>
                </w:p>
              </w:tc>
              <w:tc>
                <w:tcPr>
                  <w:tcW w:w="1139" w:type="dxa"/>
                  <w:tcBorders>
                    <w:top w:val="nil"/>
                    <w:left w:val="nil"/>
                    <w:bottom w:val="single" w:sz="4" w:space="0" w:color="auto"/>
                    <w:right w:val="single" w:sz="4" w:space="0" w:color="auto"/>
                  </w:tcBorders>
                  <w:shd w:val="clear" w:color="auto" w:fill="auto"/>
                  <w:noWrap/>
                  <w:vAlign w:val="bottom"/>
                  <w:hideMark/>
                </w:tcPr>
                <w:p w14:paraId="3EB1106A"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11 779</w:t>
                  </w:r>
                </w:p>
              </w:tc>
              <w:tc>
                <w:tcPr>
                  <w:tcW w:w="1134" w:type="dxa"/>
                  <w:tcBorders>
                    <w:top w:val="nil"/>
                    <w:left w:val="nil"/>
                    <w:bottom w:val="single" w:sz="4" w:space="0" w:color="auto"/>
                    <w:right w:val="single" w:sz="4" w:space="0" w:color="auto"/>
                  </w:tcBorders>
                  <w:shd w:val="clear" w:color="auto" w:fill="auto"/>
                  <w:noWrap/>
                  <w:vAlign w:val="bottom"/>
                  <w:hideMark/>
                </w:tcPr>
                <w:p w14:paraId="29CF8920"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10 286</w:t>
                  </w:r>
                </w:p>
              </w:tc>
              <w:tc>
                <w:tcPr>
                  <w:tcW w:w="992" w:type="dxa"/>
                  <w:tcBorders>
                    <w:top w:val="nil"/>
                    <w:left w:val="nil"/>
                    <w:bottom w:val="single" w:sz="4" w:space="0" w:color="auto"/>
                    <w:right w:val="single" w:sz="4" w:space="0" w:color="auto"/>
                  </w:tcBorders>
                  <w:shd w:val="clear" w:color="auto" w:fill="auto"/>
                  <w:noWrap/>
                  <w:vAlign w:val="bottom"/>
                  <w:hideMark/>
                </w:tcPr>
                <w:p w14:paraId="19CC6991"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7 927</w:t>
                  </w:r>
                </w:p>
              </w:tc>
              <w:tc>
                <w:tcPr>
                  <w:tcW w:w="1134" w:type="dxa"/>
                  <w:tcBorders>
                    <w:top w:val="nil"/>
                    <w:left w:val="nil"/>
                    <w:bottom w:val="single" w:sz="4" w:space="0" w:color="auto"/>
                    <w:right w:val="single" w:sz="4" w:space="0" w:color="auto"/>
                  </w:tcBorders>
                  <w:shd w:val="clear" w:color="000000" w:fill="D9D9D9"/>
                  <w:noWrap/>
                  <w:vAlign w:val="bottom"/>
                  <w:hideMark/>
                </w:tcPr>
                <w:p w14:paraId="51FAAA74"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6 478</w:t>
                  </w:r>
                </w:p>
              </w:tc>
              <w:tc>
                <w:tcPr>
                  <w:tcW w:w="1134" w:type="dxa"/>
                  <w:tcBorders>
                    <w:top w:val="nil"/>
                    <w:left w:val="nil"/>
                    <w:bottom w:val="single" w:sz="4" w:space="0" w:color="auto"/>
                    <w:right w:val="single" w:sz="4" w:space="0" w:color="auto"/>
                  </w:tcBorders>
                  <w:shd w:val="clear" w:color="auto" w:fill="auto"/>
                  <w:noWrap/>
                  <w:vAlign w:val="bottom"/>
                  <w:hideMark/>
                </w:tcPr>
                <w:p w14:paraId="186A089F"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7 080</w:t>
                  </w:r>
                </w:p>
              </w:tc>
              <w:tc>
                <w:tcPr>
                  <w:tcW w:w="1134" w:type="dxa"/>
                  <w:tcBorders>
                    <w:top w:val="nil"/>
                    <w:left w:val="nil"/>
                    <w:bottom w:val="single" w:sz="4" w:space="0" w:color="auto"/>
                    <w:right w:val="single" w:sz="4" w:space="0" w:color="auto"/>
                  </w:tcBorders>
                  <w:shd w:val="clear" w:color="auto" w:fill="auto"/>
                  <w:noWrap/>
                  <w:vAlign w:val="bottom"/>
                  <w:hideMark/>
                </w:tcPr>
                <w:p w14:paraId="36D9857E"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10 704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1E3026C" w14:textId="77777777" w:rsidR="000A660F" w:rsidRPr="00740EB0" w:rsidRDefault="000A660F" w:rsidP="003309D5">
                  <w:pPr>
                    <w:spacing w:after="0" w:line="240" w:lineRule="auto"/>
                    <w:jc w:val="right"/>
                    <w:rPr>
                      <w:rFonts w:eastAsia="Times New Roman" w:cs="Times New Roman"/>
                      <w:color w:val="000000"/>
                      <w:sz w:val="18"/>
                      <w:szCs w:val="18"/>
                      <w:highlight w:val="yellow"/>
                      <w:lang w:eastAsia="lv-LV"/>
                    </w:rPr>
                  </w:pPr>
                  <w:r w:rsidRPr="00740EB0">
                    <w:rPr>
                      <w:rFonts w:eastAsia="Times New Roman" w:cs="Times New Roman"/>
                      <w:color w:val="000000"/>
                      <w:sz w:val="18"/>
                      <w:szCs w:val="18"/>
                      <w:lang w:eastAsia="lv-LV"/>
                    </w:rPr>
                    <w:t>10 278</w:t>
                  </w:r>
                </w:p>
              </w:tc>
              <w:tc>
                <w:tcPr>
                  <w:tcW w:w="1134" w:type="dxa"/>
                  <w:tcBorders>
                    <w:top w:val="nil"/>
                    <w:left w:val="nil"/>
                    <w:bottom w:val="single" w:sz="4" w:space="0" w:color="auto"/>
                    <w:right w:val="single" w:sz="4" w:space="0" w:color="auto"/>
                  </w:tcBorders>
                  <w:shd w:val="clear" w:color="auto" w:fill="auto"/>
                  <w:noWrap/>
                  <w:vAlign w:val="bottom"/>
                  <w:hideMark/>
                </w:tcPr>
                <w:p w14:paraId="0CE0C64C"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11 693</w:t>
                  </w:r>
                </w:p>
              </w:tc>
              <w:tc>
                <w:tcPr>
                  <w:tcW w:w="1134" w:type="dxa"/>
                  <w:tcBorders>
                    <w:top w:val="nil"/>
                    <w:left w:val="nil"/>
                    <w:bottom w:val="single" w:sz="4" w:space="0" w:color="auto"/>
                    <w:right w:val="single" w:sz="4" w:space="0" w:color="auto"/>
                  </w:tcBorders>
                  <w:shd w:val="clear" w:color="auto" w:fill="auto"/>
                  <w:noWrap/>
                  <w:vAlign w:val="bottom"/>
                  <w:hideMark/>
                </w:tcPr>
                <w:p w14:paraId="26241C04"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12 083</w:t>
                  </w:r>
                </w:p>
              </w:tc>
            </w:tr>
            <w:tr w:rsidR="000A660F" w:rsidRPr="00740EB0" w14:paraId="664AEF52" w14:textId="77777777" w:rsidTr="003309D5">
              <w:trPr>
                <w:trHeight w:val="2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69725BB0"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pensijas vecuma personas</w:t>
                  </w:r>
                </w:p>
              </w:tc>
              <w:tc>
                <w:tcPr>
                  <w:tcW w:w="1139" w:type="dxa"/>
                  <w:tcBorders>
                    <w:top w:val="nil"/>
                    <w:left w:val="nil"/>
                    <w:bottom w:val="single" w:sz="4" w:space="0" w:color="auto"/>
                    <w:right w:val="single" w:sz="4" w:space="0" w:color="auto"/>
                  </w:tcBorders>
                  <w:shd w:val="clear" w:color="auto" w:fill="auto"/>
                  <w:noWrap/>
                  <w:vAlign w:val="bottom"/>
                  <w:hideMark/>
                </w:tcPr>
                <w:p w14:paraId="63346313"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3 049</w:t>
                  </w:r>
                </w:p>
              </w:tc>
              <w:tc>
                <w:tcPr>
                  <w:tcW w:w="1134" w:type="dxa"/>
                  <w:tcBorders>
                    <w:top w:val="nil"/>
                    <w:left w:val="nil"/>
                    <w:bottom w:val="single" w:sz="4" w:space="0" w:color="auto"/>
                    <w:right w:val="single" w:sz="4" w:space="0" w:color="auto"/>
                  </w:tcBorders>
                  <w:shd w:val="clear" w:color="auto" w:fill="auto"/>
                  <w:noWrap/>
                  <w:vAlign w:val="bottom"/>
                  <w:hideMark/>
                </w:tcPr>
                <w:p w14:paraId="6BC9BE92"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2 997</w:t>
                  </w:r>
                </w:p>
              </w:tc>
              <w:tc>
                <w:tcPr>
                  <w:tcW w:w="992" w:type="dxa"/>
                  <w:tcBorders>
                    <w:top w:val="nil"/>
                    <w:left w:val="nil"/>
                    <w:bottom w:val="single" w:sz="4" w:space="0" w:color="auto"/>
                    <w:right w:val="single" w:sz="4" w:space="0" w:color="auto"/>
                  </w:tcBorders>
                  <w:shd w:val="clear" w:color="auto" w:fill="auto"/>
                  <w:noWrap/>
                  <w:vAlign w:val="bottom"/>
                  <w:hideMark/>
                </w:tcPr>
                <w:p w14:paraId="35A0CBBE"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2 986</w:t>
                  </w:r>
                </w:p>
              </w:tc>
              <w:tc>
                <w:tcPr>
                  <w:tcW w:w="1134" w:type="dxa"/>
                  <w:tcBorders>
                    <w:top w:val="nil"/>
                    <w:left w:val="nil"/>
                    <w:bottom w:val="single" w:sz="4" w:space="0" w:color="auto"/>
                    <w:right w:val="single" w:sz="4" w:space="0" w:color="auto"/>
                  </w:tcBorders>
                  <w:shd w:val="clear" w:color="000000" w:fill="D9D9D9"/>
                  <w:noWrap/>
                  <w:vAlign w:val="bottom"/>
                  <w:hideMark/>
                </w:tcPr>
                <w:p w14:paraId="74B516A8"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2 819</w:t>
                  </w:r>
                </w:p>
              </w:tc>
              <w:tc>
                <w:tcPr>
                  <w:tcW w:w="1134" w:type="dxa"/>
                  <w:tcBorders>
                    <w:top w:val="nil"/>
                    <w:left w:val="nil"/>
                    <w:bottom w:val="single" w:sz="4" w:space="0" w:color="auto"/>
                    <w:right w:val="single" w:sz="4" w:space="0" w:color="auto"/>
                  </w:tcBorders>
                  <w:shd w:val="clear" w:color="auto" w:fill="auto"/>
                  <w:noWrap/>
                  <w:vAlign w:val="bottom"/>
                  <w:hideMark/>
                </w:tcPr>
                <w:p w14:paraId="623314AE"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3 081</w:t>
                  </w:r>
                </w:p>
              </w:tc>
              <w:tc>
                <w:tcPr>
                  <w:tcW w:w="1134" w:type="dxa"/>
                  <w:tcBorders>
                    <w:top w:val="nil"/>
                    <w:left w:val="nil"/>
                    <w:bottom w:val="single" w:sz="4" w:space="0" w:color="auto"/>
                    <w:right w:val="single" w:sz="4" w:space="0" w:color="auto"/>
                  </w:tcBorders>
                  <w:shd w:val="clear" w:color="auto" w:fill="auto"/>
                  <w:noWrap/>
                  <w:vAlign w:val="bottom"/>
                  <w:hideMark/>
                </w:tcPr>
                <w:p w14:paraId="5CAD358B"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3 479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EC09A2"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3 340</w:t>
                  </w:r>
                </w:p>
              </w:tc>
              <w:tc>
                <w:tcPr>
                  <w:tcW w:w="1134" w:type="dxa"/>
                  <w:tcBorders>
                    <w:top w:val="nil"/>
                    <w:left w:val="nil"/>
                    <w:bottom w:val="single" w:sz="4" w:space="0" w:color="auto"/>
                    <w:right w:val="single" w:sz="4" w:space="0" w:color="auto"/>
                  </w:tcBorders>
                  <w:shd w:val="clear" w:color="auto" w:fill="auto"/>
                  <w:noWrap/>
                  <w:vAlign w:val="bottom"/>
                  <w:hideMark/>
                </w:tcPr>
                <w:p w14:paraId="293A7A86"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3 800</w:t>
                  </w:r>
                </w:p>
              </w:tc>
              <w:tc>
                <w:tcPr>
                  <w:tcW w:w="1134" w:type="dxa"/>
                  <w:tcBorders>
                    <w:top w:val="nil"/>
                    <w:left w:val="nil"/>
                    <w:bottom w:val="single" w:sz="4" w:space="0" w:color="auto"/>
                    <w:right w:val="single" w:sz="4" w:space="0" w:color="auto"/>
                  </w:tcBorders>
                  <w:shd w:val="clear" w:color="auto" w:fill="auto"/>
                  <w:noWrap/>
                  <w:vAlign w:val="bottom"/>
                  <w:hideMark/>
                </w:tcPr>
                <w:p w14:paraId="437B2518"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3 927</w:t>
                  </w:r>
                </w:p>
              </w:tc>
            </w:tr>
            <w:tr w:rsidR="000A660F" w:rsidRPr="00740EB0" w14:paraId="1F4F9D1C" w14:textId="77777777" w:rsidTr="003309D5">
              <w:trPr>
                <w:trHeight w:val="2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63CC0251"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 xml:space="preserve">personas ar invaliditāti </w:t>
                  </w:r>
                </w:p>
              </w:tc>
              <w:tc>
                <w:tcPr>
                  <w:tcW w:w="1139" w:type="dxa"/>
                  <w:tcBorders>
                    <w:top w:val="nil"/>
                    <w:left w:val="nil"/>
                    <w:bottom w:val="single" w:sz="4" w:space="0" w:color="auto"/>
                    <w:right w:val="single" w:sz="4" w:space="0" w:color="auto"/>
                  </w:tcBorders>
                  <w:shd w:val="clear" w:color="auto" w:fill="auto"/>
                  <w:noWrap/>
                  <w:vAlign w:val="bottom"/>
                  <w:hideMark/>
                </w:tcPr>
                <w:p w14:paraId="2481BBFD"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3 743</w:t>
                  </w:r>
                </w:p>
              </w:tc>
              <w:tc>
                <w:tcPr>
                  <w:tcW w:w="1134" w:type="dxa"/>
                  <w:tcBorders>
                    <w:top w:val="nil"/>
                    <w:left w:val="nil"/>
                    <w:bottom w:val="single" w:sz="4" w:space="0" w:color="auto"/>
                    <w:right w:val="single" w:sz="4" w:space="0" w:color="auto"/>
                  </w:tcBorders>
                  <w:shd w:val="clear" w:color="auto" w:fill="auto"/>
                  <w:noWrap/>
                  <w:vAlign w:val="bottom"/>
                  <w:hideMark/>
                </w:tcPr>
                <w:p w14:paraId="2015953B"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3 659</w:t>
                  </w:r>
                </w:p>
              </w:tc>
              <w:tc>
                <w:tcPr>
                  <w:tcW w:w="992" w:type="dxa"/>
                  <w:tcBorders>
                    <w:top w:val="nil"/>
                    <w:left w:val="nil"/>
                    <w:bottom w:val="single" w:sz="4" w:space="0" w:color="auto"/>
                    <w:right w:val="single" w:sz="4" w:space="0" w:color="auto"/>
                  </w:tcBorders>
                  <w:shd w:val="clear" w:color="auto" w:fill="auto"/>
                  <w:noWrap/>
                  <w:vAlign w:val="bottom"/>
                  <w:hideMark/>
                </w:tcPr>
                <w:p w14:paraId="770AB460"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3 407</w:t>
                  </w:r>
                </w:p>
              </w:tc>
              <w:tc>
                <w:tcPr>
                  <w:tcW w:w="1134" w:type="dxa"/>
                  <w:tcBorders>
                    <w:top w:val="nil"/>
                    <w:left w:val="nil"/>
                    <w:bottom w:val="single" w:sz="4" w:space="0" w:color="auto"/>
                    <w:right w:val="single" w:sz="4" w:space="0" w:color="auto"/>
                  </w:tcBorders>
                  <w:shd w:val="clear" w:color="000000" w:fill="D9D9D9"/>
                  <w:noWrap/>
                  <w:vAlign w:val="bottom"/>
                  <w:hideMark/>
                </w:tcPr>
                <w:p w14:paraId="70B6ACB3"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3 097</w:t>
                  </w:r>
                </w:p>
              </w:tc>
              <w:tc>
                <w:tcPr>
                  <w:tcW w:w="1134" w:type="dxa"/>
                  <w:tcBorders>
                    <w:top w:val="nil"/>
                    <w:left w:val="nil"/>
                    <w:bottom w:val="single" w:sz="4" w:space="0" w:color="auto"/>
                    <w:right w:val="single" w:sz="4" w:space="0" w:color="auto"/>
                  </w:tcBorders>
                  <w:shd w:val="clear" w:color="auto" w:fill="auto"/>
                  <w:noWrap/>
                  <w:vAlign w:val="bottom"/>
                  <w:hideMark/>
                </w:tcPr>
                <w:p w14:paraId="2B0C4989"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3 385</w:t>
                  </w:r>
                </w:p>
              </w:tc>
              <w:tc>
                <w:tcPr>
                  <w:tcW w:w="1134" w:type="dxa"/>
                  <w:tcBorders>
                    <w:top w:val="nil"/>
                    <w:left w:val="nil"/>
                    <w:bottom w:val="single" w:sz="4" w:space="0" w:color="auto"/>
                    <w:right w:val="single" w:sz="4" w:space="0" w:color="auto"/>
                  </w:tcBorders>
                  <w:shd w:val="clear" w:color="auto" w:fill="auto"/>
                  <w:noWrap/>
                  <w:vAlign w:val="bottom"/>
                  <w:hideMark/>
                </w:tcPr>
                <w:p w14:paraId="116DE603"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3 746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1DC161" w14:textId="77777777" w:rsidR="000A660F" w:rsidRPr="00740EB0" w:rsidRDefault="000A660F" w:rsidP="003309D5">
                  <w:pPr>
                    <w:spacing w:after="0" w:line="240" w:lineRule="auto"/>
                    <w:jc w:val="right"/>
                    <w:rPr>
                      <w:rFonts w:eastAsia="Times New Roman" w:cs="Times New Roman"/>
                      <w:color w:val="000000"/>
                      <w:sz w:val="18"/>
                      <w:szCs w:val="18"/>
                      <w:highlight w:val="yellow"/>
                      <w:lang w:eastAsia="lv-LV"/>
                    </w:rPr>
                  </w:pPr>
                  <w:r w:rsidRPr="00740EB0">
                    <w:rPr>
                      <w:rFonts w:eastAsia="Times New Roman" w:cs="Times New Roman"/>
                      <w:color w:val="000000"/>
                      <w:sz w:val="18"/>
                      <w:szCs w:val="18"/>
                      <w:lang w:eastAsia="lv-LV"/>
                    </w:rPr>
                    <w:t>3 597</w:t>
                  </w:r>
                </w:p>
              </w:tc>
              <w:tc>
                <w:tcPr>
                  <w:tcW w:w="1134" w:type="dxa"/>
                  <w:tcBorders>
                    <w:top w:val="nil"/>
                    <w:left w:val="nil"/>
                    <w:bottom w:val="single" w:sz="4" w:space="0" w:color="auto"/>
                    <w:right w:val="single" w:sz="4" w:space="0" w:color="auto"/>
                  </w:tcBorders>
                  <w:shd w:val="clear" w:color="auto" w:fill="auto"/>
                  <w:noWrap/>
                  <w:vAlign w:val="bottom"/>
                  <w:hideMark/>
                </w:tcPr>
                <w:p w14:paraId="50907A3B"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4 092</w:t>
                  </w:r>
                </w:p>
              </w:tc>
              <w:tc>
                <w:tcPr>
                  <w:tcW w:w="1134" w:type="dxa"/>
                  <w:tcBorders>
                    <w:top w:val="nil"/>
                    <w:left w:val="nil"/>
                    <w:bottom w:val="single" w:sz="4" w:space="0" w:color="auto"/>
                    <w:right w:val="single" w:sz="4" w:space="0" w:color="auto"/>
                  </w:tcBorders>
                  <w:shd w:val="clear" w:color="auto" w:fill="auto"/>
                  <w:noWrap/>
                  <w:vAlign w:val="bottom"/>
                  <w:hideMark/>
                </w:tcPr>
                <w:p w14:paraId="51AE1B06"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4 229</w:t>
                  </w:r>
                </w:p>
              </w:tc>
            </w:tr>
            <w:tr w:rsidR="000A660F" w:rsidRPr="00740EB0" w14:paraId="2E45A2E7" w14:textId="77777777" w:rsidTr="003309D5">
              <w:trPr>
                <w:trHeight w:val="53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4C4AEC2D"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pārēje GMI pabalsta saņēmēji kopā</w:t>
                  </w:r>
                </w:p>
              </w:tc>
              <w:tc>
                <w:tcPr>
                  <w:tcW w:w="1139" w:type="dxa"/>
                  <w:tcBorders>
                    <w:top w:val="nil"/>
                    <w:left w:val="nil"/>
                    <w:bottom w:val="single" w:sz="4" w:space="0" w:color="auto"/>
                    <w:right w:val="single" w:sz="4" w:space="0" w:color="auto"/>
                  </w:tcBorders>
                  <w:shd w:val="clear" w:color="auto" w:fill="auto"/>
                  <w:noWrap/>
                  <w:vAlign w:val="bottom"/>
                  <w:hideMark/>
                </w:tcPr>
                <w:p w14:paraId="71534C3E"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3 078</w:t>
                  </w:r>
                </w:p>
              </w:tc>
              <w:tc>
                <w:tcPr>
                  <w:tcW w:w="1134" w:type="dxa"/>
                  <w:tcBorders>
                    <w:top w:val="nil"/>
                    <w:left w:val="nil"/>
                    <w:bottom w:val="single" w:sz="4" w:space="0" w:color="auto"/>
                    <w:right w:val="single" w:sz="4" w:space="0" w:color="auto"/>
                  </w:tcBorders>
                  <w:shd w:val="clear" w:color="auto" w:fill="auto"/>
                  <w:noWrap/>
                  <w:vAlign w:val="bottom"/>
                  <w:hideMark/>
                </w:tcPr>
                <w:p w14:paraId="23A0D4D2"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2 928</w:t>
                  </w:r>
                </w:p>
              </w:tc>
              <w:tc>
                <w:tcPr>
                  <w:tcW w:w="992" w:type="dxa"/>
                  <w:tcBorders>
                    <w:top w:val="nil"/>
                    <w:left w:val="nil"/>
                    <w:bottom w:val="single" w:sz="4" w:space="0" w:color="auto"/>
                    <w:right w:val="single" w:sz="4" w:space="0" w:color="auto"/>
                  </w:tcBorders>
                  <w:shd w:val="clear" w:color="auto" w:fill="auto"/>
                  <w:noWrap/>
                  <w:vAlign w:val="bottom"/>
                  <w:hideMark/>
                </w:tcPr>
                <w:p w14:paraId="6C113E26"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2 242</w:t>
                  </w:r>
                </w:p>
              </w:tc>
              <w:tc>
                <w:tcPr>
                  <w:tcW w:w="1134" w:type="dxa"/>
                  <w:tcBorders>
                    <w:top w:val="nil"/>
                    <w:left w:val="nil"/>
                    <w:bottom w:val="single" w:sz="4" w:space="0" w:color="auto"/>
                    <w:right w:val="single" w:sz="4" w:space="0" w:color="auto"/>
                  </w:tcBorders>
                  <w:shd w:val="clear" w:color="000000" w:fill="D9D9D9"/>
                  <w:noWrap/>
                  <w:vAlign w:val="bottom"/>
                  <w:hideMark/>
                </w:tcPr>
                <w:p w14:paraId="6C8A2B0B"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1 690</w:t>
                  </w:r>
                </w:p>
              </w:tc>
              <w:tc>
                <w:tcPr>
                  <w:tcW w:w="1134" w:type="dxa"/>
                  <w:tcBorders>
                    <w:top w:val="nil"/>
                    <w:left w:val="nil"/>
                    <w:bottom w:val="single" w:sz="4" w:space="0" w:color="auto"/>
                    <w:right w:val="single" w:sz="4" w:space="0" w:color="auto"/>
                  </w:tcBorders>
                  <w:shd w:val="clear" w:color="auto" w:fill="auto"/>
                  <w:noWrap/>
                  <w:vAlign w:val="bottom"/>
                  <w:hideMark/>
                </w:tcPr>
                <w:p w14:paraId="0BA22CED"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1 847</w:t>
                  </w:r>
                </w:p>
              </w:tc>
              <w:tc>
                <w:tcPr>
                  <w:tcW w:w="1134" w:type="dxa"/>
                  <w:tcBorders>
                    <w:top w:val="nil"/>
                    <w:left w:val="nil"/>
                    <w:bottom w:val="single" w:sz="4" w:space="0" w:color="auto"/>
                    <w:right w:val="single" w:sz="4" w:space="0" w:color="auto"/>
                  </w:tcBorders>
                  <w:shd w:val="clear" w:color="auto" w:fill="auto"/>
                  <w:noWrap/>
                  <w:vAlign w:val="bottom"/>
                  <w:hideMark/>
                </w:tcPr>
                <w:p w14:paraId="67A2312C"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4 014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4456436"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3 854</w:t>
                  </w:r>
                </w:p>
              </w:tc>
              <w:tc>
                <w:tcPr>
                  <w:tcW w:w="1134" w:type="dxa"/>
                  <w:tcBorders>
                    <w:top w:val="nil"/>
                    <w:left w:val="nil"/>
                    <w:bottom w:val="single" w:sz="4" w:space="0" w:color="auto"/>
                    <w:right w:val="single" w:sz="4" w:space="0" w:color="auto"/>
                  </w:tcBorders>
                  <w:shd w:val="clear" w:color="auto" w:fill="auto"/>
                  <w:noWrap/>
                  <w:vAlign w:val="bottom"/>
                  <w:hideMark/>
                </w:tcPr>
                <w:p w14:paraId="052255CB"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4 385</w:t>
                  </w:r>
                </w:p>
              </w:tc>
              <w:tc>
                <w:tcPr>
                  <w:tcW w:w="1134" w:type="dxa"/>
                  <w:tcBorders>
                    <w:top w:val="nil"/>
                    <w:left w:val="nil"/>
                    <w:bottom w:val="single" w:sz="4" w:space="0" w:color="auto"/>
                    <w:right w:val="single" w:sz="4" w:space="0" w:color="auto"/>
                  </w:tcBorders>
                  <w:shd w:val="clear" w:color="auto" w:fill="auto"/>
                  <w:noWrap/>
                  <w:vAlign w:val="bottom"/>
                  <w:hideMark/>
                </w:tcPr>
                <w:p w14:paraId="11420EFC" w14:textId="77777777" w:rsidR="000A660F" w:rsidRPr="00740EB0" w:rsidRDefault="000A660F" w:rsidP="003309D5">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4 531</w:t>
                  </w:r>
                </w:p>
              </w:tc>
            </w:tr>
            <w:tr w:rsidR="000A660F" w:rsidRPr="00740EB0" w14:paraId="5F1507DC" w14:textId="77777777" w:rsidTr="003309D5">
              <w:trPr>
                <w:trHeight w:val="7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40874B17" w14:textId="77777777" w:rsidR="000A660F" w:rsidRPr="00740EB0" w:rsidRDefault="000A660F" w:rsidP="003309D5">
                  <w:pPr>
                    <w:spacing w:after="0" w:line="240" w:lineRule="auto"/>
                    <w:jc w:val="right"/>
                    <w:rPr>
                      <w:rFonts w:eastAsia="Times New Roman" w:cs="Times New Roman"/>
                      <w:sz w:val="18"/>
                      <w:szCs w:val="18"/>
                      <w:lang w:eastAsia="lv-LV"/>
                    </w:rPr>
                  </w:pPr>
                  <w:r w:rsidRPr="00740EB0">
                    <w:rPr>
                      <w:rFonts w:eastAsia="Times New Roman" w:cs="Times New Roman"/>
                      <w:sz w:val="18"/>
                      <w:szCs w:val="18"/>
                      <w:lang w:eastAsia="lv-LV"/>
                    </w:rPr>
                    <w:t>GMI pabalsta saņēmēju personu skaita pieaugums pret 2019.gadu</w:t>
                  </w:r>
                </w:p>
              </w:tc>
              <w:tc>
                <w:tcPr>
                  <w:tcW w:w="1139" w:type="dxa"/>
                  <w:tcBorders>
                    <w:top w:val="nil"/>
                    <w:left w:val="nil"/>
                    <w:bottom w:val="single" w:sz="4" w:space="0" w:color="auto"/>
                    <w:right w:val="single" w:sz="4" w:space="0" w:color="auto"/>
                  </w:tcBorders>
                  <w:shd w:val="clear" w:color="000000" w:fill="D9D9D9"/>
                  <w:vAlign w:val="center"/>
                  <w:hideMark/>
                </w:tcPr>
                <w:p w14:paraId="21587CA9"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5AB327EC" w14:textId="77777777" w:rsidR="000A660F" w:rsidRPr="00740EB0" w:rsidRDefault="000A660F" w:rsidP="003309D5">
                  <w:pPr>
                    <w:spacing w:after="0" w:line="240" w:lineRule="auto"/>
                    <w:jc w:val="center"/>
                    <w:rPr>
                      <w:rFonts w:eastAsia="Times New Roman" w:cs="Times New Roman"/>
                      <w:color w:val="000000"/>
                      <w:sz w:val="18"/>
                      <w:szCs w:val="18"/>
                      <w:lang w:eastAsia="lv-LV"/>
                    </w:rPr>
                  </w:pPr>
                  <w:r w:rsidRPr="00740EB0">
                    <w:rPr>
                      <w:rFonts w:eastAsia="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260F8258" w14:textId="77777777" w:rsidR="000A660F" w:rsidRPr="00740EB0" w:rsidRDefault="000A660F" w:rsidP="003309D5">
                  <w:pPr>
                    <w:spacing w:after="0" w:line="240" w:lineRule="auto"/>
                    <w:jc w:val="center"/>
                    <w:rPr>
                      <w:rFonts w:eastAsia="Times New Roman" w:cs="Times New Roman"/>
                      <w:color w:val="000000"/>
                      <w:sz w:val="18"/>
                      <w:szCs w:val="18"/>
                      <w:lang w:eastAsia="lv-LV"/>
                    </w:rPr>
                  </w:pPr>
                  <w:r w:rsidRPr="00740EB0">
                    <w:rPr>
                      <w:rFonts w:eastAsia="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3C083C3E" w14:textId="77777777" w:rsidR="000A660F" w:rsidRPr="00740EB0" w:rsidRDefault="000A660F" w:rsidP="003309D5">
                  <w:pPr>
                    <w:spacing w:after="0" w:line="240" w:lineRule="auto"/>
                    <w:jc w:val="center"/>
                    <w:rPr>
                      <w:rFonts w:eastAsia="Times New Roman" w:cs="Times New Roman"/>
                      <w:color w:val="000000"/>
                      <w:sz w:val="18"/>
                      <w:szCs w:val="18"/>
                      <w:lang w:eastAsia="lv-LV"/>
                    </w:rPr>
                  </w:pPr>
                  <w:r w:rsidRPr="00740EB0">
                    <w:rPr>
                      <w:rFonts w:eastAsia="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FBDAEF" w14:textId="77777777" w:rsidR="000A660F" w:rsidRPr="00740EB0" w:rsidRDefault="000A660F" w:rsidP="003309D5">
                  <w:pPr>
                    <w:spacing w:after="0" w:line="240" w:lineRule="auto"/>
                    <w:jc w:val="right"/>
                    <w:rPr>
                      <w:rFonts w:eastAsia="Times New Roman" w:cs="Times New Roman"/>
                      <w:b/>
                      <w:bCs/>
                      <w:sz w:val="18"/>
                      <w:szCs w:val="18"/>
                      <w:lang w:eastAsia="lv-LV"/>
                    </w:rPr>
                  </w:pPr>
                  <w:r w:rsidRPr="00740EB0">
                    <w:rPr>
                      <w:rFonts w:eastAsia="Times New Roman" w:cs="Times New Roman"/>
                      <w:b/>
                      <w:bCs/>
                      <w:sz w:val="18"/>
                      <w:szCs w:val="18"/>
                      <w:lang w:eastAsia="lv-LV"/>
                    </w:rPr>
                    <w:t>1 603</w:t>
                  </w:r>
                </w:p>
              </w:tc>
              <w:tc>
                <w:tcPr>
                  <w:tcW w:w="1134" w:type="dxa"/>
                  <w:tcBorders>
                    <w:top w:val="nil"/>
                    <w:left w:val="nil"/>
                    <w:bottom w:val="single" w:sz="4" w:space="0" w:color="auto"/>
                    <w:right w:val="single" w:sz="4" w:space="0" w:color="auto"/>
                  </w:tcBorders>
                  <w:shd w:val="clear" w:color="auto" w:fill="auto"/>
                  <w:noWrap/>
                  <w:vAlign w:val="bottom"/>
                  <w:hideMark/>
                </w:tcPr>
                <w:p w14:paraId="330AD672" w14:textId="77777777" w:rsidR="000A660F" w:rsidRPr="00740EB0" w:rsidRDefault="000A660F" w:rsidP="003309D5">
                  <w:pPr>
                    <w:spacing w:after="0" w:line="240" w:lineRule="auto"/>
                    <w:jc w:val="right"/>
                    <w:rPr>
                      <w:rFonts w:eastAsia="Times New Roman" w:cs="Times New Roman"/>
                      <w:b/>
                      <w:bCs/>
                      <w:sz w:val="18"/>
                      <w:szCs w:val="18"/>
                      <w:lang w:eastAsia="lv-LV"/>
                    </w:rPr>
                  </w:pPr>
                  <w:r w:rsidRPr="00740EB0">
                    <w:rPr>
                      <w:rFonts w:eastAsia="Times New Roman" w:cs="Times New Roman"/>
                      <w:b/>
                      <w:bCs/>
                      <w:sz w:val="18"/>
                      <w:szCs w:val="18"/>
                      <w:lang w:eastAsia="lv-LV"/>
                    </w:rPr>
                    <w:t>9 510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D1A22A" w14:textId="77777777" w:rsidR="000A660F" w:rsidRPr="00740EB0" w:rsidRDefault="000A660F" w:rsidP="003309D5">
                  <w:pPr>
                    <w:spacing w:after="0" w:line="240" w:lineRule="auto"/>
                    <w:jc w:val="right"/>
                    <w:rPr>
                      <w:rFonts w:eastAsia="Times New Roman" w:cs="Times New Roman"/>
                      <w:b/>
                      <w:bCs/>
                      <w:sz w:val="18"/>
                      <w:szCs w:val="18"/>
                      <w:lang w:eastAsia="lv-LV"/>
                    </w:rPr>
                  </w:pPr>
                  <w:r w:rsidRPr="00740EB0">
                    <w:rPr>
                      <w:rFonts w:eastAsia="Times New Roman" w:cs="Times New Roman"/>
                      <w:b/>
                      <w:bCs/>
                      <w:sz w:val="18"/>
                      <w:szCs w:val="18"/>
                      <w:lang w:eastAsia="lv-LV"/>
                    </w:rPr>
                    <w:t>8 445</w:t>
                  </w:r>
                  <w:r w:rsidRPr="00740EB0" w:rsidDel="00756139">
                    <w:rPr>
                      <w:rFonts w:eastAsia="Times New Roman" w:cs="Times New Roman"/>
                      <w:b/>
                      <w:bCs/>
                      <w:sz w:val="18"/>
                      <w:szCs w:val="18"/>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246FB6D" w14:textId="77777777" w:rsidR="000A660F" w:rsidRPr="00740EB0" w:rsidRDefault="000A660F" w:rsidP="003309D5">
                  <w:pPr>
                    <w:spacing w:after="0" w:line="240" w:lineRule="auto"/>
                    <w:jc w:val="right"/>
                    <w:rPr>
                      <w:rFonts w:eastAsia="Times New Roman" w:cs="Times New Roman"/>
                      <w:b/>
                      <w:bCs/>
                      <w:sz w:val="18"/>
                      <w:szCs w:val="18"/>
                      <w:lang w:eastAsia="lv-LV"/>
                    </w:rPr>
                  </w:pPr>
                  <w:r w:rsidRPr="00740EB0">
                    <w:rPr>
                      <w:rFonts w:eastAsia="Times New Roman" w:cs="Times New Roman"/>
                      <w:b/>
                      <w:bCs/>
                      <w:sz w:val="18"/>
                      <w:szCs w:val="18"/>
                      <w:lang w:eastAsia="lv-LV"/>
                    </w:rPr>
                    <w:t>10 845</w:t>
                  </w:r>
                </w:p>
              </w:tc>
              <w:tc>
                <w:tcPr>
                  <w:tcW w:w="1134" w:type="dxa"/>
                  <w:tcBorders>
                    <w:top w:val="nil"/>
                    <w:left w:val="nil"/>
                    <w:bottom w:val="single" w:sz="4" w:space="0" w:color="auto"/>
                    <w:right w:val="single" w:sz="4" w:space="0" w:color="auto"/>
                  </w:tcBorders>
                  <w:shd w:val="clear" w:color="auto" w:fill="auto"/>
                  <w:noWrap/>
                  <w:vAlign w:val="bottom"/>
                  <w:hideMark/>
                </w:tcPr>
                <w:p w14:paraId="18285A18" w14:textId="77777777" w:rsidR="000A660F" w:rsidRPr="00740EB0" w:rsidRDefault="000A660F" w:rsidP="003309D5">
                  <w:pPr>
                    <w:spacing w:after="0" w:line="240" w:lineRule="auto"/>
                    <w:jc w:val="right"/>
                    <w:rPr>
                      <w:rFonts w:eastAsia="Times New Roman" w:cs="Times New Roman"/>
                      <w:b/>
                      <w:bCs/>
                      <w:sz w:val="18"/>
                      <w:szCs w:val="18"/>
                      <w:lang w:eastAsia="lv-LV"/>
                    </w:rPr>
                  </w:pPr>
                  <w:r w:rsidRPr="00740EB0">
                    <w:rPr>
                      <w:rFonts w:eastAsia="Times New Roman" w:cs="Times New Roman"/>
                      <w:b/>
                      <w:bCs/>
                      <w:sz w:val="18"/>
                      <w:szCs w:val="18"/>
                      <w:lang w:eastAsia="lv-LV"/>
                    </w:rPr>
                    <w:t>12 958</w:t>
                  </w:r>
                </w:p>
              </w:tc>
            </w:tr>
            <w:tr w:rsidR="000A660F" w:rsidRPr="00740EB0" w14:paraId="7634B0B4" w14:textId="77777777" w:rsidTr="003309D5">
              <w:trPr>
                <w:trHeight w:val="530"/>
              </w:trPr>
              <w:tc>
                <w:tcPr>
                  <w:tcW w:w="2465" w:type="dxa"/>
                  <w:tcBorders>
                    <w:top w:val="nil"/>
                    <w:left w:val="single" w:sz="4" w:space="0" w:color="auto"/>
                    <w:bottom w:val="single" w:sz="4" w:space="0" w:color="auto"/>
                    <w:right w:val="single" w:sz="4" w:space="0" w:color="auto"/>
                  </w:tcBorders>
                  <w:shd w:val="clear" w:color="000000" w:fill="FFFFFF"/>
                  <w:vAlign w:val="bottom"/>
                  <w:hideMark/>
                </w:tcPr>
                <w:p w14:paraId="44DB6527"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Izlietotie/nepieciešamie līdzekļi, euro</w:t>
                  </w:r>
                </w:p>
              </w:tc>
              <w:tc>
                <w:tcPr>
                  <w:tcW w:w="1139" w:type="dxa"/>
                  <w:tcBorders>
                    <w:top w:val="nil"/>
                    <w:left w:val="nil"/>
                    <w:bottom w:val="single" w:sz="4" w:space="0" w:color="auto"/>
                    <w:right w:val="single" w:sz="4" w:space="0" w:color="auto"/>
                  </w:tcBorders>
                  <w:shd w:val="clear" w:color="auto" w:fill="auto"/>
                  <w:noWrap/>
                  <w:vAlign w:val="bottom"/>
                  <w:hideMark/>
                </w:tcPr>
                <w:p w14:paraId="2FC46807"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6 728 936</w:t>
                  </w:r>
                </w:p>
              </w:tc>
              <w:tc>
                <w:tcPr>
                  <w:tcW w:w="1134" w:type="dxa"/>
                  <w:tcBorders>
                    <w:top w:val="nil"/>
                    <w:left w:val="nil"/>
                    <w:bottom w:val="single" w:sz="4" w:space="0" w:color="auto"/>
                    <w:right w:val="single" w:sz="4" w:space="0" w:color="auto"/>
                  </w:tcBorders>
                  <w:shd w:val="clear" w:color="auto" w:fill="auto"/>
                  <w:noWrap/>
                  <w:vAlign w:val="bottom"/>
                  <w:hideMark/>
                </w:tcPr>
                <w:p w14:paraId="1CD7ACBC"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6 487 489</w:t>
                  </w:r>
                </w:p>
              </w:tc>
              <w:tc>
                <w:tcPr>
                  <w:tcW w:w="992" w:type="dxa"/>
                  <w:tcBorders>
                    <w:top w:val="nil"/>
                    <w:left w:val="nil"/>
                    <w:bottom w:val="single" w:sz="4" w:space="0" w:color="auto"/>
                    <w:right w:val="single" w:sz="4" w:space="0" w:color="auto"/>
                  </w:tcBorders>
                  <w:shd w:val="clear" w:color="auto" w:fill="auto"/>
                  <w:noWrap/>
                  <w:vAlign w:val="bottom"/>
                  <w:hideMark/>
                </w:tcPr>
                <w:p w14:paraId="190A7A1F"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5 497 602</w:t>
                  </w:r>
                </w:p>
              </w:tc>
              <w:tc>
                <w:tcPr>
                  <w:tcW w:w="1134" w:type="dxa"/>
                  <w:tcBorders>
                    <w:top w:val="nil"/>
                    <w:left w:val="nil"/>
                    <w:bottom w:val="single" w:sz="4" w:space="0" w:color="auto"/>
                    <w:right w:val="single" w:sz="4" w:space="0" w:color="auto"/>
                  </w:tcBorders>
                  <w:shd w:val="clear" w:color="000000" w:fill="D9D9D9"/>
                  <w:noWrap/>
                  <w:vAlign w:val="bottom"/>
                  <w:hideMark/>
                </w:tcPr>
                <w:p w14:paraId="41FBB83A"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4 721 053</w:t>
                  </w:r>
                </w:p>
              </w:tc>
              <w:tc>
                <w:tcPr>
                  <w:tcW w:w="1134" w:type="dxa"/>
                  <w:tcBorders>
                    <w:top w:val="nil"/>
                    <w:left w:val="nil"/>
                    <w:bottom w:val="single" w:sz="4" w:space="0" w:color="auto"/>
                    <w:right w:val="single" w:sz="4" w:space="0" w:color="auto"/>
                  </w:tcBorders>
                  <w:shd w:val="clear" w:color="auto" w:fill="auto"/>
                  <w:noWrap/>
                  <w:vAlign w:val="bottom"/>
                  <w:hideMark/>
                </w:tcPr>
                <w:p w14:paraId="70D74F0D"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6 167 955</w:t>
                  </w:r>
                </w:p>
              </w:tc>
              <w:tc>
                <w:tcPr>
                  <w:tcW w:w="1134" w:type="dxa"/>
                  <w:tcBorders>
                    <w:top w:val="nil"/>
                    <w:left w:val="nil"/>
                    <w:bottom w:val="single" w:sz="4" w:space="0" w:color="auto"/>
                    <w:right w:val="single" w:sz="4" w:space="0" w:color="auto"/>
                  </w:tcBorders>
                  <w:shd w:val="clear" w:color="auto" w:fill="auto"/>
                  <w:noWrap/>
                  <w:vAlign w:val="bottom"/>
                  <w:hideMark/>
                </w:tcPr>
                <w:p w14:paraId="0F009897"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13 167 530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A9DDE" w14:textId="77777777" w:rsidR="000A660F" w:rsidRPr="00740EB0" w:rsidRDefault="000A660F" w:rsidP="003309D5">
                  <w:pPr>
                    <w:spacing w:after="0" w:line="240" w:lineRule="auto"/>
                    <w:jc w:val="right"/>
                    <w:rPr>
                      <w:rFonts w:eastAsia="Times New Roman" w:cs="Times New Roman"/>
                      <w:b/>
                      <w:bCs/>
                      <w:color w:val="000000"/>
                      <w:sz w:val="18"/>
                      <w:szCs w:val="18"/>
                      <w:highlight w:val="yellow"/>
                      <w:lang w:eastAsia="lv-LV"/>
                    </w:rPr>
                  </w:pPr>
                  <w:r w:rsidRPr="00740EB0">
                    <w:rPr>
                      <w:rFonts w:eastAsia="Times New Roman" w:cs="Times New Roman"/>
                      <w:b/>
                      <w:bCs/>
                      <w:color w:val="000000"/>
                      <w:sz w:val="18"/>
                      <w:szCs w:val="18"/>
                      <w:lang w:eastAsia="lv-LV"/>
                    </w:rPr>
                    <w:t>12 641 513</w:t>
                  </w:r>
                </w:p>
              </w:tc>
              <w:tc>
                <w:tcPr>
                  <w:tcW w:w="1134" w:type="dxa"/>
                  <w:tcBorders>
                    <w:top w:val="nil"/>
                    <w:left w:val="nil"/>
                    <w:bottom w:val="single" w:sz="4" w:space="0" w:color="auto"/>
                    <w:right w:val="single" w:sz="4" w:space="0" w:color="auto"/>
                  </w:tcBorders>
                  <w:shd w:val="clear" w:color="auto" w:fill="auto"/>
                  <w:noWrap/>
                  <w:vAlign w:val="bottom"/>
                  <w:hideMark/>
                </w:tcPr>
                <w:p w14:paraId="57B70C4A"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16 054 331</w:t>
                  </w:r>
                </w:p>
              </w:tc>
              <w:tc>
                <w:tcPr>
                  <w:tcW w:w="1134" w:type="dxa"/>
                  <w:tcBorders>
                    <w:top w:val="nil"/>
                    <w:left w:val="nil"/>
                    <w:bottom w:val="single" w:sz="4" w:space="0" w:color="auto"/>
                    <w:right w:val="single" w:sz="4" w:space="0" w:color="auto"/>
                  </w:tcBorders>
                  <w:shd w:val="clear" w:color="auto" w:fill="auto"/>
                  <w:noWrap/>
                  <w:vAlign w:val="bottom"/>
                  <w:hideMark/>
                </w:tcPr>
                <w:p w14:paraId="245F4708" w14:textId="77777777" w:rsidR="000A660F" w:rsidRPr="00740EB0" w:rsidRDefault="000A660F" w:rsidP="003309D5">
                  <w:pPr>
                    <w:spacing w:after="0" w:line="240" w:lineRule="auto"/>
                    <w:jc w:val="right"/>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17 237 756</w:t>
                  </w:r>
                </w:p>
              </w:tc>
            </w:tr>
            <w:tr w:rsidR="000A660F" w:rsidRPr="00740EB0" w14:paraId="73C35D7D" w14:textId="77777777" w:rsidTr="003309D5">
              <w:trPr>
                <w:trHeight w:val="790"/>
              </w:trPr>
              <w:tc>
                <w:tcPr>
                  <w:tcW w:w="2465" w:type="dxa"/>
                  <w:tcBorders>
                    <w:top w:val="nil"/>
                    <w:left w:val="single" w:sz="4" w:space="0" w:color="auto"/>
                    <w:bottom w:val="single" w:sz="4" w:space="0" w:color="auto"/>
                    <w:right w:val="single" w:sz="4" w:space="0" w:color="auto"/>
                  </w:tcBorders>
                  <w:shd w:val="clear" w:color="auto" w:fill="auto"/>
                  <w:vAlign w:val="center"/>
                  <w:hideMark/>
                </w:tcPr>
                <w:p w14:paraId="5E6BEF70" w14:textId="77777777" w:rsidR="000A660F" w:rsidRPr="00740EB0" w:rsidRDefault="000A660F" w:rsidP="003309D5">
                  <w:pPr>
                    <w:spacing w:after="0" w:line="240" w:lineRule="auto"/>
                    <w:jc w:val="right"/>
                    <w:rPr>
                      <w:rFonts w:eastAsia="Times New Roman" w:cs="Times New Roman"/>
                      <w:sz w:val="18"/>
                      <w:szCs w:val="18"/>
                      <w:lang w:eastAsia="lv-LV"/>
                    </w:rPr>
                  </w:pPr>
                  <w:r w:rsidRPr="00740EB0">
                    <w:rPr>
                      <w:rFonts w:eastAsia="Times New Roman" w:cs="Times New Roman"/>
                      <w:sz w:val="18"/>
                      <w:szCs w:val="18"/>
                      <w:lang w:eastAsia="lv-LV"/>
                    </w:rPr>
                    <w:t>Nepieciešamā finansējuma pieaugums pret 2019.gadu,</w:t>
                  </w:r>
                  <w:r w:rsidRPr="00740EB0">
                    <w:rPr>
                      <w:rFonts w:eastAsia="Times New Roman" w:cs="Times New Roman"/>
                      <w:i/>
                      <w:iCs/>
                      <w:sz w:val="18"/>
                      <w:szCs w:val="18"/>
                      <w:lang w:eastAsia="lv-LV"/>
                    </w:rPr>
                    <w:t xml:space="preserve"> euro</w:t>
                  </w:r>
                </w:p>
              </w:tc>
              <w:tc>
                <w:tcPr>
                  <w:tcW w:w="1139" w:type="dxa"/>
                  <w:tcBorders>
                    <w:top w:val="nil"/>
                    <w:left w:val="nil"/>
                    <w:bottom w:val="single" w:sz="4" w:space="0" w:color="auto"/>
                    <w:right w:val="single" w:sz="4" w:space="0" w:color="auto"/>
                  </w:tcBorders>
                  <w:shd w:val="clear" w:color="000000" w:fill="D9D9D9"/>
                  <w:vAlign w:val="center"/>
                  <w:hideMark/>
                </w:tcPr>
                <w:p w14:paraId="6DCD73E0" w14:textId="77777777" w:rsidR="000A660F" w:rsidRPr="00740EB0" w:rsidRDefault="000A660F" w:rsidP="003309D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7DE3508E" w14:textId="77777777" w:rsidR="000A660F" w:rsidRPr="00740EB0" w:rsidRDefault="000A660F" w:rsidP="003309D5">
                  <w:pPr>
                    <w:spacing w:after="0" w:line="240" w:lineRule="auto"/>
                    <w:jc w:val="center"/>
                    <w:rPr>
                      <w:rFonts w:eastAsia="Times New Roman" w:cs="Times New Roman"/>
                      <w:color w:val="000000"/>
                      <w:sz w:val="18"/>
                      <w:szCs w:val="18"/>
                      <w:lang w:eastAsia="lv-LV"/>
                    </w:rPr>
                  </w:pPr>
                  <w:r w:rsidRPr="00740EB0">
                    <w:rPr>
                      <w:rFonts w:eastAsia="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14966547" w14:textId="77777777" w:rsidR="000A660F" w:rsidRPr="00740EB0" w:rsidRDefault="000A660F" w:rsidP="003309D5">
                  <w:pPr>
                    <w:spacing w:after="0" w:line="240" w:lineRule="auto"/>
                    <w:jc w:val="center"/>
                    <w:rPr>
                      <w:rFonts w:eastAsia="Times New Roman" w:cs="Times New Roman"/>
                      <w:color w:val="000000"/>
                      <w:sz w:val="18"/>
                      <w:szCs w:val="18"/>
                      <w:lang w:eastAsia="lv-LV"/>
                    </w:rPr>
                  </w:pPr>
                  <w:r w:rsidRPr="00740EB0">
                    <w:rPr>
                      <w:rFonts w:eastAsia="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68B81AD9" w14:textId="77777777" w:rsidR="000A660F" w:rsidRPr="00740EB0" w:rsidRDefault="000A660F" w:rsidP="003309D5">
                  <w:pPr>
                    <w:spacing w:after="0" w:line="240" w:lineRule="auto"/>
                    <w:jc w:val="center"/>
                    <w:rPr>
                      <w:rFonts w:eastAsia="Times New Roman" w:cs="Times New Roman"/>
                      <w:color w:val="000000"/>
                      <w:sz w:val="18"/>
                      <w:szCs w:val="18"/>
                      <w:lang w:eastAsia="lv-LV"/>
                    </w:rPr>
                  </w:pPr>
                  <w:r w:rsidRPr="00740EB0">
                    <w:rPr>
                      <w:rFonts w:eastAsia="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AF0AA" w14:textId="77777777" w:rsidR="000A660F" w:rsidRPr="00740EB0" w:rsidRDefault="000A660F" w:rsidP="003309D5">
                  <w:pPr>
                    <w:spacing w:after="0" w:line="240" w:lineRule="auto"/>
                    <w:jc w:val="right"/>
                    <w:rPr>
                      <w:rFonts w:eastAsia="Times New Roman" w:cs="Times New Roman"/>
                      <w:sz w:val="18"/>
                      <w:szCs w:val="18"/>
                      <w:lang w:eastAsia="lv-LV"/>
                    </w:rPr>
                  </w:pPr>
                  <w:r w:rsidRPr="00740EB0">
                    <w:rPr>
                      <w:rFonts w:eastAsia="Times New Roman" w:cs="Times New Roman"/>
                      <w:sz w:val="18"/>
                      <w:szCs w:val="18"/>
                      <w:lang w:eastAsia="lv-LV"/>
                    </w:rPr>
                    <w:t>1 446 902</w:t>
                  </w:r>
                </w:p>
              </w:tc>
              <w:tc>
                <w:tcPr>
                  <w:tcW w:w="1134" w:type="dxa"/>
                  <w:tcBorders>
                    <w:top w:val="nil"/>
                    <w:left w:val="nil"/>
                    <w:bottom w:val="single" w:sz="4" w:space="0" w:color="auto"/>
                    <w:right w:val="single" w:sz="4" w:space="0" w:color="auto"/>
                  </w:tcBorders>
                  <w:shd w:val="clear" w:color="auto" w:fill="auto"/>
                  <w:noWrap/>
                  <w:vAlign w:val="bottom"/>
                  <w:hideMark/>
                </w:tcPr>
                <w:p w14:paraId="451F90EF" w14:textId="77777777" w:rsidR="000A660F" w:rsidRPr="00740EB0" w:rsidRDefault="000A660F" w:rsidP="003309D5">
                  <w:pPr>
                    <w:spacing w:after="0" w:line="240" w:lineRule="auto"/>
                    <w:jc w:val="right"/>
                    <w:rPr>
                      <w:rFonts w:eastAsia="Times New Roman" w:cs="Times New Roman"/>
                      <w:sz w:val="18"/>
                      <w:szCs w:val="18"/>
                      <w:lang w:eastAsia="lv-LV"/>
                    </w:rPr>
                  </w:pPr>
                  <w:r w:rsidRPr="00740EB0">
                    <w:rPr>
                      <w:rFonts w:eastAsia="Times New Roman" w:cs="Times New Roman"/>
                      <w:sz w:val="18"/>
                      <w:szCs w:val="18"/>
                      <w:lang w:eastAsia="lv-LV"/>
                    </w:rPr>
                    <w:t>8 446 477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707FF4F" w14:textId="77777777" w:rsidR="000A660F" w:rsidRPr="00740EB0" w:rsidRDefault="000A660F" w:rsidP="003309D5">
                  <w:pPr>
                    <w:spacing w:after="0" w:line="240" w:lineRule="auto"/>
                    <w:jc w:val="right"/>
                    <w:rPr>
                      <w:rFonts w:eastAsia="Times New Roman" w:cs="Times New Roman"/>
                      <w:sz w:val="18"/>
                      <w:szCs w:val="18"/>
                      <w:highlight w:val="yellow"/>
                      <w:lang w:eastAsia="lv-LV"/>
                    </w:rPr>
                  </w:pPr>
                  <w:r w:rsidRPr="00740EB0">
                    <w:rPr>
                      <w:rFonts w:eastAsia="Times New Roman" w:cs="Times New Roman"/>
                      <w:sz w:val="18"/>
                      <w:szCs w:val="18"/>
                      <w:lang w:eastAsia="lv-LV"/>
                    </w:rPr>
                    <w:t>7 920 460</w:t>
                  </w:r>
                </w:p>
              </w:tc>
              <w:tc>
                <w:tcPr>
                  <w:tcW w:w="1134" w:type="dxa"/>
                  <w:tcBorders>
                    <w:top w:val="nil"/>
                    <w:left w:val="nil"/>
                    <w:bottom w:val="single" w:sz="4" w:space="0" w:color="auto"/>
                    <w:right w:val="single" w:sz="4" w:space="0" w:color="auto"/>
                  </w:tcBorders>
                  <w:shd w:val="clear" w:color="auto" w:fill="auto"/>
                  <w:noWrap/>
                  <w:vAlign w:val="bottom"/>
                  <w:hideMark/>
                </w:tcPr>
                <w:p w14:paraId="38DA556A" w14:textId="77777777" w:rsidR="000A660F" w:rsidRPr="00740EB0" w:rsidRDefault="000A660F" w:rsidP="003309D5">
                  <w:pPr>
                    <w:spacing w:after="0" w:line="240" w:lineRule="auto"/>
                    <w:jc w:val="right"/>
                    <w:rPr>
                      <w:rFonts w:eastAsia="Times New Roman" w:cs="Times New Roman"/>
                      <w:sz w:val="18"/>
                      <w:szCs w:val="18"/>
                      <w:lang w:eastAsia="lv-LV"/>
                    </w:rPr>
                  </w:pPr>
                  <w:r w:rsidRPr="00740EB0">
                    <w:rPr>
                      <w:rFonts w:eastAsia="Times New Roman" w:cs="Times New Roman"/>
                      <w:sz w:val="18"/>
                      <w:szCs w:val="18"/>
                      <w:lang w:eastAsia="lv-LV"/>
                    </w:rPr>
                    <w:t>11 333 278</w:t>
                  </w:r>
                </w:p>
              </w:tc>
              <w:tc>
                <w:tcPr>
                  <w:tcW w:w="1134" w:type="dxa"/>
                  <w:tcBorders>
                    <w:top w:val="nil"/>
                    <w:left w:val="nil"/>
                    <w:bottom w:val="single" w:sz="4" w:space="0" w:color="auto"/>
                    <w:right w:val="single" w:sz="4" w:space="0" w:color="auto"/>
                  </w:tcBorders>
                  <w:shd w:val="clear" w:color="auto" w:fill="auto"/>
                  <w:noWrap/>
                  <w:vAlign w:val="bottom"/>
                  <w:hideMark/>
                </w:tcPr>
                <w:p w14:paraId="2B0B8393" w14:textId="77777777" w:rsidR="000A660F" w:rsidRPr="00740EB0" w:rsidRDefault="000A660F" w:rsidP="003309D5">
                  <w:pPr>
                    <w:spacing w:after="0" w:line="240" w:lineRule="auto"/>
                    <w:jc w:val="right"/>
                    <w:rPr>
                      <w:rFonts w:eastAsia="Times New Roman" w:cs="Times New Roman"/>
                      <w:sz w:val="18"/>
                      <w:szCs w:val="18"/>
                      <w:lang w:eastAsia="lv-LV"/>
                    </w:rPr>
                  </w:pPr>
                  <w:r w:rsidRPr="00740EB0">
                    <w:rPr>
                      <w:rFonts w:eastAsia="Times New Roman" w:cs="Times New Roman"/>
                      <w:sz w:val="18"/>
                      <w:szCs w:val="18"/>
                      <w:lang w:eastAsia="lv-LV"/>
                    </w:rPr>
                    <w:t>17 231 278</w:t>
                  </w:r>
                </w:p>
              </w:tc>
            </w:tr>
          </w:tbl>
          <w:p w14:paraId="28E6825E" w14:textId="77777777" w:rsidR="000A660F" w:rsidRDefault="000A660F" w:rsidP="003309D5">
            <w:pPr>
              <w:spacing w:after="0" w:line="240" w:lineRule="auto"/>
              <w:jc w:val="both"/>
              <w:rPr>
                <w:rFonts w:eastAsia="Times New Roman" w:cs="Times New Roman"/>
                <w:sz w:val="20"/>
                <w:szCs w:val="20"/>
                <w:lang w:eastAsia="lv-LV"/>
              </w:rPr>
            </w:pPr>
          </w:p>
          <w:p w14:paraId="2E2410AA" w14:textId="77777777" w:rsidR="000A660F" w:rsidRPr="00B521CF" w:rsidRDefault="000A660F" w:rsidP="003309D5">
            <w:pPr>
              <w:spacing w:after="0" w:line="240" w:lineRule="auto"/>
              <w:rPr>
                <w:rFonts w:eastAsia="Times New Roman" w:cs="Times New Roman"/>
                <w:sz w:val="18"/>
                <w:szCs w:val="18"/>
                <w:lang w:eastAsia="lv-LV"/>
              </w:rPr>
            </w:pPr>
          </w:p>
        </w:tc>
      </w:tr>
      <w:tr w:rsidR="000A660F" w:rsidRPr="00B521CF" w14:paraId="040C70D7" w14:textId="77777777" w:rsidTr="003309D5">
        <w:trPr>
          <w:trHeight w:val="52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F047E79" w14:textId="77777777" w:rsidR="000A660F" w:rsidRPr="00B521CF" w:rsidRDefault="000A660F" w:rsidP="003309D5">
            <w:pPr>
              <w:spacing w:after="0" w:line="240" w:lineRule="auto"/>
              <w:rPr>
                <w:rFonts w:eastAsia="Times New Roman" w:cs="Times New Roman"/>
                <w:b/>
                <w:iCs/>
                <w:sz w:val="20"/>
                <w:szCs w:val="20"/>
                <w:lang w:eastAsia="lv-LV"/>
              </w:rPr>
            </w:pPr>
            <w:r>
              <w:rPr>
                <w:rFonts w:eastAsia="Times New Roman" w:cs="Times New Roman"/>
                <w:b/>
                <w:iCs/>
                <w:sz w:val="20"/>
                <w:szCs w:val="20"/>
                <w:lang w:eastAsia="lv-LV"/>
              </w:rPr>
              <w:t xml:space="preserve">Maznodrošināto personu esošais skaits un prognozes </w:t>
            </w:r>
          </w:p>
        </w:tc>
        <w:tc>
          <w:tcPr>
            <w:tcW w:w="13354" w:type="dxa"/>
            <w:tcBorders>
              <w:top w:val="single" w:sz="4" w:space="0" w:color="auto"/>
              <w:left w:val="single" w:sz="4" w:space="0" w:color="auto"/>
              <w:bottom w:val="single" w:sz="4" w:space="0" w:color="auto"/>
              <w:right w:val="single" w:sz="4" w:space="0" w:color="auto"/>
            </w:tcBorders>
            <w:shd w:val="clear" w:color="auto" w:fill="auto"/>
          </w:tcPr>
          <w:p w14:paraId="1A74D102" w14:textId="77777777" w:rsidR="000A660F" w:rsidRPr="002674D5" w:rsidRDefault="000A660F" w:rsidP="003309D5">
            <w:pPr>
              <w:spacing w:after="0" w:line="240" w:lineRule="auto"/>
              <w:rPr>
                <w:rFonts w:eastAsia="Times New Roman" w:cs="Times New Roman"/>
                <w:b/>
                <w:sz w:val="20"/>
                <w:szCs w:val="20"/>
                <w:lang w:eastAsia="lv-LV"/>
              </w:rPr>
            </w:pPr>
            <w:r w:rsidRPr="002674D5">
              <w:rPr>
                <w:rFonts w:eastAsia="Times New Roman" w:cs="Times New Roman"/>
                <w:b/>
                <w:sz w:val="20"/>
                <w:szCs w:val="20"/>
                <w:lang w:eastAsia="lv-LV"/>
              </w:rPr>
              <w:t>LM aprēķini un skaidrojums:</w:t>
            </w:r>
          </w:p>
          <w:p w14:paraId="0E8306AE" w14:textId="77777777" w:rsidR="000A660F" w:rsidRPr="00DA04D8" w:rsidRDefault="000A660F" w:rsidP="003309D5">
            <w:pPr>
              <w:spacing w:after="120" w:line="240" w:lineRule="auto"/>
              <w:jc w:val="both"/>
              <w:rPr>
                <w:rFonts w:cs="Times New Roman"/>
                <w:lang w:eastAsia="lv-LV"/>
              </w:rPr>
            </w:pPr>
            <w:r w:rsidRPr="00DA04D8">
              <w:rPr>
                <w:rFonts w:cs="Times New Roman"/>
                <w:lang w:eastAsia="lv-LV"/>
              </w:rPr>
              <w:t xml:space="preserve">Datu vākšana par maznodrošināto personu skaitu valstī uzsākta no 2017.gada. Maznodrošināto personu skaita pieaugums 2021.gadā plānots atbilstoši trūcīgo personu skaita pieaugumam, ņemot vērā, ka maznodrošinātās </w:t>
            </w:r>
            <w:r>
              <w:rPr>
                <w:rFonts w:cs="Times New Roman"/>
                <w:lang w:eastAsia="lv-LV"/>
              </w:rPr>
              <w:t>mājsaimniecības</w:t>
            </w:r>
            <w:r w:rsidRPr="00DA04D8">
              <w:rPr>
                <w:rFonts w:cs="Times New Roman"/>
                <w:lang w:eastAsia="lv-LV"/>
              </w:rPr>
              <w:t xml:space="preserve"> ienākumu </w:t>
            </w:r>
            <w:r>
              <w:rPr>
                <w:rFonts w:cs="Times New Roman"/>
                <w:lang w:eastAsia="lv-LV"/>
              </w:rPr>
              <w:t>slieksnis</w:t>
            </w:r>
            <w:r w:rsidRPr="00DA04D8">
              <w:rPr>
                <w:rFonts w:cs="Times New Roman"/>
                <w:lang w:eastAsia="lv-LV"/>
              </w:rPr>
              <w:t xml:space="preserve"> pirmajai personai mājsaimniecībā ar 2021.gadu noteikts 272 </w:t>
            </w:r>
            <w:r w:rsidRPr="00DA04D8">
              <w:rPr>
                <w:rFonts w:cs="Times New Roman"/>
                <w:i/>
                <w:lang w:eastAsia="lv-LV"/>
              </w:rPr>
              <w:t>euro</w:t>
            </w:r>
            <w:r w:rsidRPr="00DA04D8">
              <w:rPr>
                <w:rFonts w:cs="Times New Roman"/>
                <w:lang w:eastAsia="lv-LV"/>
              </w:rPr>
              <w:t xml:space="preserve"> un pārējām personām 190 </w:t>
            </w:r>
            <w:r w:rsidRPr="00DA04D8">
              <w:rPr>
                <w:rFonts w:cs="Times New Roman"/>
                <w:i/>
                <w:lang w:eastAsia="lv-LV"/>
              </w:rPr>
              <w:t>euro</w:t>
            </w:r>
            <w:r w:rsidRPr="00DA04D8">
              <w:rPr>
                <w:rFonts w:cs="Times New Roman"/>
                <w:lang w:eastAsia="lv-LV"/>
              </w:rPr>
              <w:t xml:space="preserve"> (0,7 no pirmās), atbilstoši kuram varēs saņemt valsts sniegto atbalstu. </w:t>
            </w:r>
          </w:p>
          <w:p w14:paraId="53A40997" w14:textId="77777777" w:rsidR="000A660F" w:rsidRPr="00DA04D8" w:rsidRDefault="000A660F" w:rsidP="003309D5">
            <w:pPr>
              <w:spacing w:after="120" w:line="240" w:lineRule="auto"/>
              <w:jc w:val="both"/>
              <w:rPr>
                <w:rFonts w:cs="Times New Roman"/>
                <w:lang w:eastAsia="lv-LV"/>
              </w:rPr>
            </w:pPr>
            <w:r>
              <w:rPr>
                <w:rFonts w:cs="Times New Roman"/>
                <w:lang w:eastAsia="lv-LV"/>
              </w:rPr>
              <w:t xml:space="preserve"> Tabula Nr. 3.4</w:t>
            </w:r>
            <w:r w:rsidRPr="00DA04D8">
              <w:rPr>
                <w:rFonts w:cs="Times New Roman"/>
                <w:lang w:eastAsia="lv-LV"/>
              </w:rPr>
              <w:t xml:space="preserve">. Maznodrošināto personu </w:t>
            </w:r>
            <w:r>
              <w:rPr>
                <w:rFonts w:cs="Times New Roman"/>
                <w:lang w:eastAsia="lv-LV"/>
              </w:rPr>
              <w:t>skaits un prognozes 2017. – 2024</w:t>
            </w:r>
            <w:r w:rsidRPr="00DA04D8">
              <w:rPr>
                <w:rFonts w:cs="Times New Roman"/>
                <w:lang w:eastAsia="lv-LV"/>
              </w:rPr>
              <w:t>.gadu periodā</w:t>
            </w:r>
          </w:p>
          <w:tbl>
            <w:tblPr>
              <w:tblW w:w="10399" w:type="dxa"/>
              <w:tblInd w:w="2" w:type="dxa"/>
              <w:tblLayout w:type="fixed"/>
              <w:tblCellMar>
                <w:left w:w="0" w:type="dxa"/>
                <w:right w:w="0" w:type="dxa"/>
              </w:tblCellMar>
              <w:tblLook w:val="04A0" w:firstRow="1" w:lastRow="0" w:firstColumn="1" w:lastColumn="0" w:noHBand="0" w:noVBand="1"/>
            </w:tblPr>
            <w:tblGrid>
              <w:gridCol w:w="1894"/>
              <w:gridCol w:w="850"/>
              <w:gridCol w:w="993"/>
              <w:gridCol w:w="992"/>
              <w:gridCol w:w="1134"/>
              <w:gridCol w:w="1134"/>
              <w:gridCol w:w="1134"/>
              <w:gridCol w:w="1134"/>
              <w:gridCol w:w="1134"/>
            </w:tblGrid>
            <w:tr w:rsidR="000A660F" w:rsidRPr="00B30B5C" w14:paraId="1D9BB7BD" w14:textId="77777777" w:rsidTr="003309D5">
              <w:trPr>
                <w:trHeight w:val="469"/>
              </w:trPr>
              <w:tc>
                <w:tcPr>
                  <w:tcW w:w="1894" w:type="dxa"/>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hideMark/>
                </w:tcPr>
                <w:p w14:paraId="5710D187" w14:textId="77777777" w:rsidR="000A660F" w:rsidRPr="00D85DBE" w:rsidRDefault="000A660F" w:rsidP="003309D5">
                  <w:pPr>
                    <w:spacing w:after="0" w:line="240" w:lineRule="auto"/>
                    <w:jc w:val="center"/>
                    <w:rPr>
                      <w:rFonts w:cs="Times New Roman"/>
                      <w:color w:val="000000"/>
                      <w:sz w:val="20"/>
                      <w:szCs w:val="20"/>
                      <w:lang w:eastAsia="lv-LV"/>
                    </w:rPr>
                  </w:pPr>
                  <w:r w:rsidRPr="00D85DBE">
                    <w:rPr>
                      <w:rFonts w:cs="Times New Roman"/>
                      <w:color w:val="000000"/>
                      <w:sz w:val="20"/>
                      <w:szCs w:val="20"/>
                      <w:lang w:eastAsia="lv-LV"/>
                    </w:rPr>
                    <w:t>Indikators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43028F" w14:textId="77777777" w:rsidR="000A660F" w:rsidRPr="00D85DBE" w:rsidRDefault="000A660F" w:rsidP="003309D5">
                  <w:pPr>
                    <w:spacing w:after="0" w:line="240" w:lineRule="auto"/>
                    <w:jc w:val="center"/>
                    <w:rPr>
                      <w:rFonts w:cs="Times New Roman"/>
                      <w:b/>
                      <w:bCs/>
                      <w:iCs/>
                      <w:sz w:val="20"/>
                      <w:szCs w:val="20"/>
                      <w:lang w:eastAsia="lv-LV"/>
                    </w:rPr>
                  </w:pPr>
                  <w:r w:rsidRPr="00D85DBE">
                    <w:rPr>
                      <w:rFonts w:cs="Times New Roman"/>
                      <w:b/>
                      <w:bCs/>
                      <w:iCs/>
                      <w:sz w:val="20"/>
                      <w:szCs w:val="20"/>
                      <w:lang w:eastAsia="lv-LV"/>
                    </w:rPr>
                    <w:t>2017. fakts</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C5EB9D" w14:textId="77777777" w:rsidR="000A660F" w:rsidRPr="00D85DBE" w:rsidRDefault="000A660F" w:rsidP="003309D5">
                  <w:pPr>
                    <w:spacing w:after="0" w:line="240" w:lineRule="auto"/>
                    <w:jc w:val="center"/>
                    <w:rPr>
                      <w:rFonts w:cs="Times New Roman"/>
                      <w:b/>
                      <w:bCs/>
                      <w:iCs/>
                      <w:sz w:val="20"/>
                      <w:szCs w:val="20"/>
                      <w:lang w:eastAsia="lv-LV"/>
                    </w:rPr>
                  </w:pPr>
                  <w:r w:rsidRPr="00D85DBE">
                    <w:rPr>
                      <w:rFonts w:cs="Times New Roman"/>
                      <w:b/>
                      <w:bCs/>
                      <w:iCs/>
                      <w:sz w:val="20"/>
                      <w:szCs w:val="20"/>
                      <w:lang w:eastAsia="lv-LV"/>
                    </w:rPr>
                    <w:t>2018. fakts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EC9A57" w14:textId="77777777" w:rsidR="000A660F" w:rsidRPr="00D85DBE" w:rsidRDefault="000A660F" w:rsidP="003309D5">
                  <w:pPr>
                    <w:spacing w:after="0" w:line="240" w:lineRule="auto"/>
                    <w:jc w:val="center"/>
                    <w:rPr>
                      <w:rFonts w:cs="Times New Roman"/>
                      <w:b/>
                      <w:bCs/>
                      <w:iCs/>
                      <w:sz w:val="20"/>
                      <w:szCs w:val="20"/>
                      <w:lang w:eastAsia="lv-LV"/>
                    </w:rPr>
                  </w:pPr>
                  <w:r w:rsidRPr="00D85DBE">
                    <w:rPr>
                      <w:rFonts w:cs="Times New Roman"/>
                      <w:b/>
                      <w:bCs/>
                      <w:iCs/>
                      <w:sz w:val="20"/>
                      <w:szCs w:val="20"/>
                      <w:lang w:eastAsia="lv-LV"/>
                    </w:rPr>
                    <w:t>2019. fakts</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E9A6D7" w14:textId="77777777" w:rsidR="000A660F" w:rsidRPr="00D85DBE" w:rsidRDefault="000A660F" w:rsidP="003309D5">
                  <w:pPr>
                    <w:spacing w:after="0" w:line="240" w:lineRule="auto"/>
                    <w:jc w:val="center"/>
                    <w:rPr>
                      <w:rFonts w:cs="Times New Roman"/>
                      <w:b/>
                      <w:bCs/>
                      <w:i/>
                      <w:iCs/>
                      <w:sz w:val="20"/>
                      <w:szCs w:val="20"/>
                      <w:lang w:eastAsia="lv-LV"/>
                    </w:rPr>
                  </w:pPr>
                  <w:r w:rsidRPr="00D85DBE">
                    <w:rPr>
                      <w:rFonts w:cs="Times New Roman"/>
                      <w:b/>
                      <w:bCs/>
                      <w:i/>
                      <w:iCs/>
                      <w:sz w:val="20"/>
                      <w:szCs w:val="20"/>
                      <w:lang w:eastAsia="lv-LV"/>
                    </w:rPr>
                    <w:t>2020. prognoze</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B25888" w14:textId="77777777" w:rsidR="000A660F" w:rsidRPr="00D85DBE" w:rsidRDefault="000A660F" w:rsidP="003309D5">
                  <w:pPr>
                    <w:spacing w:after="0" w:line="240" w:lineRule="auto"/>
                    <w:jc w:val="center"/>
                    <w:rPr>
                      <w:rFonts w:cs="Times New Roman"/>
                      <w:b/>
                      <w:bCs/>
                      <w:i/>
                      <w:iCs/>
                      <w:sz w:val="20"/>
                      <w:szCs w:val="20"/>
                      <w:lang w:eastAsia="lv-LV"/>
                    </w:rPr>
                  </w:pPr>
                  <w:r w:rsidRPr="00D85DBE">
                    <w:rPr>
                      <w:rFonts w:cs="Times New Roman"/>
                      <w:b/>
                      <w:bCs/>
                      <w:i/>
                      <w:iCs/>
                      <w:sz w:val="20"/>
                      <w:szCs w:val="20"/>
                      <w:lang w:eastAsia="lv-LV"/>
                    </w:rPr>
                    <w:t>2021. prognoze</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FB0564" w14:textId="77777777" w:rsidR="000A660F" w:rsidRPr="00D85DBE" w:rsidRDefault="000A660F" w:rsidP="003309D5">
                  <w:pPr>
                    <w:spacing w:after="0" w:line="240" w:lineRule="auto"/>
                    <w:jc w:val="center"/>
                    <w:rPr>
                      <w:rFonts w:cs="Times New Roman"/>
                      <w:b/>
                      <w:bCs/>
                      <w:i/>
                      <w:iCs/>
                      <w:sz w:val="20"/>
                      <w:szCs w:val="20"/>
                      <w:lang w:eastAsia="lv-LV"/>
                    </w:rPr>
                  </w:pPr>
                  <w:r w:rsidRPr="00D85DBE">
                    <w:rPr>
                      <w:rFonts w:cs="Times New Roman"/>
                      <w:b/>
                      <w:bCs/>
                      <w:i/>
                      <w:iCs/>
                      <w:sz w:val="20"/>
                      <w:szCs w:val="20"/>
                      <w:lang w:eastAsia="lv-LV"/>
                    </w:rPr>
                    <w:t>2022. prognoze</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0A98B5" w14:textId="77777777" w:rsidR="000A660F" w:rsidRPr="00D85DBE" w:rsidRDefault="000A660F" w:rsidP="003309D5">
                  <w:pPr>
                    <w:spacing w:after="0" w:line="240" w:lineRule="auto"/>
                    <w:jc w:val="center"/>
                    <w:rPr>
                      <w:rFonts w:cs="Times New Roman"/>
                      <w:b/>
                      <w:bCs/>
                      <w:i/>
                      <w:iCs/>
                      <w:sz w:val="20"/>
                      <w:szCs w:val="20"/>
                      <w:lang w:eastAsia="lv-LV"/>
                    </w:rPr>
                  </w:pPr>
                  <w:r w:rsidRPr="00D85DBE">
                    <w:rPr>
                      <w:rFonts w:cs="Times New Roman"/>
                      <w:b/>
                      <w:bCs/>
                      <w:i/>
                      <w:iCs/>
                      <w:sz w:val="20"/>
                      <w:szCs w:val="20"/>
                      <w:lang w:eastAsia="lv-LV"/>
                    </w:rPr>
                    <w:t>2023. prognoze</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912741" w14:textId="77777777" w:rsidR="000A660F" w:rsidRPr="00D85DBE" w:rsidRDefault="000A660F" w:rsidP="003309D5">
                  <w:pPr>
                    <w:spacing w:after="0" w:line="240" w:lineRule="auto"/>
                    <w:jc w:val="center"/>
                    <w:rPr>
                      <w:rFonts w:cs="Times New Roman"/>
                      <w:b/>
                      <w:bCs/>
                      <w:i/>
                      <w:iCs/>
                      <w:sz w:val="20"/>
                      <w:szCs w:val="20"/>
                      <w:lang w:eastAsia="lv-LV"/>
                    </w:rPr>
                  </w:pPr>
                  <w:r w:rsidRPr="00D85DBE">
                    <w:rPr>
                      <w:rFonts w:cs="Times New Roman"/>
                      <w:b/>
                      <w:bCs/>
                      <w:i/>
                      <w:iCs/>
                      <w:sz w:val="20"/>
                      <w:szCs w:val="20"/>
                      <w:lang w:eastAsia="lv-LV"/>
                    </w:rPr>
                    <w:t>2024. prognoze</w:t>
                  </w:r>
                </w:p>
              </w:tc>
            </w:tr>
            <w:tr w:rsidR="000A660F" w:rsidRPr="00B30B5C" w14:paraId="7D375031" w14:textId="77777777" w:rsidTr="003309D5">
              <w:trPr>
                <w:trHeight w:val="443"/>
              </w:trPr>
              <w:tc>
                <w:tcPr>
                  <w:tcW w:w="18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9E4A04E" w14:textId="77777777" w:rsidR="000A660F" w:rsidRPr="00326E87" w:rsidRDefault="000A660F" w:rsidP="003309D5">
                  <w:pPr>
                    <w:spacing w:after="0" w:line="240" w:lineRule="auto"/>
                    <w:jc w:val="right"/>
                    <w:rPr>
                      <w:rFonts w:cs="Times New Roman"/>
                      <w:color w:val="000000"/>
                      <w:sz w:val="20"/>
                      <w:szCs w:val="20"/>
                      <w:lang w:eastAsia="lv-LV"/>
                    </w:rPr>
                  </w:pPr>
                  <w:r w:rsidRPr="00326E87">
                    <w:rPr>
                      <w:rFonts w:cs="Times New Roman"/>
                      <w:color w:val="000000"/>
                      <w:sz w:val="20"/>
                      <w:szCs w:val="20"/>
                      <w:lang w:eastAsia="lv-LV"/>
                    </w:rPr>
                    <w:t>Maznodrošināto personu skaits</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2E6B796" w14:textId="77777777" w:rsidR="000A660F" w:rsidRPr="00326E87" w:rsidRDefault="000A660F" w:rsidP="003309D5">
                  <w:pPr>
                    <w:spacing w:after="0" w:line="240" w:lineRule="auto"/>
                    <w:jc w:val="center"/>
                    <w:rPr>
                      <w:rFonts w:cs="Times New Roman"/>
                      <w:color w:val="000000"/>
                      <w:sz w:val="20"/>
                      <w:szCs w:val="20"/>
                      <w:lang w:eastAsia="lv-LV"/>
                    </w:rPr>
                  </w:pPr>
                  <w:r w:rsidRPr="00326E87">
                    <w:rPr>
                      <w:rFonts w:cs="Times New Roman"/>
                      <w:color w:val="000000"/>
                      <w:sz w:val="20"/>
                      <w:szCs w:val="20"/>
                      <w:lang w:eastAsia="lv-LV"/>
                    </w:rPr>
                    <w:t>50 283</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81DDB04" w14:textId="77777777" w:rsidR="000A660F" w:rsidRPr="00326E87" w:rsidRDefault="000A660F" w:rsidP="003309D5">
                  <w:pPr>
                    <w:spacing w:after="0" w:line="240" w:lineRule="auto"/>
                    <w:jc w:val="center"/>
                    <w:rPr>
                      <w:rFonts w:cs="Times New Roman"/>
                      <w:color w:val="000000"/>
                      <w:sz w:val="20"/>
                      <w:szCs w:val="20"/>
                      <w:lang w:eastAsia="lv-LV"/>
                    </w:rPr>
                  </w:pPr>
                  <w:r w:rsidRPr="00326E87">
                    <w:rPr>
                      <w:rFonts w:cs="Times New Roman"/>
                      <w:color w:val="000000"/>
                      <w:sz w:val="20"/>
                      <w:szCs w:val="20"/>
                      <w:lang w:eastAsia="lv-LV"/>
                    </w:rPr>
                    <w:t>50 235</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C682D61" w14:textId="77777777" w:rsidR="000A660F" w:rsidRPr="00326E87" w:rsidRDefault="000A660F" w:rsidP="003309D5">
                  <w:pPr>
                    <w:spacing w:after="0" w:line="240" w:lineRule="auto"/>
                    <w:jc w:val="center"/>
                    <w:rPr>
                      <w:rFonts w:cs="Times New Roman"/>
                      <w:color w:val="000000"/>
                      <w:sz w:val="20"/>
                      <w:szCs w:val="20"/>
                      <w:lang w:eastAsia="lv-LV"/>
                    </w:rPr>
                  </w:pPr>
                  <w:r w:rsidRPr="00326E87">
                    <w:rPr>
                      <w:rFonts w:cs="Times New Roman"/>
                      <w:color w:val="000000"/>
                      <w:sz w:val="20"/>
                      <w:szCs w:val="20"/>
                      <w:lang w:eastAsia="lv-LV"/>
                    </w:rPr>
                    <w:t>45 564</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3A19EB5" w14:textId="77777777" w:rsidR="000A660F" w:rsidRPr="00326E87" w:rsidRDefault="000A660F" w:rsidP="003309D5">
                  <w:pPr>
                    <w:spacing w:after="0" w:line="240" w:lineRule="auto"/>
                    <w:jc w:val="center"/>
                    <w:rPr>
                      <w:rFonts w:cs="Times New Roman"/>
                      <w:color w:val="000000"/>
                      <w:sz w:val="20"/>
                      <w:szCs w:val="20"/>
                      <w:lang w:eastAsia="lv-LV"/>
                    </w:rPr>
                  </w:pPr>
                  <w:r w:rsidRPr="00326E87">
                    <w:rPr>
                      <w:rFonts w:cs="Times New Roman"/>
                      <w:color w:val="000000"/>
                      <w:sz w:val="20"/>
                      <w:szCs w:val="20"/>
                      <w:lang w:eastAsia="lv-LV"/>
                    </w:rPr>
                    <w:t>41 327</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A524FA2" w14:textId="77777777" w:rsidR="000A660F" w:rsidRPr="00326E87" w:rsidRDefault="000A660F" w:rsidP="003309D5">
                  <w:pPr>
                    <w:spacing w:after="0" w:line="240" w:lineRule="auto"/>
                    <w:jc w:val="center"/>
                    <w:rPr>
                      <w:rFonts w:cs="Times New Roman"/>
                      <w:color w:val="000000"/>
                      <w:sz w:val="20"/>
                      <w:szCs w:val="20"/>
                      <w:lang w:eastAsia="lv-LV"/>
                    </w:rPr>
                  </w:pPr>
                  <w:r w:rsidRPr="00326E87">
                    <w:rPr>
                      <w:rFonts w:cs="Times New Roman"/>
                      <w:color w:val="000000"/>
                      <w:sz w:val="20"/>
                      <w:szCs w:val="20"/>
                      <w:lang w:eastAsia="lv-LV"/>
                    </w:rPr>
                    <w:t>46 414</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2C5D770" w14:textId="77777777" w:rsidR="000A660F" w:rsidRPr="00326E87" w:rsidRDefault="000A660F" w:rsidP="003309D5">
                  <w:pPr>
                    <w:spacing w:after="0" w:line="240" w:lineRule="auto"/>
                    <w:jc w:val="center"/>
                    <w:rPr>
                      <w:rFonts w:cs="Times New Roman"/>
                      <w:color w:val="000000"/>
                      <w:sz w:val="20"/>
                      <w:szCs w:val="20"/>
                      <w:lang w:eastAsia="lv-LV"/>
                    </w:rPr>
                  </w:pPr>
                  <w:r w:rsidRPr="00326E87">
                    <w:rPr>
                      <w:rFonts w:cs="Times New Roman"/>
                      <w:color w:val="000000"/>
                      <w:sz w:val="20"/>
                      <w:szCs w:val="20"/>
                      <w:lang w:eastAsia="lv-LV"/>
                    </w:rPr>
                    <w:t>42 098</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AE6B882" w14:textId="77777777" w:rsidR="000A660F" w:rsidRPr="00326E87" w:rsidRDefault="000A660F" w:rsidP="003309D5">
                  <w:pPr>
                    <w:spacing w:after="0" w:line="240" w:lineRule="auto"/>
                    <w:jc w:val="center"/>
                    <w:rPr>
                      <w:rFonts w:cs="Times New Roman"/>
                      <w:color w:val="000000"/>
                      <w:sz w:val="20"/>
                      <w:szCs w:val="20"/>
                      <w:lang w:eastAsia="lv-LV"/>
                    </w:rPr>
                  </w:pPr>
                  <w:r w:rsidRPr="00326E87">
                    <w:rPr>
                      <w:rFonts w:cs="Times New Roman"/>
                      <w:color w:val="000000"/>
                      <w:sz w:val="20"/>
                      <w:szCs w:val="20"/>
                      <w:lang w:eastAsia="lv-LV"/>
                    </w:rPr>
                    <w:t>50 696</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411E62" w14:textId="77777777" w:rsidR="000A660F" w:rsidRPr="00326E87" w:rsidRDefault="000A660F" w:rsidP="003309D5">
                  <w:pPr>
                    <w:spacing w:after="0" w:line="240" w:lineRule="auto"/>
                    <w:jc w:val="center"/>
                    <w:rPr>
                      <w:rFonts w:cs="Times New Roman"/>
                      <w:color w:val="000000"/>
                      <w:sz w:val="20"/>
                      <w:szCs w:val="20"/>
                      <w:lang w:eastAsia="lv-LV"/>
                    </w:rPr>
                  </w:pPr>
                  <w:r w:rsidRPr="00326E87">
                    <w:rPr>
                      <w:rFonts w:cs="Times New Roman"/>
                      <w:color w:val="000000"/>
                      <w:sz w:val="20"/>
                      <w:szCs w:val="20"/>
                      <w:lang w:eastAsia="lv-LV"/>
                    </w:rPr>
                    <w:t>52 718</w:t>
                  </w:r>
                </w:p>
              </w:tc>
            </w:tr>
          </w:tbl>
          <w:p w14:paraId="4E0C69A7" w14:textId="77777777" w:rsidR="000A660F" w:rsidRPr="00DA04D8" w:rsidRDefault="000A660F" w:rsidP="003309D5">
            <w:pPr>
              <w:spacing w:before="120" w:after="120"/>
              <w:rPr>
                <w:rFonts w:cs="Times New Roman"/>
                <w:b/>
                <w:bCs/>
                <w:szCs w:val="24"/>
              </w:rPr>
            </w:pPr>
            <w:r w:rsidRPr="00DA04D8">
              <w:rPr>
                <w:rFonts w:cs="Times New Roman"/>
                <w:b/>
                <w:bCs/>
                <w:szCs w:val="24"/>
              </w:rPr>
              <w:t xml:space="preserve">Trūcīgās un maznodrošinātās personas kopā </w:t>
            </w:r>
            <w:r w:rsidRPr="00DA04D8">
              <w:rPr>
                <w:rFonts w:cs="Times New Roman"/>
                <w:szCs w:val="24"/>
              </w:rPr>
              <w:t>2019.gadā bija</w:t>
            </w:r>
            <w:r w:rsidRPr="00DA04D8">
              <w:rPr>
                <w:rFonts w:cs="Times New Roman"/>
                <w:b/>
                <w:bCs/>
                <w:szCs w:val="24"/>
              </w:rPr>
              <w:t xml:space="preserve"> 112  543.</w:t>
            </w:r>
          </w:p>
          <w:p w14:paraId="4D3DFD44" w14:textId="77777777" w:rsidR="000A660F" w:rsidRPr="002674D5" w:rsidRDefault="000A660F" w:rsidP="003309D5">
            <w:pPr>
              <w:spacing w:after="0" w:line="240" w:lineRule="auto"/>
              <w:rPr>
                <w:rFonts w:cs="Times New Roman"/>
                <w:b/>
                <w:bCs/>
              </w:rPr>
            </w:pPr>
            <w:r w:rsidRPr="002674D5">
              <w:rPr>
                <w:rFonts w:cs="Times New Roman"/>
                <w:b/>
                <w:bCs/>
              </w:rPr>
              <w:t xml:space="preserve"> </w:t>
            </w:r>
          </w:p>
          <w:p w14:paraId="5E29EC1F" w14:textId="77777777" w:rsidR="000A660F" w:rsidRPr="006B52B7" w:rsidRDefault="000A660F" w:rsidP="003309D5">
            <w:pPr>
              <w:spacing w:after="0" w:line="240" w:lineRule="auto"/>
              <w:jc w:val="both"/>
              <w:rPr>
                <w:rFonts w:cs="Times New Roman"/>
              </w:rPr>
            </w:pPr>
            <w:r w:rsidRPr="006B52B7">
              <w:rPr>
                <w:rFonts w:cs="Times New Roman"/>
                <w:b/>
                <w:bCs/>
              </w:rPr>
              <w:t xml:space="preserve">Tieslietu ministrija </w:t>
            </w:r>
            <w:r w:rsidRPr="0084779C">
              <w:rPr>
                <w:rFonts w:cs="Times New Roman"/>
                <w:bCs/>
              </w:rPr>
              <w:t>ir izvērtējusi</w:t>
            </w:r>
            <w:r w:rsidRPr="006B52B7">
              <w:rPr>
                <w:rFonts w:cs="Times New Roman"/>
                <w:b/>
                <w:bCs/>
              </w:rPr>
              <w:t xml:space="preserve"> </w:t>
            </w:r>
            <w:r w:rsidRPr="006B52B7">
              <w:rPr>
                <w:rFonts w:cs="Times New Roman"/>
              </w:rPr>
              <w:t xml:space="preserve">Labklājības ministrijas aprēķinus un skaidrojumu par trūcīgo un maznodrošināto personu skaita prognozēm atbilstoši minimālo ienākumu sliekšņu prognozēm </w:t>
            </w:r>
            <w:r>
              <w:rPr>
                <w:rFonts w:cs="Times New Roman"/>
              </w:rPr>
              <w:t>un</w:t>
            </w:r>
            <w:r w:rsidRPr="006B52B7">
              <w:rPr>
                <w:rFonts w:cs="Times New Roman"/>
              </w:rPr>
              <w:t xml:space="preserve"> secinājusi, ka gan trūcīgo, gan maznodrošināto personu skaita pieaugums 2022.- 2024. gadā neatstās būtisku ietekmi uz sniegto valsts nodrošināto juridisko palīdzību un, līdz ar to papildu finanšu līdzekļi Juridiskās administrācijas pakalpojumu sniegšanai šai mērķa grupai nav nepieciešami.</w:t>
            </w:r>
          </w:p>
          <w:p w14:paraId="095459FA" w14:textId="77777777" w:rsidR="000A660F" w:rsidRPr="00B521CF" w:rsidRDefault="000A660F" w:rsidP="003309D5">
            <w:pPr>
              <w:spacing w:after="0" w:line="240" w:lineRule="auto"/>
              <w:rPr>
                <w:rFonts w:eastAsia="Times New Roman" w:cs="Times New Roman"/>
                <w:b/>
                <w:sz w:val="20"/>
                <w:szCs w:val="20"/>
                <w:lang w:eastAsia="lv-LV"/>
              </w:rPr>
            </w:pPr>
          </w:p>
        </w:tc>
      </w:tr>
      <w:tr w:rsidR="000A660F" w:rsidRPr="00B521CF" w14:paraId="4223B6A4" w14:textId="77777777" w:rsidTr="003309D5">
        <w:trPr>
          <w:trHeight w:val="52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51913D" w14:textId="77777777" w:rsidR="000A660F" w:rsidRPr="00B521CF" w:rsidRDefault="000A660F" w:rsidP="003309D5">
            <w:pPr>
              <w:spacing w:after="0" w:line="240" w:lineRule="auto"/>
              <w:rPr>
                <w:rFonts w:eastAsia="Times New Roman" w:cs="Times New Roman"/>
                <w:b/>
                <w:iCs/>
                <w:sz w:val="20"/>
                <w:szCs w:val="20"/>
                <w:lang w:eastAsia="lv-LV"/>
              </w:rPr>
            </w:pPr>
            <w:r>
              <w:rPr>
                <w:rFonts w:eastAsia="Times New Roman" w:cs="Times New Roman"/>
                <w:b/>
                <w:iCs/>
                <w:sz w:val="20"/>
                <w:szCs w:val="20"/>
                <w:lang w:eastAsia="lv-LV"/>
              </w:rPr>
              <w:t>Mājokļa pabalsts</w:t>
            </w:r>
          </w:p>
        </w:tc>
        <w:tc>
          <w:tcPr>
            <w:tcW w:w="13354" w:type="dxa"/>
            <w:tcBorders>
              <w:top w:val="single" w:sz="4" w:space="0" w:color="auto"/>
              <w:left w:val="single" w:sz="4" w:space="0" w:color="auto"/>
              <w:bottom w:val="single" w:sz="4" w:space="0" w:color="auto"/>
              <w:right w:val="single" w:sz="4" w:space="0" w:color="auto"/>
            </w:tcBorders>
            <w:shd w:val="clear" w:color="auto" w:fill="auto"/>
          </w:tcPr>
          <w:p w14:paraId="103DC6A7" w14:textId="77777777" w:rsidR="000A660F" w:rsidRPr="0084779C" w:rsidRDefault="000A660F" w:rsidP="003309D5">
            <w:pPr>
              <w:spacing w:after="0" w:line="240" w:lineRule="auto"/>
              <w:rPr>
                <w:rFonts w:eastAsia="Times New Roman" w:cs="Times New Roman"/>
                <w:b/>
                <w:lang w:eastAsia="lv-LV"/>
              </w:rPr>
            </w:pPr>
            <w:r w:rsidRPr="0084779C">
              <w:rPr>
                <w:rFonts w:eastAsia="Times New Roman" w:cs="Times New Roman"/>
                <w:b/>
                <w:lang w:eastAsia="lv-LV"/>
              </w:rPr>
              <w:t>LM aprēķini un skaidrojums:</w:t>
            </w:r>
          </w:p>
          <w:p w14:paraId="2CFAA0F4" w14:textId="77777777" w:rsidR="000A660F" w:rsidRPr="0084779C" w:rsidRDefault="000A660F" w:rsidP="003309D5">
            <w:pPr>
              <w:spacing w:after="0" w:line="240" w:lineRule="auto"/>
              <w:jc w:val="both"/>
              <w:rPr>
                <w:rFonts w:eastAsia="Times New Roman" w:cs="Times New Roman"/>
                <w:lang w:eastAsia="lv-LV"/>
              </w:rPr>
            </w:pPr>
            <w:r w:rsidRPr="0084779C">
              <w:rPr>
                <w:rFonts w:eastAsia="Times New Roman" w:cs="Times New Roman"/>
                <w:b/>
                <w:lang w:eastAsia="lv-LV"/>
              </w:rPr>
              <w:t>2019.gadā</w:t>
            </w:r>
            <w:r w:rsidRPr="0084779C">
              <w:rPr>
                <w:rFonts w:eastAsia="Times New Roman" w:cs="Times New Roman"/>
                <w:lang w:eastAsia="lv-LV"/>
              </w:rPr>
              <w:t xml:space="preserve"> dzīvokļa pabalstu saņēma </w:t>
            </w:r>
            <w:r w:rsidRPr="0084779C">
              <w:rPr>
                <w:rFonts w:eastAsia="Times New Roman" w:cs="Times New Roman"/>
                <w:b/>
                <w:lang w:eastAsia="lv-LV"/>
              </w:rPr>
              <w:t>70 954 personas</w:t>
            </w:r>
            <w:r w:rsidRPr="0084779C">
              <w:rPr>
                <w:rFonts w:eastAsia="Times New Roman" w:cs="Times New Roman"/>
                <w:lang w:eastAsia="lv-LV"/>
              </w:rPr>
              <w:t xml:space="preserve"> (trūcīgas un maznodrošinātas personas kopā). 2019.gadā dzīvokļa pabalstam izlietoti </w:t>
            </w:r>
            <w:r w:rsidRPr="0084779C">
              <w:rPr>
                <w:rFonts w:eastAsia="Times New Roman" w:cs="Times New Roman"/>
                <w:b/>
                <w:lang w:eastAsia="lv-LV"/>
              </w:rPr>
              <w:t xml:space="preserve">13 769 163 </w:t>
            </w:r>
            <w:r w:rsidRPr="0084779C">
              <w:rPr>
                <w:rFonts w:eastAsia="Times New Roman" w:cs="Times New Roman"/>
                <w:b/>
                <w:i/>
                <w:lang w:eastAsia="lv-LV"/>
              </w:rPr>
              <w:t>euro</w:t>
            </w:r>
            <w:r w:rsidRPr="0084779C">
              <w:rPr>
                <w:rFonts w:eastAsia="Times New Roman" w:cs="Times New Roman"/>
                <w:lang w:eastAsia="lv-LV"/>
              </w:rPr>
              <w:t xml:space="preserve">, tātad vidēji </w:t>
            </w:r>
            <w:r w:rsidRPr="0084779C">
              <w:rPr>
                <w:rFonts w:eastAsia="Times New Roman" w:cs="Times New Roman"/>
                <w:b/>
                <w:lang w:eastAsia="lv-LV"/>
              </w:rPr>
              <w:t xml:space="preserve">194 </w:t>
            </w:r>
            <w:r w:rsidRPr="0084779C">
              <w:rPr>
                <w:rFonts w:eastAsia="Times New Roman" w:cs="Times New Roman"/>
                <w:b/>
                <w:i/>
                <w:lang w:eastAsia="lv-LV"/>
              </w:rPr>
              <w:t>euro</w:t>
            </w:r>
            <w:r w:rsidRPr="0084779C">
              <w:rPr>
                <w:rFonts w:eastAsia="Times New Roman" w:cs="Times New Roman"/>
                <w:b/>
                <w:lang w:eastAsia="lv-LV"/>
              </w:rPr>
              <w:t xml:space="preserve"> gadā vienai personai</w:t>
            </w:r>
            <w:r w:rsidRPr="0084779C">
              <w:rPr>
                <w:rFonts w:eastAsia="Times New Roman" w:cs="Times New Roman"/>
                <w:lang w:eastAsia="lv-LV"/>
              </w:rPr>
              <w:t xml:space="preserve">. </w:t>
            </w:r>
          </w:p>
          <w:p w14:paraId="25FD7188" w14:textId="77777777" w:rsidR="000A660F" w:rsidRPr="0084779C" w:rsidRDefault="000A660F" w:rsidP="003309D5">
            <w:pPr>
              <w:spacing w:after="0" w:line="240" w:lineRule="auto"/>
              <w:jc w:val="both"/>
              <w:rPr>
                <w:rFonts w:eastAsia="Times New Roman" w:cs="Times New Roman"/>
                <w:lang w:eastAsia="lv-LV"/>
              </w:rPr>
            </w:pPr>
          </w:p>
          <w:p w14:paraId="06F92D6D" w14:textId="77777777" w:rsidR="000A660F" w:rsidRPr="0084779C" w:rsidRDefault="000A660F" w:rsidP="003309D5">
            <w:pPr>
              <w:spacing w:after="0" w:line="240" w:lineRule="auto"/>
              <w:rPr>
                <w:rFonts w:eastAsia="Times New Roman" w:cs="Times New Roman"/>
                <w:lang w:eastAsia="lv-LV"/>
              </w:rPr>
            </w:pPr>
            <w:r w:rsidRPr="0084779C">
              <w:rPr>
                <w:rFonts w:eastAsia="Times New Roman" w:cs="Times New Roman"/>
                <w:b/>
                <w:lang w:eastAsia="lv-LV"/>
              </w:rPr>
              <w:t>2020</w:t>
            </w:r>
            <w:r w:rsidRPr="0084779C">
              <w:rPr>
                <w:rFonts w:eastAsia="Times New Roman" w:cs="Times New Roman"/>
                <w:lang w:eastAsia="lv-LV"/>
              </w:rPr>
              <w:t>.</w:t>
            </w:r>
            <w:r w:rsidRPr="0084779C">
              <w:rPr>
                <w:rFonts w:eastAsia="Times New Roman" w:cs="Times New Roman"/>
                <w:b/>
                <w:lang w:eastAsia="lv-LV"/>
              </w:rPr>
              <w:t>gadā</w:t>
            </w:r>
            <w:r w:rsidRPr="0084779C">
              <w:rPr>
                <w:rFonts w:eastAsia="Times New Roman" w:cs="Times New Roman"/>
                <w:lang w:eastAsia="lv-LV"/>
              </w:rPr>
              <w:t xml:space="preserve"> tiek prognozēts  dzīvokļa pabalsta saņēmēju skaita samazinājums par 11,47%  (</w:t>
            </w:r>
            <w:r w:rsidRPr="0084779C">
              <w:rPr>
                <w:rFonts w:eastAsia="Times New Roman" w:cs="Times New Roman"/>
                <w:color w:val="000000"/>
                <w:lang w:eastAsia="lv-LV"/>
              </w:rPr>
              <w:t>63 149 personas</w:t>
            </w:r>
            <w:r w:rsidRPr="0084779C">
              <w:rPr>
                <w:rFonts w:eastAsia="Times New Roman" w:cs="Times New Roman"/>
                <w:lang w:eastAsia="lv-LV"/>
              </w:rPr>
              <w:t xml:space="preserve">) un nepieciešamais finansējums: </w:t>
            </w:r>
            <w:r w:rsidRPr="0084779C">
              <w:rPr>
                <w:rFonts w:eastAsia="Times New Roman" w:cs="Times New Roman"/>
                <w:b/>
                <w:bCs/>
                <w:color w:val="000000"/>
                <w:lang w:eastAsia="lv-LV"/>
              </w:rPr>
              <w:t>12 250 906</w:t>
            </w:r>
            <w:r w:rsidRPr="0084779C">
              <w:rPr>
                <w:rFonts w:eastAsia="Times New Roman" w:cs="Times New Roman"/>
                <w:b/>
                <w:lang w:eastAsia="lv-LV"/>
              </w:rPr>
              <w:t> </w:t>
            </w:r>
            <w:r w:rsidRPr="0084779C">
              <w:rPr>
                <w:rFonts w:eastAsia="Times New Roman" w:cs="Times New Roman"/>
                <w:b/>
                <w:i/>
                <w:lang w:eastAsia="lv-LV"/>
              </w:rPr>
              <w:t>euro</w:t>
            </w:r>
            <w:r w:rsidRPr="0084779C">
              <w:rPr>
                <w:rFonts w:eastAsia="Times New Roman" w:cs="Times New Roman"/>
                <w:lang w:eastAsia="lv-LV"/>
              </w:rPr>
              <w:t xml:space="preserve"> (194 * 63 149 = 12 250 906 ). </w:t>
            </w:r>
          </w:p>
          <w:p w14:paraId="205058DC" w14:textId="77777777" w:rsidR="000A660F" w:rsidRPr="0084779C" w:rsidRDefault="000A660F" w:rsidP="003309D5">
            <w:pPr>
              <w:spacing w:after="0" w:line="240" w:lineRule="auto"/>
              <w:rPr>
                <w:rFonts w:eastAsia="Times New Roman" w:cs="Times New Roman"/>
                <w:lang w:eastAsia="lv-LV"/>
              </w:rPr>
            </w:pPr>
          </w:p>
          <w:p w14:paraId="456DB47B" w14:textId="77777777" w:rsidR="000A660F" w:rsidRPr="0084779C" w:rsidRDefault="000A660F" w:rsidP="003309D5">
            <w:pPr>
              <w:spacing w:after="0" w:line="240" w:lineRule="auto"/>
              <w:jc w:val="both"/>
              <w:rPr>
                <w:rFonts w:eastAsia="Times New Roman" w:cs="Times New Roman"/>
                <w:lang w:eastAsia="lv-LV"/>
              </w:rPr>
            </w:pPr>
            <w:r w:rsidRPr="0084779C">
              <w:rPr>
                <w:rFonts w:eastAsia="Times New Roman" w:cs="Times New Roman"/>
                <w:b/>
                <w:lang w:eastAsia="lv-LV"/>
              </w:rPr>
              <w:t xml:space="preserve">2021.gadā, </w:t>
            </w:r>
            <w:r w:rsidRPr="0084779C">
              <w:rPr>
                <w:rFonts w:eastAsia="Times New Roman" w:cs="Times New Roman"/>
                <w:lang w:eastAsia="lv-LV"/>
              </w:rPr>
              <w:t>ņemot vērā izmaiņas normatīvajos aktos</w:t>
            </w:r>
            <w:r w:rsidRPr="0084779C">
              <w:rPr>
                <w:rStyle w:val="FootnoteReference"/>
                <w:rFonts w:eastAsia="Times New Roman"/>
                <w:lang w:eastAsia="lv-LV"/>
              </w:rPr>
              <w:footnoteReference w:id="26"/>
            </w:r>
            <w:r w:rsidRPr="0084779C">
              <w:rPr>
                <w:rFonts w:eastAsia="Times New Roman" w:cs="Times New Roman"/>
                <w:lang w:eastAsia="lv-LV"/>
              </w:rPr>
              <w:t xml:space="preserve">, kas stāsies spēkā 2021.gada 1.jūlijā, tiek prognozēts mājokļa pabalsta saņēmēju skaita pieaugums līdz </w:t>
            </w:r>
            <w:r w:rsidRPr="0084779C">
              <w:rPr>
                <w:rFonts w:eastAsia="Times New Roman" w:cs="Times New Roman"/>
                <w:b/>
                <w:lang w:eastAsia="lv-LV"/>
              </w:rPr>
              <w:t>64 667 personām</w:t>
            </w:r>
            <w:r w:rsidRPr="0084779C">
              <w:rPr>
                <w:rFonts w:eastAsia="Times New Roman" w:cs="Times New Roman"/>
                <w:lang w:eastAsia="lv-LV"/>
              </w:rPr>
              <w:t xml:space="preserve"> un nepieciešamais finansējums mājokļa pabalsta nodrošināšanai tiek prognozēts </w:t>
            </w:r>
            <w:r w:rsidRPr="0084779C">
              <w:rPr>
                <w:rFonts w:eastAsia="Times New Roman" w:cs="Times New Roman"/>
                <w:b/>
                <w:lang w:eastAsia="lv-LV"/>
              </w:rPr>
              <w:t xml:space="preserve">29 100 150  </w:t>
            </w:r>
            <w:r w:rsidRPr="0084779C">
              <w:rPr>
                <w:rFonts w:eastAsia="Times New Roman" w:cs="Times New Roman"/>
                <w:b/>
                <w:i/>
                <w:lang w:eastAsia="lv-LV"/>
              </w:rPr>
              <w:t>euro</w:t>
            </w:r>
            <w:r w:rsidRPr="0084779C">
              <w:rPr>
                <w:rFonts w:eastAsia="Times New Roman" w:cs="Times New Roman"/>
                <w:b/>
                <w:lang w:eastAsia="lv-LV"/>
              </w:rPr>
              <w:t xml:space="preserve"> </w:t>
            </w:r>
            <w:r w:rsidRPr="0084779C">
              <w:rPr>
                <w:rFonts w:eastAsia="Times New Roman" w:cs="Times New Roman"/>
                <w:lang w:eastAsia="lv-LV"/>
              </w:rPr>
              <w:t xml:space="preserve">(450 * 64 667 = 29 100 150). Aprēķini par 2021.gadu un turpmākajiem gadiem veikti, pieņemot, ka viena persona vidēji gadā saņems mājokļa pabalstu 450 </w:t>
            </w:r>
            <w:r w:rsidRPr="0084779C">
              <w:rPr>
                <w:rFonts w:eastAsia="Times New Roman" w:cs="Times New Roman"/>
                <w:i/>
                <w:lang w:eastAsia="lv-LV"/>
              </w:rPr>
              <w:t>euro</w:t>
            </w:r>
            <w:r w:rsidRPr="0084779C">
              <w:rPr>
                <w:rFonts w:eastAsia="Times New Roman" w:cs="Times New Roman"/>
                <w:lang w:eastAsia="lv-LV"/>
              </w:rPr>
              <w:t xml:space="preserve"> apmērā.   </w:t>
            </w:r>
          </w:p>
          <w:p w14:paraId="1CB1B43E" w14:textId="77777777" w:rsidR="000A660F" w:rsidRPr="0084779C" w:rsidRDefault="000A660F" w:rsidP="003309D5">
            <w:pPr>
              <w:spacing w:after="0" w:line="240" w:lineRule="auto"/>
              <w:jc w:val="both"/>
              <w:rPr>
                <w:rFonts w:eastAsia="Times New Roman" w:cs="Times New Roman"/>
                <w:lang w:eastAsia="lv-LV"/>
              </w:rPr>
            </w:pPr>
            <w:r w:rsidRPr="0084779C">
              <w:rPr>
                <w:rFonts w:eastAsia="Times New Roman" w:cs="Times New Roman"/>
                <w:lang w:eastAsia="lv-LV"/>
              </w:rPr>
              <w:t xml:space="preserve"> </w:t>
            </w:r>
          </w:p>
          <w:p w14:paraId="685C7507" w14:textId="77777777" w:rsidR="000A660F" w:rsidRPr="0084779C" w:rsidRDefault="000A660F" w:rsidP="003309D5">
            <w:pPr>
              <w:spacing w:after="0" w:line="240" w:lineRule="auto"/>
              <w:jc w:val="both"/>
              <w:rPr>
                <w:rFonts w:eastAsia="Times New Roman" w:cs="Times New Roman"/>
                <w:lang w:eastAsia="lv-LV"/>
              </w:rPr>
            </w:pPr>
            <w:r w:rsidRPr="0084779C">
              <w:rPr>
                <w:rFonts w:eastAsia="Times New Roman" w:cs="Times New Roman"/>
                <w:b/>
                <w:lang w:eastAsia="lv-LV"/>
              </w:rPr>
              <w:t>2022</w:t>
            </w:r>
            <w:r w:rsidRPr="0084779C">
              <w:rPr>
                <w:rFonts w:eastAsia="Times New Roman" w:cs="Times New Roman"/>
                <w:lang w:eastAsia="lv-LV"/>
              </w:rPr>
              <w:t>.</w:t>
            </w:r>
            <w:r w:rsidRPr="0084779C">
              <w:rPr>
                <w:rFonts w:eastAsia="Times New Roman" w:cs="Times New Roman"/>
                <w:b/>
                <w:lang w:eastAsia="lv-LV"/>
              </w:rPr>
              <w:t>gadā</w:t>
            </w:r>
            <w:r w:rsidRPr="0084779C">
              <w:rPr>
                <w:rFonts w:eastAsia="Times New Roman" w:cs="Times New Roman"/>
                <w:lang w:eastAsia="lv-LV"/>
              </w:rPr>
              <w:t xml:space="preserve"> tiek prognozēts  mājokļa pabalsta saņēmēju skaita samazinājums par 11,47%  - </w:t>
            </w:r>
            <w:r w:rsidRPr="0084779C">
              <w:rPr>
                <w:rFonts w:eastAsia="Times New Roman" w:cs="Times New Roman"/>
                <w:b/>
                <w:color w:val="000000"/>
                <w:lang w:eastAsia="lv-LV"/>
              </w:rPr>
              <w:t>57 250 personas</w:t>
            </w:r>
            <w:r w:rsidRPr="0084779C">
              <w:rPr>
                <w:rFonts w:eastAsia="Times New Roman" w:cs="Times New Roman"/>
                <w:lang w:eastAsia="lv-LV"/>
              </w:rPr>
              <w:t xml:space="preserve"> un nepieciešamais finansējums: </w:t>
            </w:r>
            <w:r w:rsidRPr="0084779C">
              <w:rPr>
                <w:rFonts w:eastAsia="Times New Roman" w:cs="Times New Roman"/>
                <w:b/>
                <w:lang w:eastAsia="lv-LV"/>
              </w:rPr>
              <w:t>25 762 500 </w:t>
            </w:r>
            <w:r w:rsidRPr="0084779C">
              <w:rPr>
                <w:rFonts w:eastAsia="Times New Roman" w:cs="Times New Roman"/>
                <w:b/>
                <w:i/>
                <w:lang w:eastAsia="lv-LV"/>
              </w:rPr>
              <w:t>euro</w:t>
            </w:r>
            <w:r w:rsidRPr="0084779C">
              <w:rPr>
                <w:rFonts w:eastAsia="Times New Roman" w:cs="Times New Roman"/>
                <w:lang w:eastAsia="lv-LV"/>
              </w:rPr>
              <w:t xml:space="preserve"> (450 * 57 250 = 25 762 500 ).</w:t>
            </w:r>
          </w:p>
          <w:p w14:paraId="3E028AD3" w14:textId="77777777" w:rsidR="000A660F" w:rsidRPr="0084779C" w:rsidRDefault="000A660F" w:rsidP="003309D5">
            <w:pPr>
              <w:tabs>
                <w:tab w:val="left" w:pos="10620"/>
              </w:tabs>
              <w:spacing w:after="0" w:line="240" w:lineRule="auto"/>
              <w:jc w:val="both"/>
              <w:rPr>
                <w:rFonts w:eastAsia="Times New Roman" w:cs="Times New Roman"/>
                <w:b/>
                <w:shd w:val="clear" w:color="auto" w:fill="FFFFFF" w:themeFill="background1"/>
                <w:lang w:eastAsia="lv-LV"/>
              </w:rPr>
            </w:pPr>
          </w:p>
          <w:p w14:paraId="02948F1B" w14:textId="77777777" w:rsidR="000A660F" w:rsidRPr="0084779C"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r w:rsidRPr="0084779C">
              <w:rPr>
                <w:rFonts w:eastAsia="Times New Roman" w:cs="Times New Roman"/>
                <w:b/>
                <w:shd w:val="clear" w:color="auto" w:fill="FFFFFF" w:themeFill="background1"/>
                <w:lang w:eastAsia="lv-LV"/>
              </w:rPr>
              <w:t>2023.gadā</w:t>
            </w:r>
            <w:r w:rsidRPr="0084779C">
              <w:rPr>
                <w:rFonts w:eastAsia="Times New Roman" w:cs="Times New Roman"/>
                <w:shd w:val="clear" w:color="auto" w:fill="FFFFFF" w:themeFill="background1"/>
                <w:lang w:eastAsia="lv-LV"/>
              </w:rPr>
              <w:t xml:space="preserve"> tiek paaugstināts GMI slieksnis un GMI pabalsta saņēmēju skaits palielinās. Ņemot vērā, ka GMI slieksnis un GMI pabalsta apmērs tieši ietekmē mājokļa pabalsta saņēmēju skaitu, tiek prognozēts mājokļa pabalsta saņēmēju skaita pieaugums līdz </w:t>
            </w:r>
            <w:r w:rsidRPr="0084779C">
              <w:rPr>
                <w:rFonts w:eastAsia="Times New Roman" w:cs="Times New Roman"/>
                <w:b/>
                <w:shd w:val="clear" w:color="auto" w:fill="FFFFFF" w:themeFill="background1"/>
                <w:lang w:eastAsia="lv-LV"/>
              </w:rPr>
              <w:t>72 643 personām</w:t>
            </w:r>
            <w:r w:rsidRPr="0084779C">
              <w:rPr>
                <w:rFonts w:eastAsia="Times New Roman" w:cs="Times New Roman"/>
                <w:shd w:val="clear" w:color="auto" w:fill="FFFFFF" w:themeFill="background1"/>
                <w:lang w:eastAsia="lv-LV"/>
              </w:rPr>
              <w:t xml:space="preserve"> un nepieciešamais finansējums mājokļa pabalsta nodrošināšanai tiek prognozēts </w:t>
            </w:r>
            <w:r w:rsidRPr="0084779C">
              <w:rPr>
                <w:rFonts w:eastAsia="Times New Roman" w:cs="Times New Roman"/>
                <w:b/>
                <w:shd w:val="clear" w:color="auto" w:fill="FFFFFF" w:themeFill="background1"/>
                <w:lang w:eastAsia="lv-LV"/>
              </w:rPr>
              <w:t>32 689 350</w:t>
            </w:r>
            <w:r w:rsidRPr="0084779C">
              <w:rPr>
                <w:rFonts w:eastAsia="Times New Roman" w:cs="Times New Roman"/>
                <w:shd w:val="clear" w:color="auto" w:fill="FFFFFF" w:themeFill="background1"/>
                <w:lang w:eastAsia="lv-LV"/>
              </w:rPr>
              <w:t xml:space="preserve"> </w:t>
            </w:r>
            <w:r w:rsidRPr="0084779C">
              <w:rPr>
                <w:rFonts w:eastAsia="Times New Roman" w:cs="Times New Roman"/>
                <w:b/>
                <w:i/>
                <w:shd w:val="clear" w:color="auto" w:fill="FFFFFF" w:themeFill="background1"/>
                <w:lang w:eastAsia="lv-LV"/>
              </w:rPr>
              <w:t>euro</w:t>
            </w:r>
            <w:r w:rsidRPr="0084779C">
              <w:rPr>
                <w:rFonts w:eastAsia="Times New Roman" w:cs="Times New Roman"/>
                <w:shd w:val="clear" w:color="auto" w:fill="FFFFFF" w:themeFill="background1"/>
                <w:lang w:eastAsia="lv-LV"/>
              </w:rPr>
              <w:t xml:space="preserve">  (450*72 643=32 689 350).</w:t>
            </w:r>
          </w:p>
          <w:p w14:paraId="1842B91B" w14:textId="77777777" w:rsidR="000A660F" w:rsidRPr="0084779C"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p>
          <w:p w14:paraId="52C4006D" w14:textId="77777777" w:rsidR="000A660F" w:rsidRPr="0084779C" w:rsidRDefault="000A660F" w:rsidP="003309D5">
            <w:pPr>
              <w:tabs>
                <w:tab w:val="left" w:pos="10620"/>
              </w:tabs>
              <w:spacing w:after="0" w:line="240" w:lineRule="auto"/>
              <w:jc w:val="both"/>
              <w:rPr>
                <w:rFonts w:eastAsia="Times New Roman" w:cs="Times New Roman"/>
                <w:shd w:val="clear" w:color="auto" w:fill="FFFFFF" w:themeFill="background1"/>
                <w:lang w:eastAsia="lv-LV"/>
              </w:rPr>
            </w:pPr>
            <w:r w:rsidRPr="0084779C">
              <w:rPr>
                <w:rFonts w:eastAsia="Times New Roman" w:cs="Times New Roman"/>
                <w:b/>
                <w:shd w:val="clear" w:color="auto" w:fill="FFFFFF" w:themeFill="background1"/>
                <w:lang w:eastAsia="lv-LV"/>
              </w:rPr>
              <w:t>2024.gadā</w:t>
            </w:r>
            <w:r w:rsidRPr="0084779C">
              <w:t xml:space="preserve"> </w:t>
            </w:r>
            <w:r w:rsidRPr="0084779C">
              <w:rPr>
                <w:rFonts w:eastAsia="Times New Roman" w:cs="Times New Roman"/>
                <w:shd w:val="clear" w:color="auto" w:fill="FFFFFF" w:themeFill="background1"/>
                <w:lang w:eastAsia="lv-LV"/>
              </w:rPr>
              <w:t xml:space="preserve">tiek paaugstināts GMI slieksnis un GMI pabalsta saņēmēju skaits palielinās. Tiek prognozēts mājokļa pabalsta saņēmēju skaita pieaugums līdz </w:t>
            </w:r>
            <w:r w:rsidRPr="0084779C">
              <w:rPr>
                <w:rFonts w:eastAsia="Times New Roman" w:cs="Times New Roman"/>
                <w:b/>
                <w:shd w:val="clear" w:color="auto" w:fill="FFFFFF" w:themeFill="background1"/>
                <w:lang w:eastAsia="lv-LV"/>
              </w:rPr>
              <w:t>75 722 personām</w:t>
            </w:r>
            <w:r w:rsidRPr="0084779C">
              <w:rPr>
                <w:rFonts w:eastAsia="Times New Roman" w:cs="Times New Roman"/>
                <w:shd w:val="clear" w:color="auto" w:fill="FFFFFF" w:themeFill="background1"/>
                <w:lang w:eastAsia="lv-LV"/>
              </w:rPr>
              <w:t xml:space="preserve"> un nepieciešamais finansējums mājokļa pabalsta nodrošināšanai tiek prognozēts </w:t>
            </w:r>
            <w:r w:rsidRPr="0084779C">
              <w:rPr>
                <w:rFonts w:eastAsia="Times New Roman" w:cs="Times New Roman"/>
                <w:b/>
                <w:shd w:val="clear" w:color="auto" w:fill="FFFFFF" w:themeFill="background1"/>
                <w:lang w:eastAsia="lv-LV"/>
              </w:rPr>
              <w:t xml:space="preserve">34 074 900 </w:t>
            </w:r>
            <w:r w:rsidRPr="0084779C">
              <w:rPr>
                <w:rFonts w:eastAsia="Times New Roman" w:cs="Times New Roman"/>
                <w:b/>
                <w:i/>
                <w:shd w:val="clear" w:color="auto" w:fill="FFFFFF" w:themeFill="background1"/>
                <w:lang w:eastAsia="lv-LV"/>
              </w:rPr>
              <w:t>euro</w:t>
            </w:r>
            <w:r w:rsidRPr="0084779C">
              <w:rPr>
                <w:rFonts w:eastAsia="Times New Roman" w:cs="Times New Roman"/>
                <w:shd w:val="clear" w:color="auto" w:fill="FFFFFF" w:themeFill="background1"/>
                <w:lang w:eastAsia="lv-LV"/>
              </w:rPr>
              <w:t xml:space="preserve"> (450*75 722=34 074 900).</w:t>
            </w:r>
          </w:p>
          <w:p w14:paraId="4451283E" w14:textId="77777777" w:rsidR="000A660F" w:rsidRDefault="000A660F" w:rsidP="003309D5">
            <w:pPr>
              <w:spacing w:after="0" w:line="240" w:lineRule="auto"/>
              <w:rPr>
                <w:rFonts w:eastAsia="Times New Roman" w:cs="Times New Roman"/>
                <w:sz w:val="20"/>
                <w:szCs w:val="20"/>
                <w:lang w:eastAsia="lv-LV"/>
              </w:rPr>
            </w:pPr>
            <w:r>
              <w:rPr>
                <w:rFonts w:eastAsia="Times New Roman" w:cs="Times New Roman"/>
                <w:lang w:eastAsia="lv-LV"/>
              </w:rPr>
              <w:t>Tabula Nr. 3.5</w:t>
            </w:r>
            <w:r w:rsidRPr="0084779C">
              <w:rPr>
                <w:rFonts w:eastAsia="Times New Roman" w:cs="Times New Roman"/>
                <w:lang w:eastAsia="lv-LV"/>
              </w:rPr>
              <w:t>. Dzīvokļa/mājokļa pabalsta saņēmēju skaita dinamika un finansējums 2016. – 2024.gadā.</w:t>
            </w:r>
            <w:r w:rsidRPr="00B521CF">
              <w:rPr>
                <w:rFonts w:eastAsia="Times New Roman" w:cs="Times New Roman"/>
                <w:sz w:val="20"/>
                <w:szCs w:val="20"/>
                <w:lang w:eastAsia="lv-LV"/>
              </w:rPr>
              <w:tab/>
            </w:r>
          </w:p>
          <w:tbl>
            <w:tblPr>
              <w:tblW w:w="12954" w:type="dxa"/>
              <w:tblLayout w:type="fixed"/>
              <w:tblLook w:val="04A0" w:firstRow="1" w:lastRow="0" w:firstColumn="1" w:lastColumn="0" w:noHBand="0" w:noVBand="1"/>
            </w:tblPr>
            <w:tblGrid>
              <w:gridCol w:w="2748"/>
              <w:gridCol w:w="992"/>
              <w:gridCol w:w="993"/>
              <w:gridCol w:w="1134"/>
              <w:gridCol w:w="1275"/>
              <w:gridCol w:w="1134"/>
              <w:gridCol w:w="1134"/>
              <w:gridCol w:w="1276"/>
              <w:gridCol w:w="1134"/>
              <w:gridCol w:w="1134"/>
            </w:tblGrid>
            <w:tr w:rsidR="000A660F" w:rsidRPr="00A94735" w14:paraId="33EB65E1" w14:textId="77777777" w:rsidTr="003309D5">
              <w:trPr>
                <w:trHeight w:val="290"/>
              </w:trPr>
              <w:tc>
                <w:tcPr>
                  <w:tcW w:w="2748"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881B9C6"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Indikatori</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23C0C64F"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2016</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14:paraId="35849566"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2017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3A643595"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2018</w:t>
                  </w:r>
                </w:p>
              </w:tc>
              <w:tc>
                <w:tcPr>
                  <w:tcW w:w="1275" w:type="dxa"/>
                  <w:tcBorders>
                    <w:top w:val="single" w:sz="8" w:space="0" w:color="auto"/>
                    <w:left w:val="nil"/>
                    <w:bottom w:val="single" w:sz="4" w:space="0" w:color="auto"/>
                    <w:right w:val="single" w:sz="4" w:space="0" w:color="auto"/>
                  </w:tcBorders>
                  <w:shd w:val="clear" w:color="000000" w:fill="D9D9D9"/>
                  <w:vAlign w:val="center"/>
                  <w:hideMark/>
                </w:tcPr>
                <w:p w14:paraId="31687291" w14:textId="77777777" w:rsidR="000A660F" w:rsidRPr="0084779C" w:rsidRDefault="000A660F" w:rsidP="003309D5">
                  <w:pPr>
                    <w:spacing w:after="0" w:line="240" w:lineRule="auto"/>
                    <w:jc w:val="center"/>
                    <w:rPr>
                      <w:rFonts w:eastAsia="Times New Roman" w:cs="Times New Roman"/>
                      <w:b/>
                      <w:bCs/>
                      <w:iCs/>
                      <w:color w:val="000000"/>
                      <w:sz w:val="20"/>
                      <w:szCs w:val="20"/>
                      <w:lang w:eastAsia="lv-LV"/>
                    </w:rPr>
                  </w:pPr>
                  <w:r w:rsidRPr="0084779C">
                    <w:rPr>
                      <w:rFonts w:eastAsia="Times New Roman" w:cs="Times New Roman"/>
                      <w:b/>
                      <w:bCs/>
                      <w:iCs/>
                      <w:color w:val="000000"/>
                      <w:sz w:val="20"/>
                      <w:szCs w:val="20"/>
                      <w:lang w:eastAsia="lv-LV"/>
                    </w:rPr>
                    <w:t>2019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0EFFEB90" w14:textId="77777777" w:rsidR="000A660F" w:rsidRPr="00A94735" w:rsidRDefault="000A660F" w:rsidP="003309D5">
                  <w:pPr>
                    <w:spacing w:after="0" w:line="240" w:lineRule="auto"/>
                    <w:jc w:val="center"/>
                    <w:rPr>
                      <w:rFonts w:eastAsia="Times New Roman" w:cs="Times New Roman"/>
                      <w:b/>
                      <w:bCs/>
                      <w:i/>
                      <w:iCs/>
                      <w:color w:val="000000"/>
                      <w:sz w:val="20"/>
                      <w:szCs w:val="20"/>
                      <w:lang w:eastAsia="lv-LV"/>
                    </w:rPr>
                  </w:pPr>
                  <w:r w:rsidRPr="00A94735">
                    <w:rPr>
                      <w:rFonts w:eastAsia="Times New Roman" w:cs="Times New Roman"/>
                      <w:b/>
                      <w:bCs/>
                      <w:i/>
                      <w:iCs/>
                      <w:color w:val="000000"/>
                      <w:sz w:val="20"/>
                      <w:szCs w:val="20"/>
                      <w:lang w:eastAsia="lv-LV"/>
                    </w:rPr>
                    <w:t>2020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0AFCA059" w14:textId="77777777" w:rsidR="000A660F" w:rsidRPr="00A94735" w:rsidRDefault="000A660F" w:rsidP="003309D5">
                  <w:pPr>
                    <w:spacing w:after="0" w:line="240" w:lineRule="auto"/>
                    <w:jc w:val="center"/>
                    <w:rPr>
                      <w:rFonts w:eastAsia="Times New Roman" w:cs="Times New Roman"/>
                      <w:b/>
                      <w:bCs/>
                      <w:i/>
                      <w:iCs/>
                      <w:color w:val="000000"/>
                      <w:sz w:val="20"/>
                      <w:szCs w:val="20"/>
                      <w:lang w:eastAsia="lv-LV"/>
                    </w:rPr>
                  </w:pPr>
                  <w:r w:rsidRPr="00A94735">
                    <w:rPr>
                      <w:rFonts w:eastAsia="Times New Roman" w:cs="Times New Roman"/>
                      <w:b/>
                      <w:bCs/>
                      <w:i/>
                      <w:iCs/>
                      <w:color w:val="000000"/>
                      <w:sz w:val="20"/>
                      <w:szCs w:val="20"/>
                      <w:lang w:eastAsia="lv-LV"/>
                    </w:rPr>
                    <w:t>2021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14:paraId="18A0302E" w14:textId="77777777" w:rsidR="000A660F" w:rsidRPr="00571310" w:rsidRDefault="000A660F" w:rsidP="003309D5">
                  <w:pPr>
                    <w:spacing w:after="0" w:line="240" w:lineRule="auto"/>
                    <w:jc w:val="center"/>
                    <w:rPr>
                      <w:rFonts w:eastAsia="Times New Roman" w:cs="Times New Roman"/>
                      <w:b/>
                      <w:bCs/>
                      <w:i/>
                      <w:iCs/>
                      <w:color w:val="000000"/>
                      <w:sz w:val="20"/>
                      <w:szCs w:val="20"/>
                      <w:lang w:eastAsia="lv-LV"/>
                    </w:rPr>
                  </w:pPr>
                  <w:r w:rsidRPr="00571310">
                    <w:rPr>
                      <w:rFonts w:eastAsia="Times New Roman" w:cs="Times New Roman"/>
                      <w:b/>
                      <w:bCs/>
                      <w:i/>
                      <w:iCs/>
                      <w:color w:val="000000"/>
                      <w:sz w:val="20"/>
                      <w:szCs w:val="20"/>
                      <w:lang w:eastAsia="lv-LV"/>
                    </w:rPr>
                    <w:t>2022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546510E1" w14:textId="77777777" w:rsidR="000A660F" w:rsidRPr="00A94735" w:rsidRDefault="000A660F" w:rsidP="003309D5">
                  <w:pPr>
                    <w:spacing w:after="0" w:line="240" w:lineRule="auto"/>
                    <w:jc w:val="center"/>
                    <w:rPr>
                      <w:rFonts w:eastAsia="Times New Roman" w:cs="Times New Roman"/>
                      <w:b/>
                      <w:bCs/>
                      <w:i/>
                      <w:iCs/>
                      <w:color w:val="000000"/>
                      <w:sz w:val="20"/>
                      <w:szCs w:val="20"/>
                      <w:lang w:eastAsia="lv-LV"/>
                    </w:rPr>
                  </w:pPr>
                  <w:r w:rsidRPr="00A94735">
                    <w:rPr>
                      <w:rFonts w:eastAsia="Times New Roman" w:cs="Times New Roman"/>
                      <w:b/>
                      <w:bCs/>
                      <w:i/>
                      <w:iCs/>
                      <w:color w:val="000000"/>
                      <w:sz w:val="20"/>
                      <w:szCs w:val="20"/>
                      <w:lang w:eastAsia="lv-LV"/>
                    </w:rPr>
                    <w:t>2023</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44455C1C" w14:textId="77777777" w:rsidR="000A660F" w:rsidRPr="00A94735" w:rsidRDefault="000A660F" w:rsidP="003309D5">
                  <w:pPr>
                    <w:spacing w:after="0" w:line="240" w:lineRule="auto"/>
                    <w:jc w:val="center"/>
                    <w:rPr>
                      <w:rFonts w:eastAsia="Times New Roman" w:cs="Times New Roman"/>
                      <w:b/>
                      <w:bCs/>
                      <w:i/>
                      <w:iCs/>
                      <w:color w:val="000000"/>
                      <w:sz w:val="20"/>
                      <w:szCs w:val="20"/>
                      <w:lang w:eastAsia="lv-LV"/>
                    </w:rPr>
                  </w:pPr>
                  <w:r w:rsidRPr="00A94735">
                    <w:rPr>
                      <w:rFonts w:eastAsia="Times New Roman" w:cs="Times New Roman"/>
                      <w:b/>
                      <w:bCs/>
                      <w:i/>
                      <w:iCs/>
                      <w:color w:val="000000"/>
                      <w:sz w:val="20"/>
                      <w:szCs w:val="20"/>
                      <w:lang w:eastAsia="lv-LV"/>
                    </w:rPr>
                    <w:t>2024</w:t>
                  </w:r>
                </w:p>
              </w:tc>
            </w:tr>
            <w:tr w:rsidR="000A660F" w:rsidRPr="00A94735" w14:paraId="2426766A" w14:textId="77777777" w:rsidTr="003309D5">
              <w:trPr>
                <w:trHeight w:val="290"/>
              </w:trPr>
              <w:tc>
                <w:tcPr>
                  <w:tcW w:w="2748" w:type="dxa"/>
                  <w:vMerge/>
                  <w:tcBorders>
                    <w:top w:val="single" w:sz="8" w:space="0" w:color="auto"/>
                    <w:left w:val="single" w:sz="8" w:space="0" w:color="auto"/>
                    <w:bottom w:val="single" w:sz="4" w:space="0" w:color="auto"/>
                    <w:right w:val="single" w:sz="4" w:space="0" w:color="auto"/>
                  </w:tcBorders>
                  <w:vAlign w:val="center"/>
                  <w:hideMark/>
                </w:tcPr>
                <w:p w14:paraId="68B03C0E" w14:textId="77777777" w:rsidR="000A660F" w:rsidRPr="00A94735" w:rsidRDefault="000A660F" w:rsidP="003309D5">
                  <w:pPr>
                    <w:spacing w:after="0" w:line="240" w:lineRule="auto"/>
                    <w:rPr>
                      <w:rFonts w:eastAsia="Times New Roman" w:cs="Times New Roman"/>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vAlign w:val="center"/>
                  <w:hideMark/>
                </w:tcPr>
                <w:p w14:paraId="4BFCE4B0"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 xml:space="preserve"> fakts</w:t>
                  </w:r>
                </w:p>
              </w:tc>
              <w:tc>
                <w:tcPr>
                  <w:tcW w:w="993" w:type="dxa"/>
                  <w:tcBorders>
                    <w:top w:val="nil"/>
                    <w:left w:val="nil"/>
                    <w:bottom w:val="single" w:sz="4" w:space="0" w:color="auto"/>
                    <w:right w:val="single" w:sz="4" w:space="0" w:color="auto"/>
                  </w:tcBorders>
                  <w:shd w:val="clear" w:color="000000" w:fill="FFFFFF"/>
                  <w:vAlign w:val="center"/>
                  <w:hideMark/>
                </w:tcPr>
                <w:p w14:paraId="3FDE1A97"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 xml:space="preserve"> fakts</w:t>
                  </w:r>
                </w:p>
              </w:tc>
              <w:tc>
                <w:tcPr>
                  <w:tcW w:w="1134" w:type="dxa"/>
                  <w:tcBorders>
                    <w:top w:val="nil"/>
                    <w:left w:val="nil"/>
                    <w:bottom w:val="single" w:sz="4" w:space="0" w:color="auto"/>
                    <w:right w:val="single" w:sz="4" w:space="0" w:color="auto"/>
                  </w:tcBorders>
                  <w:shd w:val="clear" w:color="000000" w:fill="FFFFFF"/>
                  <w:vAlign w:val="center"/>
                  <w:hideMark/>
                </w:tcPr>
                <w:p w14:paraId="46AEE6DA"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 xml:space="preserve"> fakts</w:t>
                  </w:r>
                </w:p>
              </w:tc>
              <w:tc>
                <w:tcPr>
                  <w:tcW w:w="1275" w:type="dxa"/>
                  <w:tcBorders>
                    <w:top w:val="nil"/>
                    <w:left w:val="nil"/>
                    <w:bottom w:val="single" w:sz="4" w:space="0" w:color="auto"/>
                    <w:right w:val="single" w:sz="4" w:space="0" w:color="auto"/>
                  </w:tcBorders>
                  <w:shd w:val="clear" w:color="000000" w:fill="D9D9D9"/>
                  <w:vAlign w:val="center"/>
                  <w:hideMark/>
                </w:tcPr>
                <w:p w14:paraId="3EDB046C" w14:textId="77777777" w:rsidR="000A660F" w:rsidRPr="0084779C" w:rsidRDefault="000A660F" w:rsidP="003309D5">
                  <w:pPr>
                    <w:spacing w:after="0" w:line="240" w:lineRule="auto"/>
                    <w:jc w:val="center"/>
                    <w:rPr>
                      <w:rFonts w:eastAsia="Times New Roman" w:cs="Times New Roman"/>
                      <w:b/>
                      <w:bCs/>
                      <w:iCs/>
                      <w:color w:val="000000"/>
                      <w:sz w:val="20"/>
                      <w:szCs w:val="20"/>
                      <w:lang w:eastAsia="lv-LV"/>
                    </w:rPr>
                  </w:pPr>
                  <w:r w:rsidRPr="0084779C">
                    <w:rPr>
                      <w:rFonts w:eastAsia="Times New Roman" w:cs="Times New Roman"/>
                      <w:b/>
                      <w:bCs/>
                      <w:iCs/>
                      <w:color w:val="000000"/>
                      <w:sz w:val="20"/>
                      <w:szCs w:val="20"/>
                      <w:lang w:eastAsia="lv-LV"/>
                    </w:rPr>
                    <w:t xml:space="preserve"> fakts</w:t>
                  </w:r>
                </w:p>
              </w:tc>
              <w:tc>
                <w:tcPr>
                  <w:tcW w:w="1134" w:type="dxa"/>
                  <w:tcBorders>
                    <w:top w:val="nil"/>
                    <w:left w:val="nil"/>
                    <w:bottom w:val="single" w:sz="4" w:space="0" w:color="auto"/>
                    <w:right w:val="single" w:sz="4" w:space="0" w:color="auto"/>
                  </w:tcBorders>
                  <w:shd w:val="clear" w:color="000000" w:fill="FFFFFF"/>
                  <w:vAlign w:val="center"/>
                  <w:hideMark/>
                </w:tcPr>
                <w:p w14:paraId="73458B28" w14:textId="77777777" w:rsidR="000A660F" w:rsidRPr="00A94735" w:rsidRDefault="000A660F" w:rsidP="003309D5">
                  <w:pPr>
                    <w:spacing w:after="0" w:line="240" w:lineRule="auto"/>
                    <w:jc w:val="center"/>
                    <w:rPr>
                      <w:rFonts w:eastAsia="Times New Roman" w:cs="Times New Roman"/>
                      <w:b/>
                      <w:bCs/>
                      <w:i/>
                      <w:iCs/>
                      <w:color w:val="000000"/>
                      <w:sz w:val="20"/>
                      <w:szCs w:val="20"/>
                      <w:lang w:eastAsia="lv-LV"/>
                    </w:rPr>
                  </w:pPr>
                  <w:r w:rsidRPr="00A94735">
                    <w:rPr>
                      <w:rFonts w:eastAsia="Times New Roman" w:cs="Times New Roman"/>
                      <w:b/>
                      <w:bCs/>
                      <w:i/>
                      <w:iCs/>
                      <w:color w:val="000000"/>
                      <w:sz w:val="20"/>
                      <w:szCs w:val="20"/>
                      <w:lang w:eastAsia="lv-LV"/>
                    </w:rPr>
                    <w:t>prognoze</w:t>
                  </w:r>
                </w:p>
              </w:tc>
              <w:tc>
                <w:tcPr>
                  <w:tcW w:w="1134" w:type="dxa"/>
                  <w:tcBorders>
                    <w:top w:val="nil"/>
                    <w:left w:val="nil"/>
                    <w:bottom w:val="single" w:sz="4" w:space="0" w:color="auto"/>
                    <w:right w:val="single" w:sz="4" w:space="0" w:color="auto"/>
                  </w:tcBorders>
                  <w:shd w:val="clear" w:color="000000" w:fill="FFFFFF"/>
                  <w:vAlign w:val="center"/>
                  <w:hideMark/>
                </w:tcPr>
                <w:p w14:paraId="4DF87B43" w14:textId="77777777" w:rsidR="000A660F" w:rsidRPr="00A94735" w:rsidRDefault="000A660F" w:rsidP="003309D5">
                  <w:pPr>
                    <w:spacing w:after="0" w:line="240" w:lineRule="auto"/>
                    <w:jc w:val="center"/>
                    <w:rPr>
                      <w:rFonts w:eastAsia="Times New Roman" w:cs="Times New Roman"/>
                      <w:b/>
                      <w:bCs/>
                      <w:i/>
                      <w:iCs/>
                      <w:color w:val="000000"/>
                      <w:sz w:val="20"/>
                      <w:szCs w:val="20"/>
                      <w:lang w:eastAsia="lv-LV"/>
                    </w:rPr>
                  </w:pPr>
                  <w:r w:rsidRPr="00A94735">
                    <w:rPr>
                      <w:rFonts w:eastAsia="Times New Roman" w:cs="Times New Roman"/>
                      <w:b/>
                      <w:bCs/>
                      <w:i/>
                      <w:iCs/>
                      <w:color w:val="000000"/>
                      <w:sz w:val="20"/>
                      <w:szCs w:val="20"/>
                      <w:lang w:eastAsia="lv-LV"/>
                    </w:rPr>
                    <w:t xml:space="preserve"> prognoze</w:t>
                  </w:r>
                </w:p>
              </w:tc>
              <w:tc>
                <w:tcPr>
                  <w:tcW w:w="1276" w:type="dxa"/>
                  <w:tcBorders>
                    <w:top w:val="nil"/>
                    <w:left w:val="nil"/>
                    <w:bottom w:val="single" w:sz="4" w:space="0" w:color="auto"/>
                    <w:right w:val="single" w:sz="4" w:space="0" w:color="auto"/>
                  </w:tcBorders>
                  <w:shd w:val="clear" w:color="000000" w:fill="FFFFFF"/>
                  <w:vAlign w:val="center"/>
                  <w:hideMark/>
                </w:tcPr>
                <w:p w14:paraId="509D8B63" w14:textId="77777777" w:rsidR="000A660F" w:rsidRPr="00571310" w:rsidRDefault="000A660F" w:rsidP="003309D5">
                  <w:pPr>
                    <w:spacing w:after="0" w:line="240" w:lineRule="auto"/>
                    <w:jc w:val="center"/>
                    <w:rPr>
                      <w:rFonts w:eastAsia="Times New Roman" w:cs="Times New Roman"/>
                      <w:b/>
                      <w:bCs/>
                      <w:i/>
                      <w:iCs/>
                      <w:color w:val="000000"/>
                      <w:sz w:val="20"/>
                      <w:szCs w:val="20"/>
                      <w:lang w:eastAsia="lv-LV"/>
                    </w:rPr>
                  </w:pPr>
                  <w:r w:rsidRPr="00571310">
                    <w:rPr>
                      <w:rFonts w:eastAsia="Times New Roman" w:cs="Times New Roman"/>
                      <w:b/>
                      <w:bCs/>
                      <w:i/>
                      <w:iCs/>
                      <w:color w:val="000000"/>
                      <w:sz w:val="20"/>
                      <w:szCs w:val="20"/>
                      <w:lang w:eastAsia="lv-LV"/>
                    </w:rPr>
                    <w:t>prognoze</w:t>
                  </w:r>
                </w:p>
              </w:tc>
              <w:tc>
                <w:tcPr>
                  <w:tcW w:w="1134" w:type="dxa"/>
                  <w:tcBorders>
                    <w:top w:val="nil"/>
                    <w:left w:val="nil"/>
                    <w:bottom w:val="single" w:sz="4" w:space="0" w:color="auto"/>
                    <w:right w:val="single" w:sz="4" w:space="0" w:color="auto"/>
                  </w:tcBorders>
                  <w:shd w:val="clear" w:color="000000" w:fill="FFFFFF"/>
                  <w:vAlign w:val="center"/>
                  <w:hideMark/>
                </w:tcPr>
                <w:p w14:paraId="46F92AD5" w14:textId="77777777" w:rsidR="000A660F" w:rsidRPr="00A94735" w:rsidRDefault="000A660F" w:rsidP="003309D5">
                  <w:pPr>
                    <w:spacing w:after="0" w:line="240" w:lineRule="auto"/>
                    <w:jc w:val="center"/>
                    <w:rPr>
                      <w:rFonts w:eastAsia="Times New Roman" w:cs="Times New Roman"/>
                      <w:b/>
                      <w:bCs/>
                      <w:i/>
                      <w:iCs/>
                      <w:color w:val="000000"/>
                      <w:sz w:val="20"/>
                      <w:szCs w:val="20"/>
                      <w:lang w:eastAsia="lv-LV"/>
                    </w:rPr>
                  </w:pPr>
                  <w:r w:rsidRPr="00A94735">
                    <w:rPr>
                      <w:rFonts w:eastAsia="Times New Roman" w:cs="Times New Roman"/>
                      <w:b/>
                      <w:bCs/>
                      <w:i/>
                      <w:iCs/>
                      <w:color w:val="000000"/>
                      <w:sz w:val="20"/>
                      <w:szCs w:val="20"/>
                      <w:lang w:eastAsia="lv-LV"/>
                    </w:rPr>
                    <w:t>prognoze</w:t>
                  </w:r>
                </w:p>
              </w:tc>
              <w:tc>
                <w:tcPr>
                  <w:tcW w:w="1134" w:type="dxa"/>
                  <w:tcBorders>
                    <w:top w:val="nil"/>
                    <w:left w:val="nil"/>
                    <w:bottom w:val="single" w:sz="4" w:space="0" w:color="auto"/>
                    <w:right w:val="single" w:sz="8" w:space="0" w:color="auto"/>
                  </w:tcBorders>
                  <w:shd w:val="clear" w:color="000000" w:fill="FFFFFF"/>
                  <w:vAlign w:val="center"/>
                  <w:hideMark/>
                </w:tcPr>
                <w:p w14:paraId="5FED0D5C" w14:textId="77777777" w:rsidR="000A660F" w:rsidRPr="00A94735" w:rsidRDefault="000A660F" w:rsidP="003309D5">
                  <w:pPr>
                    <w:spacing w:after="0" w:line="240" w:lineRule="auto"/>
                    <w:jc w:val="center"/>
                    <w:rPr>
                      <w:rFonts w:eastAsia="Times New Roman" w:cs="Times New Roman"/>
                      <w:b/>
                      <w:bCs/>
                      <w:i/>
                      <w:iCs/>
                      <w:color w:val="000000"/>
                      <w:sz w:val="20"/>
                      <w:szCs w:val="20"/>
                      <w:lang w:eastAsia="lv-LV"/>
                    </w:rPr>
                  </w:pPr>
                  <w:r w:rsidRPr="00A94735">
                    <w:rPr>
                      <w:rFonts w:eastAsia="Times New Roman" w:cs="Times New Roman"/>
                      <w:b/>
                      <w:bCs/>
                      <w:i/>
                      <w:iCs/>
                      <w:color w:val="000000"/>
                      <w:sz w:val="20"/>
                      <w:szCs w:val="20"/>
                      <w:lang w:eastAsia="lv-LV"/>
                    </w:rPr>
                    <w:t xml:space="preserve"> prognoze</w:t>
                  </w:r>
                </w:p>
              </w:tc>
            </w:tr>
            <w:tr w:rsidR="000A660F" w:rsidRPr="00A94735" w14:paraId="0DEAD5CB" w14:textId="77777777" w:rsidTr="003309D5">
              <w:trPr>
                <w:trHeight w:val="780"/>
              </w:trPr>
              <w:tc>
                <w:tcPr>
                  <w:tcW w:w="2748" w:type="dxa"/>
                  <w:tcBorders>
                    <w:top w:val="nil"/>
                    <w:left w:val="single" w:sz="8" w:space="0" w:color="auto"/>
                    <w:bottom w:val="single" w:sz="4" w:space="0" w:color="auto"/>
                    <w:right w:val="single" w:sz="4" w:space="0" w:color="auto"/>
                  </w:tcBorders>
                  <w:shd w:val="clear" w:color="auto" w:fill="auto"/>
                  <w:vAlign w:val="center"/>
                  <w:hideMark/>
                </w:tcPr>
                <w:p w14:paraId="72997AE0" w14:textId="77777777" w:rsidR="000A660F" w:rsidRPr="00A94735" w:rsidRDefault="000A660F" w:rsidP="003309D5">
                  <w:pPr>
                    <w:spacing w:after="0" w:line="240" w:lineRule="auto"/>
                    <w:jc w:val="right"/>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Dzīvokļa</w:t>
                  </w:r>
                  <w:r>
                    <w:rPr>
                      <w:rFonts w:eastAsia="Times New Roman" w:cs="Times New Roman"/>
                      <w:b/>
                      <w:bCs/>
                      <w:color w:val="000000"/>
                      <w:sz w:val="20"/>
                      <w:szCs w:val="20"/>
                      <w:lang w:eastAsia="lv-LV"/>
                    </w:rPr>
                    <w:t>/mājokļa</w:t>
                  </w:r>
                  <w:r w:rsidRPr="00A94735">
                    <w:rPr>
                      <w:rFonts w:eastAsia="Times New Roman" w:cs="Times New Roman"/>
                      <w:b/>
                      <w:bCs/>
                      <w:color w:val="000000"/>
                      <w:sz w:val="20"/>
                      <w:szCs w:val="20"/>
                      <w:lang w:eastAsia="lv-LV"/>
                    </w:rPr>
                    <w:t xml:space="preserve"> pabalstu saņēmušo personu skaits (trūcīgie un maznodrošinātie) </w:t>
                  </w:r>
                </w:p>
              </w:tc>
              <w:tc>
                <w:tcPr>
                  <w:tcW w:w="992" w:type="dxa"/>
                  <w:tcBorders>
                    <w:top w:val="nil"/>
                    <w:left w:val="nil"/>
                    <w:bottom w:val="single" w:sz="4" w:space="0" w:color="auto"/>
                    <w:right w:val="single" w:sz="4" w:space="0" w:color="auto"/>
                  </w:tcBorders>
                  <w:shd w:val="clear" w:color="auto" w:fill="auto"/>
                  <w:noWrap/>
                  <w:vAlign w:val="center"/>
                  <w:hideMark/>
                </w:tcPr>
                <w:p w14:paraId="050BD053"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100 779</w:t>
                  </w:r>
                </w:p>
              </w:tc>
              <w:tc>
                <w:tcPr>
                  <w:tcW w:w="993" w:type="dxa"/>
                  <w:tcBorders>
                    <w:top w:val="nil"/>
                    <w:left w:val="nil"/>
                    <w:bottom w:val="single" w:sz="4" w:space="0" w:color="auto"/>
                    <w:right w:val="single" w:sz="4" w:space="0" w:color="auto"/>
                  </w:tcBorders>
                  <w:shd w:val="clear" w:color="auto" w:fill="auto"/>
                  <w:noWrap/>
                  <w:vAlign w:val="center"/>
                  <w:hideMark/>
                </w:tcPr>
                <w:p w14:paraId="3143B7D3"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93 738</w:t>
                  </w:r>
                </w:p>
              </w:tc>
              <w:tc>
                <w:tcPr>
                  <w:tcW w:w="1134" w:type="dxa"/>
                  <w:tcBorders>
                    <w:top w:val="nil"/>
                    <w:left w:val="nil"/>
                    <w:bottom w:val="single" w:sz="4" w:space="0" w:color="auto"/>
                    <w:right w:val="single" w:sz="4" w:space="0" w:color="auto"/>
                  </w:tcBorders>
                  <w:shd w:val="clear" w:color="auto" w:fill="auto"/>
                  <w:noWrap/>
                  <w:vAlign w:val="center"/>
                  <w:hideMark/>
                </w:tcPr>
                <w:p w14:paraId="0DEFF1EC"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82 986</w:t>
                  </w:r>
                </w:p>
              </w:tc>
              <w:tc>
                <w:tcPr>
                  <w:tcW w:w="1275" w:type="dxa"/>
                  <w:tcBorders>
                    <w:top w:val="nil"/>
                    <w:left w:val="nil"/>
                    <w:bottom w:val="single" w:sz="4" w:space="0" w:color="auto"/>
                    <w:right w:val="single" w:sz="4" w:space="0" w:color="auto"/>
                  </w:tcBorders>
                  <w:shd w:val="clear" w:color="000000" w:fill="D9D9D9"/>
                  <w:noWrap/>
                  <w:vAlign w:val="center"/>
                  <w:hideMark/>
                </w:tcPr>
                <w:p w14:paraId="49209D29"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70 954</w:t>
                  </w:r>
                </w:p>
              </w:tc>
              <w:tc>
                <w:tcPr>
                  <w:tcW w:w="1134" w:type="dxa"/>
                  <w:tcBorders>
                    <w:top w:val="nil"/>
                    <w:left w:val="nil"/>
                    <w:bottom w:val="single" w:sz="4" w:space="0" w:color="auto"/>
                    <w:right w:val="single" w:sz="4" w:space="0" w:color="auto"/>
                  </w:tcBorders>
                  <w:shd w:val="clear" w:color="auto" w:fill="auto"/>
                  <w:noWrap/>
                  <w:vAlign w:val="center"/>
                  <w:hideMark/>
                </w:tcPr>
                <w:p w14:paraId="033A111B"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63 149</w:t>
                  </w:r>
                </w:p>
              </w:tc>
              <w:tc>
                <w:tcPr>
                  <w:tcW w:w="1134" w:type="dxa"/>
                  <w:tcBorders>
                    <w:top w:val="nil"/>
                    <w:left w:val="nil"/>
                    <w:bottom w:val="single" w:sz="4" w:space="0" w:color="auto"/>
                    <w:right w:val="single" w:sz="4" w:space="0" w:color="auto"/>
                  </w:tcBorders>
                  <w:shd w:val="clear" w:color="auto" w:fill="auto"/>
                  <w:vAlign w:val="center"/>
                  <w:hideMark/>
                </w:tcPr>
                <w:p w14:paraId="65AED8CD"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64 667</w:t>
                  </w:r>
                </w:p>
              </w:tc>
              <w:tc>
                <w:tcPr>
                  <w:tcW w:w="1276" w:type="dxa"/>
                  <w:tcBorders>
                    <w:top w:val="nil"/>
                    <w:left w:val="nil"/>
                    <w:bottom w:val="single" w:sz="4" w:space="0" w:color="auto"/>
                    <w:right w:val="single" w:sz="4" w:space="0" w:color="auto"/>
                  </w:tcBorders>
                  <w:shd w:val="clear" w:color="auto" w:fill="auto"/>
                  <w:vAlign w:val="center"/>
                  <w:hideMark/>
                </w:tcPr>
                <w:p w14:paraId="7FC01FD1" w14:textId="77777777" w:rsidR="000A660F" w:rsidRPr="00571310" w:rsidRDefault="000A660F" w:rsidP="003309D5">
                  <w:pPr>
                    <w:spacing w:after="0" w:line="240" w:lineRule="auto"/>
                    <w:jc w:val="center"/>
                    <w:rPr>
                      <w:rFonts w:eastAsia="Times New Roman" w:cs="Times New Roman"/>
                      <w:color w:val="000000"/>
                      <w:sz w:val="20"/>
                      <w:szCs w:val="20"/>
                      <w:lang w:eastAsia="lv-LV"/>
                    </w:rPr>
                  </w:pPr>
                  <w:r w:rsidRPr="00571310">
                    <w:rPr>
                      <w:rFonts w:eastAsia="Times New Roman" w:cs="Times New Roman"/>
                      <w:color w:val="000000"/>
                      <w:sz w:val="20"/>
                      <w:szCs w:val="20"/>
                      <w:lang w:eastAsia="lv-LV"/>
                    </w:rPr>
                    <w:t>57 250</w:t>
                  </w:r>
                </w:p>
              </w:tc>
              <w:tc>
                <w:tcPr>
                  <w:tcW w:w="1134" w:type="dxa"/>
                  <w:tcBorders>
                    <w:top w:val="nil"/>
                    <w:left w:val="nil"/>
                    <w:bottom w:val="single" w:sz="4" w:space="0" w:color="auto"/>
                    <w:right w:val="single" w:sz="4" w:space="0" w:color="auto"/>
                  </w:tcBorders>
                  <w:shd w:val="clear" w:color="auto" w:fill="auto"/>
                  <w:vAlign w:val="center"/>
                  <w:hideMark/>
                </w:tcPr>
                <w:p w14:paraId="089182A0"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72 643</w:t>
                  </w:r>
                </w:p>
              </w:tc>
              <w:tc>
                <w:tcPr>
                  <w:tcW w:w="1134" w:type="dxa"/>
                  <w:tcBorders>
                    <w:top w:val="nil"/>
                    <w:left w:val="nil"/>
                    <w:bottom w:val="single" w:sz="4" w:space="0" w:color="auto"/>
                    <w:right w:val="single" w:sz="8" w:space="0" w:color="auto"/>
                  </w:tcBorders>
                  <w:shd w:val="clear" w:color="auto" w:fill="auto"/>
                  <w:vAlign w:val="center"/>
                  <w:hideMark/>
                </w:tcPr>
                <w:p w14:paraId="514CE49A"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75 722</w:t>
                  </w:r>
                </w:p>
              </w:tc>
            </w:tr>
            <w:tr w:rsidR="000A660F" w:rsidRPr="00A94735" w14:paraId="74D31050" w14:textId="77777777" w:rsidTr="003309D5">
              <w:trPr>
                <w:trHeight w:val="530"/>
              </w:trPr>
              <w:tc>
                <w:tcPr>
                  <w:tcW w:w="2748" w:type="dxa"/>
                  <w:tcBorders>
                    <w:top w:val="nil"/>
                    <w:left w:val="single" w:sz="8" w:space="0" w:color="auto"/>
                    <w:bottom w:val="single" w:sz="4" w:space="0" w:color="auto"/>
                    <w:right w:val="single" w:sz="4" w:space="0" w:color="auto"/>
                  </w:tcBorders>
                  <w:shd w:val="clear" w:color="auto" w:fill="auto"/>
                  <w:vAlign w:val="center"/>
                  <w:hideMark/>
                </w:tcPr>
                <w:p w14:paraId="05188B2A" w14:textId="77777777" w:rsidR="000A660F" w:rsidRPr="00A94735" w:rsidRDefault="000A660F" w:rsidP="003309D5">
                  <w:pPr>
                    <w:spacing w:after="0" w:line="240" w:lineRule="auto"/>
                    <w:jc w:val="right"/>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Izlietotie/nepieciešamie līdzekļi,</w:t>
                  </w:r>
                  <w:r w:rsidRPr="00A94735">
                    <w:rPr>
                      <w:rFonts w:eastAsia="Times New Roman" w:cs="Times New Roman"/>
                      <w:b/>
                      <w:bCs/>
                      <w:i/>
                      <w:iCs/>
                      <w:color w:val="000000"/>
                      <w:sz w:val="20"/>
                      <w:szCs w:val="20"/>
                      <w:lang w:eastAsia="lv-LV"/>
                    </w:rPr>
                    <w:t xml:space="preserve"> euro</w:t>
                  </w:r>
                </w:p>
              </w:tc>
              <w:tc>
                <w:tcPr>
                  <w:tcW w:w="992" w:type="dxa"/>
                  <w:tcBorders>
                    <w:top w:val="nil"/>
                    <w:left w:val="nil"/>
                    <w:bottom w:val="single" w:sz="4" w:space="0" w:color="auto"/>
                    <w:right w:val="single" w:sz="4" w:space="0" w:color="auto"/>
                  </w:tcBorders>
                  <w:shd w:val="clear" w:color="auto" w:fill="auto"/>
                  <w:noWrap/>
                  <w:vAlign w:val="center"/>
                  <w:hideMark/>
                </w:tcPr>
                <w:p w14:paraId="199F8980"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16 656 819</w:t>
                  </w:r>
                </w:p>
              </w:tc>
              <w:tc>
                <w:tcPr>
                  <w:tcW w:w="993" w:type="dxa"/>
                  <w:tcBorders>
                    <w:top w:val="nil"/>
                    <w:left w:val="nil"/>
                    <w:bottom w:val="single" w:sz="4" w:space="0" w:color="auto"/>
                    <w:right w:val="single" w:sz="4" w:space="0" w:color="auto"/>
                  </w:tcBorders>
                  <w:shd w:val="clear" w:color="auto" w:fill="auto"/>
                  <w:noWrap/>
                  <w:vAlign w:val="center"/>
                  <w:hideMark/>
                </w:tcPr>
                <w:p w14:paraId="186AB2AB"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16 570 182</w:t>
                  </w:r>
                </w:p>
              </w:tc>
              <w:tc>
                <w:tcPr>
                  <w:tcW w:w="1134" w:type="dxa"/>
                  <w:tcBorders>
                    <w:top w:val="nil"/>
                    <w:left w:val="nil"/>
                    <w:bottom w:val="single" w:sz="4" w:space="0" w:color="auto"/>
                    <w:right w:val="single" w:sz="4" w:space="0" w:color="auto"/>
                  </w:tcBorders>
                  <w:shd w:val="clear" w:color="auto" w:fill="auto"/>
                  <w:noWrap/>
                  <w:vAlign w:val="center"/>
                  <w:hideMark/>
                </w:tcPr>
                <w:p w14:paraId="50550251"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14 903 585</w:t>
                  </w:r>
                </w:p>
              </w:tc>
              <w:tc>
                <w:tcPr>
                  <w:tcW w:w="1275" w:type="dxa"/>
                  <w:tcBorders>
                    <w:top w:val="nil"/>
                    <w:left w:val="nil"/>
                    <w:bottom w:val="single" w:sz="4" w:space="0" w:color="auto"/>
                    <w:right w:val="single" w:sz="4" w:space="0" w:color="auto"/>
                  </w:tcBorders>
                  <w:shd w:val="clear" w:color="000000" w:fill="D9D9D9"/>
                  <w:noWrap/>
                  <w:vAlign w:val="center"/>
                  <w:hideMark/>
                </w:tcPr>
                <w:p w14:paraId="6846C01B"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13 769 163</w:t>
                  </w:r>
                </w:p>
              </w:tc>
              <w:tc>
                <w:tcPr>
                  <w:tcW w:w="1134" w:type="dxa"/>
                  <w:tcBorders>
                    <w:top w:val="nil"/>
                    <w:left w:val="nil"/>
                    <w:bottom w:val="single" w:sz="4" w:space="0" w:color="auto"/>
                    <w:right w:val="single" w:sz="4" w:space="0" w:color="auto"/>
                  </w:tcBorders>
                  <w:shd w:val="clear" w:color="auto" w:fill="auto"/>
                  <w:noWrap/>
                  <w:vAlign w:val="center"/>
                  <w:hideMark/>
                </w:tcPr>
                <w:p w14:paraId="7D44AE1C"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12 250 9</w:t>
                  </w:r>
                  <w:r>
                    <w:rPr>
                      <w:rFonts w:eastAsia="Times New Roman" w:cs="Times New Roman"/>
                      <w:b/>
                      <w:bCs/>
                      <w:color w:val="000000"/>
                      <w:sz w:val="20"/>
                      <w:szCs w:val="20"/>
                      <w:lang w:eastAsia="lv-LV"/>
                    </w:rPr>
                    <w:t>06</w:t>
                  </w:r>
                </w:p>
              </w:tc>
              <w:tc>
                <w:tcPr>
                  <w:tcW w:w="1134" w:type="dxa"/>
                  <w:tcBorders>
                    <w:top w:val="nil"/>
                    <w:left w:val="nil"/>
                    <w:bottom w:val="single" w:sz="4" w:space="0" w:color="auto"/>
                    <w:right w:val="single" w:sz="4" w:space="0" w:color="auto"/>
                  </w:tcBorders>
                  <w:shd w:val="clear" w:color="auto" w:fill="auto"/>
                  <w:vAlign w:val="center"/>
                  <w:hideMark/>
                </w:tcPr>
                <w:p w14:paraId="4ED8745D"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29 100 150</w:t>
                  </w:r>
                </w:p>
              </w:tc>
              <w:tc>
                <w:tcPr>
                  <w:tcW w:w="1276" w:type="dxa"/>
                  <w:tcBorders>
                    <w:top w:val="nil"/>
                    <w:left w:val="nil"/>
                    <w:bottom w:val="single" w:sz="4" w:space="0" w:color="auto"/>
                    <w:right w:val="single" w:sz="4" w:space="0" w:color="auto"/>
                  </w:tcBorders>
                  <w:shd w:val="clear" w:color="auto" w:fill="auto"/>
                  <w:vAlign w:val="center"/>
                  <w:hideMark/>
                </w:tcPr>
                <w:p w14:paraId="60F4E7EE" w14:textId="77777777" w:rsidR="000A660F" w:rsidRPr="00571310" w:rsidRDefault="000A660F" w:rsidP="003309D5">
                  <w:pPr>
                    <w:spacing w:after="0" w:line="240" w:lineRule="auto"/>
                    <w:jc w:val="center"/>
                    <w:rPr>
                      <w:rFonts w:eastAsia="Times New Roman" w:cs="Times New Roman"/>
                      <w:b/>
                      <w:bCs/>
                      <w:color w:val="000000"/>
                      <w:sz w:val="20"/>
                      <w:szCs w:val="20"/>
                      <w:lang w:eastAsia="lv-LV"/>
                    </w:rPr>
                  </w:pPr>
                  <w:r w:rsidRPr="00571310">
                    <w:rPr>
                      <w:rFonts w:eastAsia="Times New Roman" w:cs="Times New Roman"/>
                      <w:b/>
                      <w:bCs/>
                      <w:color w:val="000000"/>
                      <w:sz w:val="20"/>
                      <w:szCs w:val="20"/>
                      <w:lang w:eastAsia="lv-LV"/>
                    </w:rPr>
                    <w:t>25 762 500</w:t>
                  </w:r>
                </w:p>
              </w:tc>
              <w:tc>
                <w:tcPr>
                  <w:tcW w:w="1134" w:type="dxa"/>
                  <w:tcBorders>
                    <w:top w:val="nil"/>
                    <w:left w:val="nil"/>
                    <w:bottom w:val="single" w:sz="4" w:space="0" w:color="auto"/>
                    <w:right w:val="single" w:sz="4" w:space="0" w:color="auto"/>
                  </w:tcBorders>
                  <w:shd w:val="clear" w:color="auto" w:fill="auto"/>
                  <w:vAlign w:val="center"/>
                  <w:hideMark/>
                </w:tcPr>
                <w:p w14:paraId="2E726EA1"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32 689 350</w:t>
                  </w:r>
                </w:p>
              </w:tc>
              <w:tc>
                <w:tcPr>
                  <w:tcW w:w="1134" w:type="dxa"/>
                  <w:tcBorders>
                    <w:top w:val="nil"/>
                    <w:left w:val="nil"/>
                    <w:bottom w:val="single" w:sz="4" w:space="0" w:color="auto"/>
                    <w:right w:val="single" w:sz="8" w:space="0" w:color="auto"/>
                  </w:tcBorders>
                  <w:shd w:val="clear" w:color="auto" w:fill="auto"/>
                  <w:vAlign w:val="center"/>
                  <w:hideMark/>
                </w:tcPr>
                <w:p w14:paraId="770ACFCE"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34 074 900</w:t>
                  </w:r>
                </w:p>
              </w:tc>
            </w:tr>
            <w:tr w:rsidR="000A660F" w:rsidRPr="00A94735" w14:paraId="2E1A4AFA" w14:textId="77777777" w:rsidTr="003309D5">
              <w:trPr>
                <w:trHeight w:val="790"/>
              </w:trPr>
              <w:tc>
                <w:tcPr>
                  <w:tcW w:w="2748" w:type="dxa"/>
                  <w:tcBorders>
                    <w:top w:val="nil"/>
                    <w:left w:val="single" w:sz="8" w:space="0" w:color="auto"/>
                    <w:bottom w:val="single" w:sz="8" w:space="0" w:color="auto"/>
                    <w:right w:val="single" w:sz="4" w:space="0" w:color="auto"/>
                  </w:tcBorders>
                  <w:shd w:val="clear" w:color="auto" w:fill="auto"/>
                  <w:vAlign w:val="center"/>
                  <w:hideMark/>
                </w:tcPr>
                <w:p w14:paraId="6025BE47" w14:textId="77777777" w:rsidR="000A660F" w:rsidRPr="00A94735" w:rsidRDefault="000A660F" w:rsidP="003309D5">
                  <w:pPr>
                    <w:spacing w:after="0" w:line="240" w:lineRule="auto"/>
                    <w:jc w:val="right"/>
                    <w:rPr>
                      <w:rFonts w:eastAsia="Times New Roman" w:cs="Times New Roman"/>
                      <w:sz w:val="20"/>
                      <w:szCs w:val="20"/>
                      <w:lang w:eastAsia="lv-LV"/>
                    </w:rPr>
                  </w:pPr>
                  <w:r w:rsidRPr="00A94735">
                    <w:rPr>
                      <w:rFonts w:eastAsia="Times New Roman" w:cs="Times New Roman"/>
                      <w:sz w:val="20"/>
                      <w:szCs w:val="20"/>
                      <w:lang w:eastAsia="lv-LV"/>
                    </w:rPr>
                    <w:t>Nepieciešamā finansējuma pieaugums pret 2019.gadu,</w:t>
                  </w:r>
                  <w:r w:rsidRPr="00A94735">
                    <w:rPr>
                      <w:rFonts w:eastAsia="Times New Roman" w:cs="Times New Roman"/>
                      <w:i/>
                      <w:iCs/>
                      <w:sz w:val="20"/>
                      <w:szCs w:val="20"/>
                      <w:lang w:eastAsia="lv-LV"/>
                    </w:rPr>
                    <w:t xml:space="preserve"> euro</w:t>
                  </w:r>
                </w:p>
              </w:tc>
              <w:tc>
                <w:tcPr>
                  <w:tcW w:w="992" w:type="dxa"/>
                  <w:tcBorders>
                    <w:top w:val="nil"/>
                    <w:left w:val="nil"/>
                    <w:bottom w:val="single" w:sz="8" w:space="0" w:color="auto"/>
                    <w:right w:val="single" w:sz="4" w:space="0" w:color="auto"/>
                  </w:tcBorders>
                  <w:shd w:val="clear" w:color="000000" w:fill="D9D9D9"/>
                  <w:vAlign w:val="center"/>
                  <w:hideMark/>
                </w:tcPr>
                <w:p w14:paraId="23019551" w14:textId="77777777" w:rsidR="000A660F" w:rsidRPr="00A94735" w:rsidRDefault="000A660F" w:rsidP="003309D5">
                  <w:pPr>
                    <w:spacing w:after="0" w:line="240" w:lineRule="auto"/>
                    <w:jc w:val="center"/>
                    <w:rPr>
                      <w:rFonts w:eastAsia="Times New Roman" w:cs="Times New Roman"/>
                      <w:b/>
                      <w:bCs/>
                      <w:color w:val="000000"/>
                      <w:sz w:val="20"/>
                      <w:szCs w:val="20"/>
                      <w:lang w:eastAsia="lv-LV"/>
                    </w:rPr>
                  </w:pPr>
                  <w:r w:rsidRPr="00A94735">
                    <w:rPr>
                      <w:rFonts w:eastAsia="Times New Roman" w:cs="Times New Roman"/>
                      <w:b/>
                      <w:bCs/>
                      <w:color w:val="000000"/>
                      <w:sz w:val="20"/>
                      <w:szCs w:val="20"/>
                      <w:lang w:eastAsia="lv-LV"/>
                    </w:rPr>
                    <w:t> </w:t>
                  </w:r>
                </w:p>
              </w:tc>
              <w:tc>
                <w:tcPr>
                  <w:tcW w:w="993" w:type="dxa"/>
                  <w:tcBorders>
                    <w:top w:val="nil"/>
                    <w:left w:val="nil"/>
                    <w:bottom w:val="single" w:sz="8" w:space="0" w:color="auto"/>
                    <w:right w:val="single" w:sz="4" w:space="0" w:color="auto"/>
                  </w:tcBorders>
                  <w:shd w:val="clear" w:color="000000" w:fill="D9D9D9"/>
                  <w:noWrap/>
                  <w:vAlign w:val="center"/>
                  <w:hideMark/>
                </w:tcPr>
                <w:p w14:paraId="0ECA1101"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 </w:t>
                  </w:r>
                </w:p>
              </w:tc>
              <w:tc>
                <w:tcPr>
                  <w:tcW w:w="1134" w:type="dxa"/>
                  <w:tcBorders>
                    <w:top w:val="nil"/>
                    <w:left w:val="nil"/>
                    <w:bottom w:val="single" w:sz="8" w:space="0" w:color="auto"/>
                    <w:right w:val="single" w:sz="4" w:space="0" w:color="auto"/>
                  </w:tcBorders>
                  <w:shd w:val="clear" w:color="000000" w:fill="D9D9D9"/>
                  <w:noWrap/>
                  <w:vAlign w:val="center"/>
                  <w:hideMark/>
                </w:tcPr>
                <w:p w14:paraId="78FB1F43"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 </w:t>
                  </w:r>
                </w:p>
              </w:tc>
              <w:tc>
                <w:tcPr>
                  <w:tcW w:w="1275" w:type="dxa"/>
                  <w:tcBorders>
                    <w:top w:val="nil"/>
                    <w:left w:val="nil"/>
                    <w:bottom w:val="single" w:sz="8" w:space="0" w:color="auto"/>
                    <w:right w:val="single" w:sz="4" w:space="0" w:color="auto"/>
                  </w:tcBorders>
                  <w:shd w:val="clear" w:color="000000" w:fill="D9D9D9"/>
                  <w:noWrap/>
                  <w:vAlign w:val="center"/>
                  <w:hideMark/>
                </w:tcPr>
                <w:p w14:paraId="54EB4D9E" w14:textId="77777777" w:rsidR="000A660F" w:rsidRPr="00A94735" w:rsidRDefault="000A660F" w:rsidP="003309D5">
                  <w:pPr>
                    <w:spacing w:after="0" w:line="240" w:lineRule="auto"/>
                    <w:jc w:val="center"/>
                    <w:rPr>
                      <w:rFonts w:eastAsia="Times New Roman" w:cs="Times New Roman"/>
                      <w:color w:val="000000"/>
                      <w:sz w:val="20"/>
                      <w:szCs w:val="20"/>
                      <w:lang w:eastAsia="lv-LV"/>
                    </w:rPr>
                  </w:pPr>
                  <w:r w:rsidRPr="00A94735">
                    <w:rPr>
                      <w:rFonts w:eastAsia="Times New Roman" w:cs="Times New Roman"/>
                      <w:color w:val="000000"/>
                      <w:sz w:val="20"/>
                      <w:szCs w:val="20"/>
                      <w:lang w:eastAsia="lv-LV"/>
                    </w:rPr>
                    <w:t> </w:t>
                  </w:r>
                </w:p>
              </w:tc>
              <w:tc>
                <w:tcPr>
                  <w:tcW w:w="1134" w:type="dxa"/>
                  <w:tcBorders>
                    <w:top w:val="nil"/>
                    <w:left w:val="nil"/>
                    <w:bottom w:val="single" w:sz="8" w:space="0" w:color="auto"/>
                    <w:right w:val="single" w:sz="4" w:space="0" w:color="auto"/>
                  </w:tcBorders>
                  <w:shd w:val="clear" w:color="auto" w:fill="auto"/>
                  <w:noWrap/>
                  <w:vAlign w:val="bottom"/>
                  <w:hideMark/>
                </w:tcPr>
                <w:p w14:paraId="620D7F09" w14:textId="77777777" w:rsidR="000A660F" w:rsidRPr="00A94735" w:rsidRDefault="000A660F" w:rsidP="003309D5">
                  <w:pPr>
                    <w:spacing w:after="0" w:line="240" w:lineRule="auto"/>
                    <w:jc w:val="right"/>
                    <w:rPr>
                      <w:rFonts w:eastAsia="Times New Roman" w:cs="Times New Roman"/>
                      <w:sz w:val="20"/>
                      <w:szCs w:val="20"/>
                      <w:lang w:eastAsia="lv-LV"/>
                    </w:rPr>
                  </w:pPr>
                  <w:r w:rsidRPr="00A94735">
                    <w:rPr>
                      <w:rFonts w:eastAsia="Times New Roman" w:cs="Times New Roman"/>
                      <w:sz w:val="20"/>
                      <w:szCs w:val="20"/>
                      <w:lang w:eastAsia="lv-LV"/>
                    </w:rPr>
                    <w:t>-1 518 2</w:t>
                  </w:r>
                  <w:r>
                    <w:rPr>
                      <w:rFonts w:eastAsia="Times New Roman" w:cs="Times New Roman"/>
                      <w:sz w:val="20"/>
                      <w:szCs w:val="20"/>
                      <w:lang w:eastAsia="lv-LV"/>
                    </w:rPr>
                    <w:t>57</w:t>
                  </w:r>
                </w:p>
              </w:tc>
              <w:tc>
                <w:tcPr>
                  <w:tcW w:w="1134" w:type="dxa"/>
                  <w:tcBorders>
                    <w:top w:val="nil"/>
                    <w:left w:val="nil"/>
                    <w:bottom w:val="single" w:sz="8" w:space="0" w:color="auto"/>
                    <w:right w:val="single" w:sz="4" w:space="0" w:color="auto"/>
                  </w:tcBorders>
                  <w:shd w:val="clear" w:color="auto" w:fill="auto"/>
                  <w:noWrap/>
                  <w:vAlign w:val="bottom"/>
                  <w:hideMark/>
                </w:tcPr>
                <w:p w14:paraId="3ACF77E7" w14:textId="77777777" w:rsidR="000A660F" w:rsidRPr="00A94735" w:rsidRDefault="000A660F" w:rsidP="003309D5">
                  <w:pPr>
                    <w:spacing w:after="0" w:line="240" w:lineRule="auto"/>
                    <w:jc w:val="right"/>
                    <w:rPr>
                      <w:rFonts w:eastAsia="Times New Roman" w:cs="Times New Roman"/>
                      <w:sz w:val="20"/>
                      <w:szCs w:val="20"/>
                      <w:lang w:eastAsia="lv-LV"/>
                    </w:rPr>
                  </w:pPr>
                  <w:r w:rsidRPr="00A94735">
                    <w:rPr>
                      <w:rFonts w:eastAsia="Times New Roman" w:cs="Times New Roman"/>
                      <w:sz w:val="20"/>
                      <w:szCs w:val="20"/>
                      <w:lang w:eastAsia="lv-LV"/>
                    </w:rPr>
                    <w:t>15 330 987</w:t>
                  </w:r>
                </w:p>
              </w:tc>
              <w:tc>
                <w:tcPr>
                  <w:tcW w:w="1276" w:type="dxa"/>
                  <w:tcBorders>
                    <w:top w:val="nil"/>
                    <w:left w:val="nil"/>
                    <w:bottom w:val="single" w:sz="8" w:space="0" w:color="auto"/>
                    <w:right w:val="single" w:sz="4" w:space="0" w:color="auto"/>
                  </w:tcBorders>
                  <w:shd w:val="clear" w:color="auto" w:fill="auto"/>
                  <w:noWrap/>
                  <w:vAlign w:val="bottom"/>
                  <w:hideMark/>
                </w:tcPr>
                <w:p w14:paraId="4437A785" w14:textId="77777777" w:rsidR="000A660F" w:rsidRPr="00571310" w:rsidRDefault="000A660F" w:rsidP="003309D5">
                  <w:pPr>
                    <w:spacing w:after="0" w:line="240" w:lineRule="auto"/>
                    <w:jc w:val="right"/>
                    <w:rPr>
                      <w:rFonts w:eastAsia="Times New Roman" w:cs="Times New Roman"/>
                      <w:sz w:val="20"/>
                      <w:szCs w:val="20"/>
                      <w:lang w:eastAsia="lv-LV"/>
                    </w:rPr>
                  </w:pPr>
                  <w:r w:rsidRPr="00571310">
                    <w:rPr>
                      <w:rFonts w:eastAsia="Times New Roman" w:cs="Times New Roman"/>
                      <w:sz w:val="20"/>
                      <w:szCs w:val="20"/>
                      <w:lang w:eastAsia="lv-LV"/>
                    </w:rPr>
                    <w:t>11 993 337</w:t>
                  </w:r>
                </w:p>
              </w:tc>
              <w:tc>
                <w:tcPr>
                  <w:tcW w:w="1134" w:type="dxa"/>
                  <w:tcBorders>
                    <w:top w:val="nil"/>
                    <w:left w:val="nil"/>
                    <w:bottom w:val="single" w:sz="8" w:space="0" w:color="auto"/>
                    <w:right w:val="single" w:sz="4" w:space="0" w:color="auto"/>
                  </w:tcBorders>
                  <w:shd w:val="clear" w:color="auto" w:fill="auto"/>
                  <w:noWrap/>
                  <w:vAlign w:val="bottom"/>
                  <w:hideMark/>
                </w:tcPr>
                <w:p w14:paraId="2622618D" w14:textId="77777777" w:rsidR="000A660F" w:rsidRPr="00A94735" w:rsidRDefault="000A660F" w:rsidP="003309D5">
                  <w:pPr>
                    <w:spacing w:after="0" w:line="240" w:lineRule="auto"/>
                    <w:jc w:val="right"/>
                    <w:rPr>
                      <w:rFonts w:eastAsia="Times New Roman" w:cs="Times New Roman"/>
                      <w:sz w:val="20"/>
                      <w:szCs w:val="20"/>
                      <w:lang w:eastAsia="lv-LV"/>
                    </w:rPr>
                  </w:pPr>
                  <w:r w:rsidRPr="00A94735">
                    <w:rPr>
                      <w:rFonts w:eastAsia="Times New Roman" w:cs="Times New Roman"/>
                      <w:sz w:val="20"/>
                      <w:szCs w:val="20"/>
                      <w:lang w:eastAsia="lv-LV"/>
                    </w:rPr>
                    <w:t>18 920 187</w:t>
                  </w:r>
                </w:p>
              </w:tc>
              <w:tc>
                <w:tcPr>
                  <w:tcW w:w="1134" w:type="dxa"/>
                  <w:tcBorders>
                    <w:top w:val="nil"/>
                    <w:left w:val="nil"/>
                    <w:bottom w:val="single" w:sz="8" w:space="0" w:color="auto"/>
                    <w:right w:val="single" w:sz="8" w:space="0" w:color="auto"/>
                  </w:tcBorders>
                  <w:shd w:val="clear" w:color="auto" w:fill="auto"/>
                  <w:noWrap/>
                  <w:vAlign w:val="bottom"/>
                  <w:hideMark/>
                </w:tcPr>
                <w:p w14:paraId="10051599" w14:textId="77777777" w:rsidR="000A660F" w:rsidRPr="00A94735" w:rsidRDefault="000A660F" w:rsidP="003309D5">
                  <w:pPr>
                    <w:spacing w:after="0" w:line="240" w:lineRule="auto"/>
                    <w:jc w:val="right"/>
                    <w:rPr>
                      <w:rFonts w:eastAsia="Times New Roman" w:cs="Times New Roman"/>
                      <w:sz w:val="20"/>
                      <w:szCs w:val="20"/>
                      <w:lang w:eastAsia="lv-LV"/>
                    </w:rPr>
                  </w:pPr>
                  <w:r w:rsidRPr="00A94735">
                    <w:rPr>
                      <w:rFonts w:eastAsia="Times New Roman" w:cs="Times New Roman"/>
                      <w:sz w:val="20"/>
                      <w:szCs w:val="20"/>
                      <w:lang w:eastAsia="lv-LV"/>
                    </w:rPr>
                    <w:t>20 305 737</w:t>
                  </w:r>
                </w:p>
              </w:tc>
            </w:tr>
          </w:tbl>
          <w:p w14:paraId="41BB1BBB" w14:textId="77777777" w:rsidR="000A660F" w:rsidRPr="00B521CF" w:rsidRDefault="000A660F" w:rsidP="003309D5">
            <w:pPr>
              <w:spacing w:after="0" w:line="240" w:lineRule="auto"/>
              <w:rPr>
                <w:rFonts w:eastAsia="Times New Roman" w:cs="Times New Roman"/>
                <w:b/>
                <w:sz w:val="20"/>
                <w:szCs w:val="20"/>
                <w:lang w:eastAsia="lv-LV"/>
              </w:rPr>
            </w:pPr>
          </w:p>
        </w:tc>
      </w:tr>
      <w:tr w:rsidR="000A660F" w:rsidRPr="00B521CF" w14:paraId="0B699B75" w14:textId="77777777" w:rsidTr="003309D5">
        <w:trPr>
          <w:trHeight w:val="312"/>
        </w:trPr>
        <w:tc>
          <w:tcPr>
            <w:tcW w:w="15339" w:type="dxa"/>
            <w:gridSpan w:val="2"/>
            <w:tcBorders>
              <w:top w:val="single" w:sz="4" w:space="0" w:color="auto"/>
              <w:left w:val="single" w:sz="4" w:space="0" w:color="auto"/>
              <w:bottom w:val="single" w:sz="4" w:space="0" w:color="auto"/>
              <w:right w:val="single" w:sz="4" w:space="0" w:color="auto"/>
            </w:tcBorders>
            <w:shd w:val="clear" w:color="auto" w:fill="auto"/>
          </w:tcPr>
          <w:p w14:paraId="30E93AE9" w14:textId="77777777" w:rsidR="000A660F" w:rsidRDefault="000A660F" w:rsidP="003309D5">
            <w:pPr>
              <w:spacing w:after="0" w:line="240" w:lineRule="auto"/>
              <w:rPr>
                <w:rFonts w:eastAsia="Times New Roman" w:cs="Times New Roman"/>
                <w:b/>
                <w:sz w:val="20"/>
                <w:szCs w:val="20"/>
                <w:lang w:eastAsia="lv-LV"/>
              </w:rPr>
            </w:pPr>
          </w:p>
          <w:p w14:paraId="7E85BDD4" w14:textId="77777777" w:rsidR="000A660F" w:rsidRPr="0084779C" w:rsidRDefault="000A660F" w:rsidP="003309D5">
            <w:pPr>
              <w:spacing w:after="0" w:line="240" w:lineRule="auto"/>
              <w:rPr>
                <w:rFonts w:cs="Times New Roman"/>
                <w:b/>
                <w:bCs/>
                <w:color w:val="FF0000"/>
              </w:rPr>
            </w:pPr>
            <w:r w:rsidRPr="0084779C">
              <w:rPr>
                <w:rFonts w:eastAsia="Times New Roman" w:cs="Times New Roman"/>
                <w:b/>
                <w:color w:val="FF0000"/>
                <w:lang w:eastAsia="lv-LV"/>
              </w:rPr>
              <w:t xml:space="preserve">! </w:t>
            </w:r>
            <w:r w:rsidRPr="0084779C">
              <w:rPr>
                <w:rFonts w:cs="Times New Roman"/>
                <w:b/>
                <w:bCs/>
                <w:color w:val="FF0000"/>
              </w:rPr>
              <w:t>Aprēķins uz 17.05.2021. pie nemainīta personu kontingenta, kas izmantots aprēķinā 2021.gadam. Finansējuma summas var mainīties atbilstoši personu skaita izmaiņām.</w:t>
            </w:r>
          </w:p>
          <w:p w14:paraId="6BD06F44" w14:textId="77777777" w:rsidR="000A660F" w:rsidRPr="004F2983" w:rsidRDefault="000A660F" w:rsidP="003309D5">
            <w:pPr>
              <w:spacing w:after="0" w:line="240" w:lineRule="auto"/>
              <w:rPr>
                <w:rFonts w:eastAsia="Times New Roman" w:cs="Times New Roman"/>
                <w:b/>
                <w:bCs/>
                <w:color w:val="FF0000"/>
                <w:szCs w:val="24"/>
              </w:rPr>
            </w:pPr>
          </w:p>
          <w:p w14:paraId="36496A48" w14:textId="77777777" w:rsidR="000A660F" w:rsidRPr="0084779C" w:rsidRDefault="000A660F" w:rsidP="003309D5">
            <w:pPr>
              <w:spacing w:after="0" w:line="240" w:lineRule="auto"/>
              <w:rPr>
                <w:rFonts w:eastAsia="Times New Roman" w:cs="Times New Roman"/>
                <w:lang w:eastAsia="lv-LV"/>
              </w:rPr>
            </w:pPr>
            <w:r w:rsidRPr="0084779C">
              <w:rPr>
                <w:rFonts w:eastAsia="Times New Roman" w:cs="Times New Roman"/>
                <w:lang w:eastAsia="lv-LV"/>
              </w:rPr>
              <w:t>Tabula 3.</w:t>
            </w:r>
            <w:r>
              <w:rPr>
                <w:rFonts w:eastAsia="Times New Roman" w:cs="Times New Roman"/>
                <w:lang w:eastAsia="lv-LV"/>
              </w:rPr>
              <w:t>6</w:t>
            </w:r>
            <w:r w:rsidRPr="0084779C">
              <w:rPr>
                <w:rFonts w:eastAsia="Times New Roman" w:cs="Times New Roman"/>
                <w:lang w:eastAsia="lv-LV"/>
              </w:rPr>
              <w:t xml:space="preserve">. Valsts sociālo pabalstu un pensiju saņēmēju skaits, vidējie apmēri un nepieciešamais finansējums. </w:t>
            </w:r>
          </w:p>
          <w:tbl>
            <w:tblPr>
              <w:tblW w:w="15226" w:type="dxa"/>
              <w:tblLayout w:type="fixed"/>
              <w:tblLook w:val="04A0" w:firstRow="1" w:lastRow="0" w:firstColumn="1" w:lastColumn="0" w:noHBand="0" w:noVBand="1"/>
            </w:tblPr>
            <w:tblGrid>
              <w:gridCol w:w="2185"/>
              <w:gridCol w:w="1134"/>
              <w:gridCol w:w="1134"/>
              <w:gridCol w:w="1134"/>
              <w:gridCol w:w="1134"/>
              <w:gridCol w:w="992"/>
              <w:gridCol w:w="1276"/>
              <w:gridCol w:w="850"/>
              <w:gridCol w:w="992"/>
              <w:gridCol w:w="1335"/>
              <w:gridCol w:w="1500"/>
              <w:gridCol w:w="1560"/>
            </w:tblGrid>
            <w:tr w:rsidR="000A660F" w:rsidRPr="00933E21" w14:paraId="7668B7B9" w14:textId="77777777" w:rsidTr="003309D5">
              <w:trPr>
                <w:trHeight w:val="300"/>
              </w:trPr>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1942" w14:textId="77777777" w:rsidR="000A660F" w:rsidRPr="002F5BD9" w:rsidRDefault="000A660F" w:rsidP="003309D5">
                  <w:pPr>
                    <w:spacing w:after="0" w:line="240" w:lineRule="auto"/>
                    <w:rPr>
                      <w:rFonts w:eastAsia="Times New Roman" w:cs="Times New Roman"/>
                      <w:sz w:val="16"/>
                      <w:szCs w:val="16"/>
                      <w:lang w:eastAsia="lv-LV"/>
                    </w:rPr>
                  </w:pPr>
                  <w:r w:rsidRPr="002F5BD9">
                    <w:rPr>
                      <w:rFonts w:eastAsia="Times New Roman" w:cs="Times New Roman"/>
                      <w:sz w:val="16"/>
                      <w:szCs w:val="16"/>
                      <w:lang w:eastAsia="lv-LV"/>
                    </w:rPr>
                    <w:t> </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F8CF4B" w14:textId="77777777" w:rsidR="000A660F" w:rsidRPr="002F5BD9" w:rsidRDefault="000A660F" w:rsidP="003309D5">
                  <w:pPr>
                    <w:spacing w:after="0" w:line="240" w:lineRule="auto"/>
                    <w:jc w:val="center"/>
                    <w:rPr>
                      <w:rFonts w:eastAsia="Times New Roman" w:cs="Times New Roman"/>
                      <w:b/>
                      <w:bCs/>
                      <w:sz w:val="16"/>
                      <w:szCs w:val="16"/>
                      <w:lang w:eastAsia="lv-LV"/>
                    </w:rPr>
                  </w:pPr>
                  <w:r w:rsidRPr="002F5BD9">
                    <w:rPr>
                      <w:rFonts w:eastAsia="Times New Roman" w:cs="Times New Roman"/>
                      <w:b/>
                      <w:bCs/>
                      <w:sz w:val="16"/>
                      <w:szCs w:val="16"/>
                      <w:lang w:eastAsia="lv-LV"/>
                    </w:rPr>
                    <w:t>2022</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3553AC" w14:textId="77777777" w:rsidR="000A660F" w:rsidRPr="002F5BD9" w:rsidRDefault="000A660F" w:rsidP="003309D5">
                  <w:pPr>
                    <w:spacing w:after="0" w:line="240" w:lineRule="auto"/>
                    <w:jc w:val="center"/>
                    <w:rPr>
                      <w:rFonts w:eastAsia="Times New Roman" w:cs="Times New Roman"/>
                      <w:b/>
                      <w:bCs/>
                      <w:sz w:val="16"/>
                      <w:szCs w:val="16"/>
                      <w:lang w:eastAsia="lv-LV"/>
                    </w:rPr>
                  </w:pPr>
                  <w:r w:rsidRPr="002F5BD9">
                    <w:rPr>
                      <w:rFonts w:eastAsia="Times New Roman" w:cs="Times New Roman"/>
                      <w:b/>
                      <w:bCs/>
                      <w:sz w:val="16"/>
                      <w:szCs w:val="16"/>
                      <w:lang w:eastAsia="lv-LV"/>
                    </w:rPr>
                    <w:t>2023</w:t>
                  </w:r>
                </w:p>
              </w:tc>
              <w:tc>
                <w:tcPr>
                  <w:tcW w:w="31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D7EF1C" w14:textId="77777777" w:rsidR="000A660F" w:rsidRPr="002F5BD9" w:rsidRDefault="000A660F" w:rsidP="003309D5">
                  <w:pPr>
                    <w:spacing w:after="0" w:line="240" w:lineRule="auto"/>
                    <w:jc w:val="center"/>
                    <w:rPr>
                      <w:rFonts w:eastAsia="Times New Roman" w:cs="Times New Roman"/>
                      <w:b/>
                      <w:bCs/>
                      <w:sz w:val="16"/>
                      <w:szCs w:val="16"/>
                      <w:lang w:eastAsia="lv-LV"/>
                    </w:rPr>
                  </w:pPr>
                  <w:r w:rsidRPr="002F5BD9">
                    <w:rPr>
                      <w:rFonts w:eastAsia="Times New Roman" w:cs="Times New Roman"/>
                      <w:b/>
                      <w:bCs/>
                      <w:sz w:val="16"/>
                      <w:szCs w:val="16"/>
                      <w:lang w:eastAsia="lv-LV"/>
                    </w:rPr>
                    <w:t>2024</w:t>
                  </w:r>
                </w:p>
              </w:tc>
              <w:tc>
                <w:tcPr>
                  <w:tcW w:w="3060" w:type="dxa"/>
                  <w:gridSpan w:val="2"/>
                  <w:tcBorders>
                    <w:top w:val="single" w:sz="4" w:space="0" w:color="auto"/>
                    <w:left w:val="nil"/>
                    <w:bottom w:val="single" w:sz="4" w:space="0" w:color="auto"/>
                    <w:right w:val="single" w:sz="4" w:space="0" w:color="000000"/>
                  </w:tcBorders>
                  <w:shd w:val="clear" w:color="auto" w:fill="auto"/>
                  <w:vAlign w:val="bottom"/>
                  <w:hideMark/>
                </w:tcPr>
                <w:p w14:paraId="79FCE84C" w14:textId="77777777" w:rsidR="000A660F" w:rsidRPr="002F5BD9" w:rsidRDefault="000A660F" w:rsidP="003309D5">
                  <w:pPr>
                    <w:spacing w:after="0" w:line="240" w:lineRule="auto"/>
                    <w:jc w:val="center"/>
                    <w:rPr>
                      <w:rFonts w:eastAsia="Times New Roman" w:cs="Times New Roman"/>
                      <w:i/>
                      <w:iCs/>
                      <w:sz w:val="16"/>
                      <w:szCs w:val="16"/>
                      <w:lang w:eastAsia="lv-LV"/>
                    </w:rPr>
                  </w:pPr>
                  <w:r w:rsidRPr="002F5BD9">
                    <w:rPr>
                      <w:rFonts w:eastAsia="Times New Roman" w:cs="Times New Roman"/>
                      <w:i/>
                      <w:iCs/>
                      <w:sz w:val="16"/>
                      <w:szCs w:val="16"/>
                      <w:lang w:eastAsia="lv-LV"/>
                    </w:rPr>
                    <w:t>Programma, izdevumu EEK</w:t>
                  </w:r>
                </w:p>
              </w:tc>
            </w:tr>
            <w:tr w:rsidR="000A660F" w:rsidRPr="00933E21" w14:paraId="7B01BF6D" w14:textId="77777777" w:rsidTr="003309D5">
              <w:trPr>
                <w:trHeight w:val="780"/>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14:paraId="2A5D27D3" w14:textId="77777777" w:rsidR="000A660F" w:rsidRPr="002F5BD9" w:rsidRDefault="000A660F" w:rsidP="003309D5">
                  <w:pPr>
                    <w:spacing w:after="0" w:line="240" w:lineRule="auto"/>
                    <w:rPr>
                      <w:rFonts w:eastAsia="Times New Roman" w:cs="Times New Roman"/>
                      <w:sz w:val="16"/>
                      <w:szCs w:val="16"/>
                      <w:lang w:eastAsia="lv-LV"/>
                    </w:rPr>
                  </w:pPr>
                  <w:r w:rsidRPr="002F5BD9">
                    <w:rPr>
                      <w:rFonts w:eastAsia="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2CD879E" w14:textId="77777777" w:rsidR="000A660F" w:rsidRPr="00933E21"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skaits, vid.</w:t>
                  </w:r>
                </w:p>
                <w:p w14:paraId="31D89A8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mēnesī</w:t>
                  </w:r>
                </w:p>
              </w:tc>
              <w:tc>
                <w:tcPr>
                  <w:tcW w:w="1134" w:type="dxa"/>
                  <w:tcBorders>
                    <w:top w:val="nil"/>
                    <w:left w:val="nil"/>
                    <w:bottom w:val="single" w:sz="4" w:space="0" w:color="auto"/>
                    <w:right w:val="single" w:sz="4" w:space="0" w:color="auto"/>
                  </w:tcBorders>
                  <w:shd w:val="clear" w:color="auto" w:fill="auto"/>
                  <w:vAlign w:val="center"/>
                  <w:hideMark/>
                </w:tcPr>
                <w:p w14:paraId="5DAE117A" w14:textId="77777777" w:rsidR="000A660F" w:rsidRPr="00933E21"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vid.</w:t>
                  </w:r>
                </w:p>
                <w:p w14:paraId="79E151A1" w14:textId="77777777" w:rsidR="000A660F" w:rsidRPr="002F5BD9" w:rsidRDefault="000A660F" w:rsidP="003309D5">
                  <w:pPr>
                    <w:spacing w:after="0" w:line="240" w:lineRule="auto"/>
                    <w:jc w:val="center"/>
                    <w:rPr>
                      <w:rFonts w:eastAsia="Times New Roman" w:cs="Times New Roman"/>
                      <w:sz w:val="18"/>
                      <w:szCs w:val="18"/>
                      <w:lang w:eastAsia="lv-LV"/>
                    </w:rPr>
                  </w:pPr>
                  <w:r w:rsidRPr="00933E21">
                    <w:rPr>
                      <w:rFonts w:eastAsia="Times New Roman" w:cs="Times New Roman"/>
                      <w:sz w:val="18"/>
                      <w:szCs w:val="18"/>
                      <w:lang w:eastAsia="lv-LV"/>
                    </w:rPr>
                    <w:t>apmēra palielin.</w:t>
                  </w:r>
                  <w:r w:rsidRPr="002F5BD9">
                    <w:rPr>
                      <w:rFonts w:eastAsia="Times New Roman" w:cs="Times New Roman"/>
                      <w:sz w:val="18"/>
                      <w:szCs w:val="18"/>
                      <w:lang w:eastAsia="lv-LV"/>
                    </w:rPr>
                    <w:t>, EUR</w:t>
                  </w:r>
                </w:p>
              </w:tc>
              <w:tc>
                <w:tcPr>
                  <w:tcW w:w="1134" w:type="dxa"/>
                  <w:tcBorders>
                    <w:top w:val="nil"/>
                    <w:left w:val="nil"/>
                    <w:bottom w:val="single" w:sz="4" w:space="0" w:color="auto"/>
                    <w:right w:val="single" w:sz="4" w:space="0" w:color="auto"/>
                  </w:tcBorders>
                  <w:shd w:val="clear" w:color="000000" w:fill="D9D9D9"/>
                  <w:vAlign w:val="center"/>
                  <w:hideMark/>
                </w:tcPr>
                <w:p w14:paraId="5405854C" w14:textId="77777777" w:rsidR="000A660F" w:rsidRPr="00933E21" w:rsidRDefault="000A660F" w:rsidP="003309D5">
                  <w:pPr>
                    <w:spacing w:after="0" w:line="240" w:lineRule="auto"/>
                    <w:jc w:val="center"/>
                    <w:rPr>
                      <w:rFonts w:eastAsia="Times New Roman" w:cs="Times New Roman"/>
                      <w:sz w:val="18"/>
                      <w:szCs w:val="18"/>
                      <w:lang w:eastAsia="lv-LV"/>
                    </w:rPr>
                  </w:pPr>
                  <w:r w:rsidRPr="00933E21">
                    <w:rPr>
                      <w:rFonts w:eastAsia="Times New Roman" w:cs="Times New Roman"/>
                      <w:sz w:val="18"/>
                      <w:szCs w:val="18"/>
                      <w:lang w:eastAsia="lv-LV"/>
                    </w:rPr>
                    <w:t>nepiecieš</w:t>
                  </w:r>
                </w:p>
                <w:p w14:paraId="72D79F8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finansējums gadā, EUR</w:t>
                  </w:r>
                </w:p>
              </w:tc>
              <w:tc>
                <w:tcPr>
                  <w:tcW w:w="1134" w:type="dxa"/>
                  <w:tcBorders>
                    <w:top w:val="nil"/>
                    <w:left w:val="nil"/>
                    <w:bottom w:val="single" w:sz="4" w:space="0" w:color="auto"/>
                    <w:right w:val="single" w:sz="4" w:space="0" w:color="auto"/>
                  </w:tcBorders>
                  <w:shd w:val="clear" w:color="auto" w:fill="auto"/>
                  <w:vAlign w:val="center"/>
                  <w:hideMark/>
                </w:tcPr>
                <w:p w14:paraId="551005F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skaits, vid.</w:t>
                  </w:r>
                  <w:r>
                    <w:rPr>
                      <w:rFonts w:eastAsia="Times New Roman" w:cs="Times New Roman"/>
                      <w:sz w:val="18"/>
                      <w:szCs w:val="18"/>
                      <w:lang w:eastAsia="lv-LV"/>
                    </w:rPr>
                    <w:t xml:space="preserve"> </w:t>
                  </w:r>
                  <w:r w:rsidRPr="002F5BD9">
                    <w:rPr>
                      <w:rFonts w:eastAsia="Times New Roman" w:cs="Times New Roman"/>
                      <w:sz w:val="18"/>
                      <w:szCs w:val="18"/>
                      <w:lang w:eastAsia="lv-LV"/>
                    </w:rPr>
                    <w:t>mēnesī</w:t>
                  </w:r>
                </w:p>
              </w:tc>
              <w:tc>
                <w:tcPr>
                  <w:tcW w:w="992" w:type="dxa"/>
                  <w:tcBorders>
                    <w:top w:val="nil"/>
                    <w:left w:val="nil"/>
                    <w:bottom w:val="single" w:sz="4" w:space="0" w:color="auto"/>
                    <w:right w:val="single" w:sz="4" w:space="0" w:color="auto"/>
                  </w:tcBorders>
                  <w:shd w:val="clear" w:color="auto" w:fill="auto"/>
                  <w:vAlign w:val="center"/>
                  <w:hideMark/>
                </w:tcPr>
                <w:p w14:paraId="62C19B63" w14:textId="77777777" w:rsidR="000A660F" w:rsidRPr="00933E21"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vid.</w:t>
                  </w:r>
                </w:p>
                <w:p w14:paraId="387309D2" w14:textId="77777777" w:rsidR="000A660F" w:rsidRPr="002F5BD9" w:rsidRDefault="000A660F" w:rsidP="003309D5">
                  <w:pPr>
                    <w:spacing w:after="0" w:line="240" w:lineRule="auto"/>
                    <w:jc w:val="center"/>
                    <w:rPr>
                      <w:rFonts w:eastAsia="Times New Roman" w:cs="Times New Roman"/>
                      <w:sz w:val="18"/>
                      <w:szCs w:val="18"/>
                      <w:lang w:eastAsia="lv-LV"/>
                    </w:rPr>
                  </w:pPr>
                  <w:r w:rsidRPr="00933E21">
                    <w:rPr>
                      <w:rFonts w:eastAsia="Times New Roman" w:cs="Times New Roman"/>
                      <w:sz w:val="18"/>
                      <w:szCs w:val="18"/>
                      <w:lang w:eastAsia="lv-LV"/>
                    </w:rPr>
                    <w:t>apmēra palielin</w:t>
                  </w:r>
                  <w:r w:rsidRPr="002F5BD9">
                    <w:rPr>
                      <w:rFonts w:eastAsia="Times New Roman" w:cs="Times New Roman"/>
                      <w:sz w:val="18"/>
                      <w:szCs w:val="18"/>
                      <w:lang w:eastAsia="lv-LV"/>
                    </w:rPr>
                    <w:t>, EUR</w:t>
                  </w:r>
                </w:p>
              </w:tc>
              <w:tc>
                <w:tcPr>
                  <w:tcW w:w="1276" w:type="dxa"/>
                  <w:tcBorders>
                    <w:top w:val="nil"/>
                    <w:left w:val="nil"/>
                    <w:bottom w:val="single" w:sz="4" w:space="0" w:color="auto"/>
                    <w:right w:val="single" w:sz="4" w:space="0" w:color="auto"/>
                  </w:tcBorders>
                  <w:shd w:val="clear" w:color="000000" w:fill="D9D9D9"/>
                  <w:vAlign w:val="center"/>
                  <w:hideMark/>
                </w:tcPr>
                <w:p w14:paraId="304C838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nepie</w:t>
                  </w:r>
                  <w:r w:rsidRPr="00933E21">
                    <w:rPr>
                      <w:rFonts w:eastAsia="Times New Roman" w:cs="Times New Roman"/>
                      <w:sz w:val="18"/>
                      <w:szCs w:val="18"/>
                      <w:lang w:eastAsia="lv-LV"/>
                    </w:rPr>
                    <w:t>-</w:t>
                  </w:r>
                  <w:r w:rsidRPr="002F5BD9">
                    <w:rPr>
                      <w:rFonts w:eastAsia="Times New Roman" w:cs="Times New Roman"/>
                      <w:sz w:val="18"/>
                      <w:szCs w:val="18"/>
                      <w:lang w:eastAsia="lv-LV"/>
                    </w:rPr>
                    <w:t>ciešamais finansējums gadā, EUR</w:t>
                  </w:r>
                </w:p>
              </w:tc>
              <w:tc>
                <w:tcPr>
                  <w:tcW w:w="850" w:type="dxa"/>
                  <w:tcBorders>
                    <w:top w:val="nil"/>
                    <w:left w:val="nil"/>
                    <w:bottom w:val="single" w:sz="4" w:space="0" w:color="auto"/>
                    <w:right w:val="single" w:sz="4" w:space="0" w:color="auto"/>
                  </w:tcBorders>
                  <w:shd w:val="clear" w:color="auto" w:fill="auto"/>
                  <w:vAlign w:val="center"/>
                  <w:hideMark/>
                </w:tcPr>
                <w:p w14:paraId="025D808C" w14:textId="77777777" w:rsidR="000A660F" w:rsidRPr="00933E21"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skaits, vid.</w:t>
                  </w:r>
                </w:p>
                <w:p w14:paraId="5819336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mēnesī</w:t>
                  </w:r>
                </w:p>
              </w:tc>
              <w:tc>
                <w:tcPr>
                  <w:tcW w:w="992" w:type="dxa"/>
                  <w:tcBorders>
                    <w:top w:val="nil"/>
                    <w:left w:val="nil"/>
                    <w:bottom w:val="single" w:sz="4" w:space="0" w:color="auto"/>
                    <w:right w:val="single" w:sz="4" w:space="0" w:color="auto"/>
                  </w:tcBorders>
                  <w:shd w:val="clear" w:color="auto" w:fill="auto"/>
                  <w:vAlign w:val="center"/>
                  <w:hideMark/>
                </w:tcPr>
                <w:p w14:paraId="59D6E21F" w14:textId="77777777" w:rsidR="000A660F" w:rsidRPr="00933E21"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vid.</w:t>
                  </w:r>
                </w:p>
                <w:p w14:paraId="23ADA3F8" w14:textId="77777777" w:rsidR="000A660F" w:rsidRPr="002F5BD9" w:rsidRDefault="000A660F" w:rsidP="003309D5">
                  <w:pPr>
                    <w:spacing w:after="0" w:line="240" w:lineRule="auto"/>
                    <w:jc w:val="center"/>
                    <w:rPr>
                      <w:rFonts w:eastAsia="Times New Roman" w:cs="Times New Roman"/>
                      <w:sz w:val="18"/>
                      <w:szCs w:val="18"/>
                      <w:lang w:eastAsia="lv-LV"/>
                    </w:rPr>
                  </w:pPr>
                  <w:r w:rsidRPr="00933E21">
                    <w:rPr>
                      <w:rFonts w:eastAsia="Times New Roman" w:cs="Times New Roman"/>
                      <w:sz w:val="18"/>
                      <w:szCs w:val="18"/>
                      <w:lang w:eastAsia="lv-LV"/>
                    </w:rPr>
                    <w:t>apmēra palielin</w:t>
                  </w:r>
                  <w:r w:rsidRPr="002F5BD9">
                    <w:rPr>
                      <w:rFonts w:eastAsia="Times New Roman" w:cs="Times New Roman"/>
                      <w:sz w:val="18"/>
                      <w:szCs w:val="18"/>
                      <w:lang w:eastAsia="lv-LV"/>
                    </w:rPr>
                    <w:t>, EUR</w:t>
                  </w:r>
                </w:p>
              </w:tc>
              <w:tc>
                <w:tcPr>
                  <w:tcW w:w="1335" w:type="dxa"/>
                  <w:tcBorders>
                    <w:top w:val="nil"/>
                    <w:left w:val="nil"/>
                    <w:bottom w:val="single" w:sz="4" w:space="0" w:color="auto"/>
                    <w:right w:val="single" w:sz="4" w:space="0" w:color="auto"/>
                  </w:tcBorders>
                  <w:shd w:val="clear" w:color="000000" w:fill="D9D9D9"/>
                  <w:vAlign w:val="center"/>
                  <w:hideMark/>
                </w:tcPr>
                <w:p w14:paraId="5778195D" w14:textId="77777777" w:rsidR="000A660F" w:rsidRPr="002F5BD9" w:rsidRDefault="000A660F" w:rsidP="003309D5">
                  <w:pPr>
                    <w:spacing w:after="0" w:line="240" w:lineRule="auto"/>
                    <w:jc w:val="center"/>
                    <w:rPr>
                      <w:rFonts w:eastAsia="Times New Roman" w:cs="Times New Roman"/>
                      <w:sz w:val="18"/>
                      <w:szCs w:val="18"/>
                      <w:lang w:eastAsia="lv-LV"/>
                    </w:rPr>
                  </w:pPr>
                  <w:r w:rsidRPr="00933E21">
                    <w:rPr>
                      <w:rFonts w:eastAsia="Times New Roman" w:cs="Times New Roman"/>
                      <w:sz w:val="18"/>
                      <w:szCs w:val="18"/>
                      <w:lang w:eastAsia="lv-LV"/>
                    </w:rPr>
                    <w:t>nepiecieš-</w:t>
                  </w:r>
                  <w:r w:rsidRPr="002F5BD9">
                    <w:rPr>
                      <w:rFonts w:eastAsia="Times New Roman" w:cs="Times New Roman"/>
                      <w:sz w:val="18"/>
                      <w:szCs w:val="18"/>
                      <w:lang w:eastAsia="lv-LV"/>
                    </w:rPr>
                    <w:t>šamais finansējums gadā, EUR</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571EE6F" w14:textId="77777777" w:rsidR="000A660F" w:rsidRPr="002F5BD9" w:rsidRDefault="000A660F" w:rsidP="003309D5">
                  <w:pPr>
                    <w:spacing w:after="0" w:line="240" w:lineRule="auto"/>
                    <w:jc w:val="center"/>
                    <w:rPr>
                      <w:rFonts w:eastAsia="Times New Roman" w:cs="Times New Roman"/>
                      <w:i/>
                      <w:iCs/>
                      <w:sz w:val="18"/>
                      <w:szCs w:val="18"/>
                      <w:lang w:eastAsia="lv-LV"/>
                    </w:rPr>
                  </w:pPr>
                  <w:r w:rsidRPr="002F5BD9">
                    <w:rPr>
                      <w:rFonts w:eastAsia="Times New Roman" w:cs="Times New Roman"/>
                      <w:i/>
                      <w:iCs/>
                      <w:sz w:val="18"/>
                      <w:szCs w:val="18"/>
                      <w:lang w:eastAsia="lv-LV"/>
                    </w:rPr>
                    <w:t>REĀLĀS IZMAKSAS</w:t>
                  </w:r>
                </w:p>
              </w:tc>
              <w:tc>
                <w:tcPr>
                  <w:tcW w:w="1560" w:type="dxa"/>
                  <w:tcBorders>
                    <w:top w:val="nil"/>
                    <w:left w:val="nil"/>
                    <w:bottom w:val="single" w:sz="4" w:space="0" w:color="auto"/>
                    <w:right w:val="single" w:sz="4" w:space="0" w:color="auto"/>
                  </w:tcBorders>
                  <w:shd w:val="clear" w:color="auto" w:fill="auto"/>
                  <w:vAlign w:val="center"/>
                  <w:hideMark/>
                </w:tcPr>
                <w:p w14:paraId="6ED4F682" w14:textId="77777777" w:rsidR="000A660F" w:rsidRPr="002F5BD9" w:rsidRDefault="000A660F" w:rsidP="003309D5">
                  <w:pPr>
                    <w:spacing w:after="0" w:line="240" w:lineRule="auto"/>
                    <w:jc w:val="center"/>
                    <w:rPr>
                      <w:rFonts w:eastAsia="Times New Roman" w:cs="Times New Roman"/>
                      <w:i/>
                      <w:iCs/>
                      <w:sz w:val="18"/>
                      <w:szCs w:val="18"/>
                      <w:lang w:eastAsia="lv-LV"/>
                    </w:rPr>
                  </w:pPr>
                  <w:r w:rsidRPr="002F5BD9">
                    <w:rPr>
                      <w:rFonts w:eastAsia="Times New Roman" w:cs="Times New Roman"/>
                      <w:i/>
                      <w:iCs/>
                      <w:sz w:val="18"/>
                      <w:szCs w:val="18"/>
                      <w:lang w:eastAsia="lv-LV"/>
                    </w:rPr>
                    <w:t>Avots</w:t>
                  </w:r>
                </w:p>
              </w:tc>
            </w:tr>
            <w:tr w:rsidR="000A660F" w:rsidRPr="00933E21" w14:paraId="53D4B3A9" w14:textId="77777777" w:rsidTr="003309D5">
              <w:trPr>
                <w:trHeight w:val="7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0D19AF8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Vecuma pensijas</w:t>
                  </w:r>
                </w:p>
              </w:tc>
              <w:tc>
                <w:tcPr>
                  <w:tcW w:w="1134" w:type="dxa"/>
                  <w:tcBorders>
                    <w:top w:val="nil"/>
                    <w:left w:val="nil"/>
                    <w:bottom w:val="single" w:sz="4" w:space="0" w:color="auto"/>
                    <w:right w:val="single" w:sz="4" w:space="0" w:color="auto"/>
                  </w:tcBorders>
                  <w:shd w:val="clear" w:color="auto" w:fill="auto"/>
                  <w:noWrap/>
                  <w:vAlign w:val="center"/>
                  <w:hideMark/>
                </w:tcPr>
                <w:p w14:paraId="2D6EF24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50944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7254905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32A78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31 183</w:t>
                  </w:r>
                </w:p>
              </w:tc>
              <w:tc>
                <w:tcPr>
                  <w:tcW w:w="992" w:type="dxa"/>
                  <w:tcBorders>
                    <w:top w:val="nil"/>
                    <w:left w:val="nil"/>
                    <w:bottom w:val="single" w:sz="4" w:space="0" w:color="auto"/>
                    <w:right w:val="single" w:sz="4" w:space="0" w:color="auto"/>
                  </w:tcBorders>
                  <w:shd w:val="clear" w:color="auto" w:fill="auto"/>
                  <w:noWrap/>
                  <w:vAlign w:val="center"/>
                  <w:hideMark/>
                </w:tcPr>
                <w:p w14:paraId="7F5105C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20.08</w:t>
                  </w:r>
                </w:p>
              </w:tc>
              <w:tc>
                <w:tcPr>
                  <w:tcW w:w="1276" w:type="dxa"/>
                  <w:tcBorders>
                    <w:top w:val="nil"/>
                    <w:left w:val="nil"/>
                    <w:bottom w:val="single" w:sz="4" w:space="0" w:color="auto"/>
                    <w:right w:val="single" w:sz="4" w:space="0" w:color="auto"/>
                  </w:tcBorders>
                  <w:shd w:val="clear" w:color="000000" w:fill="D9D9D9"/>
                  <w:noWrap/>
                  <w:vAlign w:val="center"/>
                  <w:hideMark/>
                </w:tcPr>
                <w:p w14:paraId="6256D40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7 512 087</w:t>
                  </w:r>
                </w:p>
              </w:tc>
              <w:tc>
                <w:tcPr>
                  <w:tcW w:w="850" w:type="dxa"/>
                  <w:tcBorders>
                    <w:top w:val="nil"/>
                    <w:left w:val="nil"/>
                    <w:bottom w:val="single" w:sz="4" w:space="0" w:color="auto"/>
                    <w:right w:val="single" w:sz="4" w:space="0" w:color="auto"/>
                  </w:tcBorders>
                  <w:shd w:val="clear" w:color="auto" w:fill="auto"/>
                  <w:noWrap/>
                  <w:vAlign w:val="center"/>
                  <w:hideMark/>
                </w:tcPr>
                <w:p w14:paraId="3810971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31 183</w:t>
                  </w:r>
                </w:p>
              </w:tc>
              <w:tc>
                <w:tcPr>
                  <w:tcW w:w="992" w:type="dxa"/>
                  <w:tcBorders>
                    <w:top w:val="nil"/>
                    <w:left w:val="nil"/>
                    <w:bottom w:val="single" w:sz="4" w:space="0" w:color="auto"/>
                    <w:right w:val="single" w:sz="4" w:space="0" w:color="auto"/>
                  </w:tcBorders>
                  <w:shd w:val="clear" w:color="auto" w:fill="auto"/>
                  <w:noWrap/>
                  <w:vAlign w:val="center"/>
                  <w:hideMark/>
                </w:tcPr>
                <w:p w14:paraId="6F80131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28.04</w:t>
                  </w:r>
                </w:p>
              </w:tc>
              <w:tc>
                <w:tcPr>
                  <w:tcW w:w="1335" w:type="dxa"/>
                  <w:tcBorders>
                    <w:top w:val="nil"/>
                    <w:left w:val="nil"/>
                    <w:bottom w:val="single" w:sz="4" w:space="0" w:color="auto"/>
                    <w:right w:val="single" w:sz="4" w:space="0" w:color="auto"/>
                  </w:tcBorders>
                  <w:shd w:val="clear" w:color="000000" w:fill="D9D9D9"/>
                  <w:noWrap/>
                  <w:vAlign w:val="center"/>
                  <w:hideMark/>
                </w:tcPr>
                <w:p w14:paraId="1F68F76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10 491 049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8E7FE1E"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04.01.00.Valsts pensiju speciālais budžets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70C7442"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18AC6DDD" w14:textId="77777777" w:rsidTr="003309D5">
              <w:trPr>
                <w:trHeight w:val="712"/>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21FD304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Pabalsts pārdzīvojušajam laulātajam (vecuma pensijas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09315A5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62EFC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7F95860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43812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428</w:t>
                  </w:r>
                </w:p>
              </w:tc>
              <w:tc>
                <w:tcPr>
                  <w:tcW w:w="992" w:type="dxa"/>
                  <w:tcBorders>
                    <w:top w:val="nil"/>
                    <w:left w:val="nil"/>
                    <w:bottom w:val="single" w:sz="4" w:space="0" w:color="auto"/>
                    <w:right w:val="single" w:sz="4" w:space="0" w:color="auto"/>
                  </w:tcBorders>
                  <w:shd w:val="clear" w:color="auto" w:fill="auto"/>
                  <w:noWrap/>
                  <w:vAlign w:val="center"/>
                  <w:hideMark/>
                </w:tcPr>
                <w:p w14:paraId="06BD86A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10.04</w:t>
                  </w:r>
                </w:p>
              </w:tc>
              <w:tc>
                <w:tcPr>
                  <w:tcW w:w="1276" w:type="dxa"/>
                  <w:tcBorders>
                    <w:top w:val="nil"/>
                    <w:left w:val="nil"/>
                    <w:bottom w:val="single" w:sz="4" w:space="0" w:color="auto"/>
                    <w:right w:val="single" w:sz="4" w:space="0" w:color="auto"/>
                  </w:tcBorders>
                  <w:shd w:val="clear" w:color="000000" w:fill="D9D9D9"/>
                  <w:noWrap/>
                  <w:vAlign w:val="center"/>
                  <w:hideMark/>
                </w:tcPr>
                <w:p w14:paraId="2FE3D9A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51 565</w:t>
                  </w:r>
                </w:p>
              </w:tc>
              <w:tc>
                <w:tcPr>
                  <w:tcW w:w="850" w:type="dxa"/>
                  <w:tcBorders>
                    <w:top w:val="nil"/>
                    <w:left w:val="nil"/>
                    <w:bottom w:val="single" w:sz="4" w:space="0" w:color="auto"/>
                    <w:right w:val="single" w:sz="4" w:space="0" w:color="auto"/>
                  </w:tcBorders>
                  <w:shd w:val="clear" w:color="auto" w:fill="auto"/>
                  <w:noWrap/>
                  <w:vAlign w:val="center"/>
                  <w:hideMark/>
                </w:tcPr>
                <w:p w14:paraId="5322012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428</w:t>
                  </w:r>
                </w:p>
              </w:tc>
              <w:tc>
                <w:tcPr>
                  <w:tcW w:w="992" w:type="dxa"/>
                  <w:tcBorders>
                    <w:top w:val="nil"/>
                    <w:left w:val="nil"/>
                    <w:bottom w:val="single" w:sz="4" w:space="0" w:color="auto"/>
                    <w:right w:val="single" w:sz="4" w:space="0" w:color="auto"/>
                  </w:tcBorders>
                  <w:shd w:val="clear" w:color="auto" w:fill="auto"/>
                  <w:noWrap/>
                  <w:vAlign w:val="center"/>
                  <w:hideMark/>
                </w:tcPr>
                <w:p w14:paraId="5A944B4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14.02</w:t>
                  </w:r>
                </w:p>
              </w:tc>
              <w:tc>
                <w:tcPr>
                  <w:tcW w:w="1335" w:type="dxa"/>
                  <w:tcBorders>
                    <w:top w:val="nil"/>
                    <w:left w:val="nil"/>
                    <w:bottom w:val="single" w:sz="4" w:space="0" w:color="auto"/>
                    <w:right w:val="single" w:sz="4" w:space="0" w:color="auto"/>
                  </w:tcBorders>
                  <w:shd w:val="clear" w:color="000000" w:fill="D9D9D9"/>
                  <w:noWrap/>
                  <w:vAlign w:val="center"/>
                  <w:hideMark/>
                </w:tcPr>
                <w:p w14:paraId="0618CF8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72 006</w:t>
                  </w:r>
                </w:p>
              </w:tc>
              <w:tc>
                <w:tcPr>
                  <w:tcW w:w="1500" w:type="dxa"/>
                  <w:tcBorders>
                    <w:top w:val="nil"/>
                    <w:left w:val="nil"/>
                    <w:bottom w:val="single" w:sz="4" w:space="0" w:color="auto"/>
                    <w:right w:val="single" w:sz="4" w:space="0" w:color="auto"/>
                  </w:tcBorders>
                  <w:shd w:val="clear" w:color="auto" w:fill="auto"/>
                  <w:vAlign w:val="center"/>
                  <w:hideMark/>
                </w:tcPr>
                <w:p w14:paraId="00DDC3F0"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04.01.00.Valsts pensiju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56B27E84"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2B493C49" w14:textId="77777777" w:rsidTr="003309D5">
              <w:trPr>
                <w:trHeight w:val="68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29FF896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Apbedīšanas pabalsts minimālās pensijas saņēmēja nāves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4B47379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062D844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B37CC5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A702D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227</w:t>
                  </w:r>
                </w:p>
              </w:tc>
              <w:tc>
                <w:tcPr>
                  <w:tcW w:w="992" w:type="dxa"/>
                  <w:tcBorders>
                    <w:top w:val="nil"/>
                    <w:left w:val="nil"/>
                    <w:bottom w:val="single" w:sz="4" w:space="0" w:color="auto"/>
                    <w:right w:val="single" w:sz="4" w:space="0" w:color="auto"/>
                  </w:tcBorders>
                  <w:shd w:val="clear" w:color="auto" w:fill="auto"/>
                  <w:noWrap/>
                  <w:vAlign w:val="center"/>
                  <w:hideMark/>
                </w:tcPr>
                <w:p w14:paraId="1023E44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40.03</w:t>
                  </w:r>
                </w:p>
              </w:tc>
              <w:tc>
                <w:tcPr>
                  <w:tcW w:w="1276" w:type="dxa"/>
                  <w:tcBorders>
                    <w:top w:val="nil"/>
                    <w:left w:val="nil"/>
                    <w:bottom w:val="single" w:sz="4" w:space="0" w:color="auto"/>
                    <w:right w:val="single" w:sz="4" w:space="0" w:color="auto"/>
                  </w:tcBorders>
                  <w:shd w:val="clear" w:color="000000" w:fill="D9D9D9"/>
                  <w:noWrap/>
                  <w:vAlign w:val="center"/>
                  <w:hideMark/>
                </w:tcPr>
                <w:p w14:paraId="4BF8E47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109 042</w:t>
                  </w:r>
                </w:p>
              </w:tc>
              <w:tc>
                <w:tcPr>
                  <w:tcW w:w="850" w:type="dxa"/>
                  <w:tcBorders>
                    <w:top w:val="nil"/>
                    <w:left w:val="nil"/>
                    <w:bottom w:val="single" w:sz="4" w:space="0" w:color="auto"/>
                    <w:right w:val="single" w:sz="4" w:space="0" w:color="auto"/>
                  </w:tcBorders>
                  <w:shd w:val="clear" w:color="auto" w:fill="auto"/>
                  <w:noWrap/>
                  <w:vAlign w:val="center"/>
                  <w:hideMark/>
                </w:tcPr>
                <w:p w14:paraId="266161F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227</w:t>
                  </w:r>
                </w:p>
              </w:tc>
              <w:tc>
                <w:tcPr>
                  <w:tcW w:w="992" w:type="dxa"/>
                  <w:tcBorders>
                    <w:top w:val="nil"/>
                    <w:left w:val="nil"/>
                    <w:bottom w:val="single" w:sz="4" w:space="0" w:color="auto"/>
                    <w:right w:val="single" w:sz="4" w:space="0" w:color="auto"/>
                  </w:tcBorders>
                  <w:shd w:val="clear" w:color="auto" w:fill="auto"/>
                  <w:noWrap/>
                  <w:vAlign w:val="center"/>
                  <w:hideMark/>
                </w:tcPr>
                <w:p w14:paraId="00F7946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54.97</w:t>
                  </w:r>
                </w:p>
              </w:tc>
              <w:tc>
                <w:tcPr>
                  <w:tcW w:w="1335" w:type="dxa"/>
                  <w:tcBorders>
                    <w:top w:val="nil"/>
                    <w:left w:val="nil"/>
                    <w:bottom w:val="single" w:sz="4" w:space="0" w:color="auto"/>
                    <w:right w:val="single" w:sz="4" w:space="0" w:color="auto"/>
                  </w:tcBorders>
                  <w:shd w:val="clear" w:color="000000" w:fill="D9D9D9"/>
                  <w:noWrap/>
                  <w:vAlign w:val="center"/>
                  <w:hideMark/>
                </w:tcPr>
                <w:p w14:paraId="3503EC5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149 739</w:t>
                  </w:r>
                </w:p>
              </w:tc>
              <w:tc>
                <w:tcPr>
                  <w:tcW w:w="1500" w:type="dxa"/>
                  <w:tcBorders>
                    <w:top w:val="nil"/>
                    <w:left w:val="nil"/>
                    <w:bottom w:val="single" w:sz="4" w:space="0" w:color="auto"/>
                    <w:right w:val="single" w:sz="4" w:space="0" w:color="auto"/>
                  </w:tcBorders>
                  <w:shd w:val="clear" w:color="auto" w:fill="auto"/>
                  <w:vAlign w:val="center"/>
                  <w:hideMark/>
                </w:tcPr>
                <w:p w14:paraId="728E6154"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04.01.00.Valsts pensiju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5B38C0CC"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7925AA41" w14:textId="77777777" w:rsidTr="003309D5">
              <w:trPr>
                <w:trHeight w:val="634"/>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339A7EC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Invaliditātes pensijas</w:t>
                  </w:r>
                </w:p>
              </w:tc>
              <w:tc>
                <w:tcPr>
                  <w:tcW w:w="1134" w:type="dxa"/>
                  <w:tcBorders>
                    <w:top w:val="nil"/>
                    <w:left w:val="nil"/>
                    <w:bottom w:val="single" w:sz="4" w:space="0" w:color="auto"/>
                    <w:right w:val="single" w:sz="4" w:space="0" w:color="auto"/>
                  </w:tcBorders>
                  <w:shd w:val="clear" w:color="auto" w:fill="auto"/>
                  <w:noWrap/>
                  <w:vAlign w:val="center"/>
                  <w:hideMark/>
                </w:tcPr>
                <w:p w14:paraId="48FDA1D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363B8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4C975B8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9F129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45 201</w:t>
                  </w:r>
                </w:p>
              </w:tc>
              <w:tc>
                <w:tcPr>
                  <w:tcW w:w="992" w:type="dxa"/>
                  <w:tcBorders>
                    <w:top w:val="nil"/>
                    <w:left w:val="nil"/>
                    <w:bottom w:val="single" w:sz="4" w:space="0" w:color="auto"/>
                    <w:right w:val="single" w:sz="4" w:space="0" w:color="auto"/>
                  </w:tcBorders>
                  <w:shd w:val="clear" w:color="auto" w:fill="auto"/>
                  <w:noWrap/>
                  <w:vAlign w:val="center"/>
                  <w:hideMark/>
                </w:tcPr>
                <w:p w14:paraId="229864A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19.98</w:t>
                  </w:r>
                </w:p>
              </w:tc>
              <w:tc>
                <w:tcPr>
                  <w:tcW w:w="1276" w:type="dxa"/>
                  <w:tcBorders>
                    <w:top w:val="nil"/>
                    <w:left w:val="nil"/>
                    <w:bottom w:val="single" w:sz="4" w:space="0" w:color="auto"/>
                    <w:right w:val="single" w:sz="4" w:space="0" w:color="auto"/>
                  </w:tcBorders>
                  <w:shd w:val="clear" w:color="000000" w:fill="D9D9D9"/>
                  <w:noWrap/>
                  <w:vAlign w:val="center"/>
                  <w:hideMark/>
                </w:tcPr>
                <w:p w14:paraId="4B5A069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10 835 709</w:t>
                  </w:r>
                </w:p>
              </w:tc>
              <w:tc>
                <w:tcPr>
                  <w:tcW w:w="850" w:type="dxa"/>
                  <w:tcBorders>
                    <w:top w:val="nil"/>
                    <w:left w:val="nil"/>
                    <w:bottom w:val="single" w:sz="4" w:space="0" w:color="auto"/>
                    <w:right w:val="single" w:sz="4" w:space="0" w:color="auto"/>
                  </w:tcBorders>
                  <w:shd w:val="clear" w:color="auto" w:fill="auto"/>
                  <w:noWrap/>
                  <w:vAlign w:val="center"/>
                  <w:hideMark/>
                </w:tcPr>
                <w:p w14:paraId="57BB202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45 201</w:t>
                  </w:r>
                </w:p>
              </w:tc>
              <w:tc>
                <w:tcPr>
                  <w:tcW w:w="992" w:type="dxa"/>
                  <w:tcBorders>
                    <w:top w:val="nil"/>
                    <w:left w:val="nil"/>
                    <w:bottom w:val="single" w:sz="4" w:space="0" w:color="auto"/>
                    <w:right w:val="single" w:sz="4" w:space="0" w:color="auto"/>
                  </w:tcBorders>
                  <w:shd w:val="clear" w:color="auto" w:fill="auto"/>
                  <w:noWrap/>
                  <w:vAlign w:val="center"/>
                  <w:hideMark/>
                </w:tcPr>
                <w:p w14:paraId="40CE31F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27.10</w:t>
                  </w:r>
                </w:p>
              </w:tc>
              <w:tc>
                <w:tcPr>
                  <w:tcW w:w="1335" w:type="dxa"/>
                  <w:tcBorders>
                    <w:top w:val="nil"/>
                    <w:left w:val="nil"/>
                    <w:bottom w:val="single" w:sz="4" w:space="0" w:color="auto"/>
                    <w:right w:val="single" w:sz="4" w:space="0" w:color="auto"/>
                  </w:tcBorders>
                  <w:shd w:val="clear" w:color="000000" w:fill="D9D9D9"/>
                  <w:noWrap/>
                  <w:vAlign w:val="center"/>
                  <w:hideMark/>
                </w:tcPr>
                <w:p w14:paraId="415FC5D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14 702 038</w:t>
                  </w:r>
                </w:p>
              </w:tc>
              <w:tc>
                <w:tcPr>
                  <w:tcW w:w="1500" w:type="dxa"/>
                  <w:tcBorders>
                    <w:top w:val="nil"/>
                    <w:left w:val="nil"/>
                    <w:bottom w:val="single" w:sz="4" w:space="0" w:color="auto"/>
                    <w:right w:val="single" w:sz="4" w:space="0" w:color="auto"/>
                  </w:tcBorders>
                  <w:shd w:val="clear" w:color="auto" w:fill="auto"/>
                  <w:vAlign w:val="center"/>
                  <w:hideMark/>
                </w:tcPr>
                <w:p w14:paraId="1235C5A4"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04.04.00. Invaliditātes, maternitātes un slimības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3EBD3B6"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07251766" w14:textId="77777777" w:rsidTr="003309D5">
              <w:trPr>
                <w:trHeight w:val="56"/>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3501883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Pabalsts pārdzīvojušajam laulātajam (invaliditātes pensijas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16D3383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1F689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0FFC834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4548D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215</w:t>
                  </w:r>
                </w:p>
              </w:tc>
              <w:tc>
                <w:tcPr>
                  <w:tcW w:w="992" w:type="dxa"/>
                  <w:tcBorders>
                    <w:top w:val="nil"/>
                    <w:left w:val="nil"/>
                    <w:bottom w:val="single" w:sz="4" w:space="0" w:color="auto"/>
                    <w:right w:val="single" w:sz="4" w:space="0" w:color="auto"/>
                  </w:tcBorders>
                  <w:shd w:val="clear" w:color="auto" w:fill="auto"/>
                  <w:noWrap/>
                  <w:vAlign w:val="center"/>
                  <w:hideMark/>
                </w:tcPr>
                <w:p w14:paraId="2E08E26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9.99</w:t>
                  </w:r>
                </w:p>
              </w:tc>
              <w:tc>
                <w:tcPr>
                  <w:tcW w:w="1276" w:type="dxa"/>
                  <w:tcBorders>
                    <w:top w:val="nil"/>
                    <w:left w:val="nil"/>
                    <w:bottom w:val="single" w:sz="4" w:space="0" w:color="auto"/>
                    <w:right w:val="single" w:sz="4" w:space="0" w:color="auto"/>
                  </w:tcBorders>
                  <w:shd w:val="clear" w:color="000000" w:fill="D9D9D9"/>
                  <w:noWrap/>
                  <w:vAlign w:val="center"/>
                  <w:hideMark/>
                </w:tcPr>
                <w:p w14:paraId="25E1A7D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25 774</w:t>
                  </w:r>
                </w:p>
              </w:tc>
              <w:tc>
                <w:tcPr>
                  <w:tcW w:w="850" w:type="dxa"/>
                  <w:tcBorders>
                    <w:top w:val="nil"/>
                    <w:left w:val="nil"/>
                    <w:bottom w:val="single" w:sz="4" w:space="0" w:color="auto"/>
                    <w:right w:val="single" w:sz="4" w:space="0" w:color="auto"/>
                  </w:tcBorders>
                  <w:shd w:val="clear" w:color="auto" w:fill="auto"/>
                  <w:noWrap/>
                  <w:vAlign w:val="center"/>
                  <w:hideMark/>
                </w:tcPr>
                <w:p w14:paraId="5CF1901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215</w:t>
                  </w:r>
                </w:p>
              </w:tc>
              <w:tc>
                <w:tcPr>
                  <w:tcW w:w="992" w:type="dxa"/>
                  <w:tcBorders>
                    <w:top w:val="nil"/>
                    <w:left w:val="nil"/>
                    <w:bottom w:val="single" w:sz="4" w:space="0" w:color="auto"/>
                    <w:right w:val="single" w:sz="4" w:space="0" w:color="auto"/>
                  </w:tcBorders>
                  <w:shd w:val="clear" w:color="auto" w:fill="auto"/>
                  <w:noWrap/>
                  <w:vAlign w:val="center"/>
                  <w:hideMark/>
                </w:tcPr>
                <w:p w14:paraId="3A31B52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13.55</w:t>
                  </w:r>
                </w:p>
              </w:tc>
              <w:tc>
                <w:tcPr>
                  <w:tcW w:w="1335" w:type="dxa"/>
                  <w:tcBorders>
                    <w:top w:val="nil"/>
                    <w:left w:val="nil"/>
                    <w:bottom w:val="single" w:sz="4" w:space="0" w:color="auto"/>
                    <w:right w:val="single" w:sz="4" w:space="0" w:color="auto"/>
                  </w:tcBorders>
                  <w:shd w:val="clear" w:color="000000" w:fill="D9D9D9"/>
                  <w:noWrap/>
                  <w:vAlign w:val="center"/>
                  <w:hideMark/>
                </w:tcPr>
                <w:p w14:paraId="1FFF30C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34 959</w:t>
                  </w:r>
                </w:p>
              </w:tc>
              <w:tc>
                <w:tcPr>
                  <w:tcW w:w="1500" w:type="dxa"/>
                  <w:tcBorders>
                    <w:top w:val="nil"/>
                    <w:left w:val="nil"/>
                    <w:bottom w:val="single" w:sz="4" w:space="0" w:color="auto"/>
                    <w:right w:val="single" w:sz="4" w:space="0" w:color="auto"/>
                  </w:tcBorders>
                  <w:shd w:val="clear" w:color="auto" w:fill="auto"/>
                  <w:vAlign w:val="center"/>
                  <w:hideMark/>
                </w:tcPr>
                <w:p w14:paraId="1BFED7BA"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04.04.00. Invaliditātes, maternitātes un slimības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1AA6AC1A"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4A9BDAB5" w14:textId="77777777" w:rsidTr="003309D5">
              <w:trPr>
                <w:trHeight w:val="751"/>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34FF4F2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VSNP noteikto vecumu sasniegušajiem</w:t>
                  </w:r>
                </w:p>
              </w:tc>
              <w:tc>
                <w:tcPr>
                  <w:tcW w:w="1134" w:type="dxa"/>
                  <w:tcBorders>
                    <w:top w:val="nil"/>
                    <w:left w:val="nil"/>
                    <w:bottom w:val="single" w:sz="4" w:space="0" w:color="auto"/>
                    <w:right w:val="single" w:sz="4" w:space="0" w:color="auto"/>
                  </w:tcBorders>
                  <w:shd w:val="clear" w:color="auto" w:fill="auto"/>
                  <w:noWrap/>
                  <w:vAlign w:val="center"/>
                  <w:hideMark/>
                </w:tcPr>
                <w:p w14:paraId="418BDC9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D995AE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6F411A8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A4436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1718</w:t>
                  </w:r>
                </w:p>
              </w:tc>
              <w:tc>
                <w:tcPr>
                  <w:tcW w:w="992" w:type="dxa"/>
                  <w:tcBorders>
                    <w:top w:val="nil"/>
                    <w:left w:val="nil"/>
                    <w:bottom w:val="single" w:sz="4" w:space="0" w:color="auto"/>
                    <w:right w:val="single" w:sz="4" w:space="0" w:color="auto"/>
                  </w:tcBorders>
                  <w:shd w:val="clear" w:color="auto" w:fill="auto"/>
                  <w:noWrap/>
                  <w:vAlign w:val="center"/>
                  <w:hideMark/>
                </w:tcPr>
                <w:p w14:paraId="4BBA987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13.00</w:t>
                  </w:r>
                </w:p>
              </w:tc>
              <w:tc>
                <w:tcPr>
                  <w:tcW w:w="1276" w:type="dxa"/>
                  <w:tcBorders>
                    <w:top w:val="nil"/>
                    <w:left w:val="nil"/>
                    <w:bottom w:val="single" w:sz="4" w:space="0" w:color="auto"/>
                    <w:right w:val="single" w:sz="4" w:space="0" w:color="auto"/>
                  </w:tcBorders>
                  <w:shd w:val="clear" w:color="000000" w:fill="D9D9D9"/>
                  <w:noWrap/>
                  <w:vAlign w:val="center"/>
                  <w:hideMark/>
                </w:tcPr>
                <w:p w14:paraId="5077E31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268 008</w:t>
                  </w:r>
                </w:p>
              </w:tc>
              <w:tc>
                <w:tcPr>
                  <w:tcW w:w="850" w:type="dxa"/>
                  <w:tcBorders>
                    <w:top w:val="nil"/>
                    <w:left w:val="nil"/>
                    <w:bottom w:val="single" w:sz="4" w:space="0" w:color="auto"/>
                    <w:right w:val="single" w:sz="4" w:space="0" w:color="auto"/>
                  </w:tcBorders>
                  <w:shd w:val="clear" w:color="auto" w:fill="auto"/>
                  <w:noWrap/>
                  <w:vAlign w:val="center"/>
                  <w:hideMark/>
                </w:tcPr>
                <w:p w14:paraId="2250161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1718</w:t>
                  </w:r>
                </w:p>
              </w:tc>
              <w:tc>
                <w:tcPr>
                  <w:tcW w:w="992" w:type="dxa"/>
                  <w:tcBorders>
                    <w:top w:val="nil"/>
                    <w:left w:val="nil"/>
                    <w:bottom w:val="single" w:sz="4" w:space="0" w:color="auto"/>
                    <w:right w:val="single" w:sz="4" w:space="0" w:color="auto"/>
                  </w:tcBorders>
                  <w:shd w:val="clear" w:color="auto" w:fill="auto"/>
                  <w:noWrap/>
                  <w:vAlign w:val="center"/>
                  <w:hideMark/>
                </w:tcPr>
                <w:p w14:paraId="756B57C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20.00</w:t>
                  </w:r>
                </w:p>
              </w:tc>
              <w:tc>
                <w:tcPr>
                  <w:tcW w:w="1335" w:type="dxa"/>
                  <w:tcBorders>
                    <w:top w:val="nil"/>
                    <w:left w:val="nil"/>
                    <w:bottom w:val="single" w:sz="4" w:space="0" w:color="auto"/>
                    <w:right w:val="single" w:sz="4" w:space="0" w:color="auto"/>
                  </w:tcBorders>
                  <w:shd w:val="clear" w:color="000000" w:fill="D9D9D9"/>
                  <w:noWrap/>
                  <w:vAlign w:val="center"/>
                  <w:hideMark/>
                </w:tcPr>
                <w:p w14:paraId="3214343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412 320</w:t>
                  </w:r>
                </w:p>
              </w:tc>
              <w:tc>
                <w:tcPr>
                  <w:tcW w:w="1500" w:type="dxa"/>
                  <w:tcBorders>
                    <w:top w:val="nil"/>
                    <w:left w:val="nil"/>
                    <w:bottom w:val="single" w:sz="4" w:space="0" w:color="auto"/>
                    <w:right w:val="single" w:sz="4" w:space="0" w:color="auto"/>
                  </w:tcBorders>
                  <w:shd w:val="clear" w:color="auto" w:fill="auto"/>
                  <w:vAlign w:val="center"/>
                  <w:hideMark/>
                </w:tcPr>
                <w:p w14:paraId="4C239BE9"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0D211E80"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r>
            <w:tr w:rsidR="000A660F" w:rsidRPr="00933E21" w14:paraId="203BB567" w14:textId="77777777" w:rsidTr="003309D5">
              <w:trPr>
                <w:trHeight w:val="398"/>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5822332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Apbedīšanas pabalsts VSNP saņēmēja nāves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33118AD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307C62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C4A7A0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7039060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44</w:t>
                  </w:r>
                </w:p>
              </w:tc>
              <w:tc>
                <w:tcPr>
                  <w:tcW w:w="992" w:type="dxa"/>
                  <w:tcBorders>
                    <w:top w:val="nil"/>
                    <w:left w:val="nil"/>
                    <w:bottom w:val="single" w:sz="4" w:space="0" w:color="auto"/>
                    <w:right w:val="single" w:sz="4" w:space="0" w:color="auto"/>
                  </w:tcBorders>
                  <w:shd w:val="clear" w:color="auto" w:fill="auto"/>
                  <w:noWrap/>
                  <w:vAlign w:val="center"/>
                  <w:hideMark/>
                </w:tcPr>
                <w:p w14:paraId="56AA564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40.57</w:t>
                  </w:r>
                </w:p>
              </w:tc>
              <w:tc>
                <w:tcPr>
                  <w:tcW w:w="1276" w:type="dxa"/>
                  <w:tcBorders>
                    <w:top w:val="nil"/>
                    <w:left w:val="nil"/>
                    <w:bottom w:val="single" w:sz="4" w:space="0" w:color="auto"/>
                    <w:right w:val="single" w:sz="4" w:space="0" w:color="auto"/>
                  </w:tcBorders>
                  <w:shd w:val="clear" w:color="000000" w:fill="D9D9D9"/>
                  <w:noWrap/>
                  <w:vAlign w:val="center"/>
                  <w:hideMark/>
                </w:tcPr>
                <w:p w14:paraId="5FBC99C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21 421</w:t>
                  </w:r>
                </w:p>
              </w:tc>
              <w:tc>
                <w:tcPr>
                  <w:tcW w:w="850" w:type="dxa"/>
                  <w:tcBorders>
                    <w:top w:val="nil"/>
                    <w:left w:val="nil"/>
                    <w:bottom w:val="single" w:sz="4" w:space="0" w:color="auto"/>
                    <w:right w:val="single" w:sz="4" w:space="0" w:color="auto"/>
                  </w:tcBorders>
                  <w:shd w:val="clear" w:color="auto" w:fill="auto"/>
                  <w:noWrap/>
                  <w:vAlign w:val="center"/>
                  <w:hideMark/>
                </w:tcPr>
                <w:p w14:paraId="6163C1F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44</w:t>
                  </w:r>
                </w:p>
              </w:tc>
              <w:tc>
                <w:tcPr>
                  <w:tcW w:w="992" w:type="dxa"/>
                  <w:tcBorders>
                    <w:top w:val="nil"/>
                    <w:left w:val="nil"/>
                    <w:bottom w:val="single" w:sz="4" w:space="0" w:color="auto"/>
                    <w:right w:val="single" w:sz="4" w:space="0" w:color="auto"/>
                  </w:tcBorders>
                  <w:shd w:val="clear" w:color="auto" w:fill="auto"/>
                  <w:noWrap/>
                  <w:vAlign w:val="center"/>
                  <w:hideMark/>
                </w:tcPr>
                <w:p w14:paraId="4B15827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57.05</w:t>
                  </w:r>
                </w:p>
              </w:tc>
              <w:tc>
                <w:tcPr>
                  <w:tcW w:w="1335" w:type="dxa"/>
                  <w:tcBorders>
                    <w:top w:val="nil"/>
                    <w:left w:val="nil"/>
                    <w:bottom w:val="single" w:sz="4" w:space="0" w:color="auto"/>
                    <w:right w:val="single" w:sz="4" w:space="0" w:color="auto"/>
                  </w:tcBorders>
                  <w:shd w:val="clear" w:color="000000" w:fill="D9D9D9"/>
                  <w:noWrap/>
                  <w:vAlign w:val="center"/>
                  <w:hideMark/>
                </w:tcPr>
                <w:p w14:paraId="133BDA1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30 122</w:t>
                  </w:r>
                </w:p>
              </w:tc>
              <w:tc>
                <w:tcPr>
                  <w:tcW w:w="1500" w:type="dxa"/>
                  <w:tcBorders>
                    <w:top w:val="nil"/>
                    <w:left w:val="nil"/>
                    <w:bottom w:val="single" w:sz="4" w:space="0" w:color="auto"/>
                    <w:right w:val="single" w:sz="4" w:space="0" w:color="auto"/>
                  </w:tcBorders>
                  <w:shd w:val="clear" w:color="auto" w:fill="auto"/>
                  <w:vAlign w:val="center"/>
                  <w:hideMark/>
                </w:tcPr>
                <w:p w14:paraId="7A2B692B"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6E6E8044"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r>
            <w:tr w:rsidR="000A660F" w:rsidRPr="00933E21" w14:paraId="13E79105" w14:textId="77777777" w:rsidTr="003309D5">
              <w:trPr>
                <w:trHeight w:val="7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2DAAFE4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VSNP personām ar invaliditāti</w:t>
                  </w:r>
                </w:p>
              </w:tc>
              <w:tc>
                <w:tcPr>
                  <w:tcW w:w="1134" w:type="dxa"/>
                  <w:tcBorders>
                    <w:top w:val="nil"/>
                    <w:left w:val="nil"/>
                    <w:bottom w:val="single" w:sz="4" w:space="0" w:color="auto"/>
                    <w:right w:val="single" w:sz="4" w:space="0" w:color="auto"/>
                  </w:tcBorders>
                  <w:shd w:val="clear" w:color="auto" w:fill="auto"/>
                  <w:noWrap/>
                  <w:vAlign w:val="center"/>
                  <w:hideMark/>
                </w:tcPr>
                <w:p w14:paraId="13E96C5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EE262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573BDE7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D1A18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18 679</w:t>
                  </w:r>
                </w:p>
              </w:tc>
              <w:tc>
                <w:tcPr>
                  <w:tcW w:w="992" w:type="dxa"/>
                  <w:tcBorders>
                    <w:top w:val="nil"/>
                    <w:left w:val="nil"/>
                    <w:bottom w:val="single" w:sz="4" w:space="0" w:color="auto"/>
                    <w:right w:val="single" w:sz="4" w:space="0" w:color="auto"/>
                  </w:tcBorders>
                  <w:shd w:val="clear" w:color="auto" w:fill="auto"/>
                  <w:noWrap/>
                  <w:vAlign w:val="center"/>
                  <w:hideMark/>
                </w:tcPr>
                <w:p w14:paraId="3B2F1B1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20.96</w:t>
                  </w:r>
                </w:p>
              </w:tc>
              <w:tc>
                <w:tcPr>
                  <w:tcW w:w="1276" w:type="dxa"/>
                  <w:tcBorders>
                    <w:top w:val="nil"/>
                    <w:left w:val="nil"/>
                    <w:bottom w:val="single" w:sz="4" w:space="0" w:color="auto"/>
                    <w:right w:val="single" w:sz="4" w:space="0" w:color="auto"/>
                  </w:tcBorders>
                  <w:shd w:val="clear" w:color="000000" w:fill="D9D9D9"/>
                  <w:noWrap/>
                  <w:vAlign w:val="center"/>
                  <w:hideMark/>
                </w:tcPr>
                <w:p w14:paraId="192E8FF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4 698 855</w:t>
                  </w:r>
                </w:p>
              </w:tc>
              <w:tc>
                <w:tcPr>
                  <w:tcW w:w="850" w:type="dxa"/>
                  <w:tcBorders>
                    <w:top w:val="nil"/>
                    <w:left w:val="nil"/>
                    <w:bottom w:val="single" w:sz="4" w:space="0" w:color="auto"/>
                    <w:right w:val="single" w:sz="4" w:space="0" w:color="auto"/>
                  </w:tcBorders>
                  <w:shd w:val="clear" w:color="auto" w:fill="auto"/>
                  <w:noWrap/>
                  <w:vAlign w:val="center"/>
                  <w:hideMark/>
                </w:tcPr>
                <w:p w14:paraId="2A564F2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18 679</w:t>
                  </w:r>
                </w:p>
              </w:tc>
              <w:tc>
                <w:tcPr>
                  <w:tcW w:w="992" w:type="dxa"/>
                  <w:tcBorders>
                    <w:top w:val="nil"/>
                    <w:left w:val="nil"/>
                    <w:bottom w:val="single" w:sz="4" w:space="0" w:color="auto"/>
                    <w:right w:val="single" w:sz="4" w:space="0" w:color="auto"/>
                  </w:tcBorders>
                  <w:shd w:val="clear" w:color="auto" w:fill="auto"/>
                  <w:noWrap/>
                  <w:vAlign w:val="center"/>
                  <w:hideMark/>
                </w:tcPr>
                <w:p w14:paraId="4C26484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29.33</w:t>
                  </w:r>
                </w:p>
              </w:tc>
              <w:tc>
                <w:tcPr>
                  <w:tcW w:w="1335" w:type="dxa"/>
                  <w:tcBorders>
                    <w:top w:val="nil"/>
                    <w:left w:val="nil"/>
                    <w:bottom w:val="single" w:sz="4" w:space="0" w:color="auto"/>
                    <w:right w:val="single" w:sz="4" w:space="0" w:color="auto"/>
                  </w:tcBorders>
                  <w:shd w:val="clear" w:color="000000" w:fill="D9D9D9"/>
                  <w:noWrap/>
                  <w:vAlign w:val="center"/>
                  <w:hideMark/>
                </w:tcPr>
                <w:p w14:paraId="73AFBAD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6 573 977</w:t>
                  </w:r>
                </w:p>
              </w:tc>
              <w:tc>
                <w:tcPr>
                  <w:tcW w:w="1500" w:type="dxa"/>
                  <w:tcBorders>
                    <w:top w:val="nil"/>
                    <w:left w:val="nil"/>
                    <w:bottom w:val="single" w:sz="4" w:space="0" w:color="auto"/>
                    <w:right w:val="single" w:sz="4" w:space="0" w:color="auto"/>
                  </w:tcBorders>
                  <w:shd w:val="clear" w:color="auto" w:fill="auto"/>
                  <w:vAlign w:val="center"/>
                  <w:hideMark/>
                </w:tcPr>
                <w:p w14:paraId="379F84ED"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7DBB4233"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r>
            <w:tr w:rsidR="000A660F" w:rsidRPr="00933E21" w14:paraId="258BF3CF" w14:textId="77777777" w:rsidTr="003309D5">
              <w:trPr>
                <w:trHeight w:val="777"/>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35B3354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Apbedīšanas pabalsts bezdarbnieka nāves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370F8AB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49182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1302DD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5B684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4DBB1C3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39.00</w:t>
                  </w:r>
                </w:p>
              </w:tc>
              <w:tc>
                <w:tcPr>
                  <w:tcW w:w="1276" w:type="dxa"/>
                  <w:tcBorders>
                    <w:top w:val="nil"/>
                    <w:left w:val="nil"/>
                    <w:bottom w:val="single" w:sz="4" w:space="0" w:color="auto"/>
                    <w:right w:val="single" w:sz="4" w:space="0" w:color="auto"/>
                  </w:tcBorders>
                  <w:shd w:val="clear" w:color="000000" w:fill="D9D9D9"/>
                  <w:noWrap/>
                  <w:vAlign w:val="center"/>
                  <w:hideMark/>
                </w:tcPr>
                <w:p w14:paraId="1E374AD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5 616</w:t>
                  </w:r>
                </w:p>
              </w:tc>
              <w:tc>
                <w:tcPr>
                  <w:tcW w:w="850" w:type="dxa"/>
                  <w:tcBorders>
                    <w:top w:val="nil"/>
                    <w:left w:val="nil"/>
                    <w:bottom w:val="single" w:sz="4" w:space="0" w:color="auto"/>
                    <w:right w:val="single" w:sz="4" w:space="0" w:color="auto"/>
                  </w:tcBorders>
                  <w:shd w:val="clear" w:color="auto" w:fill="auto"/>
                  <w:noWrap/>
                  <w:vAlign w:val="center"/>
                  <w:hideMark/>
                </w:tcPr>
                <w:p w14:paraId="4A3E296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4DC79A2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60.00</w:t>
                  </w:r>
                </w:p>
              </w:tc>
              <w:tc>
                <w:tcPr>
                  <w:tcW w:w="1335" w:type="dxa"/>
                  <w:tcBorders>
                    <w:top w:val="nil"/>
                    <w:left w:val="nil"/>
                    <w:bottom w:val="single" w:sz="4" w:space="0" w:color="auto"/>
                    <w:right w:val="single" w:sz="4" w:space="0" w:color="auto"/>
                  </w:tcBorders>
                  <w:shd w:val="clear" w:color="000000" w:fill="D9D9D9"/>
                  <w:noWrap/>
                  <w:vAlign w:val="center"/>
                  <w:hideMark/>
                </w:tcPr>
                <w:p w14:paraId="7D71B16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8 640</w:t>
                  </w:r>
                </w:p>
              </w:tc>
              <w:tc>
                <w:tcPr>
                  <w:tcW w:w="1500" w:type="dxa"/>
                  <w:tcBorders>
                    <w:top w:val="nil"/>
                    <w:left w:val="nil"/>
                    <w:bottom w:val="single" w:sz="4" w:space="0" w:color="auto"/>
                    <w:right w:val="single" w:sz="4" w:space="0" w:color="auto"/>
                  </w:tcBorders>
                  <w:shd w:val="clear" w:color="auto" w:fill="auto"/>
                  <w:vAlign w:val="center"/>
                  <w:hideMark/>
                </w:tcPr>
                <w:p w14:paraId="0DB03B41"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04.02.00. Nodarbinātības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CDDD6F3"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0879241B" w14:textId="77777777" w:rsidTr="003309D5">
              <w:trPr>
                <w:trHeight w:val="7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0515034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Bezdarbnieka pabalsts</w:t>
                  </w:r>
                </w:p>
              </w:tc>
              <w:tc>
                <w:tcPr>
                  <w:tcW w:w="1134" w:type="dxa"/>
                  <w:tcBorders>
                    <w:top w:val="nil"/>
                    <w:left w:val="nil"/>
                    <w:bottom w:val="single" w:sz="4" w:space="0" w:color="auto"/>
                    <w:right w:val="single" w:sz="4" w:space="0" w:color="auto"/>
                  </w:tcBorders>
                  <w:shd w:val="clear" w:color="auto" w:fill="auto"/>
                  <w:noWrap/>
                  <w:vAlign w:val="center"/>
                  <w:hideMark/>
                </w:tcPr>
                <w:p w14:paraId="122B5B5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45ADF7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4D3B6BB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A007A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344</w:t>
                  </w:r>
                </w:p>
              </w:tc>
              <w:tc>
                <w:tcPr>
                  <w:tcW w:w="992" w:type="dxa"/>
                  <w:tcBorders>
                    <w:top w:val="nil"/>
                    <w:left w:val="nil"/>
                    <w:bottom w:val="single" w:sz="4" w:space="0" w:color="auto"/>
                    <w:right w:val="single" w:sz="4" w:space="0" w:color="auto"/>
                  </w:tcBorders>
                  <w:shd w:val="clear" w:color="auto" w:fill="auto"/>
                  <w:noWrap/>
                  <w:vAlign w:val="center"/>
                  <w:hideMark/>
                </w:tcPr>
                <w:p w14:paraId="45523FA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10.64</w:t>
                  </w:r>
                </w:p>
              </w:tc>
              <w:tc>
                <w:tcPr>
                  <w:tcW w:w="1276" w:type="dxa"/>
                  <w:tcBorders>
                    <w:top w:val="nil"/>
                    <w:left w:val="nil"/>
                    <w:bottom w:val="single" w:sz="4" w:space="0" w:color="auto"/>
                    <w:right w:val="single" w:sz="4" w:space="0" w:color="auto"/>
                  </w:tcBorders>
                  <w:shd w:val="clear" w:color="000000" w:fill="D9D9D9"/>
                  <w:noWrap/>
                  <w:vAlign w:val="center"/>
                  <w:hideMark/>
                </w:tcPr>
                <w:p w14:paraId="7F6197B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43 922</w:t>
                  </w:r>
                </w:p>
              </w:tc>
              <w:tc>
                <w:tcPr>
                  <w:tcW w:w="850" w:type="dxa"/>
                  <w:tcBorders>
                    <w:top w:val="nil"/>
                    <w:left w:val="nil"/>
                    <w:bottom w:val="single" w:sz="4" w:space="0" w:color="auto"/>
                    <w:right w:val="single" w:sz="4" w:space="0" w:color="auto"/>
                  </w:tcBorders>
                  <w:shd w:val="clear" w:color="auto" w:fill="auto"/>
                  <w:noWrap/>
                  <w:vAlign w:val="center"/>
                  <w:hideMark/>
                </w:tcPr>
                <w:p w14:paraId="5E05B5A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344</w:t>
                  </w:r>
                </w:p>
              </w:tc>
              <w:tc>
                <w:tcPr>
                  <w:tcW w:w="992" w:type="dxa"/>
                  <w:tcBorders>
                    <w:top w:val="nil"/>
                    <w:left w:val="nil"/>
                    <w:bottom w:val="single" w:sz="4" w:space="0" w:color="auto"/>
                    <w:right w:val="single" w:sz="4" w:space="0" w:color="auto"/>
                  </w:tcBorders>
                  <w:shd w:val="clear" w:color="auto" w:fill="auto"/>
                  <w:noWrap/>
                  <w:vAlign w:val="center"/>
                  <w:hideMark/>
                </w:tcPr>
                <w:p w14:paraId="1C16727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16.37</w:t>
                  </w:r>
                </w:p>
              </w:tc>
              <w:tc>
                <w:tcPr>
                  <w:tcW w:w="1335" w:type="dxa"/>
                  <w:tcBorders>
                    <w:top w:val="nil"/>
                    <w:left w:val="nil"/>
                    <w:bottom w:val="single" w:sz="4" w:space="0" w:color="auto"/>
                    <w:right w:val="single" w:sz="4" w:space="0" w:color="auto"/>
                  </w:tcBorders>
                  <w:shd w:val="clear" w:color="000000" w:fill="D9D9D9"/>
                  <w:noWrap/>
                  <w:vAlign w:val="center"/>
                  <w:hideMark/>
                </w:tcPr>
                <w:p w14:paraId="24319B1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67 575</w:t>
                  </w:r>
                </w:p>
              </w:tc>
              <w:tc>
                <w:tcPr>
                  <w:tcW w:w="1500" w:type="dxa"/>
                  <w:tcBorders>
                    <w:top w:val="nil"/>
                    <w:left w:val="nil"/>
                    <w:bottom w:val="single" w:sz="4" w:space="0" w:color="auto"/>
                    <w:right w:val="single" w:sz="4" w:space="0" w:color="auto"/>
                  </w:tcBorders>
                  <w:shd w:val="clear" w:color="auto" w:fill="auto"/>
                  <w:vAlign w:val="center"/>
                  <w:hideMark/>
                </w:tcPr>
                <w:p w14:paraId="1E18929C"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04.02.00. Nodarbinātības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2FBD33CE"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39CCD82E" w14:textId="77777777" w:rsidTr="003309D5">
              <w:trPr>
                <w:trHeight w:val="7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2A6AD11D" w14:textId="3DA5328D" w:rsidR="000A660F" w:rsidRPr="002F5BD9" w:rsidRDefault="00B14714" w:rsidP="00B14714">
                  <w:pPr>
                    <w:spacing w:after="0" w:line="240" w:lineRule="auto"/>
                    <w:jc w:val="center"/>
                    <w:rPr>
                      <w:rFonts w:eastAsia="Times New Roman" w:cs="Times New Roman"/>
                      <w:sz w:val="18"/>
                      <w:szCs w:val="18"/>
                      <w:lang w:eastAsia="lv-LV"/>
                    </w:rPr>
                  </w:pPr>
                  <w:r>
                    <w:rPr>
                      <w:rFonts w:eastAsia="Times New Roman" w:cs="Times New Roman"/>
                      <w:sz w:val="18"/>
                      <w:szCs w:val="18"/>
                      <w:lang w:eastAsia="lv-LV"/>
                    </w:rPr>
                    <w:t>Iemaksas</w:t>
                  </w:r>
                  <w:r w:rsidR="000A660F" w:rsidRPr="002F5BD9">
                    <w:rPr>
                      <w:rFonts w:eastAsia="Times New Roman" w:cs="Times New Roman"/>
                      <w:sz w:val="18"/>
                      <w:szCs w:val="18"/>
                      <w:lang w:eastAsia="lv-LV"/>
                    </w:rPr>
                    <w:t xml:space="preserve"> pensiju apdrošināšanai (20%) par bezdarbnieka pab</w:t>
                  </w:r>
                  <w:r>
                    <w:rPr>
                      <w:rFonts w:eastAsia="Times New Roman" w:cs="Times New Roman"/>
                      <w:sz w:val="18"/>
                      <w:szCs w:val="18"/>
                      <w:lang w:eastAsia="lv-LV"/>
                    </w:rPr>
                    <w:t xml:space="preserve">alsta </w:t>
                  </w:r>
                  <w:r w:rsidR="000A660F" w:rsidRPr="002F5BD9">
                    <w:rPr>
                      <w:rFonts w:eastAsia="Times New Roman" w:cs="Times New Roman"/>
                      <w:sz w:val="18"/>
                      <w:szCs w:val="18"/>
                      <w:lang w:eastAsia="lv-LV"/>
                    </w:rPr>
                    <w:t>saņēmējiem</w:t>
                  </w:r>
                </w:p>
              </w:tc>
              <w:tc>
                <w:tcPr>
                  <w:tcW w:w="1134" w:type="dxa"/>
                  <w:tcBorders>
                    <w:top w:val="nil"/>
                    <w:left w:val="nil"/>
                    <w:bottom w:val="single" w:sz="4" w:space="0" w:color="auto"/>
                    <w:right w:val="single" w:sz="4" w:space="0" w:color="auto"/>
                  </w:tcBorders>
                  <w:shd w:val="clear" w:color="auto" w:fill="auto"/>
                  <w:noWrap/>
                  <w:vAlign w:val="center"/>
                  <w:hideMark/>
                </w:tcPr>
                <w:p w14:paraId="5EE50CF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2E575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50DA4E2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61F4C69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344</w:t>
                  </w:r>
                </w:p>
              </w:tc>
              <w:tc>
                <w:tcPr>
                  <w:tcW w:w="992" w:type="dxa"/>
                  <w:tcBorders>
                    <w:top w:val="nil"/>
                    <w:left w:val="nil"/>
                    <w:bottom w:val="single" w:sz="4" w:space="0" w:color="auto"/>
                    <w:right w:val="single" w:sz="4" w:space="0" w:color="auto"/>
                  </w:tcBorders>
                  <w:shd w:val="clear" w:color="auto" w:fill="auto"/>
                  <w:noWrap/>
                  <w:vAlign w:val="center"/>
                  <w:hideMark/>
                </w:tcPr>
                <w:p w14:paraId="0673974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2.13</w:t>
                  </w:r>
                </w:p>
              </w:tc>
              <w:tc>
                <w:tcPr>
                  <w:tcW w:w="1276" w:type="dxa"/>
                  <w:tcBorders>
                    <w:top w:val="nil"/>
                    <w:left w:val="nil"/>
                    <w:bottom w:val="single" w:sz="4" w:space="0" w:color="auto"/>
                    <w:right w:val="single" w:sz="4" w:space="0" w:color="auto"/>
                  </w:tcBorders>
                  <w:shd w:val="clear" w:color="000000" w:fill="D9D9D9"/>
                  <w:noWrap/>
                  <w:vAlign w:val="center"/>
                  <w:hideMark/>
                </w:tcPr>
                <w:p w14:paraId="1B8035E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8 784</w:t>
                  </w:r>
                </w:p>
              </w:tc>
              <w:tc>
                <w:tcPr>
                  <w:tcW w:w="850" w:type="dxa"/>
                  <w:tcBorders>
                    <w:top w:val="nil"/>
                    <w:left w:val="nil"/>
                    <w:bottom w:val="single" w:sz="4" w:space="0" w:color="auto"/>
                    <w:right w:val="single" w:sz="4" w:space="0" w:color="auto"/>
                  </w:tcBorders>
                  <w:shd w:val="clear" w:color="auto" w:fill="auto"/>
                  <w:noWrap/>
                  <w:vAlign w:val="center"/>
                  <w:hideMark/>
                </w:tcPr>
                <w:p w14:paraId="20A072A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344</w:t>
                  </w:r>
                </w:p>
              </w:tc>
              <w:tc>
                <w:tcPr>
                  <w:tcW w:w="992" w:type="dxa"/>
                  <w:tcBorders>
                    <w:top w:val="nil"/>
                    <w:left w:val="nil"/>
                    <w:bottom w:val="single" w:sz="4" w:space="0" w:color="auto"/>
                    <w:right w:val="single" w:sz="4" w:space="0" w:color="auto"/>
                  </w:tcBorders>
                  <w:shd w:val="clear" w:color="auto" w:fill="auto"/>
                  <w:noWrap/>
                  <w:vAlign w:val="center"/>
                  <w:hideMark/>
                </w:tcPr>
                <w:p w14:paraId="465A353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3.27</w:t>
                  </w:r>
                </w:p>
              </w:tc>
              <w:tc>
                <w:tcPr>
                  <w:tcW w:w="1335" w:type="dxa"/>
                  <w:tcBorders>
                    <w:top w:val="nil"/>
                    <w:left w:val="nil"/>
                    <w:bottom w:val="single" w:sz="4" w:space="0" w:color="auto"/>
                    <w:right w:val="single" w:sz="4" w:space="0" w:color="auto"/>
                  </w:tcBorders>
                  <w:shd w:val="clear" w:color="000000" w:fill="D9D9D9"/>
                  <w:noWrap/>
                  <w:vAlign w:val="center"/>
                  <w:hideMark/>
                </w:tcPr>
                <w:p w14:paraId="0DB7AD8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13 515</w:t>
                  </w:r>
                </w:p>
              </w:tc>
              <w:tc>
                <w:tcPr>
                  <w:tcW w:w="1500" w:type="dxa"/>
                  <w:tcBorders>
                    <w:top w:val="nil"/>
                    <w:left w:val="nil"/>
                    <w:bottom w:val="single" w:sz="4" w:space="0" w:color="auto"/>
                    <w:right w:val="single" w:sz="4" w:space="0" w:color="auto"/>
                  </w:tcBorders>
                  <w:shd w:val="clear" w:color="auto" w:fill="auto"/>
                  <w:vAlign w:val="center"/>
                  <w:hideMark/>
                </w:tcPr>
                <w:p w14:paraId="5A892999"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04.02.00. Nodarbinātības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5B0DC1B3"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332F1B95" w14:textId="77777777" w:rsidTr="003309D5">
              <w:trPr>
                <w:trHeight w:val="478"/>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028E22A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Apdrošināšanas atlīdzību par darbspēju zaudējumu</w:t>
                  </w:r>
                </w:p>
              </w:tc>
              <w:tc>
                <w:tcPr>
                  <w:tcW w:w="1134" w:type="dxa"/>
                  <w:tcBorders>
                    <w:top w:val="nil"/>
                    <w:left w:val="nil"/>
                    <w:bottom w:val="single" w:sz="4" w:space="0" w:color="auto"/>
                    <w:right w:val="single" w:sz="4" w:space="0" w:color="auto"/>
                  </w:tcBorders>
                  <w:shd w:val="clear" w:color="auto" w:fill="auto"/>
                  <w:noWrap/>
                  <w:vAlign w:val="center"/>
                  <w:hideMark/>
                </w:tcPr>
                <w:p w14:paraId="21D2F34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CC73A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227E356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5ED442F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1 506</w:t>
                  </w:r>
                </w:p>
              </w:tc>
              <w:tc>
                <w:tcPr>
                  <w:tcW w:w="992" w:type="dxa"/>
                  <w:tcBorders>
                    <w:top w:val="nil"/>
                    <w:left w:val="nil"/>
                    <w:bottom w:val="single" w:sz="4" w:space="0" w:color="auto"/>
                    <w:right w:val="single" w:sz="4" w:space="0" w:color="auto"/>
                  </w:tcBorders>
                  <w:shd w:val="clear" w:color="auto" w:fill="auto"/>
                  <w:noWrap/>
                  <w:vAlign w:val="center"/>
                  <w:hideMark/>
                </w:tcPr>
                <w:p w14:paraId="101978D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17.89</w:t>
                  </w:r>
                </w:p>
              </w:tc>
              <w:tc>
                <w:tcPr>
                  <w:tcW w:w="1276" w:type="dxa"/>
                  <w:tcBorders>
                    <w:top w:val="nil"/>
                    <w:left w:val="nil"/>
                    <w:bottom w:val="single" w:sz="4" w:space="0" w:color="auto"/>
                    <w:right w:val="single" w:sz="4" w:space="0" w:color="auto"/>
                  </w:tcBorders>
                  <w:shd w:val="clear" w:color="000000" w:fill="D9D9D9"/>
                  <w:noWrap/>
                  <w:vAlign w:val="center"/>
                  <w:hideMark/>
                </w:tcPr>
                <w:p w14:paraId="3C3E712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323 258</w:t>
                  </w:r>
                </w:p>
              </w:tc>
              <w:tc>
                <w:tcPr>
                  <w:tcW w:w="850" w:type="dxa"/>
                  <w:tcBorders>
                    <w:top w:val="nil"/>
                    <w:left w:val="nil"/>
                    <w:bottom w:val="single" w:sz="4" w:space="0" w:color="auto"/>
                    <w:right w:val="single" w:sz="4" w:space="0" w:color="auto"/>
                  </w:tcBorders>
                  <w:shd w:val="clear" w:color="auto" w:fill="auto"/>
                  <w:noWrap/>
                  <w:vAlign w:val="center"/>
                  <w:hideMark/>
                </w:tcPr>
                <w:p w14:paraId="4288C2B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1 506</w:t>
                  </w:r>
                </w:p>
              </w:tc>
              <w:tc>
                <w:tcPr>
                  <w:tcW w:w="992" w:type="dxa"/>
                  <w:tcBorders>
                    <w:top w:val="nil"/>
                    <w:left w:val="nil"/>
                    <w:bottom w:val="single" w:sz="4" w:space="0" w:color="auto"/>
                    <w:right w:val="single" w:sz="4" w:space="0" w:color="auto"/>
                  </w:tcBorders>
                  <w:shd w:val="clear" w:color="auto" w:fill="auto"/>
                  <w:noWrap/>
                  <w:vAlign w:val="center"/>
                  <w:hideMark/>
                </w:tcPr>
                <w:p w14:paraId="13A2812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24.20</w:t>
                  </w:r>
                </w:p>
              </w:tc>
              <w:tc>
                <w:tcPr>
                  <w:tcW w:w="1335" w:type="dxa"/>
                  <w:tcBorders>
                    <w:top w:val="nil"/>
                    <w:left w:val="nil"/>
                    <w:bottom w:val="single" w:sz="4" w:space="0" w:color="auto"/>
                    <w:right w:val="single" w:sz="4" w:space="0" w:color="auto"/>
                  </w:tcBorders>
                  <w:shd w:val="clear" w:color="000000" w:fill="D9D9D9"/>
                  <w:noWrap/>
                  <w:vAlign w:val="center"/>
                  <w:hideMark/>
                </w:tcPr>
                <w:p w14:paraId="5C41A87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437 349</w:t>
                  </w:r>
                </w:p>
              </w:tc>
              <w:tc>
                <w:tcPr>
                  <w:tcW w:w="1500" w:type="dxa"/>
                  <w:tcBorders>
                    <w:top w:val="nil"/>
                    <w:left w:val="nil"/>
                    <w:bottom w:val="single" w:sz="4" w:space="0" w:color="auto"/>
                    <w:right w:val="single" w:sz="4" w:space="0" w:color="auto"/>
                  </w:tcBorders>
                  <w:shd w:val="clear" w:color="auto" w:fill="auto"/>
                  <w:vAlign w:val="center"/>
                  <w:hideMark/>
                </w:tcPr>
                <w:p w14:paraId="5DE9656D"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5DE4F245"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54DDC614" w14:textId="77777777" w:rsidTr="003309D5">
              <w:trPr>
                <w:trHeight w:val="127"/>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3141E6C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Atlīdzība par ārstēšanās izdevumiem</w:t>
                  </w:r>
                </w:p>
              </w:tc>
              <w:tc>
                <w:tcPr>
                  <w:tcW w:w="1134" w:type="dxa"/>
                  <w:tcBorders>
                    <w:top w:val="nil"/>
                    <w:left w:val="nil"/>
                    <w:bottom w:val="single" w:sz="4" w:space="0" w:color="auto"/>
                    <w:right w:val="single" w:sz="4" w:space="0" w:color="auto"/>
                  </w:tcBorders>
                  <w:shd w:val="clear" w:color="auto" w:fill="auto"/>
                  <w:noWrap/>
                  <w:vAlign w:val="center"/>
                  <w:hideMark/>
                </w:tcPr>
                <w:p w14:paraId="483FAE0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E04D3F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2A44306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0297F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w:t>
                  </w:r>
                </w:p>
              </w:tc>
              <w:tc>
                <w:tcPr>
                  <w:tcW w:w="992" w:type="dxa"/>
                  <w:tcBorders>
                    <w:top w:val="nil"/>
                    <w:left w:val="nil"/>
                    <w:bottom w:val="single" w:sz="4" w:space="0" w:color="auto"/>
                    <w:right w:val="single" w:sz="4" w:space="0" w:color="auto"/>
                  </w:tcBorders>
                  <w:shd w:val="clear" w:color="auto" w:fill="auto"/>
                  <w:noWrap/>
                  <w:vAlign w:val="center"/>
                  <w:hideMark/>
                </w:tcPr>
                <w:p w14:paraId="1F8BEA4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325.00</w:t>
                  </w:r>
                </w:p>
              </w:tc>
              <w:tc>
                <w:tcPr>
                  <w:tcW w:w="1276" w:type="dxa"/>
                  <w:tcBorders>
                    <w:top w:val="nil"/>
                    <w:left w:val="nil"/>
                    <w:bottom w:val="single" w:sz="4" w:space="0" w:color="auto"/>
                    <w:right w:val="single" w:sz="4" w:space="0" w:color="auto"/>
                  </w:tcBorders>
                  <w:shd w:val="clear" w:color="000000" w:fill="D9D9D9"/>
                  <w:noWrap/>
                  <w:vAlign w:val="center"/>
                  <w:hideMark/>
                </w:tcPr>
                <w:p w14:paraId="55A80EB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11 700</w:t>
                  </w:r>
                </w:p>
              </w:tc>
              <w:tc>
                <w:tcPr>
                  <w:tcW w:w="850" w:type="dxa"/>
                  <w:tcBorders>
                    <w:top w:val="nil"/>
                    <w:left w:val="nil"/>
                    <w:bottom w:val="single" w:sz="4" w:space="0" w:color="auto"/>
                    <w:right w:val="single" w:sz="4" w:space="0" w:color="auto"/>
                  </w:tcBorders>
                  <w:shd w:val="clear" w:color="auto" w:fill="auto"/>
                  <w:noWrap/>
                  <w:vAlign w:val="center"/>
                  <w:hideMark/>
                </w:tcPr>
                <w:p w14:paraId="2B4A848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w:t>
                  </w:r>
                </w:p>
              </w:tc>
              <w:tc>
                <w:tcPr>
                  <w:tcW w:w="992" w:type="dxa"/>
                  <w:tcBorders>
                    <w:top w:val="nil"/>
                    <w:left w:val="nil"/>
                    <w:bottom w:val="single" w:sz="4" w:space="0" w:color="auto"/>
                    <w:right w:val="single" w:sz="4" w:space="0" w:color="auto"/>
                  </w:tcBorders>
                  <w:shd w:val="clear" w:color="auto" w:fill="auto"/>
                  <w:noWrap/>
                  <w:vAlign w:val="center"/>
                  <w:hideMark/>
                </w:tcPr>
                <w:p w14:paraId="64CA683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500.00</w:t>
                  </w:r>
                </w:p>
              </w:tc>
              <w:tc>
                <w:tcPr>
                  <w:tcW w:w="1335" w:type="dxa"/>
                  <w:tcBorders>
                    <w:top w:val="nil"/>
                    <w:left w:val="nil"/>
                    <w:bottom w:val="single" w:sz="4" w:space="0" w:color="auto"/>
                    <w:right w:val="single" w:sz="4" w:space="0" w:color="auto"/>
                  </w:tcBorders>
                  <w:shd w:val="clear" w:color="000000" w:fill="D9D9D9"/>
                  <w:noWrap/>
                  <w:vAlign w:val="center"/>
                  <w:hideMark/>
                </w:tcPr>
                <w:p w14:paraId="440DAD0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18 000</w:t>
                  </w:r>
                </w:p>
              </w:tc>
              <w:tc>
                <w:tcPr>
                  <w:tcW w:w="1500" w:type="dxa"/>
                  <w:tcBorders>
                    <w:top w:val="nil"/>
                    <w:left w:val="nil"/>
                    <w:bottom w:val="single" w:sz="4" w:space="0" w:color="auto"/>
                    <w:right w:val="single" w:sz="4" w:space="0" w:color="auto"/>
                  </w:tcBorders>
                  <w:shd w:val="clear" w:color="auto" w:fill="auto"/>
                  <w:vAlign w:val="center"/>
                  <w:hideMark/>
                </w:tcPr>
                <w:p w14:paraId="5BB48ABC"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83B4549"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34380C4A" w14:textId="77777777" w:rsidTr="003309D5">
              <w:trPr>
                <w:trHeight w:val="1114"/>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5B04CED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Apbedīšanas pabalsts sociāli apdrošinātas personas apgādībā bijuša ģimenes locekļa nāves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627F3B2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0D6AD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0BC77C0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7EED5FB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737F085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39.00</w:t>
                  </w:r>
                </w:p>
              </w:tc>
              <w:tc>
                <w:tcPr>
                  <w:tcW w:w="1276" w:type="dxa"/>
                  <w:tcBorders>
                    <w:top w:val="nil"/>
                    <w:left w:val="nil"/>
                    <w:bottom w:val="single" w:sz="4" w:space="0" w:color="auto"/>
                    <w:right w:val="single" w:sz="4" w:space="0" w:color="auto"/>
                  </w:tcBorders>
                  <w:shd w:val="clear" w:color="000000" w:fill="D9D9D9"/>
                  <w:noWrap/>
                  <w:vAlign w:val="center"/>
                  <w:hideMark/>
                </w:tcPr>
                <w:p w14:paraId="6B70B9D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5 148</w:t>
                  </w:r>
                </w:p>
              </w:tc>
              <w:tc>
                <w:tcPr>
                  <w:tcW w:w="850" w:type="dxa"/>
                  <w:tcBorders>
                    <w:top w:val="nil"/>
                    <w:left w:val="nil"/>
                    <w:bottom w:val="single" w:sz="4" w:space="0" w:color="auto"/>
                    <w:right w:val="single" w:sz="4" w:space="0" w:color="auto"/>
                  </w:tcBorders>
                  <w:shd w:val="clear" w:color="auto" w:fill="auto"/>
                  <w:noWrap/>
                  <w:vAlign w:val="center"/>
                  <w:hideMark/>
                </w:tcPr>
                <w:p w14:paraId="5E974AA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6D17836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60.00</w:t>
                  </w:r>
                </w:p>
              </w:tc>
              <w:tc>
                <w:tcPr>
                  <w:tcW w:w="1335" w:type="dxa"/>
                  <w:tcBorders>
                    <w:top w:val="nil"/>
                    <w:left w:val="nil"/>
                    <w:bottom w:val="single" w:sz="4" w:space="0" w:color="auto"/>
                    <w:right w:val="single" w:sz="4" w:space="0" w:color="auto"/>
                  </w:tcBorders>
                  <w:shd w:val="clear" w:color="000000" w:fill="D9D9D9"/>
                  <w:noWrap/>
                  <w:vAlign w:val="center"/>
                  <w:hideMark/>
                </w:tcPr>
                <w:p w14:paraId="3A1973C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7 920</w:t>
                  </w:r>
                </w:p>
              </w:tc>
              <w:tc>
                <w:tcPr>
                  <w:tcW w:w="1500" w:type="dxa"/>
                  <w:tcBorders>
                    <w:top w:val="nil"/>
                    <w:left w:val="nil"/>
                    <w:bottom w:val="single" w:sz="4" w:space="0" w:color="auto"/>
                    <w:right w:val="single" w:sz="4" w:space="0" w:color="auto"/>
                  </w:tcBorders>
                  <w:shd w:val="clear" w:color="auto" w:fill="auto"/>
                  <w:vAlign w:val="center"/>
                  <w:hideMark/>
                </w:tcPr>
                <w:p w14:paraId="7D7BF701"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04.04.00. Invaliditātes, maternitātes un slimības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17BFCD6A"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19F2B4E6" w14:textId="77777777" w:rsidTr="003309D5">
              <w:trPr>
                <w:trHeight w:val="604"/>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653C2FD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Darbā nodarītā kaitējuma atlīdzība</w:t>
                  </w:r>
                </w:p>
              </w:tc>
              <w:tc>
                <w:tcPr>
                  <w:tcW w:w="1134" w:type="dxa"/>
                  <w:tcBorders>
                    <w:top w:val="nil"/>
                    <w:left w:val="nil"/>
                    <w:bottom w:val="single" w:sz="4" w:space="0" w:color="auto"/>
                    <w:right w:val="single" w:sz="4" w:space="0" w:color="auto"/>
                  </w:tcBorders>
                  <w:shd w:val="clear" w:color="auto" w:fill="auto"/>
                  <w:noWrap/>
                  <w:vAlign w:val="center"/>
                  <w:hideMark/>
                </w:tcPr>
                <w:p w14:paraId="510578A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F31F3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5F01A52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297BA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666</w:t>
                  </w:r>
                </w:p>
              </w:tc>
              <w:tc>
                <w:tcPr>
                  <w:tcW w:w="992" w:type="dxa"/>
                  <w:tcBorders>
                    <w:top w:val="nil"/>
                    <w:left w:val="nil"/>
                    <w:bottom w:val="single" w:sz="4" w:space="0" w:color="auto"/>
                    <w:right w:val="single" w:sz="4" w:space="0" w:color="auto"/>
                  </w:tcBorders>
                  <w:shd w:val="clear" w:color="auto" w:fill="auto"/>
                  <w:noWrap/>
                  <w:vAlign w:val="center"/>
                  <w:hideMark/>
                </w:tcPr>
                <w:p w14:paraId="1B7A394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16.56</w:t>
                  </w:r>
                </w:p>
              </w:tc>
              <w:tc>
                <w:tcPr>
                  <w:tcW w:w="1276" w:type="dxa"/>
                  <w:tcBorders>
                    <w:top w:val="nil"/>
                    <w:left w:val="nil"/>
                    <w:bottom w:val="single" w:sz="4" w:space="0" w:color="auto"/>
                    <w:right w:val="single" w:sz="4" w:space="0" w:color="auto"/>
                  </w:tcBorders>
                  <w:shd w:val="clear" w:color="000000" w:fill="D9D9D9"/>
                  <w:noWrap/>
                  <w:vAlign w:val="center"/>
                  <w:hideMark/>
                </w:tcPr>
                <w:p w14:paraId="3AF4DAD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132 314</w:t>
                  </w:r>
                </w:p>
              </w:tc>
              <w:tc>
                <w:tcPr>
                  <w:tcW w:w="850" w:type="dxa"/>
                  <w:tcBorders>
                    <w:top w:val="nil"/>
                    <w:left w:val="nil"/>
                    <w:bottom w:val="single" w:sz="4" w:space="0" w:color="auto"/>
                    <w:right w:val="single" w:sz="4" w:space="0" w:color="auto"/>
                  </w:tcBorders>
                  <w:shd w:val="clear" w:color="auto" w:fill="auto"/>
                  <w:noWrap/>
                  <w:vAlign w:val="center"/>
                  <w:hideMark/>
                </w:tcPr>
                <w:p w14:paraId="5E7C802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666</w:t>
                  </w:r>
                </w:p>
              </w:tc>
              <w:tc>
                <w:tcPr>
                  <w:tcW w:w="992" w:type="dxa"/>
                  <w:tcBorders>
                    <w:top w:val="nil"/>
                    <w:left w:val="nil"/>
                    <w:bottom w:val="single" w:sz="4" w:space="0" w:color="auto"/>
                    <w:right w:val="single" w:sz="4" w:space="0" w:color="auto"/>
                  </w:tcBorders>
                  <w:shd w:val="clear" w:color="auto" w:fill="auto"/>
                  <w:noWrap/>
                  <w:vAlign w:val="center"/>
                  <w:hideMark/>
                </w:tcPr>
                <w:p w14:paraId="694E849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22.40</w:t>
                  </w:r>
                </w:p>
              </w:tc>
              <w:tc>
                <w:tcPr>
                  <w:tcW w:w="1335" w:type="dxa"/>
                  <w:tcBorders>
                    <w:top w:val="nil"/>
                    <w:left w:val="nil"/>
                    <w:bottom w:val="single" w:sz="4" w:space="0" w:color="auto"/>
                    <w:right w:val="single" w:sz="4" w:space="0" w:color="auto"/>
                  </w:tcBorders>
                  <w:shd w:val="clear" w:color="000000" w:fill="D9D9D9"/>
                  <w:noWrap/>
                  <w:vAlign w:val="center"/>
                  <w:hideMark/>
                </w:tcPr>
                <w:p w14:paraId="04421FF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179 013</w:t>
                  </w:r>
                </w:p>
              </w:tc>
              <w:tc>
                <w:tcPr>
                  <w:tcW w:w="1500" w:type="dxa"/>
                  <w:tcBorders>
                    <w:top w:val="nil"/>
                    <w:left w:val="nil"/>
                    <w:bottom w:val="single" w:sz="4" w:space="0" w:color="auto"/>
                    <w:right w:val="single" w:sz="4" w:space="0" w:color="auto"/>
                  </w:tcBorders>
                  <w:shd w:val="clear" w:color="auto" w:fill="auto"/>
                  <w:vAlign w:val="center"/>
                  <w:hideMark/>
                </w:tcPr>
                <w:p w14:paraId="77D18259"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04.04.00. Invaliditātes, maternitātes un slimības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B8289F1"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65F543C5" w14:textId="77777777" w:rsidTr="003309D5">
              <w:trPr>
                <w:trHeight w:val="900"/>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0F12A6F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Apgādnieka zaudējuma pensija</w:t>
                  </w:r>
                </w:p>
              </w:tc>
              <w:tc>
                <w:tcPr>
                  <w:tcW w:w="1134" w:type="dxa"/>
                  <w:tcBorders>
                    <w:top w:val="nil"/>
                    <w:left w:val="nil"/>
                    <w:bottom w:val="single" w:sz="4" w:space="0" w:color="auto"/>
                    <w:right w:val="single" w:sz="4" w:space="0" w:color="auto"/>
                  </w:tcBorders>
                  <w:shd w:val="clear" w:color="auto" w:fill="auto"/>
                  <w:noWrap/>
                  <w:vAlign w:val="center"/>
                  <w:hideMark/>
                </w:tcPr>
                <w:p w14:paraId="599AEE5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B5B54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00F8377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nil"/>
                  </w:tcBorders>
                  <w:shd w:val="clear" w:color="auto" w:fill="auto"/>
                  <w:noWrap/>
                  <w:vAlign w:val="center"/>
                  <w:hideMark/>
                </w:tcPr>
                <w:p w14:paraId="4D73AAF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12 615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719E9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19.83</w:t>
                  </w:r>
                </w:p>
              </w:tc>
              <w:tc>
                <w:tcPr>
                  <w:tcW w:w="1276" w:type="dxa"/>
                  <w:tcBorders>
                    <w:top w:val="nil"/>
                    <w:left w:val="nil"/>
                    <w:bottom w:val="single" w:sz="4" w:space="0" w:color="auto"/>
                    <w:right w:val="single" w:sz="4" w:space="0" w:color="auto"/>
                  </w:tcBorders>
                  <w:shd w:val="clear" w:color="000000" w:fill="D9D9D9"/>
                  <w:noWrap/>
                  <w:vAlign w:val="center"/>
                  <w:hideMark/>
                </w:tcPr>
                <w:p w14:paraId="46DCFCC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3 001 865</w:t>
                  </w:r>
                </w:p>
              </w:tc>
              <w:tc>
                <w:tcPr>
                  <w:tcW w:w="850" w:type="dxa"/>
                  <w:tcBorders>
                    <w:top w:val="nil"/>
                    <w:left w:val="nil"/>
                    <w:bottom w:val="single" w:sz="4" w:space="0" w:color="auto"/>
                    <w:right w:val="nil"/>
                  </w:tcBorders>
                  <w:shd w:val="clear" w:color="auto" w:fill="auto"/>
                  <w:noWrap/>
                  <w:vAlign w:val="center"/>
                  <w:hideMark/>
                </w:tcPr>
                <w:p w14:paraId="26D9A7B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12 615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051B3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27.72</w:t>
                  </w:r>
                </w:p>
              </w:tc>
              <w:tc>
                <w:tcPr>
                  <w:tcW w:w="1335" w:type="dxa"/>
                  <w:tcBorders>
                    <w:top w:val="nil"/>
                    <w:left w:val="nil"/>
                    <w:bottom w:val="single" w:sz="4" w:space="0" w:color="auto"/>
                    <w:right w:val="single" w:sz="4" w:space="0" w:color="auto"/>
                  </w:tcBorders>
                  <w:shd w:val="clear" w:color="000000" w:fill="D9D9D9"/>
                  <w:noWrap/>
                  <w:vAlign w:val="center"/>
                  <w:hideMark/>
                </w:tcPr>
                <w:p w14:paraId="69F2A64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4 196 253</w:t>
                  </w:r>
                </w:p>
              </w:tc>
              <w:tc>
                <w:tcPr>
                  <w:tcW w:w="1500" w:type="dxa"/>
                  <w:tcBorders>
                    <w:top w:val="nil"/>
                    <w:left w:val="nil"/>
                    <w:bottom w:val="single" w:sz="4" w:space="0" w:color="auto"/>
                    <w:right w:val="single" w:sz="4" w:space="0" w:color="auto"/>
                  </w:tcBorders>
                  <w:shd w:val="clear" w:color="auto" w:fill="auto"/>
                  <w:vAlign w:val="center"/>
                  <w:hideMark/>
                </w:tcPr>
                <w:p w14:paraId="1CE12D89"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04.01.00.Valsts pensiju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059CA868"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648B8E82" w14:textId="77777777" w:rsidTr="003309D5">
              <w:trPr>
                <w:trHeight w:val="700"/>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0D35B9E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Apdrošināšanas atlīdzība par apgādnieka zaudējumu</w:t>
                  </w:r>
                </w:p>
              </w:tc>
              <w:tc>
                <w:tcPr>
                  <w:tcW w:w="1134" w:type="dxa"/>
                  <w:tcBorders>
                    <w:top w:val="nil"/>
                    <w:left w:val="nil"/>
                    <w:bottom w:val="single" w:sz="4" w:space="0" w:color="auto"/>
                    <w:right w:val="single" w:sz="4" w:space="0" w:color="auto"/>
                  </w:tcBorders>
                  <w:shd w:val="clear" w:color="auto" w:fill="auto"/>
                  <w:noWrap/>
                  <w:vAlign w:val="center"/>
                  <w:hideMark/>
                </w:tcPr>
                <w:p w14:paraId="612A9F6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B30FD6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6175C52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nil"/>
                  </w:tcBorders>
                  <w:shd w:val="clear" w:color="auto" w:fill="auto"/>
                  <w:noWrap/>
                  <w:vAlign w:val="center"/>
                  <w:hideMark/>
                </w:tcPr>
                <w:p w14:paraId="7E199BF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807BE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20.00</w:t>
                  </w:r>
                </w:p>
              </w:tc>
              <w:tc>
                <w:tcPr>
                  <w:tcW w:w="1276" w:type="dxa"/>
                  <w:tcBorders>
                    <w:top w:val="nil"/>
                    <w:left w:val="nil"/>
                    <w:bottom w:val="single" w:sz="4" w:space="0" w:color="auto"/>
                    <w:right w:val="single" w:sz="4" w:space="0" w:color="auto"/>
                  </w:tcBorders>
                  <w:shd w:val="clear" w:color="000000" w:fill="D9D9D9"/>
                  <w:noWrap/>
                  <w:vAlign w:val="center"/>
                  <w:hideMark/>
                </w:tcPr>
                <w:p w14:paraId="571D9FB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6 240</w:t>
                  </w:r>
                </w:p>
              </w:tc>
              <w:tc>
                <w:tcPr>
                  <w:tcW w:w="850" w:type="dxa"/>
                  <w:tcBorders>
                    <w:top w:val="nil"/>
                    <w:left w:val="nil"/>
                    <w:bottom w:val="single" w:sz="4" w:space="0" w:color="auto"/>
                    <w:right w:val="nil"/>
                  </w:tcBorders>
                  <w:shd w:val="clear" w:color="auto" w:fill="auto"/>
                  <w:noWrap/>
                  <w:vAlign w:val="center"/>
                  <w:hideMark/>
                </w:tcPr>
                <w:p w14:paraId="2685DB3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836D63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28.00</w:t>
                  </w:r>
                </w:p>
              </w:tc>
              <w:tc>
                <w:tcPr>
                  <w:tcW w:w="1335" w:type="dxa"/>
                  <w:tcBorders>
                    <w:top w:val="nil"/>
                    <w:left w:val="nil"/>
                    <w:bottom w:val="single" w:sz="4" w:space="0" w:color="auto"/>
                    <w:right w:val="single" w:sz="4" w:space="0" w:color="auto"/>
                  </w:tcBorders>
                  <w:shd w:val="clear" w:color="000000" w:fill="D9D9D9"/>
                  <w:noWrap/>
                  <w:vAlign w:val="center"/>
                  <w:hideMark/>
                </w:tcPr>
                <w:p w14:paraId="6AC5000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8 736</w:t>
                  </w:r>
                </w:p>
              </w:tc>
              <w:tc>
                <w:tcPr>
                  <w:tcW w:w="1500" w:type="dxa"/>
                  <w:tcBorders>
                    <w:top w:val="nil"/>
                    <w:left w:val="nil"/>
                    <w:bottom w:val="single" w:sz="4" w:space="0" w:color="auto"/>
                    <w:right w:val="single" w:sz="4" w:space="0" w:color="auto"/>
                  </w:tcBorders>
                  <w:shd w:val="clear" w:color="auto" w:fill="auto"/>
                  <w:vAlign w:val="center"/>
                  <w:hideMark/>
                </w:tcPr>
                <w:p w14:paraId="229E024D"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22CB1905"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0357F410" w14:textId="77777777" w:rsidTr="003309D5">
              <w:trPr>
                <w:trHeight w:val="809"/>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58E70C2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VSNP apgādnieka zaudējuma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32CB43B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F07DE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371A948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nil"/>
                  </w:tcBorders>
                  <w:shd w:val="clear" w:color="auto" w:fill="auto"/>
                  <w:noWrap/>
                  <w:vAlign w:val="center"/>
                  <w:hideMark/>
                </w:tcPr>
                <w:p w14:paraId="11C1E7A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E1946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19.67</w:t>
                  </w:r>
                </w:p>
              </w:tc>
              <w:tc>
                <w:tcPr>
                  <w:tcW w:w="1276" w:type="dxa"/>
                  <w:tcBorders>
                    <w:top w:val="nil"/>
                    <w:left w:val="nil"/>
                    <w:bottom w:val="single" w:sz="4" w:space="0" w:color="auto"/>
                    <w:right w:val="single" w:sz="4" w:space="0" w:color="auto"/>
                  </w:tcBorders>
                  <w:shd w:val="clear" w:color="000000" w:fill="D9D9D9"/>
                  <w:noWrap/>
                  <w:vAlign w:val="center"/>
                  <w:hideMark/>
                </w:tcPr>
                <w:p w14:paraId="2706912D"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75 769</w:t>
                  </w:r>
                </w:p>
              </w:tc>
              <w:tc>
                <w:tcPr>
                  <w:tcW w:w="850" w:type="dxa"/>
                  <w:tcBorders>
                    <w:top w:val="nil"/>
                    <w:left w:val="nil"/>
                    <w:bottom w:val="single" w:sz="4" w:space="0" w:color="auto"/>
                    <w:right w:val="nil"/>
                  </w:tcBorders>
                  <w:shd w:val="clear" w:color="auto" w:fill="auto"/>
                  <w:noWrap/>
                  <w:vAlign w:val="center"/>
                  <w:hideMark/>
                </w:tcPr>
                <w:p w14:paraId="41FC44D0"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321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5E8B4C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27.44</w:t>
                  </w:r>
                </w:p>
              </w:tc>
              <w:tc>
                <w:tcPr>
                  <w:tcW w:w="1335" w:type="dxa"/>
                  <w:tcBorders>
                    <w:top w:val="nil"/>
                    <w:left w:val="nil"/>
                    <w:bottom w:val="single" w:sz="4" w:space="0" w:color="auto"/>
                    <w:right w:val="single" w:sz="4" w:space="0" w:color="auto"/>
                  </w:tcBorders>
                  <w:shd w:val="clear" w:color="000000" w:fill="D9D9D9"/>
                  <w:noWrap/>
                  <w:vAlign w:val="center"/>
                  <w:hideMark/>
                </w:tcPr>
                <w:p w14:paraId="4B6B3E1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105 699</w:t>
                  </w:r>
                </w:p>
              </w:tc>
              <w:tc>
                <w:tcPr>
                  <w:tcW w:w="1500" w:type="dxa"/>
                  <w:tcBorders>
                    <w:top w:val="nil"/>
                    <w:left w:val="nil"/>
                    <w:bottom w:val="single" w:sz="4" w:space="0" w:color="auto"/>
                    <w:right w:val="single" w:sz="4" w:space="0" w:color="auto"/>
                  </w:tcBorders>
                  <w:shd w:val="clear" w:color="auto" w:fill="auto"/>
                  <w:vAlign w:val="center"/>
                  <w:hideMark/>
                </w:tcPr>
                <w:p w14:paraId="6C3A8485"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1BFAE60B"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r>
            <w:tr w:rsidR="000A660F" w:rsidRPr="00933E21" w14:paraId="672DA8DF" w14:textId="77777777" w:rsidTr="003309D5">
              <w:trPr>
                <w:trHeight w:val="547"/>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603AC8E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 xml:space="preserve">Valsts sociālais </w:t>
                  </w:r>
                  <w:r w:rsidRPr="00933E21">
                    <w:rPr>
                      <w:rFonts w:eastAsia="Times New Roman" w:cs="Times New Roman"/>
                      <w:sz w:val="18"/>
                      <w:szCs w:val="18"/>
                      <w:lang w:eastAsia="lv-LV"/>
                    </w:rPr>
                    <w:t>pabalsts Černobiļas atomelektro</w:t>
                  </w:r>
                  <w:r w:rsidRPr="002F5BD9">
                    <w:rPr>
                      <w:rFonts w:eastAsia="Times New Roman" w:cs="Times New Roman"/>
                      <w:sz w:val="18"/>
                      <w:szCs w:val="18"/>
                      <w:lang w:eastAsia="lv-LV"/>
                    </w:rPr>
                    <w:t xml:space="preserve">stacijas avārijas seku likvidēšanas dalībniekiem un mirušo </w:t>
                  </w:r>
                  <w:r>
                    <w:rPr>
                      <w:rFonts w:eastAsia="Times New Roman" w:cs="Times New Roman"/>
                      <w:sz w:val="18"/>
                      <w:szCs w:val="18"/>
                      <w:lang w:eastAsia="lv-LV"/>
                    </w:rPr>
                    <w:t>ČAES</w:t>
                  </w:r>
                  <w:r w:rsidRPr="002F5BD9">
                    <w:rPr>
                      <w:rFonts w:eastAsia="Times New Roman" w:cs="Times New Roman"/>
                      <w:sz w:val="18"/>
                      <w:szCs w:val="18"/>
                      <w:lang w:eastAsia="lv-LV"/>
                    </w:rPr>
                    <w:t xml:space="preserve"> likvidēšanas dalībnieku ģimenēm</w:t>
                  </w:r>
                </w:p>
              </w:tc>
              <w:tc>
                <w:tcPr>
                  <w:tcW w:w="1134" w:type="dxa"/>
                  <w:tcBorders>
                    <w:top w:val="nil"/>
                    <w:left w:val="nil"/>
                    <w:bottom w:val="single" w:sz="4" w:space="0" w:color="auto"/>
                    <w:right w:val="single" w:sz="4" w:space="0" w:color="auto"/>
                  </w:tcBorders>
                  <w:shd w:val="clear" w:color="auto" w:fill="auto"/>
                  <w:noWrap/>
                  <w:vAlign w:val="center"/>
                  <w:hideMark/>
                </w:tcPr>
                <w:p w14:paraId="4A3A1D8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8AEB0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6674D7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14044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2 924</w:t>
                  </w:r>
                </w:p>
              </w:tc>
              <w:tc>
                <w:tcPr>
                  <w:tcW w:w="992" w:type="dxa"/>
                  <w:tcBorders>
                    <w:top w:val="nil"/>
                    <w:left w:val="nil"/>
                    <w:bottom w:val="single" w:sz="4" w:space="0" w:color="auto"/>
                    <w:right w:val="single" w:sz="4" w:space="0" w:color="auto"/>
                  </w:tcBorders>
                  <w:shd w:val="clear" w:color="auto" w:fill="auto"/>
                  <w:noWrap/>
                  <w:vAlign w:val="center"/>
                  <w:hideMark/>
                </w:tcPr>
                <w:p w14:paraId="5EF60D0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13.00</w:t>
                  </w:r>
                </w:p>
              </w:tc>
              <w:tc>
                <w:tcPr>
                  <w:tcW w:w="1276" w:type="dxa"/>
                  <w:tcBorders>
                    <w:top w:val="nil"/>
                    <w:left w:val="nil"/>
                    <w:bottom w:val="single" w:sz="4" w:space="0" w:color="auto"/>
                    <w:right w:val="single" w:sz="4" w:space="0" w:color="auto"/>
                  </w:tcBorders>
                  <w:shd w:val="clear" w:color="000000" w:fill="D9D9D9"/>
                  <w:noWrap/>
                  <w:vAlign w:val="center"/>
                  <w:hideMark/>
                </w:tcPr>
                <w:p w14:paraId="205DFC6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456 144</w:t>
                  </w:r>
                </w:p>
              </w:tc>
              <w:tc>
                <w:tcPr>
                  <w:tcW w:w="850" w:type="dxa"/>
                  <w:tcBorders>
                    <w:top w:val="nil"/>
                    <w:left w:val="nil"/>
                    <w:bottom w:val="single" w:sz="4" w:space="0" w:color="auto"/>
                    <w:right w:val="single" w:sz="4" w:space="0" w:color="auto"/>
                  </w:tcBorders>
                  <w:shd w:val="clear" w:color="auto" w:fill="auto"/>
                  <w:noWrap/>
                  <w:vAlign w:val="center"/>
                  <w:hideMark/>
                </w:tcPr>
                <w:p w14:paraId="50A93D8E"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2 924</w:t>
                  </w:r>
                </w:p>
              </w:tc>
              <w:tc>
                <w:tcPr>
                  <w:tcW w:w="992" w:type="dxa"/>
                  <w:tcBorders>
                    <w:top w:val="nil"/>
                    <w:left w:val="nil"/>
                    <w:bottom w:val="single" w:sz="4" w:space="0" w:color="auto"/>
                    <w:right w:val="single" w:sz="4" w:space="0" w:color="auto"/>
                  </w:tcBorders>
                  <w:shd w:val="clear" w:color="auto" w:fill="auto"/>
                  <w:noWrap/>
                  <w:vAlign w:val="center"/>
                  <w:hideMark/>
                </w:tcPr>
                <w:p w14:paraId="07AB62A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20.00</w:t>
                  </w:r>
                </w:p>
              </w:tc>
              <w:tc>
                <w:tcPr>
                  <w:tcW w:w="1335" w:type="dxa"/>
                  <w:tcBorders>
                    <w:top w:val="nil"/>
                    <w:left w:val="nil"/>
                    <w:bottom w:val="single" w:sz="4" w:space="0" w:color="auto"/>
                    <w:right w:val="single" w:sz="4" w:space="0" w:color="auto"/>
                  </w:tcBorders>
                  <w:shd w:val="clear" w:color="000000" w:fill="D9D9D9"/>
                  <w:noWrap/>
                  <w:vAlign w:val="center"/>
                  <w:hideMark/>
                </w:tcPr>
                <w:p w14:paraId="54F37F7F"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701 760</w:t>
                  </w:r>
                </w:p>
              </w:tc>
              <w:tc>
                <w:tcPr>
                  <w:tcW w:w="1500" w:type="dxa"/>
                  <w:tcBorders>
                    <w:top w:val="nil"/>
                    <w:left w:val="nil"/>
                    <w:bottom w:val="single" w:sz="4" w:space="0" w:color="auto"/>
                    <w:right w:val="single" w:sz="4" w:space="0" w:color="auto"/>
                  </w:tcBorders>
                  <w:shd w:val="clear" w:color="auto" w:fill="auto"/>
                  <w:vAlign w:val="center"/>
                  <w:hideMark/>
                </w:tcPr>
                <w:p w14:paraId="1C6F1024"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6BCB0938"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LM pamatbudžeta programma 20.01.00 "Valsts sociālie pabalsti"</w:t>
                  </w:r>
                </w:p>
              </w:tc>
            </w:tr>
            <w:tr w:rsidR="000A660F" w:rsidRPr="00933E21" w14:paraId="1676ECB0" w14:textId="77777777" w:rsidTr="003309D5">
              <w:trPr>
                <w:trHeight w:val="278"/>
              </w:trPr>
              <w:tc>
                <w:tcPr>
                  <w:tcW w:w="2185" w:type="dxa"/>
                  <w:tcBorders>
                    <w:top w:val="nil"/>
                    <w:left w:val="single" w:sz="4" w:space="0" w:color="auto"/>
                    <w:bottom w:val="single" w:sz="4" w:space="0" w:color="auto"/>
                    <w:right w:val="nil"/>
                  </w:tcBorders>
                  <w:shd w:val="clear" w:color="auto" w:fill="auto"/>
                  <w:vAlign w:val="center"/>
                  <w:hideMark/>
                </w:tcPr>
                <w:p w14:paraId="5DB452D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Slimības pabalsti (saistībā ar maksimālo apmēru)</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DB0E8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3C8ED4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E441C15"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5F6103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41</w:t>
                  </w:r>
                </w:p>
              </w:tc>
              <w:tc>
                <w:tcPr>
                  <w:tcW w:w="992" w:type="dxa"/>
                  <w:tcBorders>
                    <w:top w:val="nil"/>
                    <w:left w:val="nil"/>
                    <w:bottom w:val="single" w:sz="4" w:space="0" w:color="auto"/>
                    <w:right w:val="single" w:sz="4" w:space="0" w:color="auto"/>
                  </w:tcBorders>
                  <w:shd w:val="clear" w:color="auto" w:fill="auto"/>
                  <w:noWrap/>
                  <w:vAlign w:val="center"/>
                  <w:hideMark/>
                </w:tcPr>
                <w:p w14:paraId="3BD81B57"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102.86</w:t>
                  </w:r>
                </w:p>
              </w:tc>
              <w:tc>
                <w:tcPr>
                  <w:tcW w:w="1276" w:type="dxa"/>
                  <w:tcBorders>
                    <w:top w:val="nil"/>
                    <w:left w:val="nil"/>
                    <w:bottom w:val="single" w:sz="4" w:space="0" w:color="auto"/>
                    <w:right w:val="single" w:sz="4" w:space="0" w:color="auto"/>
                  </w:tcBorders>
                  <w:shd w:val="clear" w:color="000000" w:fill="D9D9D9"/>
                  <w:noWrap/>
                  <w:vAlign w:val="center"/>
                  <w:hideMark/>
                </w:tcPr>
                <w:p w14:paraId="6C9DB5E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50 607</w:t>
                  </w:r>
                </w:p>
              </w:tc>
              <w:tc>
                <w:tcPr>
                  <w:tcW w:w="850" w:type="dxa"/>
                  <w:tcBorders>
                    <w:top w:val="nil"/>
                    <w:left w:val="nil"/>
                    <w:bottom w:val="single" w:sz="4" w:space="0" w:color="auto"/>
                    <w:right w:val="single" w:sz="4" w:space="0" w:color="auto"/>
                  </w:tcBorders>
                  <w:shd w:val="clear" w:color="auto" w:fill="auto"/>
                  <w:noWrap/>
                  <w:vAlign w:val="center"/>
                  <w:hideMark/>
                </w:tcPr>
                <w:p w14:paraId="7957CB22"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41</w:t>
                  </w:r>
                </w:p>
              </w:tc>
              <w:tc>
                <w:tcPr>
                  <w:tcW w:w="992" w:type="dxa"/>
                  <w:tcBorders>
                    <w:top w:val="nil"/>
                    <w:left w:val="nil"/>
                    <w:bottom w:val="single" w:sz="4" w:space="0" w:color="auto"/>
                    <w:right w:val="single" w:sz="4" w:space="0" w:color="auto"/>
                  </w:tcBorders>
                  <w:shd w:val="clear" w:color="auto" w:fill="auto"/>
                  <w:noWrap/>
                  <w:vAlign w:val="center"/>
                  <w:hideMark/>
                </w:tcPr>
                <w:p w14:paraId="3818D95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205.72</w:t>
                  </w:r>
                </w:p>
              </w:tc>
              <w:tc>
                <w:tcPr>
                  <w:tcW w:w="1335" w:type="dxa"/>
                  <w:tcBorders>
                    <w:top w:val="nil"/>
                    <w:left w:val="nil"/>
                    <w:bottom w:val="single" w:sz="4" w:space="0" w:color="auto"/>
                    <w:right w:val="single" w:sz="4" w:space="0" w:color="auto"/>
                  </w:tcBorders>
                  <w:shd w:val="clear" w:color="000000" w:fill="D9D9D9"/>
                  <w:noWrap/>
                  <w:vAlign w:val="center"/>
                  <w:hideMark/>
                </w:tcPr>
                <w:p w14:paraId="2C57313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101 214</w:t>
                  </w:r>
                </w:p>
              </w:tc>
              <w:tc>
                <w:tcPr>
                  <w:tcW w:w="1500" w:type="dxa"/>
                  <w:tcBorders>
                    <w:top w:val="nil"/>
                    <w:left w:val="nil"/>
                    <w:bottom w:val="single" w:sz="4" w:space="0" w:color="auto"/>
                    <w:right w:val="single" w:sz="4" w:space="0" w:color="auto"/>
                  </w:tcBorders>
                  <w:shd w:val="clear" w:color="auto" w:fill="auto"/>
                  <w:vAlign w:val="center"/>
                  <w:hideMark/>
                </w:tcPr>
                <w:p w14:paraId="28086E9D"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66885021"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747D5BC9" w14:textId="77777777" w:rsidTr="003309D5">
              <w:trPr>
                <w:trHeight w:val="260"/>
              </w:trPr>
              <w:tc>
                <w:tcPr>
                  <w:tcW w:w="2185" w:type="dxa"/>
                  <w:tcBorders>
                    <w:top w:val="nil"/>
                    <w:left w:val="single" w:sz="4" w:space="0" w:color="auto"/>
                    <w:bottom w:val="single" w:sz="4" w:space="0" w:color="auto"/>
                    <w:right w:val="nil"/>
                  </w:tcBorders>
                  <w:shd w:val="clear" w:color="auto" w:fill="auto"/>
                  <w:vAlign w:val="center"/>
                  <w:hideMark/>
                </w:tcPr>
                <w:p w14:paraId="6B62E896"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Atlīdzības par darbspēju zaudējumu (saistībā ar maksimālo apmēru)</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81BBB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80BA484"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61B31C8A"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5ACA01"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4904431B"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276" w:type="dxa"/>
                  <w:tcBorders>
                    <w:top w:val="nil"/>
                    <w:left w:val="nil"/>
                    <w:bottom w:val="single" w:sz="4" w:space="0" w:color="auto"/>
                    <w:right w:val="single" w:sz="4" w:space="0" w:color="auto"/>
                  </w:tcBorders>
                  <w:shd w:val="clear" w:color="000000" w:fill="D9D9D9"/>
                  <w:noWrap/>
                  <w:vAlign w:val="center"/>
                  <w:hideMark/>
                </w:tcPr>
                <w:p w14:paraId="438F4C3C"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auto" w:fill="auto"/>
                  <w:noWrap/>
                  <w:vAlign w:val="center"/>
                  <w:hideMark/>
                </w:tcPr>
                <w:p w14:paraId="6B6C6313"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3821C278"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0.00</w:t>
                  </w:r>
                </w:p>
              </w:tc>
              <w:tc>
                <w:tcPr>
                  <w:tcW w:w="1335" w:type="dxa"/>
                  <w:tcBorders>
                    <w:top w:val="nil"/>
                    <w:left w:val="nil"/>
                    <w:bottom w:val="single" w:sz="4" w:space="0" w:color="auto"/>
                    <w:right w:val="single" w:sz="4" w:space="0" w:color="auto"/>
                  </w:tcBorders>
                  <w:shd w:val="clear" w:color="000000" w:fill="D9D9D9"/>
                  <w:noWrap/>
                  <w:vAlign w:val="center"/>
                  <w:hideMark/>
                </w:tcPr>
                <w:p w14:paraId="022E4519" w14:textId="77777777" w:rsidR="000A660F" w:rsidRPr="002F5BD9" w:rsidRDefault="000A660F" w:rsidP="003309D5">
                  <w:pPr>
                    <w:spacing w:after="0" w:line="240" w:lineRule="auto"/>
                    <w:jc w:val="center"/>
                    <w:rPr>
                      <w:rFonts w:eastAsia="Times New Roman" w:cs="Times New Roman"/>
                      <w:sz w:val="18"/>
                      <w:szCs w:val="18"/>
                      <w:lang w:eastAsia="lv-LV"/>
                    </w:rPr>
                  </w:pPr>
                  <w:r w:rsidRPr="002F5BD9">
                    <w:rPr>
                      <w:rFonts w:eastAsia="Times New Roman" w:cs="Times New Roman"/>
                      <w:sz w:val="18"/>
                      <w:szCs w:val="18"/>
                      <w:lang w:eastAsia="lv-LV"/>
                    </w:rPr>
                    <w:t>0</w:t>
                  </w:r>
                </w:p>
              </w:tc>
              <w:tc>
                <w:tcPr>
                  <w:tcW w:w="1500" w:type="dxa"/>
                  <w:tcBorders>
                    <w:top w:val="nil"/>
                    <w:left w:val="nil"/>
                    <w:bottom w:val="single" w:sz="4" w:space="0" w:color="auto"/>
                    <w:right w:val="single" w:sz="4" w:space="0" w:color="auto"/>
                  </w:tcBorders>
                  <w:shd w:val="clear" w:color="auto" w:fill="auto"/>
                  <w:vAlign w:val="center"/>
                  <w:hideMark/>
                </w:tcPr>
                <w:p w14:paraId="441D78D8"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9B1C91E" w14:textId="77777777" w:rsidR="000A660F" w:rsidRPr="002F5BD9" w:rsidRDefault="000A660F" w:rsidP="003309D5">
                  <w:pPr>
                    <w:spacing w:after="0" w:line="240" w:lineRule="auto"/>
                    <w:jc w:val="center"/>
                    <w:rPr>
                      <w:rFonts w:eastAsia="Times New Roman" w:cs="Times New Roman"/>
                      <w:sz w:val="16"/>
                      <w:szCs w:val="16"/>
                      <w:lang w:eastAsia="lv-LV"/>
                    </w:rPr>
                  </w:pPr>
                  <w:r w:rsidRPr="002F5BD9">
                    <w:rPr>
                      <w:rFonts w:eastAsia="Times New Roman" w:cs="Times New Roman"/>
                      <w:sz w:val="16"/>
                      <w:szCs w:val="16"/>
                      <w:lang w:eastAsia="lv-LV"/>
                    </w:rPr>
                    <w:t>Pamatbudžets (04.00.00. Valsts atbalsts sociālajai apdrošināšanai)</w:t>
                  </w:r>
                </w:p>
              </w:tc>
            </w:tr>
            <w:tr w:rsidR="000A660F" w:rsidRPr="00933E21" w14:paraId="1A492335" w14:textId="77777777" w:rsidTr="003309D5">
              <w:trPr>
                <w:trHeight w:val="300"/>
              </w:trPr>
              <w:tc>
                <w:tcPr>
                  <w:tcW w:w="2185" w:type="dxa"/>
                  <w:tcBorders>
                    <w:top w:val="nil"/>
                    <w:left w:val="single" w:sz="4" w:space="0" w:color="auto"/>
                    <w:bottom w:val="single" w:sz="4" w:space="0" w:color="auto"/>
                    <w:right w:val="nil"/>
                  </w:tcBorders>
                  <w:shd w:val="clear" w:color="auto" w:fill="auto"/>
                  <w:vAlign w:val="center"/>
                  <w:hideMark/>
                </w:tcPr>
                <w:p w14:paraId="083730B3" w14:textId="77777777" w:rsidR="000A660F" w:rsidRPr="002F5BD9" w:rsidRDefault="000A660F" w:rsidP="003309D5">
                  <w:pPr>
                    <w:spacing w:after="0" w:line="240" w:lineRule="auto"/>
                    <w:jc w:val="center"/>
                    <w:rPr>
                      <w:rFonts w:eastAsia="Times New Roman" w:cs="Times New Roman"/>
                      <w:b/>
                      <w:bCs/>
                      <w:sz w:val="20"/>
                      <w:szCs w:val="16"/>
                      <w:lang w:eastAsia="lv-LV"/>
                    </w:rPr>
                  </w:pPr>
                  <w:r w:rsidRPr="002F5BD9">
                    <w:rPr>
                      <w:rFonts w:eastAsia="Times New Roman" w:cs="Times New Roman"/>
                      <w:b/>
                      <w:bCs/>
                      <w:sz w:val="20"/>
                      <w:szCs w:val="16"/>
                      <w:lang w:eastAsia="lv-LV"/>
                    </w:rPr>
                    <w:t>Kopā pakalpojumiem</w:t>
                  </w:r>
                </w:p>
              </w:tc>
              <w:tc>
                <w:tcPr>
                  <w:tcW w:w="1134" w:type="dxa"/>
                  <w:tcBorders>
                    <w:top w:val="nil"/>
                    <w:left w:val="single" w:sz="4" w:space="0" w:color="auto"/>
                    <w:bottom w:val="single" w:sz="4" w:space="0" w:color="auto"/>
                    <w:right w:val="nil"/>
                  </w:tcBorders>
                  <w:shd w:val="clear" w:color="auto" w:fill="auto"/>
                  <w:noWrap/>
                  <w:vAlign w:val="center"/>
                  <w:hideMark/>
                </w:tcPr>
                <w:p w14:paraId="4853EE1C" w14:textId="77777777" w:rsidR="000A660F" w:rsidRPr="002F5BD9" w:rsidRDefault="000A660F" w:rsidP="003309D5">
                  <w:pPr>
                    <w:spacing w:after="0" w:line="240" w:lineRule="auto"/>
                    <w:jc w:val="center"/>
                    <w:rPr>
                      <w:rFonts w:eastAsia="Times New Roman" w:cs="Times New Roman"/>
                      <w:sz w:val="20"/>
                      <w:szCs w:val="16"/>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14:paraId="56E29305" w14:textId="77777777" w:rsidR="000A660F" w:rsidRPr="002F5BD9" w:rsidRDefault="000A660F" w:rsidP="003309D5">
                  <w:pPr>
                    <w:spacing w:after="0" w:line="240" w:lineRule="auto"/>
                    <w:jc w:val="center"/>
                    <w:rPr>
                      <w:rFonts w:eastAsia="Times New Roman" w:cs="Times New Roman"/>
                      <w:sz w:val="20"/>
                      <w:szCs w:val="16"/>
                      <w:lang w:eastAsia="lv-LV"/>
                    </w:rPr>
                  </w:pPr>
                </w:p>
              </w:tc>
              <w:tc>
                <w:tcPr>
                  <w:tcW w:w="1134" w:type="dxa"/>
                  <w:tcBorders>
                    <w:top w:val="nil"/>
                    <w:left w:val="nil"/>
                    <w:bottom w:val="single" w:sz="4" w:space="0" w:color="auto"/>
                    <w:right w:val="single" w:sz="4" w:space="0" w:color="auto"/>
                  </w:tcBorders>
                  <w:shd w:val="clear" w:color="000000" w:fill="D9D9D9"/>
                  <w:noWrap/>
                  <w:vAlign w:val="center"/>
                  <w:hideMark/>
                </w:tcPr>
                <w:p w14:paraId="4D2F0167" w14:textId="77777777" w:rsidR="000A660F" w:rsidRPr="002F5BD9" w:rsidRDefault="000A660F" w:rsidP="003309D5">
                  <w:pPr>
                    <w:spacing w:after="0" w:line="240" w:lineRule="auto"/>
                    <w:jc w:val="center"/>
                    <w:rPr>
                      <w:rFonts w:eastAsia="Times New Roman" w:cs="Times New Roman"/>
                      <w:b/>
                      <w:bCs/>
                      <w:sz w:val="20"/>
                      <w:szCs w:val="16"/>
                      <w:lang w:eastAsia="lv-LV"/>
                    </w:rPr>
                  </w:pPr>
                </w:p>
              </w:tc>
              <w:tc>
                <w:tcPr>
                  <w:tcW w:w="1134" w:type="dxa"/>
                  <w:tcBorders>
                    <w:top w:val="nil"/>
                    <w:left w:val="nil"/>
                    <w:bottom w:val="single" w:sz="4" w:space="0" w:color="auto"/>
                    <w:right w:val="nil"/>
                  </w:tcBorders>
                  <w:shd w:val="clear" w:color="auto" w:fill="auto"/>
                  <w:noWrap/>
                  <w:vAlign w:val="center"/>
                  <w:hideMark/>
                </w:tcPr>
                <w:p w14:paraId="1F55BD6A" w14:textId="77777777" w:rsidR="000A660F" w:rsidRPr="002F5BD9" w:rsidRDefault="000A660F" w:rsidP="003309D5">
                  <w:pPr>
                    <w:spacing w:after="0" w:line="240" w:lineRule="auto"/>
                    <w:jc w:val="center"/>
                    <w:rPr>
                      <w:rFonts w:eastAsia="Times New Roman" w:cs="Times New Roman"/>
                      <w:sz w:val="20"/>
                      <w:szCs w:val="16"/>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37503BB0" w14:textId="77777777" w:rsidR="000A660F" w:rsidRPr="002F5BD9" w:rsidRDefault="000A660F" w:rsidP="003309D5">
                  <w:pPr>
                    <w:spacing w:after="0" w:line="240" w:lineRule="auto"/>
                    <w:jc w:val="center"/>
                    <w:rPr>
                      <w:rFonts w:eastAsia="Times New Roman" w:cs="Times New Roman"/>
                      <w:sz w:val="20"/>
                      <w:szCs w:val="16"/>
                      <w:lang w:eastAsia="lv-LV"/>
                    </w:rPr>
                  </w:pPr>
                </w:p>
              </w:tc>
              <w:tc>
                <w:tcPr>
                  <w:tcW w:w="1276" w:type="dxa"/>
                  <w:tcBorders>
                    <w:top w:val="nil"/>
                    <w:left w:val="nil"/>
                    <w:bottom w:val="single" w:sz="4" w:space="0" w:color="auto"/>
                    <w:right w:val="single" w:sz="4" w:space="0" w:color="auto"/>
                  </w:tcBorders>
                  <w:shd w:val="clear" w:color="000000" w:fill="D9D9D9"/>
                  <w:noWrap/>
                  <w:vAlign w:val="center"/>
                  <w:hideMark/>
                </w:tcPr>
                <w:p w14:paraId="1C0EA0E9" w14:textId="77777777" w:rsidR="000A660F" w:rsidRPr="002F5BD9" w:rsidRDefault="000A660F" w:rsidP="003309D5">
                  <w:pPr>
                    <w:spacing w:after="0" w:line="240" w:lineRule="auto"/>
                    <w:jc w:val="center"/>
                    <w:rPr>
                      <w:rFonts w:eastAsia="Times New Roman" w:cs="Times New Roman"/>
                      <w:b/>
                      <w:bCs/>
                      <w:sz w:val="20"/>
                      <w:szCs w:val="16"/>
                      <w:lang w:eastAsia="lv-LV"/>
                    </w:rPr>
                  </w:pPr>
                  <w:r w:rsidRPr="002F5BD9">
                    <w:rPr>
                      <w:rFonts w:eastAsia="Times New Roman" w:cs="Times New Roman"/>
                      <w:b/>
                      <w:bCs/>
                      <w:sz w:val="20"/>
                      <w:szCs w:val="16"/>
                      <w:lang w:eastAsia="lv-LV"/>
                    </w:rPr>
                    <w:t>27 643 828</w:t>
                  </w:r>
                </w:p>
              </w:tc>
              <w:tc>
                <w:tcPr>
                  <w:tcW w:w="850" w:type="dxa"/>
                  <w:tcBorders>
                    <w:top w:val="nil"/>
                    <w:left w:val="nil"/>
                    <w:bottom w:val="single" w:sz="4" w:space="0" w:color="auto"/>
                    <w:right w:val="nil"/>
                  </w:tcBorders>
                  <w:shd w:val="clear" w:color="auto" w:fill="auto"/>
                  <w:noWrap/>
                  <w:vAlign w:val="center"/>
                  <w:hideMark/>
                </w:tcPr>
                <w:p w14:paraId="783FD98A" w14:textId="77777777" w:rsidR="000A660F" w:rsidRPr="002F5BD9" w:rsidRDefault="000A660F" w:rsidP="003309D5">
                  <w:pPr>
                    <w:spacing w:after="0" w:line="240" w:lineRule="auto"/>
                    <w:jc w:val="center"/>
                    <w:rPr>
                      <w:rFonts w:eastAsia="Times New Roman" w:cs="Times New Roman"/>
                      <w:sz w:val="20"/>
                      <w:szCs w:val="16"/>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44898D9A" w14:textId="77777777" w:rsidR="000A660F" w:rsidRPr="002F5BD9" w:rsidRDefault="000A660F" w:rsidP="003309D5">
                  <w:pPr>
                    <w:spacing w:after="0" w:line="240" w:lineRule="auto"/>
                    <w:jc w:val="center"/>
                    <w:rPr>
                      <w:rFonts w:eastAsia="Times New Roman" w:cs="Times New Roman"/>
                      <w:sz w:val="20"/>
                      <w:szCs w:val="16"/>
                      <w:lang w:eastAsia="lv-LV"/>
                    </w:rPr>
                  </w:pPr>
                </w:p>
              </w:tc>
              <w:tc>
                <w:tcPr>
                  <w:tcW w:w="1335" w:type="dxa"/>
                  <w:tcBorders>
                    <w:top w:val="nil"/>
                    <w:left w:val="nil"/>
                    <w:bottom w:val="single" w:sz="4" w:space="0" w:color="auto"/>
                    <w:right w:val="single" w:sz="4" w:space="0" w:color="auto"/>
                  </w:tcBorders>
                  <w:shd w:val="clear" w:color="000000" w:fill="D9D9D9"/>
                  <w:noWrap/>
                  <w:vAlign w:val="center"/>
                  <w:hideMark/>
                </w:tcPr>
                <w:p w14:paraId="6C0A1A32" w14:textId="77777777" w:rsidR="000A660F" w:rsidRPr="002F5BD9" w:rsidRDefault="000A660F" w:rsidP="003309D5">
                  <w:pPr>
                    <w:spacing w:after="0" w:line="240" w:lineRule="auto"/>
                    <w:jc w:val="center"/>
                    <w:rPr>
                      <w:rFonts w:eastAsia="Times New Roman" w:cs="Times New Roman"/>
                      <w:b/>
                      <w:bCs/>
                      <w:sz w:val="20"/>
                      <w:szCs w:val="16"/>
                      <w:lang w:eastAsia="lv-LV"/>
                    </w:rPr>
                  </w:pPr>
                  <w:r w:rsidRPr="002F5BD9">
                    <w:rPr>
                      <w:rFonts w:eastAsia="Times New Roman" w:cs="Times New Roman"/>
                      <w:b/>
                      <w:bCs/>
                      <w:sz w:val="20"/>
                      <w:szCs w:val="16"/>
                      <w:lang w:eastAsia="lv-LV"/>
                    </w:rPr>
                    <w:t>38 311 884</w:t>
                  </w:r>
                </w:p>
              </w:tc>
              <w:tc>
                <w:tcPr>
                  <w:tcW w:w="1500" w:type="dxa"/>
                  <w:tcBorders>
                    <w:top w:val="nil"/>
                    <w:left w:val="nil"/>
                    <w:bottom w:val="single" w:sz="4" w:space="0" w:color="auto"/>
                    <w:right w:val="nil"/>
                  </w:tcBorders>
                  <w:shd w:val="clear" w:color="auto" w:fill="auto"/>
                  <w:vAlign w:val="center"/>
                  <w:hideMark/>
                </w:tcPr>
                <w:p w14:paraId="5A9BD46B" w14:textId="77777777" w:rsidR="000A660F" w:rsidRPr="002F5BD9" w:rsidRDefault="000A660F" w:rsidP="003309D5">
                  <w:pPr>
                    <w:spacing w:after="0" w:line="240" w:lineRule="auto"/>
                    <w:jc w:val="center"/>
                    <w:rPr>
                      <w:rFonts w:eastAsia="Times New Roman" w:cs="Times New Roman"/>
                      <w:b/>
                      <w:bCs/>
                      <w:sz w:val="20"/>
                      <w:szCs w:val="16"/>
                      <w:lang w:eastAsia="lv-LV"/>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730E836" w14:textId="77777777" w:rsidR="000A660F" w:rsidRPr="002F5BD9" w:rsidRDefault="000A660F" w:rsidP="003309D5">
                  <w:pPr>
                    <w:spacing w:after="0" w:line="240" w:lineRule="auto"/>
                    <w:jc w:val="center"/>
                    <w:rPr>
                      <w:rFonts w:eastAsia="Times New Roman" w:cs="Times New Roman"/>
                      <w:sz w:val="20"/>
                      <w:szCs w:val="16"/>
                      <w:lang w:eastAsia="lv-LV"/>
                    </w:rPr>
                  </w:pPr>
                  <w:r w:rsidRPr="002F5BD9">
                    <w:rPr>
                      <w:rFonts w:eastAsia="Times New Roman" w:cs="Times New Roman"/>
                      <w:sz w:val="20"/>
                      <w:szCs w:val="16"/>
                      <w:lang w:eastAsia="lv-LV"/>
                    </w:rPr>
                    <w:t>Pamatbudžets</w:t>
                  </w:r>
                </w:p>
              </w:tc>
            </w:tr>
          </w:tbl>
          <w:p w14:paraId="02D85597" w14:textId="77777777" w:rsidR="000A660F" w:rsidRDefault="000A660F" w:rsidP="003309D5">
            <w:pPr>
              <w:spacing w:after="0" w:line="240" w:lineRule="auto"/>
              <w:rPr>
                <w:rFonts w:eastAsia="Times New Roman" w:cs="Times New Roman"/>
                <w:b/>
                <w:sz w:val="20"/>
                <w:szCs w:val="20"/>
                <w:lang w:eastAsia="lv-LV"/>
              </w:rPr>
            </w:pPr>
          </w:p>
          <w:p w14:paraId="40583136" w14:textId="77777777" w:rsidR="000A660F" w:rsidRPr="0084779C" w:rsidRDefault="000A660F" w:rsidP="003309D5">
            <w:pPr>
              <w:spacing w:after="0" w:line="240" w:lineRule="auto"/>
              <w:jc w:val="both"/>
              <w:rPr>
                <w:rFonts w:eastAsia="Times New Roman" w:cs="Times New Roman"/>
                <w:lang w:eastAsia="lv-LV"/>
              </w:rPr>
            </w:pPr>
            <w:r w:rsidRPr="0084779C">
              <w:rPr>
                <w:rFonts w:eastAsia="Times New Roman" w:cs="Times New Roman"/>
                <w:lang w:eastAsia="lv-LV"/>
              </w:rPr>
              <w:t xml:space="preserve">Prognozētais pabalstu un pensiju saņēmēju skaits 2023. un 2024.gadā ir personu skaits, kas izmantots aprēķinā 2021.gadam (veicot grozījumus likumā “Par valsts pensijām” un Valsts sociālo pabalstu likumā,  kuri stājās spēkā no 01.01.2021.). Jaunāki dati par personu skaitu šobrīd vēl nav pieejamai, jo </w:t>
            </w:r>
            <w:r w:rsidRPr="0084779C">
              <w:rPr>
                <w:rFonts w:cs="Times New Roman"/>
                <w:shd w:val="clear" w:color="auto" w:fill="FFFFFF"/>
              </w:rPr>
              <w:t>Valsts sociālās apdrošināšanas aģentūra</w:t>
            </w:r>
            <w:r>
              <w:rPr>
                <w:rFonts w:cs="Times New Roman"/>
                <w:shd w:val="clear" w:color="auto" w:fill="FFFFFF"/>
              </w:rPr>
              <w:t xml:space="preserve"> (turpmāk – VSAA)</w:t>
            </w:r>
            <w:r w:rsidRPr="0084779C">
              <w:rPr>
                <w:rFonts w:cs="Times New Roman"/>
                <w:shd w:val="clear" w:color="auto" w:fill="FFFFFF"/>
              </w:rPr>
              <w:t xml:space="preserve"> minimālo pensiju un nodrošinājuma pabalstu izmaksu no 2021.gada gada janvāra līdz aprīlim</w:t>
            </w:r>
            <w:r w:rsidRPr="0084779C">
              <w:rPr>
                <w:rFonts w:eastAsia="Times New Roman" w:cs="Times New Roman"/>
                <w:lang w:eastAsia="lv-LV"/>
              </w:rPr>
              <w:t xml:space="preserve"> </w:t>
            </w:r>
            <w:r w:rsidRPr="0084779C">
              <w:rPr>
                <w:rFonts w:cs="Times New Roman"/>
                <w:shd w:val="clear" w:color="auto" w:fill="FFFFFF"/>
              </w:rPr>
              <w:t>nodrošināja atbilstoši apmēram un regulējumam, kāds bija noteikts līdz 2020. gada 31. decembrim,</w:t>
            </w:r>
            <w:r w:rsidRPr="0084779C">
              <w:rPr>
                <w:rFonts w:eastAsia="Times New Roman" w:cs="Times New Roman"/>
                <w:lang w:eastAsia="lv-LV"/>
              </w:rPr>
              <w:t xml:space="preserve"> un </w:t>
            </w:r>
            <w:r>
              <w:rPr>
                <w:rFonts w:eastAsia="Times New Roman" w:cs="Times New Roman"/>
                <w:lang w:eastAsia="lv-LV"/>
              </w:rPr>
              <w:t xml:space="preserve">2021.gada </w:t>
            </w:r>
            <w:r w:rsidRPr="0084779C">
              <w:rPr>
                <w:rFonts w:eastAsia="Times New Roman" w:cs="Times New Roman"/>
                <w:lang w:eastAsia="lv-LV"/>
              </w:rPr>
              <w:t xml:space="preserve">maijā </w:t>
            </w:r>
            <w:r w:rsidRPr="0084779C">
              <w:rPr>
                <w:rFonts w:cs="Times New Roman"/>
                <w:shd w:val="clear" w:color="auto" w:fill="FFFFFF"/>
              </w:rPr>
              <w:t>minimālo valsts pensiju (vecuma, invaliditātes un apgādnieka zaudējuma gadījumā) un valsts sociālā nodrošinājuma pabalsta saņēmēji saņem pārrēķinu par laiku no š.g. 1. janvāra līdz 30. aprīlim atbilstoši jaunajiem minimālo ienākumu sliekšņiem.</w:t>
            </w:r>
            <w:r w:rsidRPr="0084779C">
              <w:rPr>
                <w:rFonts w:eastAsia="Times New Roman" w:cs="Times New Roman"/>
                <w:lang w:eastAsia="lv-LV"/>
              </w:rPr>
              <w:t xml:space="preserve"> Tādējādi jaunākie dati par pabalstu un pensiju saņēmējiem būs pieejami ātrākais 2021.gada jūnijā. Ņemot vērā minēto, pabalstu un pensiju saņēmēju skaits 2023. un 2024.gadā var mainīties un attiecīgi arī nepieciešamais finansējums. </w:t>
            </w:r>
          </w:p>
          <w:p w14:paraId="1264B6AB" w14:textId="77777777" w:rsidR="000A660F" w:rsidRPr="0084779C" w:rsidRDefault="000A660F" w:rsidP="003309D5">
            <w:pPr>
              <w:spacing w:after="0" w:line="240" w:lineRule="auto"/>
              <w:jc w:val="both"/>
              <w:rPr>
                <w:rFonts w:eastAsia="Times New Roman" w:cs="Times New Roman"/>
                <w:lang w:eastAsia="lv-LV"/>
              </w:rPr>
            </w:pPr>
          </w:p>
          <w:p w14:paraId="3CC084A1" w14:textId="77777777" w:rsidR="000A660F" w:rsidRDefault="000A660F" w:rsidP="003309D5">
            <w:pPr>
              <w:spacing w:after="0" w:line="240" w:lineRule="auto"/>
              <w:jc w:val="both"/>
              <w:rPr>
                <w:rFonts w:eastAsia="Times New Roman" w:cs="Times New Roman"/>
                <w:lang w:eastAsia="lv-LV"/>
              </w:rPr>
            </w:pPr>
            <w:r w:rsidRPr="0084779C">
              <w:rPr>
                <w:rFonts w:eastAsia="Times New Roman" w:cs="Times New Roman"/>
                <w:lang w:eastAsia="lv-LV"/>
              </w:rPr>
              <w:t xml:space="preserve">Pensiju saņēmēju skaita aprēķinā </w:t>
            </w:r>
            <w:r w:rsidRPr="0084779C">
              <w:rPr>
                <w:rFonts w:cs="Times New Roman"/>
              </w:rPr>
              <w:t xml:space="preserve">ņemta vērā VSAA statistika par pensiju saņēmējiem, kuru pensijas apmērs ir līdz jaunajam minimumam, un šo personu šobrīd vidējās pensijas apmēra (bez piemaksas) starpība līdz noteiktam minimumam par katru stāža gadu; skaita īpatsvars pielīdzināts budžeta bāzes kontingentam. </w:t>
            </w:r>
            <w:r w:rsidRPr="0084779C">
              <w:rPr>
                <w:rFonts w:eastAsia="Times New Roman" w:cs="Times New Roman"/>
                <w:lang w:eastAsia="lv-LV"/>
              </w:rPr>
              <w:t xml:space="preserve">Vidējo pensiju un pabalstu apmēra palielinājums balstīts uz provizorisko pensiju un pabalstu apmēru 2023. un 2024.gadam, pamatojoties uz rīcībā esošās mediānas plānotajiem apmēriem. </w:t>
            </w:r>
          </w:p>
          <w:p w14:paraId="40ACEB68" w14:textId="77777777" w:rsidR="000A660F" w:rsidRPr="0084779C" w:rsidRDefault="000A660F" w:rsidP="003309D5">
            <w:pPr>
              <w:spacing w:after="0" w:line="240" w:lineRule="auto"/>
              <w:jc w:val="both"/>
              <w:rPr>
                <w:rFonts w:eastAsia="Times New Roman" w:cs="Times New Roman"/>
                <w:lang w:eastAsia="lv-LV"/>
              </w:rPr>
            </w:pPr>
          </w:p>
          <w:p w14:paraId="44CFC33B" w14:textId="77777777" w:rsidR="000A660F" w:rsidRPr="0084779C" w:rsidRDefault="000A660F" w:rsidP="003309D5">
            <w:pPr>
              <w:spacing w:after="0" w:line="240" w:lineRule="auto"/>
              <w:jc w:val="both"/>
              <w:rPr>
                <w:rFonts w:eastAsia="Times New Roman" w:cs="Times New Roman"/>
                <w:lang w:eastAsia="lv-LV"/>
              </w:rPr>
            </w:pPr>
            <w:r w:rsidRPr="0084779C">
              <w:rPr>
                <w:rFonts w:eastAsia="Times New Roman" w:cs="Times New Roman"/>
                <w:lang w:eastAsia="lv-LV"/>
              </w:rPr>
              <w:t xml:space="preserve">2023.gadā plānotās mediānas izmaiņas pret 2021.gadā un 2022.gadā spēkā esošajiem apmēriem 20% no rīcībā esošās ienākumu mediānas ir 122 eiro (palielinājums 13 EUR), 25% = 153 eiro (palielinājums 17 EUR), 30% = 183 eiro (palielinājums 20 EUR). </w:t>
            </w:r>
          </w:p>
          <w:p w14:paraId="71818F17" w14:textId="77777777" w:rsidR="000A660F" w:rsidRDefault="000A660F" w:rsidP="003309D5">
            <w:pPr>
              <w:spacing w:after="0" w:line="240" w:lineRule="auto"/>
              <w:jc w:val="both"/>
              <w:rPr>
                <w:rFonts w:eastAsia="Times New Roman" w:cs="Times New Roman"/>
                <w:lang w:eastAsia="lv-LV"/>
              </w:rPr>
            </w:pPr>
            <w:r w:rsidRPr="0084779C">
              <w:rPr>
                <w:rFonts w:eastAsia="Times New Roman" w:cs="Times New Roman"/>
                <w:lang w:eastAsia="lv-LV"/>
              </w:rPr>
              <w:t>2024.gadā plānotās mediānas izmaiņas pret 2023.gadu: 20% no rīcībā esošās ienākumu mediānas = 127 eiro (palielinājums 5 EUR); 25% = 159 eiro (palielinājums 6 EUR); 30% = 191 eiro (palielinājums 8 EUR).</w:t>
            </w:r>
            <w:r>
              <w:rPr>
                <w:rFonts w:eastAsia="Times New Roman" w:cs="Times New Roman"/>
                <w:lang w:eastAsia="lv-LV"/>
              </w:rPr>
              <w:t xml:space="preserve"> </w:t>
            </w:r>
          </w:p>
          <w:p w14:paraId="125B4B56" w14:textId="77777777" w:rsidR="000A660F" w:rsidRDefault="000A660F" w:rsidP="003309D5">
            <w:pPr>
              <w:spacing w:after="0" w:line="240" w:lineRule="auto"/>
              <w:jc w:val="both"/>
              <w:rPr>
                <w:rFonts w:eastAsia="Times New Roman" w:cs="Times New Roman"/>
                <w:lang w:eastAsia="lv-LV"/>
              </w:rPr>
            </w:pPr>
            <w:r>
              <w:rPr>
                <w:rFonts w:eastAsia="Times New Roman" w:cs="Times New Roman"/>
                <w:lang w:eastAsia="lv-LV"/>
              </w:rPr>
              <w:t xml:space="preserve">Izmaiņas valsts noteikto minimālo pensiju un pabalsta apmēros atbilstoši mediānas izmaiņām 2023. un 2024.gadā atspoguļotas tabulā 3.7. </w:t>
            </w:r>
          </w:p>
          <w:p w14:paraId="5365DDF6" w14:textId="77777777" w:rsidR="000A660F" w:rsidRDefault="000A660F" w:rsidP="003309D5">
            <w:pPr>
              <w:spacing w:after="0" w:line="240" w:lineRule="auto"/>
              <w:jc w:val="both"/>
              <w:rPr>
                <w:rFonts w:eastAsia="Times New Roman" w:cs="Times New Roman"/>
                <w:lang w:eastAsia="lv-LV"/>
              </w:rPr>
            </w:pPr>
          </w:p>
          <w:p w14:paraId="0600F74B" w14:textId="77777777" w:rsidR="000A660F" w:rsidRDefault="000A660F" w:rsidP="003309D5">
            <w:pPr>
              <w:spacing w:after="0" w:line="240" w:lineRule="auto"/>
              <w:jc w:val="both"/>
              <w:rPr>
                <w:rFonts w:eastAsia="Times New Roman" w:cs="Times New Roman"/>
                <w:lang w:eastAsia="lv-LV"/>
              </w:rPr>
            </w:pPr>
            <w:r>
              <w:rPr>
                <w:rFonts w:eastAsia="Times New Roman" w:cs="Times New Roman"/>
                <w:lang w:eastAsia="lv-LV"/>
              </w:rPr>
              <w:t>Tabula 3.7. Minimālie ienākumi sliekšņi valsts noteiktām pensijām un pabalstam 2021.gadā un prognozes 2023.-2024.gadā</w:t>
            </w:r>
            <w:r w:rsidRPr="0084779C">
              <w:rPr>
                <w:rFonts w:eastAsia="Times New Roman" w:cs="Times New Roman"/>
                <w:lang w:eastAsia="lv-LV"/>
              </w:rPr>
              <w:t xml:space="preserve">: </w:t>
            </w:r>
          </w:p>
          <w:p w14:paraId="6E1BB250" w14:textId="77777777" w:rsidR="000A660F" w:rsidRDefault="000A660F" w:rsidP="003309D5">
            <w:pPr>
              <w:spacing w:after="0" w:line="240" w:lineRule="auto"/>
              <w:jc w:val="both"/>
              <w:rPr>
                <w:rFonts w:eastAsia="Times New Roman" w:cs="Times New Roman"/>
                <w:lang w:eastAsia="lv-LV"/>
              </w:rPr>
            </w:pP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042"/>
              <w:gridCol w:w="1701"/>
              <w:gridCol w:w="2694"/>
              <w:gridCol w:w="2126"/>
              <w:gridCol w:w="2270"/>
              <w:gridCol w:w="3685"/>
            </w:tblGrid>
            <w:tr w:rsidR="000A660F" w:rsidRPr="000F25A7" w14:paraId="5B915CA8" w14:textId="77777777" w:rsidTr="003309D5">
              <w:trPr>
                <w:trHeight w:val="219"/>
              </w:trPr>
              <w:tc>
                <w:tcPr>
                  <w:tcW w:w="14518" w:type="dxa"/>
                  <w:gridSpan w:val="6"/>
                  <w:shd w:val="clear" w:color="auto" w:fill="C6D9F1" w:themeFill="text2" w:themeFillTint="33"/>
                </w:tcPr>
                <w:p w14:paraId="37949E80" w14:textId="77777777" w:rsidR="000A660F" w:rsidRPr="000F25A7" w:rsidRDefault="000A660F" w:rsidP="003309D5">
                  <w:pPr>
                    <w:spacing w:before="120" w:after="120" w:line="240" w:lineRule="auto"/>
                    <w:jc w:val="center"/>
                    <w:textAlignment w:val="baseline"/>
                    <w:rPr>
                      <w:rFonts w:eastAsia="MS PGothic" w:cs="Times New Roman"/>
                      <w:b/>
                      <w:bCs/>
                      <w:iCs/>
                      <w:kern w:val="24"/>
                      <w:sz w:val="22"/>
                      <w:lang w:eastAsia="lv-LV"/>
                    </w:rPr>
                  </w:pPr>
                  <w:r w:rsidRPr="000F25A7">
                    <w:rPr>
                      <w:rFonts w:eastAsia="MS PGothic" w:cs="Times New Roman"/>
                      <w:b/>
                      <w:bCs/>
                      <w:iCs/>
                      <w:kern w:val="24"/>
                      <w:sz w:val="22"/>
                      <w:lang w:eastAsia="lv-LV"/>
                    </w:rPr>
                    <w:t>Valsts sociālā nodrošinājuma pabalsta paaugstināšana</w:t>
                  </w:r>
                </w:p>
              </w:tc>
            </w:tr>
            <w:tr w:rsidR="000A660F" w:rsidRPr="000F25A7" w14:paraId="7679CBFC" w14:textId="77777777" w:rsidTr="003309D5">
              <w:trPr>
                <w:trHeight w:val="219"/>
              </w:trPr>
              <w:tc>
                <w:tcPr>
                  <w:tcW w:w="14518" w:type="dxa"/>
                  <w:gridSpan w:val="6"/>
                  <w:shd w:val="clear" w:color="auto" w:fill="E5DFEC" w:themeFill="accent4" w:themeFillTint="33"/>
                </w:tcPr>
                <w:p w14:paraId="729C6FCC" w14:textId="77777777" w:rsidR="000A660F" w:rsidRPr="000F25A7" w:rsidRDefault="000A660F" w:rsidP="003309D5">
                  <w:pPr>
                    <w:spacing w:before="120" w:after="120" w:line="240" w:lineRule="auto"/>
                    <w:jc w:val="center"/>
                    <w:textAlignment w:val="baseline"/>
                    <w:rPr>
                      <w:rFonts w:eastAsia="MS PGothic" w:cs="Times New Roman"/>
                      <w:b/>
                      <w:bCs/>
                      <w:iCs/>
                      <w:kern w:val="24"/>
                      <w:sz w:val="22"/>
                      <w:lang w:eastAsia="lv-LV"/>
                    </w:rPr>
                  </w:pPr>
                  <w:r w:rsidRPr="000F25A7">
                    <w:rPr>
                      <w:rFonts w:eastAsia="MS PGothic" w:cs="Times New Roman"/>
                      <w:b/>
                      <w:bCs/>
                      <w:iCs/>
                      <w:kern w:val="24"/>
                      <w:sz w:val="22"/>
                      <w:lang w:eastAsia="lv-LV"/>
                    </w:rPr>
                    <w:t xml:space="preserve">Personām ar invaliditāti </w:t>
                  </w:r>
                </w:p>
              </w:tc>
            </w:tr>
            <w:tr w:rsidR="000A660F" w:rsidRPr="000F25A7" w14:paraId="783CD320" w14:textId="77777777" w:rsidTr="003309D5">
              <w:trPr>
                <w:trHeight w:val="240"/>
              </w:trPr>
              <w:tc>
                <w:tcPr>
                  <w:tcW w:w="2042" w:type="dxa"/>
                  <w:shd w:val="clear" w:color="auto" w:fill="auto"/>
                  <w:tcMar>
                    <w:top w:w="72" w:type="dxa"/>
                    <w:left w:w="144" w:type="dxa"/>
                    <w:bottom w:w="72" w:type="dxa"/>
                    <w:right w:w="144" w:type="dxa"/>
                  </w:tcMar>
                </w:tcPr>
                <w:p w14:paraId="39936B86" w14:textId="77777777" w:rsidR="000A660F" w:rsidRPr="000F25A7" w:rsidRDefault="000A660F" w:rsidP="003309D5">
                  <w:pPr>
                    <w:spacing w:after="0" w:line="240" w:lineRule="auto"/>
                    <w:jc w:val="center"/>
                    <w:textAlignment w:val="baseline"/>
                    <w:rPr>
                      <w:rFonts w:eastAsia="MS PGothic" w:cs="Times New Roman"/>
                      <w:b/>
                      <w:kern w:val="24"/>
                      <w:sz w:val="22"/>
                      <w:lang w:eastAsia="lv-LV"/>
                    </w:rPr>
                  </w:pPr>
                  <w:r w:rsidRPr="000F25A7">
                    <w:rPr>
                      <w:rFonts w:eastAsia="MS PGothic" w:cs="Times New Roman"/>
                      <w:b/>
                      <w:kern w:val="24"/>
                      <w:sz w:val="22"/>
                      <w:lang w:eastAsia="lv-LV"/>
                    </w:rPr>
                    <w:t>Invaliditātes grupa</w:t>
                  </w:r>
                </w:p>
              </w:tc>
              <w:tc>
                <w:tcPr>
                  <w:tcW w:w="1701" w:type="dxa"/>
                  <w:shd w:val="clear" w:color="auto" w:fill="auto"/>
                  <w:tcMar>
                    <w:top w:w="72" w:type="dxa"/>
                    <w:left w:w="144" w:type="dxa"/>
                    <w:bottom w:w="72" w:type="dxa"/>
                    <w:right w:w="144" w:type="dxa"/>
                  </w:tcMar>
                </w:tcPr>
                <w:p w14:paraId="6790B996"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b/>
                      <w:bCs/>
                      <w:kern w:val="24"/>
                      <w:sz w:val="22"/>
                      <w:lang w:eastAsia="lv-LV"/>
                    </w:rPr>
                    <w:t>Koeficients</w:t>
                  </w:r>
                </w:p>
              </w:tc>
              <w:tc>
                <w:tcPr>
                  <w:tcW w:w="2694" w:type="dxa"/>
                  <w:shd w:val="clear" w:color="auto" w:fill="auto"/>
                  <w:tcMar>
                    <w:top w:w="72" w:type="dxa"/>
                    <w:left w:w="144" w:type="dxa"/>
                    <w:bottom w:w="72" w:type="dxa"/>
                    <w:right w:w="144" w:type="dxa"/>
                  </w:tcMar>
                  <w:vAlign w:val="center"/>
                </w:tcPr>
                <w:p w14:paraId="362C9B64"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b/>
                      <w:bCs/>
                      <w:kern w:val="24"/>
                      <w:sz w:val="22"/>
                      <w:lang w:eastAsia="lv-LV"/>
                    </w:rPr>
                    <w:t>Esošais apmērs no 01.01.2021.</w:t>
                  </w:r>
                </w:p>
              </w:tc>
              <w:tc>
                <w:tcPr>
                  <w:tcW w:w="4396" w:type="dxa"/>
                  <w:gridSpan w:val="2"/>
                  <w:shd w:val="clear" w:color="auto" w:fill="auto"/>
                  <w:tcMar>
                    <w:top w:w="72" w:type="dxa"/>
                    <w:left w:w="144" w:type="dxa"/>
                    <w:bottom w:w="72" w:type="dxa"/>
                    <w:right w:w="144" w:type="dxa"/>
                  </w:tcMar>
                  <w:vAlign w:val="center"/>
                </w:tcPr>
                <w:p w14:paraId="68521462"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01.01.2023.</w:t>
                  </w:r>
                </w:p>
              </w:tc>
              <w:tc>
                <w:tcPr>
                  <w:tcW w:w="3685" w:type="dxa"/>
                  <w:vAlign w:val="center"/>
                </w:tcPr>
                <w:p w14:paraId="2FE4D143"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01.01.2024.</w:t>
                  </w:r>
                </w:p>
              </w:tc>
            </w:tr>
            <w:tr w:rsidR="000A660F" w:rsidRPr="000F25A7" w14:paraId="28BA59C1" w14:textId="77777777" w:rsidTr="003309D5">
              <w:trPr>
                <w:trHeight w:val="309"/>
              </w:trPr>
              <w:tc>
                <w:tcPr>
                  <w:tcW w:w="2042" w:type="dxa"/>
                  <w:shd w:val="clear" w:color="auto" w:fill="auto"/>
                  <w:tcMar>
                    <w:top w:w="72" w:type="dxa"/>
                    <w:left w:w="144" w:type="dxa"/>
                    <w:bottom w:w="72" w:type="dxa"/>
                    <w:right w:w="144" w:type="dxa"/>
                  </w:tcMar>
                  <w:hideMark/>
                </w:tcPr>
                <w:p w14:paraId="507C6005"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kern w:val="24"/>
                      <w:sz w:val="22"/>
                      <w:lang w:eastAsia="lv-LV"/>
                    </w:rPr>
                    <w:t>I grupa</w:t>
                  </w:r>
                </w:p>
              </w:tc>
              <w:tc>
                <w:tcPr>
                  <w:tcW w:w="1701" w:type="dxa"/>
                  <w:shd w:val="clear" w:color="auto" w:fill="auto"/>
                  <w:tcMar>
                    <w:top w:w="72" w:type="dxa"/>
                    <w:left w:w="144" w:type="dxa"/>
                    <w:bottom w:w="72" w:type="dxa"/>
                    <w:right w:w="144" w:type="dxa"/>
                  </w:tcMar>
                  <w:hideMark/>
                </w:tcPr>
                <w:p w14:paraId="4E7C8126"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iCs/>
                      <w:kern w:val="24"/>
                      <w:sz w:val="22"/>
                      <w:lang w:eastAsia="lv-LV"/>
                    </w:rPr>
                    <w:t xml:space="preserve">1,4 </w:t>
                  </w:r>
                </w:p>
              </w:tc>
              <w:tc>
                <w:tcPr>
                  <w:tcW w:w="2694" w:type="dxa"/>
                  <w:shd w:val="clear" w:color="auto" w:fill="auto"/>
                  <w:tcMar>
                    <w:top w:w="72" w:type="dxa"/>
                    <w:left w:w="144" w:type="dxa"/>
                    <w:bottom w:w="72" w:type="dxa"/>
                    <w:right w:w="144" w:type="dxa"/>
                  </w:tcMar>
                  <w:hideMark/>
                </w:tcPr>
                <w:p w14:paraId="197366C6"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 xml:space="preserve">190,40 </w:t>
                  </w:r>
                </w:p>
              </w:tc>
              <w:tc>
                <w:tcPr>
                  <w:tcW w:w="4396" w:type="dxa"/>
                  <w:gridSpan w:val="2"/>
                  <w:shd w:val="clear" w:color="auto" w:fill="auto"/>
                  <w:tcMar>
                    <w:top w:w="72" w:type="dxa"/>
                    <w:left w:w="144" w:type="dxa"/>
                    <w:bottom w:w="72" w:type="dxa"/>
                    <w:right w:w="144" w:type="dxa"/>
                  </w:tcMar>
                </w:tcPr>
                <w:p w14:paraId="7B3A76D8"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bCs/>
                      <w:kern w:val="24"/>
                      <w:sz w:val="22"/>
                      <w:lang w:eastAsia="lv-LV"/>
                    </w:rPr>
                    <w:t>214, 20</w:t>
                  </w:r>
                </w:p>
              </w:tc>
              <w:tc>
                <w:tcPr>
                  <w:tcW w:w="3685" w:type="dxa"/>
                </w:tcPr>
                <w:p w14:paraId="0CEE3029"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222, 60</w:t>
                  </w:r>
                </w:p>
              </w:tc>
            </w:tr>
            <w:tr w:rsidR="000A660F" w:rsidRPr="000F25A7" w14:paraId="4B355B3F" w14:textId="77777777" w:rsidTr="003309D5">
              <w:trPr>
                <w:trHeight w:val="205"/>
              </w:trPr>
              <w:tc>
                <w:tcPr>
                  <w:tcW w:w="3743" w:type="dxa"/>
                  <w:gridSpan w:val="2"/>
                  <w:shd w:val="clear" w:color="auto" w:fill="auto"/>
                  <w:tcMar>
                    <w:top w:w="72" w:type="dxa"/>
                    <w:left w:w="144" w:type="dxa"/>
                    <w:bottom w:w="72" w:type="dxa"/>
                    <w:right w:w="144" w:type="dxa"/>
                  </w:tcMar>
                </w:tcPr>
                <w:p w14:paraId="1012182F"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nestrādājošs</w:t>
                  </w:r>
                  <w:r w:rsidRPr="000F25A7">
                    <w:rPr>
                      <w:rStyle w:val="FootnoteReference"/>
                      <w:rFonts w:eastAsia="MS PGothic"/>
                      <w:iCs/>
                      <w:kern w:val="24"/>
                      <w:sz w:val="22"/>
                      <w:lang w:eastAsia="lv-LV"/>
                    </w:rPr>
                    <w:footnoteReference w:id="27"/>
                  </w:r>
                </w:p>
              </w:tc>
              <w:tc>
                <w:tcPr>
                  <w:tcW w:w="2694" w:type="dxa"/>
                  <w:shd w:val="clear" w:color="auto" w:fill="auto"/>
                  <w:tcMar>
                    <w:top w:w="72" w:type="dxa"/>
                    <w:left w:w="144" w:type="dxa"/>
                    <w:bottom w:w="72" w:type="dxa"/>
                    <w:right w:w="144" w:type="dxa"/>
                  </w:tcMar>
                </w:tcPr>
                <w:p w14:paraId="2136791A"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247, 52</w:t>
                  </w:r>
                </w:p>
              </w:tc>
              <w:tc>
                <w:tcPr>
                  <w:tcW w:w="4396" w:type="dxa"/>
                  <w:gridSpan w:val="2"/>
                  <w:shd w:val="clear" w:color="auto" w:fill="auto"/>
                  <w:tcMar>
                    <w:top w:w="72" w:type="dxa"/>
                    <w:left w:w="144" w:type="dxa"/>
                    <w:bottom w:w="72" w:type="dxa"/>
                    <w:right w:w="144" w:type="dxa"/>
                  </w:tcMar>
                </w:tcPr>
                <w:p w14:paraId="41D08C7F"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278, 46</w:t>
                  </w:r>
                </w:p>
              </w:tc>
              <w:tc>
                <w:tcPr>
                  <w:tcW w:w="3685" w:type="dxa"/>
                </w:tcPr>
                <w:p w14:paraId="78AACADC"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289, 38</w:t>
                  </w:r>
                </w:p>
              </w:tc>
            </w:tr>
            <w:tr w:rsidR="000A660F" w:rsidRPr="000F25A7" w14:paraId="76E69D7F" w14:textId="77777777" w:rsidTr="003309D5">
              <w:trPr>
                <w:trHeight w:val="278"/>
              </w:trPr>
              <w:tc>
                <w:tcPr>
                  <w:tcW w:w="2042" w:type="dxa"/>
                  <w:shd w:val="clear" w:color="auto" w:fill="auto"/>
                  <w:tcMar>
                    <w:top w:w="72" w:type="dxa"/>
                    <w:left w:w="144" w:type="dxa"/>
                    <w:bottom w:w="72" w:type="dxa"/>
                    <w:right w:w="144" w:type="dxa"/>
                  </w:tcMar>
                  <w:hideMark/>
                </w:tcPr>
                <w:p w14:paraId="58FA6D81"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kern w:val="24"/>
                      <w:sz w:val="22"/>
                      <w:lang w:eastAsia="lv-LV"/>
                    </w:rPr>
                    <w:t>II grupa</w:t>
                  </w:r>
                </w:p>
              </w:tc>
              <w:tc>
                <w:tcPr>
                  <w:tcW w:w="1701" w:type="dxa"/>
                  <w:shd w:val="clear" w:color="auto" w:fill="auto"/>
                  <w:tcMar>
                    <w:top w:w="72" w:type="dxa"/>
                    <w:left w:w="144" w:type="dxa"/>
                    <w:bottom w:w="72" w:type="dxa"/>
                    <w:right w:w="144" w:type="dxa"/>
                  </w:tcMar>
                  <w:hideMark/>
                </w:tcPr>
                <w:p w14:paraId="1A47E41A"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iCs/>
                      <w:kern w:val="24"/>
                      <w:sz w:val="22"/>
                      <w:lang w:eastAsia="lv-LV"/>
                    </w:rPr>
                    <w:t>1,2</w:t>
                  </w:r>
                </w:p>
              </w:tc>
              <w:tc>
                <w:tcPr>
                  <w:tcW w:w="2694" w:type="dxa"/>
                  <w:shd w:val="clear" w:color="auto" w:fill="auto"/>
                  <w:tcMar>
                    <w:top w:w="72" w:type="dxa"/>
                    <w:left w:w="144" w:type="dxa"/>
                    <w:bottom w:w="72" w:type="dxa"/>
                    <w:right w:w="144" w:type="dxa"/>
                  </w:tcMar>
                  <w:hideMark/>
                </w:tcPr>
                <w:p w14:paraId="5306850C"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163,20</w:t>
                  </w:r>
                </w:p>
              </w:tc>
              <w:tc>
                <w:tcPr>
                  <w:tcW w:w="4396" w:type="dxa"/>
                  <w:gridSpan w:val="2"/>
                  <w:shd w:val="clear" w:color="auto" w:fill="auto"/>
                  <w:tcMar>
                    <w:top w:w="72" w:type="dxa"/>
                    <w:left w:w="144" w:type="dxa"/>
                    <w:bottom w:w="72" w:type="dxa"/>
                    <w:right w:w="144" w:type="dxa"/>
                  </w:tcMar>
                </w:tcPr>
                <w:p w14:paraId="3C2B01C4"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bCs/>
                      <w:kern w:val="24"/>
                      <w:sz w:val="22"/>
                      <w:lang w:eastAsia="lv-LV"/>
                    </w:rPr>
                    <w:t>183, 60</w:t>
                  </w:r>
                </w:p>
              </w:tc>
              <w:tc>
                <w:tcPr>
                  <w:tcW w:w="3685" w:type="dxa"/>
                </w:tcPr>
                <w:p w14:paraId="58EF7EF7"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Times New Roman" w:cs="Times New Roman"/>
                      <w:sz w:val="22"/>
                      <w:lang w:eastAsia="lv-LV"/>
                    </w:rPr>
                    <w:t>190, 80</w:t>
                  </w:r>
                </w:p>
              </w:tc>
            </w:tr>
            <w:tr w:rsidR="000A660F" w:rsidRPr="000F25A7" w14:paraId="2B2DC007" w14:textId="77777777" w:rsidTr="003309D5">
              <w:trPr>
                <w:trHeight w:val="122"/>
              </w:trPr>
              <w:tc>
                <w:tcPr>
                  <w:tcW w:w="3743" w:type="dxa"/>
                  <w:gridSpan w:val="2"/>
                  <w:shd w:val="clear" w:color="auto" w:fill="auto"/>
                  <w:tcMar>
                    <w:top w:w="72" w:type="dxa"/>
                    <w:left w:w="144" w:type="dxa"/>
                    <w:bottom w:w="72" w:type="dxa"/>
                    <w:right w:w="144" w:type="dxa"/>
                  </w:tcMar>
                </w:tcPr>
                <w:p w14:paraId="08351431"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nestrādājošs</w:t>
                  </w:r>
                  <w:r w:rsidRPr="000F25A7">
                    <w:rPr>
                      <w:rStyle w:val="FootnoteReference"/>
                      <w:rFonts w:eastAsia="MS PGothic"/>
                      <w:iCs/>
                      <w:kern w:val="24"/>
                      <w:sz w:val="22"/>
                      <w:lang w:eastAsia="lv-LV"/>
                    </w:rPr>
                    <w:footnoteReference w:id="28"/>
                  </w:r>
                </w:p>
              </w:tc>
              <w:tc>
                <w:tcPr>
                  <w:tcW w:w="2694" w:type="dxa"/>
                  <w:shd w:val="clear" w:color="auto" w:fill="auto"/>
                  <w:tcMar>
                    <w:top w:w="72" w:type="dxa"/>
                    <w:left w:w="144" w:type="dxa"/>
                    <w:bottom w:w="72" w:type="dxa"/>
                    <w:right w:w="144" w:type="dxa"/>
                  </w:tcMar>
                </w:tcPr>
                <w:p w14:paraId="7754436F"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195, 84</w:t>
                  </w:r>
                </w:p>
              </w:tc>
              <w:tc>
                <w:tcPr>
                  <w:tcW w:w="4396" w:type="dxa"/>
                  <w:gridSpan w:val="2"/>
                  <w:shd w:val="clear" w:color="auto" w:fill="auto"/>
                  <w:tcMar>
                    <w:top w:w="72" w:type="dxa"/>
                    <w:left w:w="144" w:type="dxa"/>
                    <w:bottom w:w="72" w:type="dxa"/>
                    <w:right w:w="144" w:type="dxa"/>
                  </w:tcMar>
                </w:tcPr>
                <w:p w14:paraId="76ABFCE5"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220, 32</w:t>
                  </w:r>
                </w:p>
              </w:tc>
              <w:tc>
                <w:tcPr>
                  <w:tcW w:w="3685" w:type="dxa"/>
                </w:tcPr>
                <w:p w14:paraId="3F11DBE5"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228, 96</w:t>
                  </w:r>
                </w:p>
              </w:tc>
            </w:tr>
            <w:tr w:rsidR="000A660F" w:rsidRPr="000F25A7" w14:paraId="0714BF63" w14:textId="77777777" w:rsidTr="003309D5">
              <w:trPr>
                <w:trHeight w:val="193"/>
              </w:trPr>
              <w:tc>
                <w:tcPr>
                  <w:tcW w:w="2042" w:type="dxa"/>
                  <w:shd w:val="clear" w:color="auto" w:fill="auto"/>
                  <w:tcMar>
                    <w:top w:w="72" w:type="dxa"/>
                    <w:left w:w="144" w:type="dxa"/>
                    <w:bottom w:w="72" w:type="dxa"/>
                    <w:right w:w="144" w:type="dxa"/>
                  </w:tcMar>
                  <w:hideMark/>
                </w:tcPr>
                <w:p w14:paraId="152C8C3C"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kern w:val="24"/>
                      <w:sz w:val="22"/>
                      <w:lang w:eastAsia="lv-LV"/>
                    </w:rPr>
                    <w:t>III grupa</w:t>
                  </w:r>
                </w:p>
              </w:tc>
              <w:tc>
                <w:tcPr>
                  <w:tcW w:w="1701" w:type="dxa"/>
                  <w:shd w:val="clear" w:color="auto" w:fill="auto"/>
                  <w:tcMar>
                    <w:top w:w="72" w:type="dxa"/>
                    <w:left w:w="144" w:type="dxa"/>
                    <w:bottom w:w="72" w:type="dxa"/>
                    <w:right w:w="144" w:type="dxa"/>
                  </w:tcMar>
                  <w:vAlign w:val="center"/>
                  <w:hideMark/>
                </w:tcPr>
                <w:p w14:paraId="690C9C68"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iCs/>
                      <w:kern w:val="24"/>
                      <w:sz w:val="22"/>
                      <w:lang w:eastAsia="lv-LV"/>
                    </w:rPr>
                    <w:t>Bāze</w:t>
                  </w:r>
                  <w:r w:rsidRPr="000F25A7">
                    <w:rPr>
                      <w:rStyle w:val="FootnoteReference"/>
                      <w:rFonts w:eastAsia="MS PGothic"/>
                      <w:kern w:val="24"/>
                      <w:sz w:val="22"/>
                      <w:lang w:eastAsia="lv-LV"/>
                    </w:rPr>
                    <w:footnoteReference w:id="29"/>
                  </w:r>
                </w:p>
              </w:tc>
              <w:tc>
                <w:tcPr>
                  <w:tcW w:w="2694" w:type="dxa"/>
                  <w:shd w:val="clear" w:color="auto" w:fill="auto"/>
                  <w:tcMar>
                    <w:top w:w="72" w:type="dxa"/>
                    <w:left w:w="144" w:type="dxa"/>
                    <w:bottom w:w="72" w:type="dxa"/>
                    <w:right w:w="144" w:type="dxa"/>
                  </w:tcMar>
                  <w:vAlign w:val="center"/>
                  <w:hideMark/>
                </w:tcPr>
                <w:p w14:paraId="23D92DFB"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bCs/>
                      <w:kern w:val="24"/>
                      <w:sz w:val="22"/>
                      <w:lang w:eastAsia="lv-LV"/>
                    </w:rPr>
                    <w:t>136</w:t>
                  </w:r>
                </w:p>
              </w:tc>
              <w:tc>
                <w:tcPr>
                  <w:tcW w:w="4396" w:type="dxa"/>
                  <w:gridSpan w:val="2"/>
                  <w:vAlign w:val="center"/>
                </w:tcPr>
                <w:p w14:paraId="5DC5B4BF"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Times New Roman" w:cs="Times New Roman"/>
                      <w:sz w:val="22"/>
                      <w:lang w:eastAsia="lv-LV"/>
                    </w:rPr>
                    <w:t>153</w:t>
                  </w:r>
                </w:p>
              </w:tc>
              <w:tc>
                <w:tcPr>
                  <w:tcW w:w="3685" w:type="dxa"/>
                </w:tcPr>
                <w:p w14:paraId="04B3F6EE"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Times New Roman" w:cs="Times New Roman"/>
                      <w:sz w:val="22"/>
                      <w:lang w:eastAsia="lv-LV"/>
                    </w:rPr>
                    <w:t>159</w:t>
                  </w:r>
                </w:p>
              </w:tc>
            </w:tr>
            <w:tr w:rsidR="000A660F" w:rsidRPr="000F25A7" w14:paraId="6C935348" w14:textId="77777777" w:rsidTr="003309D5">
              <w:trPr>
                <w:trHeight w:val="219"/>
              </w:trPr>
              <w:tc>
                <w:tcPr>
                  <w:tcW w:w="14518" w:type="dxa"/>
                  <w:gridSpan w:val="6"/>
                </w:tcPr>
                <w:p w14:paraId="41FEF1E9" w14:textId="77777777" w:rsidR="000A660F" w:rsidRPr="000F25A7" w:rsidRDefault="000A660F" w:rsidP="003309D5">
                  <w:pPr>
                    <w:spacing w:before="60" w:after="60" w:line="240" w:lineRule="auto"/>
                    <w:jc w:val="both"/>
                    <w:textAlignment w:val="baseline"/>
                    <w:rPr>
                      <w:rFonts w:eastAsia="MS PGothic" w:cs="Times New Roman"/>
                      <w:b/>
                      <w:bCs/>
                      <w:iCs/>
                      <w:kern w:val="24"/>
                      <w:sz w:val="22"/>
                      <w:lang w:eastAsia="lv-LV"/>
                    </w:rPr>
                  </w:pPr>
                  <w:r w:rsidRPr="000F25A7">
                    <w:rPr>
                      <w:rFonts w:eastAsia="MS PGothic" w:cs="Times New Roman"/>
                      <w:b/>
                      <w:bCs/>
                      <w:iCs/>
                      <w:kern w:val="24"/>
                      <w:sz w:val="22"/>
                      <w:lang w:eastAsia="lv-LV"/>
                    </w:rPr>
                    <w:t>Pārējās personas ar invaliditāti</w:t>
                  </w:r>
                </w:p>
              </w:tc>
            </w:tr>
            <w:tr w:rsidR="000A660F" w:rsidRPr="000F25A7" w14:paraId="3856C001" w14:textId="77777777" w:rsidTr="003309D5">
              <w:trPr>
                <w:trHeight w:val="140"/>
              </w:trPr>
              <w:tc>
                <w:tcPr>
                  <w:tcW w:w="2042" w:type="dxa"/>
                  <w:shd w:val="clear" w:color="auto" w:fill="auto"/>
                  <w:tcMar>
                    <w:top w:w="72" w:type="dxa"/>
                    <w:left w:w="144" w:type="dxa"/>
                    <w:bottom w:w="72" w:type="dxa"/>
                    <w:right w:w="144" w:type="dxa"/>
                  </w:tcMar>
                  <w:hideMark/>
                </w:tcPr>
                <w:p w14:paraId="6AEED09D"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kern w:val="24"/>
                      <w:sz w:val="22"/>
                      <w:lang w:eastAsia="lv-LV"/>
                    </w:rPr>
                    <w:t>I grupa</w:t>
                  </w:r>
                </w:p>
              </w:tc>
              <w:tc>
                <w:tcPr>
                  <w:tcW w:w="1701" w:type="dxa"/>
                  <w:shd w:val="clear" w:color="auto" w:fill="auto"/>
                  <w:tcMar>
                    <w:top w:w="72" w:type="dxa"/>
                    <w:left w:w="144" w:type="dxa"/>
                    <w:bottom w:w="72" w:type="dxa"/>
                    <w:right w:w="144" w:type="dxa"/>
                  </w:tcMar>
                  <w:hideMark/>
                </w:tcPr>
                <w:p w14:paraId="66C600C2"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iCs/>
                      <w:kern w:val="24"/>
                      <w:sz w:val="22"/>
                      <w:lang w:eastAsia="lv-LV"/>
                    </w:rPr>
                    <w:t>1,4</w:t>
                  </w:r>
                </w:p>
              </w:tc>
              <w:tc>
                <w:tcPr>
                  <w:tcW w:w="2694" w:type="dxa"/>
                  <w:shd w:val="clear" w:color="auto" w:fill="auto"/>
                  <w:tcMar>
                    <w:top w:w="72" w:type="dxa"/>
                    <w:left w:w="144" w:type="dxa"/>
                    <w:bottom w:w="72" w:type="dxa"/>
                    <w:right w:w="144" w:type="dxa"/>
                  </w:tcMar>
                  <w:vAlign w:val="center"/>
                  <w:hideMark/>
                </w:tcPr>
                <w:p w14:paraId="5517F7B4"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152,60</w:t>
                  </w:r>
                </w:p>
              </w:tc>
              <w:tc>
                <w:tcPr>
                  <w:tcW w:w="4396" w:type="dxa"/>
                  <w:gridSpan w:val="2"/>
                  <w:shd w:val="clear" w:color="auto" w:fill="auto"/>
                  <w:tcMar>
                    <w:top w:w="72" w:type="dxa"/>
                    <w:left w:w="144" w:type="dxa"/>
                    <w:bottom w:w="72" w:type="dxa"/>
                    <w:right w:w="144" w:type="dxa"/>
                  </w:tcMar>
                  <w:vAlign w:val="center"/>
                </w:tcPr>
                <w:p w14:paraId="13869D71"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Times New Roman" w:cs="Times New Roman"/>
                      <w:sz w:val="22"/>
                      <w:lang w:eastAsia="lv-LV"/>
                    </w:rPr>
                    <w:t>170, 80</w:t>
                  </w:r>
                </w:p>
              </w:tc>
              <w:tc>
                <w:tcPr>
                  <w:tcW w:w="3685" w:type="dxa"/>
                </w:tcPr>
                <w:p w14:paraId="2E52C4DB"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Times New Roman" w:cs="Times New Roman"/>
                      <w:sz w:val="22"/>
                      <w:lang w:eastAsia="lv-LV"/>
                    </w:rPr>
                    <w:t>177, 80</w:t>
                  </w:r>
                </w:p>
              </w:tc>
            </w:tr>
            <w:tr w:rsidR="000A660F" w:rsidRPr="000F25A7" w14:paraId="6C59006A" w14:textId="77777777" w:rsidTr="003309D5">
              <w:trPr>
                <w:trHeight w:val="189"/>
              </w:trPr>
              <w:tc>
                <w:tcPr>
                  <w:tcW w:w="3743" w:type="dxa"/>
                  <w:gridSpan w:val="2"/>
                  <w:shd w:val="clear" w:color="auto" w:fill="auto"/>
                  <w:tcMar>
                    <w:top w:w="72" w:type="dxa"/>
                    <w:left w:w="144" w:type="dxa"/>
                    <w:bottom w:w="72" w:type="dxa"/>
                    <w:right w:w="144" w:type="dxa"/>
                  </w:tcMar>
                </w:tcPr>
                <w:p w14:paraId="7310B3E9"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nestrādājošs</w:t>
                  </w:r>
                  <w:r w:rsidRPr="000F25A7">
                    <w:rPr>
                      <w:rStyle w:val="FootnoteReference"/>
                      <w:rFonts w:eastAsia="MS PGothic"/>
                      <w:iCs/>
                      <w:kern w:val="24"/>
                      <w:sz w:val="22"/>
                      <w:lang w:eastAsia="lv-LV"/>
                    </w:rPr>
                    <w:footnoteReference w:id="30"/>
                  </w:r>
                </w:p>
              </w:tc>
              <w:tc>
                <w:tcPr>
                  <w:tcW w:w="2694" w:type="dxa"/>
                  <w:shd w:val="clear" w:color="auto" w:fill="auto"/>
                  <w:tcMar>
                    <w:top w:w="72" w:type="dxa"/>
                    <w:left w:w="144" w:type="dxa"/>
                    <w:bottom w:w="72" w:type="dxa"/>
                    <w:right w:w="144" w:type="dxa"/>
                  </w:tcMar>
                  <w:vAlign w:val="center"/>
                </w:tcPr>
                <w:p w14:paraId="62D2F1C5"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198,38</w:t>
                  </w:r>
                </w:p>
              </w:tc>
              <w:tc>
                <w:tcPr>
                  <w:tcW w:w="4396" w:type="dxa"/>
                  <w:gridSpan w:val="2"/>
                  <w:shd w:val="clear" w:color="auto" w:fill="auto"/>
                  <w:tcMar>
                    <w:top w:w="72" w:type="dxa"/>
                    <w:left w:w="144" w:type="dxa"/>
                    <w:bottom w:w="72" w:type="dxa"/>
                    <w:right w:w="144" w:type="dxa"/>
                  </w:tcMar>
                  <w:vAlign w:val="center"/>
                </w:tcPr>
                <w:p w14:paraId="519203C8"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222, 04</w:t>
                  </w:r>
                </w:p>
              </w:tc>
              <w:tc>
                <w:tcPr>
                  <w:tcW w:w="3685" w:type="dxa"/>
                </w:tcPr>
                <w:p w14:paraId="69A7FB1A"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231, 14</w:t>
                  </w:r>
                </w:p>
              </w:tc>
            </w:tr>
            <w:tr w:rsidR="000A660F" w:rsidRPr="000F25A7" w14:paraId="53A842C1" w14:textId="77777777" w:rsidTr="003309D5">
              <w:trPr>
                <w:trHeight w:val="237"/>
              </w:trPr>
              <w:tc>
                <w:tcPr>
                  <w:tcW w:w="2042" w:type="dxa"/>
                  <w:shd w:val="clear" w:color="auto" w:fill="auto"/>
                  <w:tcMar>
                    <w:top w:w="72" w:type="dxa"/>
                    <w:left w:w="144" w:type="dxa"/>
                    <w:bottom w:w="72" w:type="dxa"/>
                    <w:right w:w="144" w:type="dxa"/>
                  </w:tcMar>
                  <w:hideMark/>
                </w:tcPr>
                <w:p w14:paraId="2D71D8E5"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kern w:val="24"/>
                      <w:sz w:val="22"/>
                      <w:lang w:eastAsia="lv-LV"/>
                    </w:rPr>
                    <w:t>II grupa</w:t>
                  </w:r>
                </w:p>
              </w:tc>
              <w:tc>
                <w:tcPr>
                  <w:tcW w:w="1701" w:type="dxa"/>
                  <w:shd w:val="clear" w:color="auto" w:fill="auto"/>
                  <w:tcMar>
                    <w:top w:w="72" w:type="dxa"/>
                    <w:left w:w="144" w:type="dxa"/>
                    <w:bottom w:w="72" w:type="dxa"/>
                    <w:right w:w="144" w:type="dxa"/>
                  </w:tcMar>
                  <w:hideMark/>
                </w:tcPr>
                <w:p w14:paraId="039AA2BC"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iCs/>
                      <w:kern w:val="24"/>
                      <w:sz w:val="22"/>
                      <w:lang w:eastAsia="lv-LV"/>
                    </w:rPr>
                    <w:t>1,2</w:t>
                  </w:r>
                </w:p>
              </w:tc>
              <w:tc>
                <w:tcPr>
                  <w:tcW w:w="2694" w:type="dxa"/>
                  <w:shd w:val="clear" w:color="auto" w:fill="auto"/>
                  <w:tcMar>
                    <w:top w:w="72" w:type="dxa"/>
                    <w:left w:w="144" w:type="dxa"/>
                    <w:bottom w:w="72" w:type="dxa"/>
                    <w:right w:w="144" w:type="dxa"/>
                  </w:tcMar>
                  <w:vAlign w:val="center"/>
                  <w:hideMark/>
                </w:tcPr>
                <w:p w14:paraId="5E61BC18"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130,80</w:t>
                  </w:r>
                </w:p>
              </w:tc>
              <w:tc>
                <w:tcPr>
                  <w:tcW w:w="4396" w:type="dxa"/>
                  <w:gridSpan w:val="2"/>
                  <w:shd w:val="clear" w:color="auto" w:fill="auto"/>
                  <w:tcMar>
                    <w:top w:w="72" w:type="dxa"/>
                    <w:left w:w="144" w:type="dxa"/>
                    <w:bottom w:w="72" w:type="dxa"/>
                    <w:right w:w="144" w:type="dxa"/>
                  </w:tcMar>
                  <w:vAlign w:val="center"/>
                </w:tcPr>
                <w:p w14:paraId="6679CE97"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Times New Roman" w:cs="Times New Roman"/>
                      <w:sz w:val="22"/>
                      <w:lang w:eastAsia="lv-LV"/>
                    </w:rPr>
                    <w:t>146, 40</w:t>
                  </w:r>
                </w:p>
              </w:tc>
              <w:tc>
                <w:tcPr>
                  <w:tcW w:w="3685" w:type="dxa"/>
                </w:tcPr>
                <w:p w14:paraId="69F769F1"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Times New Roman" w:cs="Times New Roman"/>
                      <w:sz w:val="22"/>
                      <w:lang w:eastAsia="lv-LV"/>
                    </w:rPr>
                    <w:t>152, 40</w:t>
                  </w:r>
                </w:p>
              </w:tc>
            </w:tr>
            <w:tr w:rsidR="000A660F" w:rsidRPr="000F25A7" w14:paraId="2F9BE793" w14:textId="77777777" w:rsidTr="003309D5">
              <w:trPr>
                <w:trHeight w:val="256"/>
              </w:trPr>
              <w:tc>
                <w:tcPr>
                  <w:tcW w:w="3743" w:type="dxa"/>
                  <w:gridSpan w:val="2"/>
                  <w:shd w:val="clear" w:color="auto" w:fill="auto"/>
                  <w:tcMar>
                    <w:top w:w="72" w:type="dxa"/>
                    <w:left w:w="144" w:type="dxa"/>
                    <w:bottom w:w="72" w:type="dxa"/>
                    <w:right w:w="144" w:type="dxa"/>
                  </w:tcMar>
                </w:tcPr>
                <w:p w14:paraId="7915B7C8"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nestrādājošs</w:t>
                  </w:r>
                  <w:r w:rsidRPr="000F25A7">
                    <w:rPr>
                      <w:rStyle w:val="FootnoteReference"/>
                      <w:rFonts w:eastAsia="MS PGothic"/>
                      <w:iCs/>
                      <w:kern w:val="24"/>
                      <w:sz w:val="22"/>
                      <w:lang w:eastAsia="lv-LV"/>
                    </w:rPr>
                    <w:footnoteReference w:id="31"/>
                  </w:r>
                </w:p>
              </w:tc>
              <w:tc>
                <w:tcPr>
                  <w:tcW w:w="2694" w:type="dxa"/>
                  <w:shd w:val="clear" w:color="auto" w:fill="auto"/>
                  <w:tcMar>
                    <w:top w:w="72" w:type="dxa"/>
                    <w:left w:w="144" w:type="dxa"/>
                    <w:bottom w:w="72" w:type="dxa"/>
                    <w:right w:w="144" w:type="dxa"/>
                  </w:tcMar>
                  <w:vAlign w:val="center"/>
                </w:tcPr>
                <w:p w14:paraId="51387369"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156,96</w:t>
                  </w:r>
                </w:p>
              </w:tc>
              <w:tc>
                <w:tcPr>
                  <w:tcW w:w="4396" w:type="dxa"/>
                  <w:gridSpan w:val="2"/>
                  <w:shd w:val="clear" w:color="auto" w:fill="auto"/>
                  <w:tcMar>
                    <w:top w:w="72" w:type="dxa"/>
                    <w:left w:w="144" w:type="dxa"/>
                    <w:bottom w:w="72" w:type="dxa"/>
                    <w:right w:w="144" w:type="dxa"/>
                  </w:tcMar>
                  <w:vAlign w:val="center"/>
                </w:tcPr>
                <w:p w14:paraId="7DB05171"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175, 68</w:t>
                  </w:r>
                </w:p>
              </w:tc>
              <w:tc>
                <w:tcPr>
                  <w:tcW w:w="3685" w:type="dxa"/>
                </w:tcPr>
                <w:p w14:paraId="70315522"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182, 88</w:t>
                  </w:r>
                </w:p>
              </w:tc>
            </w:tr>
            <w:tr w:rsidR="000A660F" w:rsidRPr="000F25A7" w14:paraId="2ED04ED7" w14:textId="77777777" w:rsidTr="003309D5">
              <w:trPr>
                <w:trHeight w:val="261"/>
              </w:trPr>
              <w:tc>
                <w:tcPr>
                  <w:tcW w:w="2042" w:type="dxa"/>
                  <w:shd w:val="clear" w:color="auto" w:fill="auto"/>
                  <w:tcMar>
                    <w:top w:w="72" w:type="dxa"/>
                    <w:left w:w="144" w:type="dxa"/>
                    <w:bottom w:w="72" w:type="dxa"/>
                    <w:right w:w="144" w:type="dxa"/>
                  </w:tcMar>
                  <w:hideMark/>
                </w:tcPr>
                <w:p w14:paraId="0B0FAD60"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kern w:val="24"/>
                      <w:sz w:val="22"/>
                      <w:lang w:eastAsia="lv-LV"/>
                    </w:rPr>
                    <w:t>III grupa</w:t>
                  </w:r>
                </w:p>
              </w:tc>
              <w:tc>
                <w:tcPr>
                  <w:tcW w:w="1701" w:type="dxa"/>
                  <w:shd w:val="clear" w:color="auto" w:fill="auto"/>
                  <w:tcMar>
                    <w:top w:w="72" w:type="dxa"/>
                    <w:left w:w="144" w:type="dxa"/>
                    <w:bottom w:w="72" w:type="dxa"/>
                    <w:right w:w="144" w:type="dxa"/>
                  </w:tcMar>
                  <w:hideMark/>
                </w:tcPr>
                <w:p w14:paraId="737AED7A"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iCs/>
                      <w:kern w:val="24"/>
                      <w:sz w:val="22"/>
                      <w:lang w:eastAsia="lv-LV"/>
                    </w:rPr>
                    <w:t>Bāze</w:t>
                  </w:r>
                  <w:r w:rsidRPr="000F25A7">
                    <w:rPr>
                      <w:rStyle w:val="FootnoteReference"/>
                      <w:rFonts w:eastAsia="MS PGothic"/>
                      <w:kern w:val="24"/>
                      <w:sz w:val="22"/>
                      <w:lang w:eastAsia="lv-LV"/>
                    </w:rPr>
                    <w:footnoteReference w:id="32"/>
                  </w:r>
                </w:p>
              </w:tc>
              <w:tc>
                <w:tcPr>
                  <w:tcW w:w="2694" w:type="dxa"/>
                  <w:shd w:val="clear" w:color="auto" w:fill="auto"/>
                  <w:tcMar>
                    <w:top w:w="72" w:type="dxa"/>
                    <w:left w:w="144" w:type="dxa"/>
                    <w:bottom w:w="72" w:type="dxa"/>
                    <w:right w:w="144" w:type="dxa"/>
                  </w:tcMar>
                  <w:vAlign w:val="center"/>
                  <w:hideMark/>
                </w:tcPr>
                <w:p w14:paraId="4DF5449A" w14:textId="77777777" w:rsidR="000A660F" w:rsidRPr="000F25A7" w:rsidRDefault="000A660F" w:rsidP="003309D5">
                  <w:pPr>
                    <w:tabs>
                      <w:tab w:val="left" w:pos="492"/>
                      <w:tab w:val="center" w:pos="682"/>
                    </w:tabs>
                    <w:spacing w:after="0" w:line="240" w:lineRule="auto"/>
                    <w:jc w:val="center"/>
                    <w:textAlignment w:val="baseline"/>
                    <w:rPr>
                      <w:rFonts w:eastAsia="Times New Roman" w:cs="Times New Roman"/>
                      <w:sz w:val="22"/>
                      <w:lang w:eastAsia="lv-LV"/>
                    </w:rPr>
                  </w:pPr>
                  <w:r w:rsidRPr="000F25A7">
                    <w:rPr>
                      <w:rFonts w:eastAsia="MS PGothic" w:cs="Times New Roman"/>
                      <w:bCs/>
                      <w:kern w:val="24"/>
                      <w:sz w:val="22"/>
                      <w:lang w:eastAsia="lv-LV"/>
                    </w:rPr>
                    <w:t>109</w:t>
                  </w:r>
                </w:p>
              </w:tc>
              <w:tc>
                <w:tcPr>
                  <w:tcW w:w="4396" w:type="dxa"/>
                  <w:gridSpan w:val="2"/>
                  <w:vAlign w:val="center"/>
                </w:tcPr>
                <w:p w14:paraId="55559558"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Times New Roman" w:cs="Times New Roman"/>
                      <w:sz w:val="22"/>
                      <w:lang w:eastAsia="lv-LV"/>
                    </w:rPr>
                    <w:t>122</w:t>
                  </w:r>
                </w:p>
              </w:tc>
              <w:tc>
                <w:tcPr>
                  <w:tcW w:w="3685" w:type="dxa"/>
                </w:tcPr>
                <w:p w14:paraId="4F4F4329"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Times New Roman" w:cs="Times New Roman"/>
                      <w:sz w:val="22"/>
                      <w:lang w:eastAsia="lv-LV"/>
                    </w:rPr>
                    <w:t>127</w:t>
                  </w:r>
                </w:p>
              </w:tc>
            </w:tr>
            <w:tr w:rsidR="000A660F" w:rsidRPr="000F25A7" w14:paraId="68A99B8A" w14:textId="77777777" w:rsidTr="003309D5">
              <w:trPr>
                <w:trHeight w:val="173"/>
              </w:trPr>
              <w:tc>
                <w:tcPr>
                  <w:tcW w:w="14518" w:type="dxa"/>
                  <w:gridSpan w:val="6"/>
                  <w:shd w:val="clear" w:color="auto" w:fill="E5DFEC" w:themeFill="accent4" w:themeFillTint="33"/>
                </w:tcPr>
                <w:p w14:paraId="086D6ADF" w14:textId="77777777" w:rsidR="000A660F" w:rsidRPr="000F25A7" w:rsidRDefault="000A660F" w:rsidP="003309D5">
                  <w:pPr>
                    <w:spacing w:before="120" w:after="120" w:line="240" w:lineRule="auto"/>
                    <w:jc w:val="center"/>
                    <w:textAlignment w:val="baseline"/>
                    <w:rPr>
                      <w:rFonts w:eastAsia="MS PGothic" w:cs="Times New Roman"/>
                      <w:b/>
                      <w:bCs/>
                      <w:iCs/>
                      <w:kern w:val="24"/>
                      <w:sz w:val="22"/>
                      <w:lang w:eastAsia="lv-LV"/>
                    </w:rPr>
                  </w:pPr>
                  <w:r w:rsidRPr="000F25A7">
                    <w:rPr>
                      <w:rFonts w:eastAsia="MS PGothic" w:cs="Times New Roman"/>
                      <w:b/>
                      <w:bCs/>
                      <w:iCs/>
                      <w:kern w:val="24"/>
                      <w:sz w:val="22"/>
                      <w:lang w:eastAsia="lv-LV"/>
                    </w:rPr>
                    <w:t>Pensijas vecumu sasniegušām personām</w:t>
                  </w:r>
                </w:p>
              </w:tc>
            </w:tr>
            <w:tr w:rsidR="000A660F" w:rsidRPr="000F25A7" w14:paraId="7BDFD4A4" w14:textId="77777777" w:rsidTr="003309D5">
              <w:trPr>
                <w:trHeight w:val="328"/>
              </w:trPr>
              <w:tc>
                <w:tcPr>
                  <w:tcW w:w="3743" w:type="dxa"/>
                  <w:gridSpan w:val="2"/>
                  <w:vMerge w:val="restart"/>
                  <w:shd w:val="clear" w:color="auto" w:fill="FFFFFF" w:themeFill="background1"/>
                  <w:tcMar>
                    <w:top w:w="72" w:type="dxa"/>
                    <w:left w:w="144" w:type="dxa"/>
                    <w:bottom w:w="72" w:type="dxa"/>
                    <w:right w:w="144" w:type="dxa"/>
                  </w:tcMar>
                </w:tcPr>
                <w:p w14:paraId="4DC0F59E" w14:textId="77777777" w:rsidR="000A660F" w:rsidRPr="000F25A7" w:rsidRDefault="000A660F" w:rsidP="003309D5">
                  <w:pPr>
                    <w:spacing w:after="0" w:line="240" w:lineRule="auto"/>
                    <w:jc w:val="both"/>
                    <w:textAlignment w:val="baseline"/>
                    <w:rPr>
                      <w:rFonts w:eastAsia="MS PGothic" w:cs="Times New Roman"/>
                      <w:b/>
                      <w:bCs/>
                      <w:i/>
                      <w:iCs/>
                      <w:kern w:val="24"/>
                      <w:sz w:val="22"/>
                      <w:lang w:eastAsia="lv-LV"/>
                    </w:rPr>
                  </w:pPr>
                </w:p>
              </w:tc>
              <w:tc>
                <w:tcPr>
                  <w:tcW w:w="2694" w:type="dxa"/>
                  <w:shd w:val="clear" w:color="auto" w:fill="FFFFFF" w:themeFill="background1"/>
                  <w:tcMar>
                    <w:top w:w="72" w:type="dxa"/>
                    <w:left w:w="144" w:type="dxa"/>
                    <w:bottom w:w="72" w:type="dxa"/>
                    <w:right w:w="144" w:type="dxa"/>
                  </w:tcMar>
                  <w:vAlign w:val="center"/>
                </w:tcPr>
                <w:p w14:paraId="7E9B8B3B"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Esošais apmērs no 01.01.2021.</w:t>
                  </w:r>
                </w:p>
              </w:tc>
              <w:tc>
                <w:tcPr>
                  <w:tcW w:w="4396" w:type="dxa"/>
                  <w:gridSpan w:val="2"/>
                  <w:shd w:val="clear" w:color="auto" w:fill="FFFFFF" w:themeFill="background1"/>
                  <w:vAlign w:val="center"/>
                </w:tcPr>
                <w:p w14:paraId="303958A9" w14:textId="77777777" w:rsidR="000A660F" w:rsidRPr="000F25A7" w:rsidRDefault="000A660F" w:rsidP="003309D5">
                  <w:pPr>
                    <w:spacing w:after="0" w:line="240" w:lineRule="auto"/>
                    <w:ind w:left="90"/>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01.01.2023.</w:t>
                  </w:r>
                </w:p>
              </w:tc>
              <w:tc>
                <w:tcPr>
                  <w:tcW w:w="3685" w:type="dxa"/>
                  <w:shd w:val="clear" w:color="auto" w:fill="FFFFFF" w:themeFill="background1"/>
                  <w:vAlign w:val="center"/>
                </w:tcPr>
                <w:p w14:paraId="230B198C" w14:textId="77777777" w:rsidR="000A660F" w:rsidRPr="000F25A7" w:rsidRDefault="000A660F" w:rsidP="003309D5">
                  <w:pPr>
                    <w:spacing w:after="0" w:line="240" w:lineRule="auto"/>
                    <w:ind w:left="90" w:hanging="52"/>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01.01.2024.</w:t>
                  </w:r>
                </w:p>
              </w:tc>
            </w:tr>
            <w:tr w:rsidR="000A660F" w:rsidRPr="000F25A7" w14:paraId="50FDA336" w14:textId="77777777" w:rsidTr="003309D5">
              <w:trPr>
                <w:trHeight w:val="191"/>
              </w:trPr>
              <w:tc>
                <w:tcPr>
                  <w:tcW w:w="3743" w:type="dxa"/>
                  <w:gridSpan w:val="2"/>
                  <w:vMerge/>
                  <w:shd w:val="clear" w:color="auto" w:fill="FDE9D9" w:themeFill="accent6" w:themeFillTint="33"/>
                  <w:tcMar>
                    <w:top w:w="72" w:type="dxa"/>
                    <w:left w:w="144" w:type="dxa"/>
                    <w:bottom w:w="72" w:type="dxa"/>
                    <w:right w:w="144" w:type="dxa"/>
                  </w:tcMar>
                  <w:hideMark/>
                </w:tcPr>
                <w:p w14:paraId="54ED8E0A" w14:textId="77777777" w:rsidR="000A660F" w:rsidRPr="000F25A7" w:rsidRDefault="000A660F" w:rsidP="003309D5">
                  <w:pPr>
                    <w:spacing w:after="0" w:line="240" w:lineRule="auto"/>
                    <w:jc w:val="both"/>
                    <w:textAlignment w:val="baseline"/>
                    <w:rPr>
                      <w:rFonts w:eastAsia="Times New Roman" w:cs="Times New Roman"/>
                      <w:sz w:val="22"/>
                      <w:lang w:eastAsia="lv-LV"/>
                    </w:rPr>
                  </w:pPr>
                </w:p>
              </w:tc>
              <w:tc>
                <w:tcPr>
                  <w:tcW w:w="2694" w:type="dxa"/>
                  <w:shd w:val="clear" w:color="auto" w:fill="auto"/>
                  <w:tcMar>
                    <w:top w:w="72" w:type="dxa"/>
                    <w:left w:w="144" w:type="dxa"/>
                    <w:bottom w:w="72" w:type="dxa"/>
                    <w:right w:w="144" w:type="dxa"/>
                  </w:tcMar>
                  <w:vAlign w:val="center"/>
                  <w:hideMark/>
                </w:tcPr>
                <w:p w14:paraId="386EF637"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bCs/>
                      <w:kern w:val="24"/>
                      <w:sz w:val="22"/>
                      <w:lang w:eastAsia="lv-LV"/>
                    </w:rPr>
                    <w:t>109</w:t>
                  </w:r>
                  <w:r w:rsidRPr="000F25A7">
                    <w:rPr>
                      <w:rStyle w:val="FootnoteReference"/>
                      <w:rFonts w:eastAsia="MS PGothic"/>
                      <w:kern w:val="24"/>
                      <w:sz w:val="22"/>
                      <w:lang w:eastAsia="lv-LV"/>
                    </w:rPr>
                    <w:footnoteReference w:id="33"/>
                  </w:r>
                </w:p>
              </w:tc>
              <w:tc>
                <w:tcPr>
                  <w:tcW w:w="4396" w:type="dxa"/>
                  <w:gridSpan w:val="2"/>
                  <w:vAlign w:val="center"/>
                </w:tcPr>
                <w:p w14:paraId="13E87AFE" w14:textId="77777777" w:rsidR="000A660F" w:rsidRPr="000F25A7" w:rsidRDefault="000A660F" w:rsidP="003309D5">
                  <w:pPr>
                    <w:spacing w:after="0" w:line="240" w:lineRule="auto"/>
                    <w:jc w:val="center"/>
                    <w:textAlignment w:val="baseline"/>
                    <w:rPr>
                      <w:rFonts w:eastAsia="Times New Roman" w:cs="Times New Roman"/>
                      <w:sz w:val="22"/>
                      <w:lang w:eastAsia="lv-LV"/>
                    </w:rPr>
                  </w:pPr>
                  <w:r w:rsidRPr="000F25A7">
                    <w:rPr>
                      <w:rFonts w:eastAsia="MS PGothic" w:cs="Times New Roman"/>
                      <w:bCs/>
                      <w:kern w:val="24"/>
                      <w:sz w:val="22"/>
                      <w:lang w:eastAsia="lv-LV"/>
                    </w:rPr>
                    <w:t>122</w:t>
                  </w:r>
                </w:p>
              </w:tc>
              <w:tc>
                <w:tcPr>
                  <w:tcW w:w="3685" w:type="dxa"/>
                </w:tcPr>
                <w:p w14:paraId="58C32209"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127</w:t>
                  </w:r>
                </w:p>
              </w:tc>
            </w:tr>
            <w:tr w:rsidR="000A660F" w:rsidRPr="000F25A7" w14:paraId="051E099C" w14:textId="77777777" w:rsidTr="003309D5">
              <w:trPr>
                <w:trHeight w:val="288"/>
              </w:trPr>
              <w:tc>
                <w:tcPr>
                  <w:tcW w:w="14518" w:type="dxa"/>
                  <w:gridSpan w:val="6"/>
                  <w:shd w:val="clear" w:color="auto" w:fill="E5DFEC" w:themeFill="accent4" w:themeFillTint="33"/>
                </w:tcPr>
                <w:p w14:paraId="2D6B36B2" w14:textId="77777777" w:rsidR="000A660F" w:rsidRPr="000F25A7" w:rsidRDefault="000A660F" w:rsidP="003309D5">
                  <w:pPr>
                    <w:spacing w:before="120" w:after="120" w:line="240" w:lineRule="auto"/>
                    <w:jc w:val="center"/>
                    <w:textAlignment w:val="baseline"/>
                    <w:rPr>
                      <w:rFonts w:eastAsia="MS PGothic" w:cs="Times New Roman"/>
                      <w:b/>
                      <w:bCs/>
                      <w:iCs/>
                      <w:kern w:val="24"/>
                      <w:sz w:val="22"/>
                      <w:lang w:eastAsia="lv-LV"/>
                    </w:rPr>
                  </w:pPr>
                  <w:r w:rsidRPr="000F25A7">
                    <w:rPr>
                      <w:rFonts w:eastAsia="MS PGothic" w:cs="Times New Roman"/>
                      <w:b/>
                      <w:bCs/>
                      <w:iCs/>
                      <w:kern w:val="24"/>
                      <w:sz w:val="22"/>
                      <w:lang w:eastAsia="lv-LV"/>
                    </w:rPr>
                    <w:t>Apgādnieka zaudējuma gadījumā</w:t>
                  </w:r>
                </w:p>
              </w:tc>
            </w:tr>
            <w:tr w:rsidR="000A660F" w:rsidRPr="000F25A7" w14:paraId="22E57CF4" w14:textId="77777777" w:rsidTr="003309D5">
              <w:trPr>
                <w:trHeight w:val="366"/>
              </w:trPr>
              <w:tc>
                <w:tcPr>
                  <w:tcW w:w="3743" w:type="dxa"/>
                  <w:gridSpan w:val="2"/>
                  <w:shd w:val="clear" w:color="auto" w:fill="auto"/>
                  <w:tcMar>
                    <w:top w:w="72" w:type="dxa"/>
                    <w:left w:w="144" w:type="dxa"/>
                    <w:bottom w:w="72" w:type="dxa"/>
                    <w:right w:w="144" w:type="dxa"/>
                  </w:tcMar>
                </w:tcPr>
                <w:p w14:paraId="6C6348F6" w14:textId="77777777" w:rsidR="000A660F" w:rsidRPr="000F25A7" w:rsidRDefault="000A660F" w:rsidP="003309D5">
                  <w:pPr>
                    <w:spacing w:after="0" w:line="240" w:lineRule="auto"/>
                    <w:jc w:val="both"/>
                    <w:textAlignment w:val="baseline"/>
                    <w:rPr>
                      <w:rFonts w:eastAsia="MS PGothic" w:cs="Times New Roman"/>
                      <w:b/>
                      <w:bCs/>
                      <w:i/>
                      <w:iCs/>
                      <w:kern w:val="24"/>
                      <w:sz w:val="22"/>
                      <w:lang w:eastAsia="lv-LV"/>
                    </w:rPr>
                  </w:pPr>
                </w:p>
              </w:tc>
              <w:tc>
                <w:tcPr>
                  <w:tcW w:w="2694" w:type="dxa"/>
                  <w:shd w:val="clear" w:color="auto" w:fill="auto"/>
                  <w:tcMar>
                    <w:top w:w="72" w:type="dxa"/>
                    <w:left w:w="144" w:type="dxa"/>
                    <w:bottom w:w="72" w:type="dxa"/>
                    <w:right w:w="144" w:type="dxa"/>
                  </w:tcMar>
                  <w:vAlign w:val="center"/>
                </w:tcPr>
                <w:p w14:paraId="37F2F469"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Esošais apmērs no 01.01.2021.</w:t>
                  </w:r>
                </w:p>
              </w:tc>
              <w:tc>
                <w:tcPr>
                  <w:tcW w:w="4396" w:type="dxa"/>
                  <w:gridSpan w:val="2"/>
                  <w:vAlign w:val="center"/>
                </w:tcPr>
                <w:p w14:paraId="7E974179" w14:textId="77777777" w:rsidR="000A660F" w:rsidRPr="000F25A7" w:rsidRDefault="000A660F" w:rsidP="003309D5">
                  <w:pPr>
                    <w:spacing w:after="0" w:line="240" w:lineRule="auto"/>
                    <w:ind w:left="90"/>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01.01.2023.</w:t>
                  </w:r>
                </w:p>
              </w:tc>
              <w:tc>
                <w:tcPr>
                  <w:tcW w:w="3685" w:type="dxa"/>
                </w:tcPr>
                <w:p w14:paraId="0BB7BD4A" w14:textId="77777777" w:rsidR="000A660F" w:rsidRPr="000F25A7" w:rsidRDefault="000A660F" w:rsidP="003309D5">
                  <w:pPr>
                    <w:spacing w:after="0" w:line="240" w:lineRule="auto"/>
                    <w:ind w:left="90"/>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01.01.2024.</w:t>
                  </w:r>
                </w:p>
              </w:tc>
            </w:tr>
            <w:tr w:rsidR="000A660F" w:rsidRPr="000F25A7" w14:paraId="2428C534" w14:textId="77777777" w:rsidTr="003309D5">
              <w:trPr>
                <w:trHeight w:val="183"/>
              </w:trPr>
              <w:tc>
                <w:tcPr>
                  <w:tcW w:w="3743" w:type="dxa"/>
                  <w:gridSpan w:val="2"/>
                  <w:shd w:val="clear" w:color="auto" w:fill="auto"/>
                  <w:tcMar>
                    <w:top w:w="72" w:type="dxa"/>
                    <w:left w:w="144" w:type="dxa"/>
                    <w:bottom w:w="72" w:type="dxa"/>
                    <w:right w:w="144" w:type="dxa"/>
                  </w:tcMar>
                </w:tcPr>
                <w:p w14:paraId="58F7518A" w14:textId="77777777" w:rsidR="000A660F" w:rsidRPr="000F25A7" w:rsidRDefault="000A660F" w:rsidP="003309D5">
                  <w:pPr>
                    <w:spacing w:after="0" w:line="240" w:lineRule="auto"/>
                    <w:jc w:val="center"/>
                    <w:textAlignment w:val="baseline"/>
                    <w:rPr>
                      <w:rFonts w:eastAsia="MS PGothic" w:cs="Times New Roman"/>
                      <w:bCs/>
                      <w:iCs/>
                      <w:kern w:val="24"/>
                      <w:sz w:val="22"/>
                      <w:lang w:eastAsia="lv-LV"/>
                    </w:rPr>
                  </w:pPr>
                  <w:r w:rsidRPr="000F25A7">
                    <w:rPr>
                      <w:rFonts w:eastAsia="MS PGothic" w:cs="Times New Roman"/>
                      <w:bCs/>
                      <w:iCs/>
                      <w:kern w:val="24"/>
                      <w:sz w:val="22"/>
                      <w:lang w:eastAsia="lv-LV"/>
                    </w:rPr>
                    <w:t>Līdz 7 g.v, t.sk. bērniem ar inval.</w:t>
                  </w:r>
                  <w:r w:rsidRPr="000F25A7">
                    <w:rPr>
                      <w:rStyle w:val="FootnoteReference"/>
                      <w:rFonts w:eastAsia="MS PGothic"/>
                      <w:iCs/>
                      <w:kern w:val="24"/>
                      <w:sz w:val="22"/>
                      <w:lang w:eastAsia="lv-LV"/>
                    </w:rPr>
                    <w:footnoteReference w:id="34"/>
                  </w:r>
                </w:p>
              </w:tc>
              <w:tc>
                <w:tcPr>
                  <w:tcW w:w="2694" w:type="dxa"/>
                  <w:shd w:val="clear" w:color="auto" w:fill="auto"/>
                  <w:tcMar>
                    <w:top w:w="72" w:type="dxa"/>
                    <w:left w:w="144" w:type="dxa"/>
                    <w:bottom w:w="72" w:type="dxa"/>
                    <w:right w:w="144" w:type="dxa"/>
                  </w:tcMar>
                  <w:vAlign w:val="center"/>
                </w:tcPr>
                <w:p w14:paraId="22FFFE1D"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bCs/>
                      <w:kern w:val="24"/>
                      <w:sz w:val="22"/>
                      <w:lang w:eastAsia="lv-LV"/>
                    </w:rPr>
                    <w:t>136</w:t>
                  </w:r>
                </w:p>
              </w:tc>
              <w:tc>
                <w:tcPr>
                  <w:tcW w:w="4396" w:type="dxa"/>
                  <w:gridSpan w:val="2"/>
                  <w:vAlign w:val="center"/>
                </w:tcPr>
                <w:p w14:paraId="51C4765A"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153</w:t>
                  </w:r>
                </w:p>
              </w:tc>
              <w:tc>
                <w:tcPr>
                  <w:tcW w:w="3685" w:type="dxa"/>
                </w:tcPr>
                <w:p w14:paraId="78FD3009"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159</w:t>
                  </w:r>
                </w:p>
              </w:tc>
            </w:tr>
            <w:tr w:rsidR="000A660F" w:rsidRPr="000F25A7" w14:paraId="62D0FEF7" w14:textId="77777777" w:rsidTr="003309D5">
              <w:trPr>
                <w:trHeight w:val="242"/>
              </w:trPr>
              <w:tc>
                <w:tcPr>
                  <w:tcW w:w="3743" w:type="dxa"/>
                  <w:gridSpan w:val="2"/>
                  <w:shd w:val="clear" w:color="auto" w:fill="auto"/>
                  <w:tcMar>
                    <w:top w:w="72" w:type="dxa"/>
                    <w:left w:w="144" w:type="dxa"/>
                    <w:bottom w:w="72" w:type="dxa"/>
                    <w:right w:w="144" w:type="dxa"/>
                  </w:tcMar>
                </w:tcPr>
                <w:p w14:paraId="4B222026" w14:textId="77777777" w:rsidR="000A660F" w:rsidRPr="000F25A7" w:rsidRDefault="000A660F" w:rsidP="003309D5">
                  <w:pPr>
                    <w:spacing w:after="0" w:line="240" w:lineRule="auto"/>
                    <w:jc w:val="center"/>
                    <w:textAlignment w:val="baseline"/>
                    <w:rPr>
                      <w:rFonts w:eastAsia="MS PGothic" w:cs="Times New Roman"/>
                      <w:bCs/>
                      <w:iCs/>
                      <w:kern w:val="24"/>
                      <w:sz w:val="22"/>
                      <w:lang w:eastAsia="lv-LV"/>
                    </w:rPr>
                  </w:pPr>
                  <w:r w:rsidRPr="000F25A7">
                    <w:rPr>
                      <w:rFonts w:eastAsia="MS PGothic" w:cs="Times New Roman"/>
                      <w:bCs/>
                      <w:iCs/>
                      <w:kern w:val="24"/>
                      <w:sz w:val="22"/>
                      <w:lang w:eastAsia="lv-LV"/>
                    </w:rPr>
                    <w:t>No 7 g.v.</w:t>
                  </w:r>
                  <w:r w:rsidRPr="000F25A7">
                    <w:rPr>
                      <w:rStyle w:val="FootnoteReference"/>
                      <w:rFonts w:eastAsia="MS PGothic"/>
                      <w:iCs/>
                      <w:kern w:val="24"/>
                      <w:sz w:val="22"/>
                      <w:lang w:eastAsia="lv-LV"/>
                    </w:rPr>
                    <w:footnoteReference w:id="35"/>
                  </w:r>
                </w:p>
              </w:tc>
              <w:tc>
                <w:tcPr>
                  <w:tcW w:w="2694" w:type="dxa"/>
                  <w:shd w:val="clear" w:color="auto" w:fill="auto"/>
                  <w:tcMar>
                    <w:top w:w="72" w:type="dxa"/>
                    <w:left w:w="144" w:type="dxa"/>
                    <w:bottom w:w="72" w:type="dxa"/>
                    <w:right w:w="144" w:type="dxa"/>
                  </w:tcMar>
                  <w:vAlign w:val="center"/>
                </w:tcPr>
                <w:p w14:paraId="77383DD9"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bCs/>
                      <w:kern w:val="24"/>
                      <w:sz w:val="22"/>
                      <w:lang w:eastAsia="lv-LV"/>
                    </w:rPr>
                    <w:t>163</w:t>
                  </w:r>
                </w:p>
              </w:tc>
              <w:tc>
                <w:tcPr>
                  <w:tcW w:w="4396" w:type="dxa"/>
                  <w:gridSpan w:val="2"/>
                  <w:vAlign w:val="center"/>
                </w:tcPr>
                <w:p w14:paraId="43A9AB30"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183</w:t>
                  </w:r>
                </w:p>
              </w:tc>
              <w:tc>
                <w:tcPr>
                  <w:tcW w:w="3685" w:type="dxa"/>
                </w:tcPr>
                <w:p w14:paraId="5F1925EE"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191</w:t>
                  </w:r>
                </w:p>
              </w:tc>
            </w:tr>
            <w:tr w:rsidR="000A660F" w:rsidRPr="000F25A7" w14:paraId="47ED5B3A" w14:textId="77777777" w:rsidTr="003309D5">
              <w:trPr>
                <w:trHeight w:val="90"/>
              </w:trPr>
              <w:tc>
                <w:tcPr>
                  <w:tcW w:w="14518" w:type="dxa"/>
                  <w:gridSpan w:val="6"/>
                  <w:shd w:val="clear" w:color="auto" w:fill="C6D9F1" w:themeFill="text2" w:themeFillTint="33"/>
                </w:tcPr>
                <w:p w14:paraId="06D22BF7" w14:textId="77777777" w:rsidR="000A660F" w:rsidRPr="000F25A7" w:rsidRDefault="000A660F" w:rsidP="003309D5">
                  <w:pPr>
                    <w:spacing w:before="120" w:after="12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Minimālo pensiju paaugstināšana</w:t>
                  </w:r>
                </w:p>
              </w:tc>
            </w:tr>
            <w:tr w:rsidR="000A660F" w:rsidRPr="000F25A7" w14:paraId="3ECB1429" w14:textId="77777777" w:rsidTr="003309D5">
              <w:trPr>
                <w:trHeight w:val="218"/>
              </w:trPr>
              <w:tc>
                <w:tcPr>
                  <w:tcW w:w="14518" w:type="dxa"/>
                  <w:gridSpan w:val="6"/>
                  <w:shd w:val="clear" w:color="auto" w:fill="E5DFEC" w:themeFill="accent4" w:themeFillTint="33"/>
                </w:tcPr>
                <w:p w14:paraId="77D19842" w14:textId="77777777" w:rsidR="000A660F" w:rsidRPr="000F25A7" w:rsidRDefault="000A660F" w:rsidP="003309D5">
                  <w:pPr>
                    <w:spacing w:before="120" w:after="12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Minimālās vecuma pensijas paaugstināšana</w:t>
                  </w:r>
                  <w:r w:rsidRPr="000F25A7">
                    <w:rPr>
                      <w:rStyle w:val="FootnoteReference"/>
                      <w:rFonts w:eastAsia="MS PGothic"/>
                      <w:kern w:val="24"/>
                      <w:sz w:val="22"/>
                      <w:lang w:eastAsia="lv-LV"/>
                    </w:rPr>
                    <w:footnoteReference w:id="36"/>
                  </w:r>
                </w:p>
              </w:tc>
            </w:tr>
            <w:tr w:rsidR="000A660F" w:rsidRPr="000F25A7" w14:paraId="3A9FBC79" w14:textId="77777777" w:rsidTr="003309D5">
              <w:trPr>
                <w:trHeight w:val="419"/>
              </w:trPr>
              <w:tc>
                <w:tcPr>
                  <w:tcW w:w="3743" w:type="dxa"/>
                  <w:gridSpan w:val="2"/>
                  <w:shd w:val="clear" w:color="auto" w:fill="auto"/>
                  <w:tcMar>
                    <w:top w:w="72" w:type="dxa"/>
                    <w:left w:w="144" w:type="dxa"/>
                    <w:bottom w:w="72" w:type="dxa"/>
                    <w:right w:w="144" w:type="dxa"/>
                  </w:tcMar>
                </w:tcPr>
                <w:p w14:paraId="0FD15039" w14:textId="77777777" w:rsidR="000A660F" w:rsidRPr="000F25A7" w:rsidRDefault="000A660F" w:rsidP="003309D5">
                  <w:pPr>
                    <w:spacing w:after="0" w:line="240" w:lineRule="auto"/>
                    <w:jc w:val="center"/>
                    <w:textAlignment w:val="baseline"/>
                    <w:rPr>
                      <w:rFonts w:eastAsia="MS PGothic" w:cs="Times New Roman"/>
                      <w:i/>
                      <w:iCs/>
                      <w:kern w:val="24"/>
                      <w:sz w:val="22"/>
                      <w:lang w:eastAsia="lv-LV"/>
                    </w:rPr>
                  </w:pPr>
                </w:p>
              </w:tc>
              <w:tc>
                <w:tcPr>
                  <w:tcW w:w="2694" w:type="dxa"/>
                  <w:shd w:val="clear" w:color="auto" w:fill="auto"/>
                  <w:tcMar>
                    <w:top w:w="72" w:type="dxa"/>
                    <w:left w:w="144" w:type="dxa"/>
                    <w:bottom w:w="72" w:type="dxa"/>
                    <w:right w:w="144" w:type="dxa"/>
                  </w:tcMar>
                  <w:vAlign w:val="center"/>
                </w:tcPr>
                <w:p w14:paraId="6BFF60B0" w14:textId="77777777" w:rsidR="000A660F" w:rsidRPr="000F25A7" w:rsidRDefault="000A660F" w:rsidP="003309D5">
                  <w:pPr>
                    <w:spacing w:after="0" w:line="240" w:lineRule="auto"/>
                    <w:jc w:val="center"/>
                    <w:textAlignment w:val="baseline"/>
                    <w:rPr>
                      <w:rFonts w:eastAsia="MS PGothic" w:cs="Times New Roman"/>
                      <w:b/>
                      <w:bCs/>
                      <w:iCs/>
                      <w:kern w:val="24"/>
                      <w:sz w:val="22"/>
                      <w:lang w:eastAsia="lv-LV"/>
                    </w:rPr>
                  </w:pPr>
                  <w:r w:rsidRPr="000F25A7">
                    <w:rPr>
                      <w:rFonts w:cs="Times New Roman"/>
                      <w:b/>
                      <w:bCs/>
                      <w:sz w:val="22"/>
                      <w:lang w:eastAsia="lv-LV"/>
                    </w:rPr>
                    <w:t>Vecuma pensijas aprēķina bāzes apmērs 01.01.2021</w:t>
                  </w:r>
                  <w:r w:rsidRPr="000F25A7">
                    <w:rPr>
                      <w:rFonts w:eastAsia="MS PGothic" w:cs="Times New Roman"/>
                      <w:b/>
                      <w:bCs/>
                      <w:kern w:val="24"/>
                      <w:sz w:val="22"/>
                      <w:lang w:eastAsia="lv-LV"/>
                    </w:rPr>
                    <w:t>.</w:t>
                  </w:r>
                </w:p>
              </w:tc>
              <w:tc>
                <w:tcPr>
                  <w:tcW w:w="4396" w:type="dxa"/>
                  <w:gridSpan w:val="2"/>
                  <w:vAlign w:val="center"/>
                </w:tcPr>
                <w:p w14:paraId="3F2D32CE"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cs="Times New Roman"/>
                      <w:b/>
                      <w:bCs/>
                      <w:sz w:val="22"/>
                      <w:lang w:eastAsia="lv-LV"/>
                    </w:rPr>
                    <w:t xml:space="preserve">Plānotais vecuma pensijas aprēķina bāzes apmērs no </w:t>
                  </w:r>
                  <w:r w:rsidRPr="000F25A7">
                    <w:rPr>
                      <w:rFonts w:eastAsia="MS PGothic" w:cs="Times New Roman"/>
                      <w:b/>
                      <w:bCs/>
                      <w:kern w:val="24"/>
                      <w:sz w:val="22"/>
                      <w:lang w:eastAsia="lv-LV"/>
                    </w:rPr>
                    <w:t>01.01.2023.</w:t>
                  </w:r>
                </w:p>
              </w:tc>
              <w:tc>
                <w:tcPr>
                  <w:tcW w:w="3685" w:type="dxa"/>
                  <w:vAlign w:val="center"/>
                </w:tcPr>
                <w:p w14:paraId="4402CDD8" w14:textId="77777777" w:rsidR="000A660F" w:rsidRPr="000F25A7" w:rsidRDefault="000A660F" w:rsidP="003309D5">
                  <w:pPr>
                    <w:spacing w:after="0" w:line="240" w:lineRule="auto"/>
                    <w:jc w:val="center"/>
                    <w:textAlignment w:val="baseline"/>
                    <w:rPr>
                      <w:rFonts w:cs="Times New Roman"/>
                      <w:b/>
                      <w:bCs/>
                      <w:sz w:val="22"/>
                      <w:lang w:eastAsia="lv-LV"/>
                    </w:rPr>
                  </w:pPr>
                  <w:r w:rsidRPr="000F25A7">
                    <w:rPr>
                      <w:rFonts w:cs="Times New Roman"/>
                      <w:b/>
                      <w:bCs/>
                      <w:sz w:val="22"/>
                      <w:lang w:eastAsia="lv-LV"/>
                    </w:rPr>
                    <w:t xml:space="preserve">Plānotais vecuma pensijas aprēķina bāzes apmērs no </w:t>
                  </w:r>
                  <w:r w:rsidRPr="000F25A7">
                    <w:rPr>
                      <w:rFonts w:eastAsia="MS PGothic" w:cs="Times New Roman"/>
                      <w:b/>
                      <w:bCs/>
                      <w:kern w:val="24"/>
                      <w:sz w:val="22"/>
                      <w:lang w:eastAsia="lv-LV"/>
                    </w:rPr>
                    <w:t>01.01.2024.</w:t>
                  </w:r>
                </w:p>
              </w:tc>
            </w:tr>
            <w:tr w:rsidR="000A660F" w:rsidRPr="000F25A7" w14:paraId="1FA01034" w14:textId="77777777" w:rsidTr="003309D5">
              <w:trPr>
                <w:trHeight w:val="151"/>
              </w:trPr>
              <w:tc>
                <w:tcPr>
                  <w:tcW w:w="3743" w:type="dxa"/>
                  <w:gridSpan w:val="2"/>
                  <w:shd w:val="clear" w:color="auto" w:fill="auto"/>
                  <w:tcMar>
                    <w:top w:w="72" w:type="dxa"/>
                    <w:left w:w="144" w:type="dxa"/>
                    <w:bottom w:w="72" w:type="dxa"/>
                    <w:right w:w="144" w:type="dxa"/>
                  </w:tcMar>
                </w:tcPr>
                <w:p w14:paraId="1D0E421B" w14:textId="77777777" w:rsidR="000A660F" w:rsidRPr="000F25A7" w:rsidRDefault="000A660F" w:rsidP="003309D5">
                  <w:pPr>
                    <w:spacing w:after="0" w:line="240" w:lineRule="auto"/>
                    <w:jc w:val="center"/>
                    <w:textAlignment w:val="baseline"/>
                    <w:rPr>
                      <w:rFonts w:eastAsia="MS PGothic" w:cs="Times New Roman"/>
                      <w:i/>
                      <w:iCs/>
                      <w:kern w:val="24"/>
                      <w:sz w:val="22"/>
                      <w:lang w:eastAsia="lv-LV"/>
                    </w:rPr>
                  </w:pPr>
                </w:p>
              </w:tc>
              <w:tc>
                <w:tcPr>
                  <w:tcW w:w="2694" w:type="dxa"/>
                  <w:shd w:val="clear" w:color="auto" w:fill="auto"/>
                  <w:tcMar>
                    <w:top w:w="72" w:type="dxa"/>
                    <w:left w:w="144" w:type="dxa"/>
                    <w:bottom w:w="72" w:type="dxa"/>
                    <w:right w:w="144" w:type="dxa"/>
                  </w:tcMar>
                  <w:vAlign w:val="center"/>
                </w:tcPr>
                <w:p w14:paraId="470AB89C"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kern w:val="24"/>
                      <w:sz w:val="22"/>
                      <w:lang w:eastAsia="lv-LV"/>
                    </w:rPr>
                    <w:t>136</w:t>
                  </w:r>
                  <w:r w:rsidRPr="000F25A7">
                    <w:rPr>
                      <w:rStyle w:val="FootnoteReference"/>
                      <w:rFonts w:eastAsia="MS PGothic"/>
                      <w:kern w:val="24"/>
                      <w:sz w:val="22"/>
                      <w:lang w:eastAsia="lv-LV"/>
                    </w:rPr>
                    <w:footnoteReference w:id="37"/>
                  </w:r>
                </w:p>
              </w:tc>
              <w:tc>
                <w:tcPr>
                  <w:tcW w:w="4396" w:type="dxa"/>
                  <w:gridSpan w:val="2"/>
                  <w:vAlign w:val="center"/>
                </w:tcPr>
                <w:p w14:paraId="0159185C"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bCs/>
                      <w:kern w:val="24"/>
                      <w:sz w:val="22"/>
                      <w:lang w:eastAsia="lv-LV"/>
                    </w:rPr>
                    <w:t>153</w:t>
                  </w:r>
                </w:p>
              </w:tc>
              <w:tc>
                <w:tcPr>
                  <w:tcW w:w="3685" w:type="dxa"/>
                  <w:vAlign w:val="center"/>
                </w:tcPr>
                <w:p w14:paraId="5208332C" w14:textId="77777777" w:rsidR="000A660F" w:rsidRPr="000F25A7" w:rsidRDefault="000A660F" w:rsidP="003309D5">
                  <w:pPr>
                    <w:spacing w:after="0" w:line="240" w:lineRule="auto"/>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159</w:t>
                  </w:r>
                </w:p>
              </w:tc>
            </w:tr>
            <w:tr w:rsidR="000A660F" w:rsidRPr="000F25A7" w14:paraId="045F667C" w14:textId="77777777" w:rsidTr="003309D5">
              <w:trPr>
                <w:trHeight w:val="280"/>
              </w:trPr>
              <w:tc>
                <w:tcPr>
                  <w:tcW w:w="3743" w:type="dxa"/>
                  <w:gridSpan w:val="2"/>
                  <w:shd w:val="clear" w:color="auto" w:fill="auto"/>
                  <w:tcMar>
                    <w:top w:w="72" w:type="dxa"/>
                    <w:left w:w="144" w:type="dxa"/>
                    <w:bottom w:w="72" w:type="dxa"/>
                    <w:right w:w="144" w:type="dxa"/>
                  </w:tcMar>
                </w:tcPr>
                <w:p w14:paraId="5A9A6B70"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Personām ar invaliditāti kopš bērnības</w:t>
                  </w:r>
                </w:p>
              </w:tc>
              <w:tc>
                <w:tcPr>
                  <w:tcW w:w="2694" w:type="dxa"/>
                  <w:shd w:val="clear" w:color="auto" w:fill="auto"/>
                  <w:tcMar>
                    <w:top w:w="72" w:type="dxa"/>
                    <w:left w:w="144" w:type="dxa"/>
                    <w:bottom w:w="72" w:type="dxa"/>
                    <w:right w:w="144" w:type="dxa"/>
                  </w:tcMar>
                  <w:vAlign w:val="center"/>
                </w:tcPr>
                <w:p w14:paraId="71188BA4"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kern w:val="24"/>
                      <w:sz w:val="22"/>
                      <w:lang w:eastAsia="lv-LV"/>
                    </w:rPr>
                    <w:t>163</w:t>
                  </w:r>
                  <w:r w:rsidRPr="000F25A7">
                    <w:rPr>
                      <w:rStyle w:val="FootnoteReference"/>
                      <w:rFonts w:eastAsia="MS PGothic"/>
                      <w:kern w:val="24"/>
                      <w:sz w:val="22"/>
                      <w:lang w:eastAsia="lv-LV"/>
                    </w:rPr>
                    <w:footnoteReference w:id="38"/>
                  </w:r>
                  <w:r w:rsidRPr="000F25A7">
                    <w:rPr>
                      <w:rFonts w:eastAsia="MS PGothic" w:cs="Times New Roman"/>
                      <w:kern w:val="24"/>
                      <w:sz w:val="22"/>
                      <w:lang w:eastAsia="lv-LV"/>
                    </w:rPr>
                    <w:t xml:space="preserve"> </w:t>
                  </w:r>
                </w:p>
              </w:tc>
              <w:tc>
                <w:tcPr>
                  <w:tcW w:w="4396" w:type="dxa"/>
                  <w:gridSpan w:val="2"/>
                  <w:vAlign w:val="center"/>
                </w:tcPr>
                <w:p w14:paraId="55B1F841"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183</w:t>
                  </w:r>
                </w:p>
              </w:tc>
              <w:tc>
                <w:tcPr>
                  <w:tcW w:w="3685" w:type="dxa"/>
                  <w:vAlign w:val="center"/>
                </w:tcPr>
                <w:p w14:paraId="278DC230"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191</w:t>
                  </w:r>
                </w:p>
              </w:tc>
            </w:tr>
            <w:tr w:rsidR="000A660F" w:rsidRPr="000F25A7" w14:paraId="12269B8F" w14:textId="77777777" w:rsidTr="003309D5">
              <w:trPr>
                <w:trHeight w:val="101"/>
              </w:trPr>
              <w:tc>
                <w:tcPr>
                  <w:tcW w:w="14518" w:type="dxa"/>
                  <w:gridSpan w:val="6"/>
                  <w:shd w:val="clear" w:color="auto" w:fill="E5DFEC" w:themeFill="accent4" w:themeFillTint="33"/>
                  <w:tcMar>
                    <w:top w:w="72" w:type="dxa"/>
                    <w:left w:w="144" w:type="dxa"/>
                    <w:bottom w:w="72" w:type="dxa"/>
                    <w:right w:w="144" w:type="dxa"/>
                  </w:tcMar>
                </w:tcPr>
                <w:p w14:paraId="5AEB5B9E"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Minimālās invaliditātes pensijas paaugstināšana</w:t>
                  </w:r>
                </w:p>
              </w:tc>
            </w:tr>
            <w:tr w:rsidR="000A660F" w:rsidRPr="000F25A7" w14:paraId="0664D902" w14:textId="77777777" w:rsidTr="003309D5">
              <w:trPr>
                <w:trHeight w:val="333"/>
              </w:trPr>
              <w:tc>
                <w:tcPr>
                  <w:tcW w:w="3743" w:type="dxa"/>
                  <w:gridSpan w:val="2"/>
                  <w:shd w:val="clear" w:color="auto" w:fill="auto"/>
                  <w:tcMar>
                    <w:top w:w="72" w:type="dxa"/>
                    <w:left w:w="144" w:type="dxa"/>
                    <w:bottom w:w="72" w:type="dxa"/>
                    <w:right w:w="144" w:type="dxa"/>
                  </w:tcMar>
                </w:tcPr>
                <w:p w14:paraId="6E2A8AA6"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p>
              </w:tc>
              <w:tc>
                <w:tcPr>
                  <w:tcW w:w="2694" w:type="dxa"/>
                  <w:shd w:val="clear" w:color="auto" w:fill="auto"/>
                  <w:tcMar>
                    <w:top w:w="72" w:type="dxa"/>
                    <w:left w:w="144" w:type="dxa"/>
                    <w:bottom w:w="72" w:type="dxa"/>
                    <w:right w:w="144" w:type="dxa"/>
                  </w:tcMar>
                  <w:vAlign w:val="center"/>
                </w:tcPr>
                <w:p w14:paraId="7115EA01" w14:textId="77777777" w:rsidR="000A660F" w:rsidRPr="000F25A7" w:rsidRDefault="000A660F" w:rsidP="003309D5">
                  <w:pPr>
                    <w:spacing w:after="0" w:line="240" w:lineRule="auto"/>
                    <w:jc w:val="center"/>
                    <w:textAlignment w:val="baseline"/>
                    <w:rPr>
                      <w:rFonts w:eastAsia="MS PGothic" w:cs="Times New Roman"/>
                      <w:b/>
                      <w:bCs/>
                      <w:iCs/>
                      <w:kern w:val="24"/>
                      <w:sz w:val="22"/>
                      <w:lang w:eastAsia="lv-LV"/>
                    </w:rPr>
                  </w:pPr>
                  <w:r w:rsidRPr="000F25A7">
                    <w:rPr>
                      <w:rFonts w:eastAsia="MS PGothic" w:cs="Times New Roman"/>
                      <w:b/>
                      <w:bCs/>
                      <w:iCs/>
                      <w:kern w:val="24"/>
                      <w:sz w:val="22"/>
                      <w:lang w:eastAsia="lv-LV"/>
                    </w:rPr>
                    <w:t>Koeficients</w:t>
                  </w:r>
                </w:p>
              </w:tc>
              <w:tc>
                <w:tcPr>
                  <w:tcW w:w="2126" w:type="dxa"/>
                  <w:vAlign w:val="center"/>
                </w:tcPr>
                <w:p w14:paraId="70BF112F"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Esošais apmērs no 01.01.2021.</w:t>
                  </w:r>
                </w:p>
              </w:tc>
              <w:tc>
                <w:tcPr>
                  <w:tcW w:w="2270" w:type="dxa"/>
                  <w:shd w:val="clear" w:color="auto" w:fill="auto"/>
                  <w:tcMar>
                    <w:top w:w="72" w:type="dxa"/>
                    <w:left w:w="144" w:type="dxa"/>
                    <w:bottom w:w="72" w:type="dxa"/>
                    <w:right w:w="144" w:type="dxa"/>
                  </w:tcMar>
                  <w:vAlign w:val="center"/>
                </w:tcPr>
                <w:p w14:paraId="6D033CC5" w14:textId="77777777" w:rsidR="000A660F" w:rsidRPr="000F25A7" w:rsidRDefault="000A660F" w:rsidP="003309D5">
                  <w:pPr>
                    <w:spacing w:after="0" w:line="240" w:lineRule="auto"/>
                    <w:jc w:val="center"/>
                    <w:textAlignment w:val="baseline"/>
                    <w:rPr>
                      <w:rFonts w:eastAsia="MS PGothic" w:cs="Times New Roman"/>
                      <w:b/>
                      <w:bCs/>
                      <w:color w:val="FF0000"/>
                      <w:kern w:val="24"/>
                      <w:sz w:val="22"/>
                      <w:lang w:eastAsia="lv-LV"/>
                    </w:rPr>
                  </w:pPr>
                  <w:r w:rsidRPr="000F25A7">
                    <w:rPr>
                      <w:rFonts w:eastAsia="MS PGothic" w:cs="Times New Roman"/>
                      <w:b/>
                      <w:bCs/>
                      <w:kern w:val="24"/>
                      <w:sz w:val="22"/>
                      <w:lang w:eastAsia="lv-LV"/>
                    </w:rPr>
                    <w:t>Plānotais apmērs no 01.01.2023.</w:t>
                  </w:r>
                </w:p>
              </w:tc>
              <w:tc>
                <w:tcPr>
                  <w:tcW w:w="3685" w:type="dxa"/>
                  <w:vAlign w:val="center"/>
                </w:tcPr>
                <w:p w14:paraId="303F45C8"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01.01.2024.</w:t>
                  </w:r>
                </w:p>
              </w:tc>
            </w:tr>
            <w:tr w:rsidR="000A660F" w:rsidRPr="000F25A7" w14:paraId="3F3F05E5" w14:textId="77777777" w:rsidTr="003309D5">
              <w:trPr>
                <w:trHeight w:val="197"/>
              </w:trPr>
              <w:tc>
                <w:tcPr>
                  <w:tcW w:w="14518" w:type="dxa"/>
                  <w:gridSpan w:val="6"/>
                  <w:shd w:val="clear" w:color="auto" w:fill="auto"/>
                  <w:tcMar>
                    <w:top w:w="72" w:type="dxa"/>
                    <w:left w:w="144" w:type="dxa"/>
                    <w:bottom w:w="72" w:type="dxa"/>
                    <w:right w:w="144" w:type="dxa"/>
                  </w:tcMar>
                </w:tcPr>
                <w:p w14:paraId="65E5E2EA" w14:textId="77777777" w:rsidR="000A660F" w:rsidRPr="000F25A7" w:rsidRDefault="000A660F" w:rsidP="003309D5">
                  <w:pPr>
                    <w:spacing w:after="0" w:line="240" w:lineRule="auto"/>
                    <w:textAlignment w:val="baseline"/>
                    <w:rPr>
                      <w:rFonts w:eastAsia="MS PGothic" w:cs="Times New Roman"/>
                      <w:b/>
                      <w:bCs/>
                      <w:kern w:val="24"/>
                      <w:sz w:val="22"/>
                      <w:lang w:eastAsia="lv-LV"/>
                    </w:rPr>
                  </w:pPr>
                  <w:r w:rsidRPr="000F25A7">
                    <w:rPr>
                      <w:rFonts w:eastAsia="MS PGothic" w:cs="Times New Roman"/>
                      <w:b/>
                      <w:bCs/>
                      <w:kern w:val="24"/>
                      <w:sz w:val="22"/>
                      <w:lang w:eastAsia="lv-LV"/>
                    </w:rPr>
                    <w:t>Kopš bērnības</w:t>
                  </w:r>
                </w:p>
              </w:tc>
            </w:tr>
            <w:tr w:rsidR="000A660F" w:rsidRPr="000F25A7" w14:paraId="3C16A3CD" w14:textId="77777777" w:rsidTr="003309D5">
              <w:trPr>
                <w:trHeight w:val="344"/>
              </w:trPr>
              <w:tc>
                <w:tcPr>
                  <w:tcW w:w="3743" w:type="dxa"/>
                  <w:gridSpan w:val="2"/>
                  <w:shd w:val="clear" w:color="auto" w:fill="auto"/>
                  <w:tcMar>
                    <w:top w:w="72" w:type="dxa"/>
                    <w:left w:w="144" w:type="dxa"/>
                    <w:bottom w:w="72" w:type="dxa"/>
                    <w:right w:w="144" w:type="dxa"/>
                  </w:tcMar>
                </w:tcPr>
                <w:p w14:paraId="6FD208B1" w14:textId="77777777" w:rsidR="000A660F" w:rsidRPr="000F25A7" w:rsidRDefault="000A660F" w:rsidP="003309D5">
                  <w:pPr>
                    <w:spacing w:after="0" w:line="240" w:lineRule="auto"/>
                    <w:jc w:val="center"/>
                    <w:textAlignment w:val="baseline"/>
                    <w:rPr>
                      <w:rFonts w:eastAsia="MS PGothic" w:cs="Times New Roman"/>
                      <w:i/>
                      <w:iCs/>
                      <w:kern w:val="24"/>
                      <w:sz w:val="22"/>
                      <w:lang w:eastAsia="lv-LV"/>
                    </w:rPr>
                  </w:pPr>
                  <w:r w:rsidRPr="000F25A7">
                    <w:rPr>
                      <w:rFonts w:eastAsia="MS PGothic" w:cs="Times New Roman"/>
                      <w:kern w:val="24"/>
                      <w:sz w:val="22"/>
                      <w:lang w:eastAsia="lv-LV"/>
                    </w:rPr>
                    <w:t>I grupa</w:t>
                  </w:r>
                </w:p>
              </w:tc>
              <w:tc>
                <w:tcPr>
                  <w:tcW w:w="2694" w:type="dxa"/>
                  <w:shd w:val="clear" w:color="auto" w:fill="auto"/>
                  <w:tcMar>
                    <w:top w:w="72" w:type="dxa"/>
                    <w:left w:w="144" w:type="dxa"/>
                    <w:bottom w:w="72" w:type="dxa"/>
                    <w:right w:w="144" w:type="dxa"/>
                  </w:tcMar>
                  <w:vAlign w:val="center"/>
                </w:tcPr>
                <w:p w14:paraId="67A45AB8"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1.6</w:t>
                  </w:r>
                </w:p>
              </w:tc>
              <w:tc>
                <w:tcPr>
                  <w:tcW w:w="2126" w:type="dxa"/>
                  <w:vAlign w:val="center"/>
                </w:tcPr>
                <w:p w14:paraId="27393EC1"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260,80</w:t>
                  </w:r>
                </w:p>
              </w:tc>
              <w:tc>
                <w:tcPr>
                  <w:tcW w:w="2270" w:type="dxa"/>
                  <w:shd w:val="clear" w:color="auto" w:fill="auto"/>
                  <w:tcMar>
                    <w:top w:w="72" w:type="dxa"/>
                    <w:left w:w="144" w:type="dxa"/>
                    <w:bottom w:w="72" w:type="dxa"/>
                    <w:right w:w="144" w:type="dxa"/>
                  </w:tcMar>
                  <w:vAlign w:val="center"/>
                </w:tcPr>
                <w:p w14:paraId="5A2939E5"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292, 80</w:t>
                  </w:r>
                </w:p>
              </w:tc>
              <w:tc>
                <w:tcPr>
                  <w:tcW w:w="3685" w:type="dxa"/>
                </w:tcPr>
                <w:p w14:paraId="7A9EE07A"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305, 60</w:t>
                  </w:r>
                </w:p>
              </w:tc>
            </w:tr>
            <w:tr w:rsidR="000A660F" w:rsidRPr="000F25A7" w14:paraId="6CBF7D7D" w14:textId="77777777" w:rsidTr="003309D5">
              <w:trPr>
                <w:trHeight w:val="280"/>
              </w:trPr>
              <w:tc>
                <w:tcPr>
                  <w:tcW w:w="3743" w:type="dxa"/>
                  <w:gridSpan w:val="2"/>
                  <w:shd w:val="clear" w:color="auto" w:fill="auto"/>
                  <w:tcMar>
                    <w:top w:w="72" w:type="dxa"/>
                    <w:left w:w="144" w:type="dxa"/>
                    <w:bottom w:w="72" w:type="dxa"/>
                    <w:right w:w="144" w:type="dxa"/>
                  </w:tcMar>
                </w:tcPr>
                <w:p w14:paraId="4B96D680" w14:textId="77777777" w:rsidR="000A660F" w:rsidRPr="000F25A7" w:rsidRDefault="000A660F" w:rsidP="003309D5">
                  <w:pPr>
                    <w:spacing w:after="0" w:line="240" w:lineRule="auto"/>
                    <w:jc w:val="center"/>
                    <w:textAlignment w:val="baseline"/>
                    <w:rPr>
                      <w:rFonts w:eastAsia="MS PGothic" w:cs="Times New Roman"/>
                      <w:i/>
                      <w:iCs/>
                      <w:kern w:val="24"/>
                      <w:sz w:val="22"/>
                      <w:lang w:eastAsia="lv-LV"/>
                    </w:rPr>
                  </w:pPr>
                  <w:r w:rsidRPr="000F25A7">
                    <w:rPr>
                      <w:rFonts w:eastAsia="MS PGothic" w:cs="Times New Roman"/>
                      <w:kern w:val="24"/>
                      <w:sz w:val="22"/>
                      <w:lang w:eastAsia="lv-LV"/>
                    </w:rPr>
                    <w:t>II grupa</w:t>
                  </w:r>
                </w:p>
              </w:tc>
              <w:tc>
                <w:tcPr>
                  <w:tcW w:w="2694" w:type="dxa"/>
                  <w:shd w:val="clear" w:color="auto" w:fill="auto"/>
                  <w:tcMar>
                    <w:top w:w="72" w:type="dxa"/>
                    <w:left w:w="144" w:type="dxa"/>
                    <w:bottom w:w="72" w:type="dxa"/>
                    <w:right w:w="144" w:type="dxa"/>
                  </w:tcMar>
                  <w:vAlign w:val="center"/>
                </w:tcPr>
                <w:p w14:paraId="74AFBCF8"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1.4</w:t>
                  </w:r>
                </w:p>
              </w:tc>
              <w:tc>
                <w:tcPr>
                  <w:tcW w:w="2126" w:type="dxa"/>
                  <w:vAlign w:val="center"/>
                </w:tcPr>
                <w:p w14:paraId="14F17972"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228,20</w:t>
                  </w:r>
                </w:p>
              </w:tc>
              <w:tc>
                <w:tcPr>
                  <w:tcW w:w="2270" w:type="dxa"/>
                  <w:shd w:val="clear" w:color="auto" w:fill="auto"/>
                  <w:tcMar>
                    <w:top w:w="72" w:type="dxa"/>
                    <w:left w:w="144" w:type="dxa"/>
                    <w:bottom w:w="72" w:type="dxa"/>
                    <w:right w:w="144" w:type="dxa"/>
                  </w:tcMar>
                  <w:vAlign w:val="center"/>
                </w:tcPr>
                <w:p w14:paraId="0ECCCDEE"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256, 20</w:t>
                  </w:r>
                </w:p>
              </w:tc>
              <w:tc>
                <w:tcPr>
                  <w:tcW w:w="3685" w:type="dxa"/>
                </w:tcPr>
                <w:p w14:paraId="6204C9D3"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267, 40</w:t>
                  </w:r>
                </w:p>
              </w:tc>
            </w:tr>
            <w:tr w:rsidR="000A660F" w:rsidRPr="000F25A7" w14:paraId="0834584B" w14:textId="77777777" w:rsidTr="003309D5">
              <w:trPr>
                <w:trHeight w:val="273"/>
              </w:trPr>
              <w:tc>
                <w:tcPr>
                  <w:tcW w:w="3743" w:type="dxa"/>
                  <w:gridSpan w:val="2"/>
                  <w:shd w:val="clear" w:color="auto" w:fill="auto"/>
                  <w:tcMar>
                    <w:top w:w="72" w:type="dxa"/>
                    <w:left w:w="144" w:type="dxa"/>
                    <w:bottom w:w="72" w:type="dxa"/>
                    <w:right w:w="144" w:type="dxa"/>
                  </w:tcMar>
                </w:tcPr>
                <w:p w14:paraId="093E1C73" w14:textId="77777777" w:rsidR="000A660F" w:rsidRPr="000F25A7" w:rsidRDefault="000A660F" w:rsidP="003309D5">
                  <w:pPr>
                    <w:spacing w:after="0" w:line="240" w:lineRule="auto"/>
                    <w:jc w:val="center"/>
                    <w:textAlignment w:val="baseline"/>
                    <w:rPr>
                      <w:rFonts w:eastAsia="MS PGothic" w:cs="Times New Roman"/>
                      <w:i/>
                      <w:iCs/>
                      <w:kern w:val="24"/>
                      <w:sz w:val="22"/>
                      <w:lang w:eastAsia="lv-LV"/>
                    </w:rPr>
                  </w:pPr>
                  <w:r w:rsidRPr="000F25A7">
                    <w:rPr>
                      <w:rFonts w:eastAsia="MS PGothic" w:cs="Times New Roman"/>
                      <w:kern w:val="24"/>
                      <w:sz w:val="22"/>
                      <w:lang w:eastAsia="lv-LV"/>
                    </w:rPr>
                    <w:t>III grupa</w:t>
                  </w:r>
                </w:p>
              </w:tc>
              <w:tc>
                <w:tcPr>
                  <w:tcW w:w="2694" w:type="dxa"/>
                  <w:shd w:val="clear" w:color="auto" w:fill="auto"/>
                  <w:tcMar>
                    <w:top w:w="72" w:type="dxa"/>
                    <w:left w:w="144" w:type="dxa"/>
                    <w:bottom w:w="72" w:type="dxa"/>
                    <w:right w:w="144" w:type="dxa"/>
                  </w:tcMar>
                  <w:vAlign w:val="center"/>
                </w:tcPr>
                <w:p w14:paraId="2ED61AF4"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Bāze</w:t>
                  </w:r>
                  <w:r w:rsidRPr="000F25A7">
                    <w:rPr>
                      <w:rStyle w:val="FootnoteReference"/>
                      <w:rFonts w:eastAsia="MS PGothic"/>
                      <w:iCs/>
                      <w:kern w:val="24"/>
                      <w:sz w:val="22"/>
                      <w:lang w:eastAsia="lv-LV"/>
                    </w:rPr>
                    <w:footnoteReference w:id="39"/>
                  </w:r>
                </w:p>
              </w:tc>
              <w:tc>
                <w:tcPr>
                  <w:tcW w:w="2126" w:type="dxa"/>
                  <w:vAlign w:val="center"/>
                </w:tcPr>
                <w:p w14:paraId="66D4DECD"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163</w:t>
                  </w:r>
                </w:p>
              </w:tc>
              <w:tc>
                <w:tcPr>
                  <w:tcW w:w="2270" w:type="dxa"/>
                  <w:shd w:val="clear" w:color="auto" w:fill="auto"/>
                  <w:tcMar>
                    <w:top w:w="72" w:type="dxa"/>
                    <w:left w:w="144" w:type="dxa"/>
                    <w:bottom w:w="72" w:type="dxa"/>
                    <w:right w:w="144" w:type="dxa"/>
                  </w:tcMar>
                  <w:vAlign w:val="center"/>
                </w:tcPr>
                <w:p w14:paraId="0F74485A"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183</w:t>
                  </w:r>
                </w:p>
              </w:tc>
              <w:tc>
                <w:tcPr>
                  <w:tcW w:w="3685" w:type="dxa"/>
                </w:tcPr>
                <w:p w14:paraId="7B084B0E"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191</w:t>
                  </w:r>
                </w:p>
              </w:tc>
            </w:tr>
            <w:tr w:rsidR="000A660F" w:rsidRPr="000F25A7" w14:paraId="3D5560D9" w14:textId="77777777" w:rsidTr="003309D5">
              <w:trPr>
                <w:trHeight w:val="204"/>
              </w:trPr>
              <w:tc>
                <w:tcPr>
                  <w:tcW w:w="14518" w:type="dxa"/>
                  <w:gridSpan w:val="6"/>
                  <w:shd w:val="clear" w:color="auto" w:fill="auto"/>
                  <w:tcMar>
                    <w:top w:w="72" w:type="dxa"/>
                    <w:left w:w="144" w:type="dxa"/>
                    <w:bottom w:w="72" w:type="dxa"/>
                    <w:right w:w="144" w:type="dxa"/>
                  </w:tcMar>
                </w:tcPr>
                <w:p w14:paraId="5B2BE0A1" w14:textId="77777777" w:rsidR="000A660F" w:rsidRPr="000F25A7" w:rsidRDefault="000A660F" w:rsidP="003309D5">
                  <w:pPr>
                    <w:spacing w:after="0" w:line="240" w:lineRule="auto"/>
                    <w:textAlignment w:val="baseline"/>
                    <w:rPr>
                      <w:rFonts w:eastAsia="MS PGothic" w:cs="Times New Roman"/>
                      <w:b/>
                      <w:bCs/>
                      <w:kern w:val="24"/>
                      <w:sz w:val="22"/>
                      <w:lang w:eastAsia="lv-LV"/>
                    </w:rPr>
                  </w:pPr>
                  <w:r w:rsidRPr="000F25A7">
                    <w:rPr>
                      <w:rFonts w:eastAsia="MS PGothic" w:cs="Times New Roman"/>
                      <w:b/>
                      <w:bCs/>
                      <w:kern w:val="24"/>
                      <w:sz w:val="22"/>
                      <w:lang w:eastAsia="lv-LV"/>
                    </w:rPr>
                    <w:t>Pārējās personas ar invaliditāti</w:t>
                  </w:r>
                </w:p>
              </w:tc>
            </w:tr>
            <w:tr w:rsidR="000A660F" w:rsidRPr="000F25A7" w14:paraId="343E67E3" w14:textId="77777777" w:rsidTr="003309D5">
              <w:trPr>
                <w:trHeight w:val="220"/>
              </w:trPr>
              <w:tc>
                <w:tcPr>
                  <w:tcW w:w="3743" w:type="dxa"/>
                  <w:gridSpan w:val="2"/>
                  <w:shd w:val="clear" w:color="auto" w:fill="auto"/>
                  <w:tcMar>
                    <w:top w:w="72" w:type="dxa"/>
                    <w:left w:w="144" w:type="dxa"/>
                    <w:bottom w:w="72" w:type="dxa"/>
                    <w:right w:w="144" w:type="dxa"/>
                  </w:tcMar>
                </w:tcPr>
                <w:p w14:paraId="0F712EF0"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I grupa</w:t>
                  </w:r>
                </w:p>
              </w:tc>
              <w:tc>
                <w:tcPr>
                  <w:tcW w:w="2694" w:type="dxa"/>
                  <w:shd w:val="clear" w:color="auto" w:fill="auto"/>
                  <w:tcMar>
                    <w:top w:w="72" w:type="dxa"/>
                    <w:left w:w="144" w:type="dxa"/>
                    <w:bottom w:w="72" w:type="dxa"/>
                    <w:right w:w="144" w:type="dxa"/>
                  </w:tcMar>
                  <w:vAlign w:val="center"/>
                </w:tcPr>
                <w:p w14:paraId="04227952"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1.6</w:t>
                  </w:r>
                </w:p>
              </w:tc>
              <w:tc>
                <w:tcPr>
                  <w:tcW w:w="2126" w:type="dxa"/>
                  <w:vAlign w:val="center"/>
                </w:tcPr>
                <w:p w14:paraId="3994E0E2"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217,60</w:t>
                  </w:r>
                </w:p>
              </w:tc>
              <w:tc>
                <w:tcPr>
                  <w:tcW w:w="2270" w:type="dxa"/>
                  <w:shd w:val="clear" w:color="auto" w:fill="auto"/>
                  <w:tcMar>
                    <w:top w:w="72" w:type="dxa"/>
                    <w:left w:w="144" w:type="dxa"/>
                    <w:bottom w:w="72" w:type="dxa"/>
                    <w:right w:w="144" w:type="dxa"/>
                  </w:tcMar>
                  <w:vAlign w:val="center"/>
                </w:tcPr>
                <w:p w14:paraId="1F840A62"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244, 80</w:t>
                  </w:r>
                </w:p>
              </w:tc>
              <w:tc>
                <w:tcPr>
                  <w:tcW w:w="3685" w:type="dxa"/>
                </w:tcPr>
                <w:p w14:paraId="278F01A2"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254, 40</w:t>
                  </w:r>
                </w:p>
              </w:tc>
            </w:tr>
            <w:tr w:rsidR="000A660F" w:rsidRPr="000F25A7" w14:paraId="7C6BB195" w14:textId="77777777" w:rsidTr="003309D5">
              <w:trPr>
                <w:trHeight w:val="35"/>
              </w:trPr>
              <w:tc>
                <w:tcPr>
                  <w:tcW w:w="3743" w:type="dxa"/>
                  <w:gridSpan w:val="2"/>
                  <w:shd w:val="clear" w:color="auto" w:fill="auto"/>
                  <w:tcMar>
                    <w:top w:w="72" w:type="dxa"/>
                    <w:left w:w="144" w:type="dxa"/>
                    <w:bottom w:w="72" w:type="dxa"/>
                    <w:right w:w="144" w:type="dxa"/>
                  </w:tcMar>
                  <w:vAlign w:val="center"/>
                </w:tcPr>
                <w:p w14:paraId="5924469B"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II grupa</w:t>
                  </w:r>
                </w:p>
              </w:tc>
              <w:tc>
                <w:tcPr>
                  <w:tcW w:w="2694" w:type="dxa"/>
                  <w:shd w:val="clear" w:color="auto" w:fill="auto"/>
                  <w:tcMar>
                    <w:top w:w="72" w:type="dxa"/>
                    <w:left w:w="144" w:type="dxa"/>
                    <w:bottom w:w="72" w:type="dxa"/>
                    <w:right w:w="144" w:type="dxa"/>
                  </w:tcMar>
                  <w:vAlign w:val="center"/>
                </w:tcPr>
                <w:p w14:paraId="5FB58BA9"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1.4</w:t>
                  </w:r>
                </w:p>
              </w:tc>
              <w:tc>
                <w:tcPr>
                  <w:tcW w:w="2126" w:type="dxa"/>
                  <w:vAlign w:val="center"/>
                </w:tcPr>
                <w:p w14:paraId="52BBCD0D"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190,40</w:t>
                  </w:r>
                </w:p>
              </w:tc>
              <w:tc>
                <w:tcPr>
                  <w:tcW w:w="2270" w:type="dxa"/>
                  <w:shd w:val="clear" w:color="auto" w:fill="auto"/>
                  <w:tcMar>
                    <w:top w:w="72" w:type="dxa"/>
                    <w:left w:w="144" w:type="dxa"/>
                    <w:bottom w:w="72" w:type="dxa"/>
                    <w:right w:w="144" w:type="dxa"/>
                  </w:tcMar>
                  <w:vAlign w:val="center"/>
                </w:tcPr>
                <w:p w14:paraId="09B652D4"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214, 20</w:t>
                  </w:r>
                </w:p>
              </w:tc>
              <w:tc>
                <w:tcPr>
                  <w:tcW w:w="3685" w:type="dxa"/>
                  <w:vAlign w:val="center"/>
                </w:tcPr>
                <w:p w14:paraId="32944018"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222, 60</w:t>
                  </w:r>
                </w:p>
              </w:tc>
            </w:tr>
            <w:tr w:rsidR="000A660F" w:rsidRPr="000F25A7" w14:paraId="5249BD92" w14:textId="77777777" w:rsidTr="003309D5">
              <w:trPr>
                <w:trHeight w:val="18"/>
              </w:trPr>
              <w:tc>
                <w:tcPr>
                  <w:tcW w:w="3743" w:type="dxa"/>
                  <w:gridSpan w:val="2"/>
                  <w:shd w:val="clear" w:color="auto" w:fill="auto"/>
                  <w:tcMar>
                    <w:top w:w="72" w:type="dxa"/>
                    <w:left w:w="144" w:type="dxa"/>
                    <w:bottom w:w="72" w:type="dxa"/>
                    <w:right w:w="144" w:type="dxa"/>
                  </w:tcMar>
                </w:tcPr>
                <w:p w14:paraId="4A888B4D"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III grupa</w:t>
                  </w:r>
                </w:p>
              </w:tc>
              <w:tc>
                <w:tcPr>
                  <w:tcW w:w="2694" w:type="dxa"/>
                  <w:shd w:val="clear" w:color="auto" w:fill="auto"/>
                  <w:tcMar>
                    <w:top w:w="72" w:type="dxa"/>
                    <w:left w:w="144" w:type="dxa"/>
                    <w:bottom w:w="72" w:type="dxa"/>
                    <w:right w:w="144" w:type="dxa"/>
                  </w:tcMar>
                  <w:vAlign w:val="center"/>
                </w:tcPr>
                <w:p w14:paraId="7354F1A5"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iCs/>
                      <w:kern w:val="24"/>
                      <w:sz w:val="22"/>
                      <w:lang w:eastAsia="lv-LV"/>
                    </w:rPr>
                    <w:t>Bāze</w:t>
                  </w:r>
                  <w:r w:rsidRPr="000F25A7">
                    <w:rPr>
                      <w:rStyle w:val="FootnoteReference"/>
                      <w:rFonts w:eastAsia="MS PGothic"/>
                      <w:iCs/>
                      <w:kern w:val="24"/>
                      <w:sz w:val="22"/>
                      <w:lang w:eastAsia="lv-LV"/>
                    </w:rPr>
                    <w:footnoteReference w:id="40"/>
                  </w:r>
                </w:p>
              </w:tc>
              <w:tc>
                <w:tcPr>
                  <w:tcW w:w="2126" w:type="dxa"/>
                  <w:vAlign w:val="center"/>
                </w:tcPr>
                <w:p w14:paraId="1CC73DA1"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136</w:t>
                  </w:r>
                </w:p>
              </w:tc>
              <w:tc>
                <w:tcPr>
                  <w:tcW w:w="2270" w:type="dxa"/>
                  <w:shd w:val="clear" w:color="auto" w:fill="auto"/>
                  <w:tcMar>
                    <w:top w:w="72" w:type="dxa"/>
                    <w:left w:w="144" w:type="dxa"/>
                    <w:bottom w:w="72" w:type="dxa"/>
                    <w:right w:w="144" w:type="dxa"/>
                  </w:tcMar>
                  <w:vAlign w:val="center"/>
                </w:tcPr>
                <w:p w14:paraId="2294188A"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153</w:t>
                  </w:r>
                </w:p>
              </w:tc>
              <w:tc>
                <w:tcPr>
                  <w:tcW w:w="3685" w:type="dxa"/>
                </w:tcPr>
                <w:p w14:paraId="267E31D0"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159</w:t>
                  </w:r>
                </w:p>
              </w:tc>
            </w:tr>
            <w:tr w:rsidR="000A660F" w:rsidRPr="000F25A7" w14:paraId="2F82CD24" w14:textId="77777777" w:rsidTr="003309D5">
              <w:trPr>
                <w:trHeight w:val="127"/>
              </w:trPr>
              <w:tc>
                <w:tcPr>
                  <w:tcW w:w="14518" w:type="dxa"/>
                  <w:gridSpan w:val="6"/>
                  <w:shd w:val="clear" w:color="auto" w:fill="E5DFEC" w:themeFill="accent4" w:themeFillTint="33"/>
                  <w:tcMar>
                    <w:top w:w="72" w:type="dxa"/>
                    <w:left w:w="144" w:type="dxa"/>
                    <w:bottom w:w="72" w:type="dxa"/>
                    <w:right w:w="144" w:type="dxa"/>
                  </w:tcMar>
                </w:tcPr>
                <w:p w14:paraId="71FA6F0A"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 xml:space="preserve">Minimālās AZG </w:t>
                  </w:r>
                  <w:r w:rsidRPr="000F25A7">
                    <w:rPr>
                      <w:rFonts w:eastAsia="MS PGothic" w:cs="Times New Roman"/>
                      <w:b/>
                      <w:bCs/>
                      <w:kern w:val="24"/>
                      <w:sz w:val="22"/>
                      <w:shd w:val="clear" w:color="auto" w:fill="E5DFEC" w:themeFill="accent4" w:themeFillTint="33"/>
                      <w:lang w:eastAsia="lv-LV"/>
                    </w:rPr>
                    <w:t>pensijas paaugstināšana</w:t>
                  </w:r>
                </w:p>
              </w:tc>
            </w:tr>
            <w:tr w:rsidR="000A660F" w:rsidRPr="000F25A7" w14:paraId="180A277A" w14:textId="77777777" w:rsidTr="003309D5">
              <w:trPr>
                <w:trHeight w:val="419"/>
              </w:trPr>
              <w:tc>
                <w:tcPr>
                  <w:tcW w:w="3743" w:type="dxa"/>
                  <w:gridSpan w:val="2"/>
                  <w:shd w:val="clear" w:color="auto" w:fill="auto"/>
                  <w:tcMar>
                    <w:top w:w="72" w:type="dxa"/>
                    <w:left w:w="144" w:type="dxa"/>
                    <w:bottom w:w="72" w:type="dxa"/>
                    <w:right w:w="144" w:type="dxa"/>
                  </w:tcMar>
                </w:tcPr>
                <w:p w14:paraId="4804B751"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p>
              </w:tc>
              <w:tc>
                <w:tcPr>
                  <w:tcW w:w="2694" w:type="dxa"/>
                  <w:shd w:val="clear" w:color="auto" w:fill="auto"/>
                  <w:tcMar>
                    <w:top w:w="72" w:type="dxa"/>
                    <w:left w:w="144" w:type="dxa"/>
                    <w:bottom w:w="72" w:type="dxa"/>
                    <w:right w:w="144" w:type="dxa"/>
                  </w:tcMar>
                  <w:vAlign w:val="center"/>
                </w:tcPr>
                <w:p w14:paraId="77F98513"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b/>
                      <w:bCs/>
                      <w:kern w:val="24"/>
                      <w:sz w:val="22"/>
                      <w:lang w:eastAsia="lv-LV"/>
                    </w:rPr>
                    <w:t>Esošais apmērs no 01.01.2021.</w:t>
                  </w:r>
                </w:p>
              </w:tc>
              <w:tc>
                <w:tcPr>
                  <w:tcW w:w="4396" w:type="dxa"/>
                  <w:gridSpan w:val="2"/>
                  <w:vAlign w:val="center"/>
                </w:tcPr>
                <w:p w14:paraId="3A732443" w14:textId="77777777" w:rsidR="000A660F" w:rsidRPr="000F25A7" w:rsidRDefault="000A660F" w:rsidP="003309D5">
                  <w:pPr>
                    <w:spacing w:after="0" w:line="240" w:lineRule="auto"/>
                    <w:jc w:val="center"/>
                    <w:textAlignment w:val="baseline"/>
                    <w:rPr>
                      <w:rFonts w:eastAsia="MS PGothic" w:cs="Times New Roman"/>
                      <w:b/>
                      <w:bCs/>
                      <w:color w:val="FF0000"/>
                      <w:kern w:val="24"/>
                      <w:sz w:val="22"/>
                      <w:lang w:eastAsia="lv-LV"/>
                    </w:rPr>
                  </w:pPr>
                  <w:r w:rsidRPr="000F25A7">
                    <w:rPr>
                      <w:rFonts w:eastAsia="MS PGothic" w:cs="Times New Roman"/>
                      <w:b/>
                      <w:bCs/>
                      <w:kern w:val="24"/>
                      <w:sz w:val="22"/>
                      <w:lang w:eastAsia="lv-LV"/>
                    </w:rPr>
                    <w:t>Plānotais apmērs no 01.01.2023.</w:t>
                  </w:r>
                </w:p>
              </w:tc>
              <w:tc>
                <w:tcPr>
                  <w:tcW w:w="3685" w:type="dxa"/>
                  <w:vAlign w:val="center"/>
                </w:tcPr>
                <w:p w14:paraId="6E42E9A4" w14:textId="77777777" w:rsidR="000A660F" w:rsidRPr="000F25A7" w:rsidRDefault="000A660F" w:rsidP="003309D5">
                  <w:pPr>
                    <w:tabs>
                      <w:tab w:val="left" w:pos="480"/>
                    </w:tabs>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01.01.2024.</w:t>
                  </w:r>
                </w:p>
              </w:tc>
            </w:tr>
            <w:tr w:rsidR="000A660F" w:rsidRPr="000F25A7" w14:paraId="2C2F06C6" w14:textId="77777777" w:rsidTr="003309D5">
              <w:trPr>
                <w:trHeight w:val="70"/>
              </w:trPr>
              <w:tc>
                <w:tcPr>
                  <w:tcW w:w="3743" w:type="dxa"/>
                  <w:gridSpan w:val="2"/>
                  <w:shd w:val="clear" w:color="auto" w:fill="auto"/>
                  <w:tcMar>
                    <w:top w:w="72" w:type="dxa"/>
                    <w:left w:w="144" w:type="dxa"/>
                    <w:bottom w:w="72" w:type="dxa"/>
                    <w:right w:w="144" w:type="dxa"/>
                  </w:tcMar>
                </w:tcPr>
                <w:p w14:paraId="58992034" w14:textId="77777777" w:rsidR="000A660F" w:rsidRPr="000F25A7" w:rsidRDefault="000A660F" w:rsidP="003309D5">
                  <w:pPr>
                    <w:spacing w:after="0" w:line="240" w:lineRule="auto"/>
                    <w:jc w:val="center"/>
                    <w:textAlignment w:val="baseline"/>
                    <w:rPr>
                      <w:rFonts w:eastAsia="MS PGothic" w:cs="Times New Roman"/>
                      <w:bCs/>
                      <w:iCs/>
                      <w:kern w:val="24"/>
                      <w:sz w:val="22"/>
                      <w:lang w:eastAsia="lv-LV"/>
                    </w:rPr>
                  </w:pPr>
                  <w:r w:rsidRPr="000F25A7">
                    <w:rPr>
                      <w:rFonts w:eastAsia="MS PGothic" w:cs="Times New Roman"/>
                      <w:bCs/>
                      <w:iCs/>
                      <w:kern w:val="24"/>
                      <w:sz w:val="22"/>
                      <w:lang w:eastAsia="lv-LV"/>
                    </w:rPr>
                    <w:t>Līdz 7 g.v, t.sk. bērniem ar inval.</w:t>
                  </w:r>
                  <w:r w:rsidRPr="000F25A7">
                    <w:rPr>
                      <w:rStyle w:val="FootnoteReference"/>
                      <w:rFonts w:eastAsia="MS PGothic"/>
                      <w:iCs/>
                      <w:kern w:val="24"/>
                      <w:sz w:val="22"/>
                      <w:lang w:eastAsia="lv-LV"/>
                    </w:rPr>
                    <w:footnoteReference w:id="41"/>
                  </w:r>
                </w:p>
              </w:tc>
              <w:tc>
                <w:tcPr>
                  <w:tcW w:w="2694" w:type="dxa"/>
                  <w:shd w:val="clear" w:color="auto" w:fill="auto"/>
                  <w:tcMar>
                    <w:top w:w="72" w:type="dxa"/>
                    <w:left w:w="144" w:type="dxa"/>
                    <w:bottom w:w="72" w:type="dxa"/>
                    <w:right w:w="144" w:type="dxa"/>
                  </w:tcMar>
                  <w:vAlign w:val="center"/>
                </w:tcPr>
                <w:p w14:paraId="05753D2A"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bCs/>
                      <w:kern w:val="24"/>
                      <w:sz w:val="22"/>
                      <w:lang w:eastAsia="lv-LV"/>
                    </w:rPr>
                    <w:t>136</w:t>
                  </w:r>
                </w:p>
              </w:tc>
              <w:tc>
                <w:tcPr>
                  <w:tcW w:w="4396" w:type="dxa"/>
                  <w:gridSpan w:val="2"/>
                  <w:vAlign w:val="center"/>
                </w:tcPr>
                <w:p w14:paraId="7DB838AA"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153</w:t>
                  </w:r>
                </w:p>
              </w:tc>
              <w:tc>
                <w:tcPr>
                  <w:tcW w:w="3685" w:type="dxa"/>
                  <w:vAlign w:val="center"/>
                </w:tcPr>
                <w:p w14:paraId="1F62CBBE"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159</w:t>
                  </w:r>
                </w:p>
              </w:tc>
            </w:tr>
            <w:tr w:rsidR="000A660F" w:rsidRPr="000F25A7" w14:paraId="3C251C73" w14:textId="77777777" w:rsidTr="003309D5">
              <w:trPr>
                <w:trHeight w:val="206"/>
              </w:trPr>
              <w:tc>
                <w:tcPr>
                  <w:tcW w:w="3743" w:type="dxa"/>
                  <w:gridSpan w:val="2"/>
                  <w:shd w:val="clear" w:color="auto" w:fill="auto"/>
                  <w:tcMar>
                    <w:top w:w="72" w:type="dxa"/>
                    <w:left w:w="144" w:type="dxa"/>
                    <w:bottom w:w="72" w:type="dxa"/>
                    <w:right w:w="144" w:type="dxa"/>
                  </w:tcMar>
                </w:tcPr>
                <w:p w14:paraId="2323B019" w14:textId="77777777" w:rsidR="000A660F" w:rsidRPr="000F25A7" w:rsidRDefault="000A660F" w:rsidP="003309D5">
                  <w:pPr>
                    <w:spacing w:after="0" w:line="240" w:lineRule="auto"/>
                    <w:jc w:val="center"/>
                    <w:textAlignment w:val="baseline"/>
                    <w:rPr>
                      <w:rFonts w:eastAsia="MS PGothic" w:cs="Times New Roman"/>
                      <w:bCs/>
                      <w:iCs/>
                      <w:kern w:val="24"/>
                      <w:sz w:val="22"/>
                      <w:lang w:eastAsia="lv-LV"/>
                    </w:rPr>
                  </w:pPr>
                  <w:r w:rsidRPr="000F25A7">
                    <w:rPr>
                      <w:rFonts w:eastAsia="MS PGothic" w:cs="Times New Roman"/>
                      <w:bCs/>
                      <w:iCs/>
                      <w:kern w:val="24"/>
                      <w:sz w:val="22"/>
                      <w:lang w:eastAsia="lv-LV"/>
                    </w:rPr>
                    <w:t>No 7 g.v.</w:t>
                  </w:r>
                  <w:r w:rsidRPr="000F25A7">
                    <w:rPr>
                      <w:rStyle w:val="FootnoteReference"/>
                      <w:rFonts w:eastAsia="MS PGothic"/>
                      <w:iCs/>
                      <w:kern w:val="24"/>
                      <w:sz w:val="22"/>
                      <w:lang w:eastAsia="lv-LV"/>
                    </w:rPr>
                    <w:footnoteReference w:id="42"/>
                  </w:r>
                </w:p>
              </w:tc>
              <w:tc>
                <w:tcPr>
                  <w:tcW w:w="2694" w:type="dxa"/>
                  <w:shd w:val="clear" w:color="auto" w:fill="auto"/>
                  <w:tcMar>
                    <w:top w:w="72" w:type="dxa"/>
                    <w:left w:w="144" w:type="dxa"/>
                    <w:bottom w:w="72" w:type="dxa"/>
                    <w:right w:w="144" w:type="dxa"/>
                  </w:tcMar>
                  <w:vAlign w:val="center"/>
                </w:tcPr>
                <w:p w14:paraId="2B278494" w14:textId="77777777" w:rsidR="000A660F" w:rsidRPr="000F25A7" w:rsidRDefault="000A660F" w:rsidP="003309D5">
                  <w:pPr>
                    <w:spacing w:after="0" w:line="240" w:lineRule="auto"/>
                    <w:jc w:val="center"/>
                    <w:textAlignment w:val="baseline"/>
                    <w:rPr>
                      <w:rFonts w:eastAsia="MS PGothic" w:cs="Times New Roman"/>
                      <w:iCs/>
                      <w:kern w:val="24"/>
                      <w:sz w:val="22"/>
                      <w:lang w:eastAsia="lv-LV"/>
                    </w:rPr>
                  </w:pPr>
                  <w:r w:rsidRPr="000F25A7">
                    <w:rPr>
                      <w:rFonts w:eastAsia="MS PGothic" w:cs="Times New Roman"/>
                      <w:bCs/>
                      <w:kern w:val="24"/>
                      <w:sz w:val="22"/>
                      <w:lang w:eastAsia="lv-LV"/>
                    </w:rPr>
                    <w:t>163</w:t>
                  </w:r>
                </w:p>
              </w:tc>
              <w:tc>
                <w:tcPr>
                  <w:tcW w:w="4396" w:type="dxa"/>
                  <w:gridSpan w:val="2"/>
                  <w:vAlign w:val="center"/>
                </w:tcPr>
                <w:p w14:paraId="2615DEE9"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183</w:t>
                  </w:r>
                </w:p>
              </w:tc>
              <w:tc>
                <w:tcPr>
                  <w:tcW w:w="3685" w:type="dxa"/>
                  <w:vAlign w:val="center"/>
                </w:tcPr>
                <w:p w14:paraId="30154C83"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191</w:t>
                  </w:r>
                </w:p>
              </w:tc>
            </w:tr>
            <w:tr w:rsidR="000A660F" w:rsidRPr="000F25A7" w14:paraId="6EBFDEEA" w14:textId="77777777" w:rsidTr="00B265B4">
              <w:trPr>
                <w:trHeight w:val="317"/>
              </w:trPr>
              <w:tc>
                <w:tcPr>
                  <w:tcW w:w="14518" w:type="dxa"/>
                  <w:gridSpan w:val="6"/>
                  <w:shd w:val="clear" w:color="auto" w:fill="C6D9F1" w:themeFill="text2" w:themeFillTint="33"/>
                  <w:tcMar>
                    <w:top w:w="72" w:type="dxa"/>
                    <w:left w:w="144" w:type="dxa"/>
                    <w:bottom w:w="72" w:type="dxa"/>
                    <w:right w:w="144" w:type="dxa"/>
                  </w:tcMar>
                </w:tcPr>
                <w:p w14:paraId="76C13FF7" w14:textId="77777777" w:rsidR="000A660F" w:rsidRPr="000F25A7" w:rsidRDefault="000A660F" w:rsidP="003309D5">
                  <w:pPr>
                    <w:spacing w:before="120" w:after="12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Minimālo ienākumu sliekšņu paaugstināšana sociālās palīdzības jomā</w:t>
                  </w:r>
                  <w:r w:rsidRPr="000F25A7">
                    <w:rPr>
                      <w:rStyle w:val="FootnoteReference"/>
                      <w:rFonts w:eastAsia="MS PGothic"/>
                      <w:kern w:val="24"/>
                      <w:sz w:val="22"/>
                      <w:lang w:eastAsia="lv-LV"/>
                    </w:rPr>
                    <w:footnoteReference w:id="43"/>
                  </w:r>
                </w:p>
              </w:tc>
            </w:tr>
            <w:tr w:rsidR="000A660F" w:rsidRPr="000F25A7" w14:paraId="389C9D7B" w14:textId="77777777" w:rsidTr="003309D5">
              <w:trPr>
                <w:trHeight w:val="83"/>
              </w:trPr>
              <w:tc>
                <w:tcPr>
                  <w:tcW w:w="3743" w:type="dxa"/>
                  <w:gridSpan w:val="2"/>
                  <w:shd w:val="clear" w:color="auto" w:fill="auto"/>
                  <w:tcMar>
                    <w:top w:w="72" w:type="dxa"/>
                    <w:left w:w="144" w:type="dxa"/>
                    <w:bottom w:w="72" w:type="dxa"/>
                    <w:right w:w="144" w:type="dxa"/>
                  </w:tcMar>
                </w:tcPr>
                <w:p w14:paraId="51D79E55"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p>
              </w:tc>
              <w:tc>
                <w:tcPr>
                  <w:tcW w:w="2694" w:type="dxa"/>
                  <w:shd w:val="clear" w:color="auto" w:fill="auto"/>
                  <w:tcMar>
                    <w:top w:w="72" w:type="dxa"/>
                    <w:left w:w="144" w:type="dxa"/>
                    <w:bottom w:w="72" w:type="dxa"/>
                    <w:right w:w="144" w:type="dxa"/>
                  </w:tcMar>
                  <w:vAlign w:val="center"/>
                </w:tcPr>
                <w:p w14:paraId="57E20F4D" w14:textId="77777777" w:rsidR="000A660F" w:rsidRPr="000F25A7" w:rsidRDefault="000A660F" w:rsidP="003309D5">
                  <w:pPr>
                    <w:spacing w:after="0" w:line="240" w:lineRule="auto"/>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Esošais apmērs no 01.01.2021.</w:t>
                  </w:r>
                </w:p>
              </w:tc>
              <w:tc>
                <w:tcPr>
                  <w:tcW w:w="4396" w:type="dxa"/>
                  <w:gridSpan w:val="2"/>
                  <w:vAlign w:val="center"/>
                </w:tcPr>
                <w:p w14:paraId="1671D072" w14:textId="77777777" w:rsidR="000A660F" w:rsidRPr="000F25A7" w:rsidRDefault="000A660F" w:rsidP="003309D5">
                  <w:pPr>
                    <w:spacing w:after="0" w:line="240" w:lineRule="auto"/>
                    <w:ind w:left="150" w:right="284"/>
                    <w:jc w:val="center"/>
                    <w:textAlignment w:val="baseline"/>
                    <w:rPr>
                      <w:rFonts w:eastAsia="MS PGothic" w:cs="Times New Roman"/>
                      <w:b/>
                      <w:bCs/>
                      <w:color w:val="FF0000"/>
                      <w:kern w:val="24"/>
                      <w:sz w:val="22"/>
                      <w:lang w:eastAsia="lv-LV"/>
                    </w:rPr>
                  </w:pPr>
                  <w:r w:rsidRPr="000F25A7">
                    <w:rPr>
                      <w:rFonts w:eastAsia="MS PGothic" w:cs="Times New Roman"/>
                      <w:b/>
                      <w:bCs/>
                      <w:kern w:val="24"/>
                      <w:sz w:val="22"/>
                      <w:lang w:eastAsia="lv-LV"/>
                    </w:rPr>
                    <w:t>Plānotais apmērs no 01.01.2023.</w:t>
                  </w:r>
                </w:p>
              </w:tc>
              <w:tc>
                <w:tcPr>
                  <w:tcW w:w="3685" w:type="dxa"/>
                  <w:vAlign w:val="center"/>
                </w:tcPr>
                <w:p w14:paraId="2756663B" w14:textId="77777777" w:rsidR="000A660F" w:rsidRPr="000F25A7" w:rsidRDefault="000A660F" w:rsidP="003309D5">
                  <w:pPr>
                    <w:tabs>
                      <w:tab w:val="left" w:pos="744"/>
                    </w:tabs>
                    <w:spacing w:after="0" w:line="240" w:lineRule="auto"/>
                    <w:ind w:left="150" w:right="284"/>
                    <w:jc w:val="center"/>
                    <w:textAlignment w:val="baseline"/>
                    <w:rPr>
                      <w:rFonts w:eastAsia="MS PGothic" w:cs="Times New Roman"/>
                      <w:b/>
                      <w:bCs/>
                      <w:kern w:val="24"/>
                      <w:sz w:val="22"/>
                      <w:lang w:eastAsia="lv-LV"/>
                    </w:rPr>
                  </w:pPr>
                  <w:r w:rsidRPr="000F25A7">
                    <w:rPr>
                      <w:rFonts w:eastAsia="MS PGothic" w:cs="Times New Roman"/>
                      <w:b/>
                      <w:bCs/>
                      <w:kern w:val="24"/>
                      <w:sz w:val="22"/>
                      <w:lang w:eastAsia="lv-LV"/>
                    </w:rPr>
                    <w:t>Plānotais apmērs no 01.01.2024.</w:t>
                  </w:r>
                </w:p>
              </w:tc>
            </w:tr>
            <w:tr w:rsidR="000A660F" w:rsidRPr="000F25A7" w14:paraId="7AE965C8" w14:textId="77777777" w:rsidTr="003309D5">
              <w:trPr>
                <w:trHeight w:val="257"/>
              </w:trPr>
              <w:tc>
                <w:tcPr>
                  <w:tcW w:w="3743" w:type="dxa"/>
                  <w:gridSpan w:val="2"/>
                  <w:shd w:val="clear" w:color="auto" w:fill="auto"/>
                  <w:tcMar>
                    <w:top w:w="72" w:type="dxa"/>
                    <w:left w:w="144" w:type="dxa"/>
                    <w:bottom w:w="72" w:type="dxa"/>
                    <w:right w:w="144" w:type="dxa"/>
                  </w:tcMar>
                </w:tcPr>
                <w:p w14:paraId="6B524C6D"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Garantētā minimālā ienākuma slieksnis</w:t>
                  </w:r>
                </w:p>
              </w:tc>
              <w:tc>
                <w:tcPr>
                  <w:tcW w:w="2694" w:type="dxa"/>
                  <w:shd w:val="clear" w:color="auto" w:fill="auto"/>
                  <w:tcMar>
                    <w:top w:w="72" w:type="dxa"/>
                    <w:left w:w="144" w:type="dxa"/>
                    <w:bottom w:w="72" w:type="dxa"/>
                    <w:right w:w="144" w:type="dxa"/>
                  </w:tcMar>
                  <w:vAlign w:val="center"/>
                </w:tcPr>
                <w:p w14:paraId="4F4ADC25"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bCs/>
                      <w:kern w:val="24"/>
                      <w:sz w:val="22"/>
                      <w:lang w:eastAsia="lv-LV"/>
                    </w:rPr>
                    <w:t>109</w:t>
                  </w:r>
                  <w:r w:rsidRPr="000F25A7">
                    <w:rPr>
                      <w:rStyle w:val="FootnoteReference"/>
                      <w:rFonts w:eastAsia="MS PGothic"/>
                      <w:kern w:val="24"/>
                      <w:sz w:val="22"/>
                      <w:lang w:eastAsia="lv-LV"/>
                    </w:rPr>
                    <w:footnoteReference w:id="44"/>
                  </w:r>
                  <w:r w:rsidRPr="000F25A7">
                    <w:rPr>
                      <w:rFonts w:eastAsia="MS PGothic" w:cs="Times New Roman"/>
                      <w:bCs/>
                      <w:kern w:val="24"/>
                      <w:sz w:val="22"/>
                      <w:lang w:eastAsia="lv-LV"/>
                    </w:rPr>
                    <w:t xml:space="preserve"> / 76</w:t>
                  </w:r>
                </w:p>
              </w:tc>
              <w:tc>
                <w:tcPr>
                  <w:tcW w:w="4396" w:type="dxa"/>
                  <w:gridSpan w:val="2"/>
                  <w:vAlign w:val="center"/>
                </w:tcPr>
                <w:p w14:paraId="05EC5CAC" w14:textId="77777777" w:rsidR="000A660F" w:rsidRPr="000F25A7" w:rsidRDefault="000A660F" w:rsidP="003309D5">
                  <w:pPr>
                    <w:spacing w:after="0" w:line="240" w:lineRule="auto"/>
                    <w:ind w:left="150" w:right="284"/>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122 / 85</w:t>
                  </w:r>
                </w:p>
              </w:tc>
              <w:tc>
                <w:tcPr>
                  <w:tcW w:w="3685" w:type="dxa"/>
                  <w:vAlign w:val="center"/>
                </w:tcPr>
                <w:p w14:paraId="57ABF52B" w14:textId="77777777" w:rsidR="000A660F" w:rsidRPr="000F25A7" w:rsidRDefault="000A660F" w:rsidP="003309D5">
                  <w:pPr>
                    <w:spacing w:after="0" w:line="240" w:lineRule="auto"/>
                    <w:ind w:left="150" w:right="284"/>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127 / 89</w:t>
                  </w:r>
                </w:p>
              </w:tc>
            </w:tr>
            <w:tr w:rsidR="000A660F" w:rsidRPr="000F25A7" w14:paraId="00B6BCA1" w14:textId="77777777" w:rsidTr="003309D5">
              <w:trPr>
                <w:trHeight w:val="333"/>
              </w:trPr>
              <w:tc>
                <w:tcPr>
                  <w:tcW w:w="3743" w:type="dxa"/>
                  <w:gridSpan w:val="2"/>
                  <w:shd w:val="clear" w:color="auto" w:fill="auto"/>
                  <w:tcMar>
                    <w:top w:w="72" w:type="dxa"/>
                    <w:left w:w="144" w:type="dxa"/>
                    <w:bottom w:w="72" w:type="dxa"/>
                    <w:right w:w="144" w:type="dxa"/>
                  </w:tcMar>
                </w:tcPr>
                <w:p w14:paraId="66F2B0D3"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Trūcīgas mājsaimniecības ienākumu slieksnis</w:t>
                  </w:r>
                </w:p>
              </w:tc>
              <w:tc>
                <w:tcPr>
                  <w:tcW w:w="2694" w:type="dxa"/>
                  <w:shd w:val="clear" w:color="auto" w:fill="auto"/>
                  <w:tcMar>
                    <w:top w:w="72" w:type="dxa"/>
                    <w:left w:w="144" w:type="dxa"/>
                    <w:bottom w:w="72" w:type="dxa"/>
                    <w:right w:w="144" w:type="dxa"/>
                  </w:tcMar>
                  <w:vAlign w:val="center"/>
                </w:tcPr>
                <w:p w14:paraId="07768292"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bCs/>
                      <w:kern w:val="24"/>
                      <w:sz w:val="22"/>
                      <w:lang w:eastAsia="lv-LV"/>
                    </w:rPr>
                    <w:t>272</w:t>
                  </w:r>
                  <w:r w:rsidRPr="000F25A7">
                    <w:rPr>
                      <w:rStyle w:val="FootnoteReference"/>
                      <w:rFonts w:eastAsia="MS PGothic"/>
                      <w:kern w:val="24"/>
                      <w:sz w:val="22"/>
                      <w:lang w:eastAsia="lv-LV"/>
                    </w:rPr>
                    <w:footnoteReference w:id="45"/>
                  </w:r>
                  <w:r w:rsidRPr="000F25A7">
                    <w:rPr>
                      <w:rFonts w:eastAsia="MS PGothic" w:cs="Times New Roman"/>
                      <w:bCs/>
                      <w:kern w:val="24"/>
                      <w:sz w:val="22"/>
                      <w:lang w:eastAsia="lv-LV"/>
                    </w:rPr>
                    <w:t xml:space="preserve"> / 190</w:t>
                  </w:r>
                </w:p>
              </w:tc>
              <w:tc>
                <w:tcPr>
                  <w:tcW w:w="4396" w:type="dxa"/>
                  <w:gridSpan w:val="2"/>
                  <w:vAlign w:val="center"/>
                </w:tcPr>
                <w:p w14:paraId="687BCE70" w14:textId="77777777" w:rsidR="000A660F" w:rsidRPr="000F25A7" w:rsidRDefault="000A660F" w:rsidP="003309D5">
                  <w:pPr>
                    <w:spacing w:after="0" w:line="240" w:lineRule="auto"/>
                    <w:ind w:left="150" w:right="284"/>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305 / 214</w:t>
                  </w:r>
                </w:p>
              </w:tc>
              <w:tc>
                <w:tcPr>
                  <w:tcW w:w="3685" w:type="dxa"/>
                  <w:vAlign w:val="center"/>
                </w:tcPr>
                <w:p w14:paraId="70AB8FC0" w14:textId="77777777" w:rsidR="000A660F" w:rsidRPr="000F25A7" w:rsidRDefault="000A660F" w:rsidP="003309D5">
                  <w:pPr>
                    <w:spacing w:after="0" w:line="240" w:lineRule="auto"/>
                    <w:ind w:left="150" w:right="284"/>
                    <w:jc w:val="center"/>
                    <w:textAlignment w:val="baseline"/>
                    <w:rPr>
                      <w:rFonts w:eastAsia="MS PGothic" w:cs="Times New Roman"/>
                      <w:bCs/>
                      <w:kern w:val="24"/>
                      <w:sz w:val="22"/>
                      <w:lang w:eastAsia="lv-LV"/>
                    </w:rPr>
                  </w:pPr>
                  <w:r w:rsidRPr="000F25A7">
                    <w:rPr>
                      <w:rFonts w:eastAsia="MS PGothic" w:cs="Times New Roman"/>
                      <w:bCs/>
                      <w:kern w:val="24"/>
                      <w:sz w:val="22"/>
                      <w:lang w:eastAsia="lv-LV"/>
                    </w:rPr>
                    <w:t>318 / 223</w:t>
                  </w:r>
                </w:p>
              </w:tc>
            </w:tr>
            <w:tr w:rsidR="000A660F" w:rsidRPr="000F25A7" w14:paraId="45965EF1" w14:textId="77777777" w:rsidTr="003309D5">
              <w:trPr>
                <w:trHeight w:val="18"/>
              </w:trPr>
              <w:tc>
                <w:tcPr>
                  <w:tcW w:w="3743" w:type="dxa"/>
                  <w:gridSpan w:val="2"/>
                  <w:shd w:val="clear" w:color="auto" w:fill="auto"/>
                  <w:tcMar>
                    <w:top w:w="72" w:type="dxa"/>
                    <w:left w:w="144" w:type="dxa"/>
                    <w:bottom w:w="72" w:type="dxa"/>
                    <w:right w:w="144" w:type="dxa"/>
                  </w:tcMar>
                </w:tcPr>
                <w:p w14:paraId="7D6F13F9"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Maznodrošinātas mājsaimniecības ienākumu slieksnis</w:t>
                  </w:r>
                </w:p>
              </w:tc>
              <w:tc>
                <w:tcPr>
                  <w:tcW w:w="2694" w:type="dxa"/>
                  <w:shd w:val="clear" w:color="auto" w:fill="auto"/>
                  <w:tcMar>
                    <w:top w:w="72" w:type="dxa"/>
                    <w:left w:w="144" w:type="dxa"/>
                    <w:bottom w:w="72" w:type="dxa"/>
                    <w:right w:w="144" w:type="dxa"/>
                  </w:tcMar>
                  <w:vAlign w:val="center"/>
                </w:tcPr>
                <w:p w14:paraId="295E2D19"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kern w:val="24"/>
                      <w:sz w:val="22"/>
                      <w:lang w:eastAsia="lv-LV"/>
                    </w:rPr>
                    <w:t xml:space="preserve">Maksimālais apmērs </w:t>
                  </w:r>
                </w:p>
                <w:p w14:paraId="1CF4DDD8" w14:textId="77777777" w:rsidR="000A660F" w:rsidRPr="000F25A7" w:rsidRDefault="000A660F" w:rsidP="003309D5">
                  <w:pPr>
                    <w:spacing w:after="0" w:line="240" w:lineRule="auto"/>
                    <w:jc w:val="center"/>
                    <w:textAlignment w:val="baseline"/>
                    <w:rPr>
                      <w:rFonts w:eastAsia="MS PGothic" w:cs="Times New Roman"/>
                      <w:kern w:val="24"/>
                      <w:sz w:val="22"/>
                      <w:lang w:eastAsia="lv-LV"/>
                    </w:rPr>
                  </w:pPr>
                  <w:r w:rsidRPr="000F25A7">
                    <w:rPr>
                      <w:rFonts w:eastAsia="MS PGothic" w:cs="Times New Roman"/>
                      <w:bCs/>
                      <w:kern w:val="24"/>
                      <w:sz w:val="22"/>
                      <w:lang w:eastAsia="lv-LV"/>
                    </w:rPr>
                    <w:t>436</w:t>
                  </w:r>
                  <w:r w:rsidRPr="000F25A7">
                    <w:rPr>
                      <w:rStyle w:val="FootnoteReference"/>
                      <w:rFonts w:eastAsia="MS PGothic"/>
                      <w:kern w:val="24"/>
                      <w:sz w:val="22"/>
                      <w:lang w:eastAsia="lv-LV"/>
                    </w:rPr>
                    <w:footnoteReference w:id="46"/>
                  </w:r>
                  <w:r w:rsidRPr="000F25A7">
                    <w:rPr>
                      <w:rFonts w:eastAsia="MS PGothic" w:cs="Times New Roman"/>
                      <w:bCs/>
                      <w:kern w:val="24"/>
                      <w:sz w:val="22"/>
                      <w:lang w:eastAsia="lv-LV"/>
                    </w:rPr>
                    <w:t xml:space="preserve"> / 305</w:t>
                  </w:r>
                </w:p>
              </w:tc>
              <w:tc>
                <w:tcPr>
                  <w:tcW w:w="4396" w:type="dxa"/>
                  <w:gridSpan w:val="2"/>
                  <w:vAlign w:val="center"/>
                </w:tcPr>
                <w:p w14:paraId="78EF5F10" w14:textId="77777777" w:rsidR="000A660F" w:rsidRPr="000F25A7" w:rsidRDefault="000A660F" w:rsidP="003309D5">
                  <w:pPr>
                    <w:spacing w:after="0" w:line="240" w:lineRule="auto"/>
                    <w:ind w:left="150" w:right="284"/>
                    <w:jc w:val="center"/>
                    <w:textAlignment w:val="baseline"/>
                    <w:rPr>
                      <w:rFonts w:eastAsia="MS PGothic" w:cs="Times New Roman"/>
                      <w:kern w:val="24"/>
                      <w:sz w:val="22"/>
                      <w:lang w:eastAsia="lv-LV"/>
                    </w:rPr>
                  </w:pPr>
                  <w:r w:rsidRPr="000F25A7">
                    <w:rPr>
                      <w:rFonts w:eastAsia="MS PGothic" w:cs="Times New Roman"/>
                      <w:kern w:val="24"/>
                      <w:sz w:val="22"/>
                      <w:lang w:eastAsia="lv-LV"/>
                    </w:rPr>
                    <w:t>489 / 342</w:t>
                  </w:r>
                </w:p>
              </w:tc>
              <w:tc>
                <w:tcPr>
                  <w:tcW w:w="3685" w:type="dxa"/>
                  <w:vAlign w:val="center"/>
                </w:tcPr>
                <w:p w14:paraId="121EE07A" w14:textId="77777777" w:rsidR="000A660F" w:rsidRPr="000F25A7" w:rsidRDefault="000A660F" w:rsidP="003309D5">
                  <w:pPr>
                    <w:spacing w:after="0" w:line="240" w:lineRule="auto"/>
                    <w:ind w:left="150" w:right="284"/>
                    <w:jc w:val="center"/>
                    <w:textAlignment w:val="baseline"/>
                    <w:rPr>
                      <w:rFonts w:eastAsia="MS PGothic" w:cs="Times New Roman"/>
                      <w:kern w:val="24"/>
                      <w:sz w:val="22"/>
                      <w:lang w:eastAsia="lv-LV"/>
                    </w:rPr>
                  </w:pPr>
                  <w:r w:rsidRPr="000F25A7">
                    <w:rPr>
                      <w:rFonts w:eastAsia="MS PGothic" w:cs="Times New Roman"/>
                      <w:kern w:val="24"/>
                      <w:sz w:val="22"/>
                      <w:lang w:eastAsia="lv-LV"/>
                    </w:rPr>
                    <w:t>508 / 356</w:t>
                  </w:r>
                </w:p>
              </w:tc>
            </w:tr>
          </w:tbl>
          <w:p w14:paraId="34C52D5A" w14:textId="77777777" w:rsidR="000A660F" w:rsidRPr="0084779C" w:rsidRDefault="000A660F" w:rsidP="003309D5">
            <w:pPr>
              <w:spacing w:after="0" w:line="240" w:lineRule="auto"/>
              <w:jc w:val="both"/>
              <w:rPr>
                <w:rFonts w:eastAsia="Times New Roman" w:cs="Times New Roman"/>
                <w:b/>
                <w:lang w:eastAsia="lv-LV"/>
              </w:rPr>
            </w:pPr>
          </w:p>
        </w:tc>
      </w:tr>
    </w:tbl>
    <w:p w14:paraId="5BAFAB81" w14:textId="77777777" w:rsidR="00940DE7" w:rsidRDefault="00940DE7" w:rsidP="00940DE7">
      <w:pPr>
        <w:tabs>
          <w:tab w:val="left" w:pos="12333"/>
        </w:tabs>
        <w:spacing w:after="0" w:line="240" w:lineRule="auto"/>
        <w:rPr>
          <w:rFonts w:eastAsia="Times New Roman" w:cs="Times New Roman"/>
          <w:szCs w:val="24"/>
        </w:rPr>
      </w:pPr>
    </w:p>
    <w:p w14:paraId="45E7306A" w14:textId="77777777" w:rsidR="00940DE7" w:rsidRDefault="00940DE7" w:rsidP="00940DE7">
      <w:pPr>
        <w:tabs>
          <w:tab w:val="left" w:pos="12333"/>
        </w:tabs>
        <w:spacing w:after="0" w:line="240" w:lineRule="auto"/>
        <w:rPr>
          <w:rFonts w:eastAsia="Times New Roman" w:cs="Times New Roman"/>
          <w:szCs w:val="24"/>
        </w:rPr>
      </w:pPr>
    </w:p>
    <w:p w14:paraId="51393D5B" w14:textId="77777777" w:rsidR="00940DE7" w:rsidRDefault="00940DE7" w:rsidP="00940DE7">
      <w:pPr>
        <w:tabs>
          <w:tab w:val="left" w:pos="12333"/>
        </w:tabs>
        <w:spacing w:after="0" w:line="240" w:lineRule="auto"/>
        <w:rPr>
          <w:rFonts w:eastAsia="Times New Roman" w:cs="Times New Roman"/>
          <w:szCs w:val="24"/>
        </w:rPr>
      </w:pPr>
    </w:p>
    <w:p w14:paraId="25EA78B7" w14:textId="77777777" w:rsidR="00940DE7" w:rsidRPr="00940DE7" w:rsidRDefault="00940DE7" w:rsidP="00940DE7">
      <w:pPr>
        <w:tabs>
          <w:tab w:val="left" w:pos="12333"/>
        </w:tabs>
        <w:spacing w:after="0" w:line="240" w:lineRule="auto"/>
        <w:rPr>
          <w:rFonts w:eastAsia="Times New Roman" w:cs="Times New Roman"/>
          <w:szCs w:val="24"/>
        </w:rPr>
      </w:pPr>
      <w:r w:rsidRPr="00940DE7">
        <w:rPr>
          <w:rFonts w:eastAsia="Times New Roman" w:cs="Times New Roman"/>
          <w:szCs w:val="24"/>
        </w:rPr>
        <w:t>Labklājības ministre</w:t>
      </w:r>
      <w:r w:rsidRPr="00940DE7">
        <w:rPr>
          <w:rFonts w:eastAsia="Times New Roman" w:cs="Times New Roman"/>
          <w:szCs w:val="24"/>
        </w:rPr>
        <w:tab/>
        <w:t>Ramona Petraviča</w:t>
      </w:r>
    </w:p>
    <w:p w14:paraId="2F25C0A6" w14:textId="77777777" w:rsidR="00940DE7" w:rsidRDefault="00940DE7" w:rsidP="00940DE7">
      <w:pPr>
        <w:spacing w:after="0" w:line="240" w:lineRule="auto"/>
        <w:ind w:firstLine="720"/>
        <w:rPr>
          <w:rFonts w:ascii="Calibri" w:eastAsia="Times New Roman" w:hAnsi="Calibri"/>
          <w:sz w:val="22"/>
        </w:rPr>
      </w:pPr>
    </w:p>
    <w:p w14:paraId="1BF3A6A6" w14:textId="77777777" w:rsidR="00940DE7" w:rsidRDefault="00940DE7" w:rsidP="00940DE7">
      <w:pPr>
        <w:spacing w:after="0" w:line="240" w:lineRule="auto"/>
        <w:ind w:firstLine="720"/>
        <w:rPr>
          <w:rFonts w:ascii="Calibri" w:eastAsia="Times New Roman" w:hAnsi="Calibri"/>
          <w:sz w:val="22"/>
        </w:rPr>
      </w:pPr>
    </w:p>
    <w:p w14:paraId="6D4CF8EE" w14:textId="77777777" w:rsidR="00940DE7" w:rsidRDefault="00940DE7" w:rsidP="00940DE7">
      <w:pPr>
        <w:spacing w:after="0" w:line="240" w:lineRule="auto"/>
        <w:ind w:firstLine="720"/>
        <w:rPr>
          <w:rFonts w:ascii="Calibri" w:eastAsia="Times New Roman" w:hAnsi="Calibri"/>
          <w:sz w:val="22"/>
        </w:rPr>
      </w:pPr>
    </w:p>
    <w:p w14:paraId="3CF6BF5E" w14:textId="77777777" w:rsidR="00940DE7" w:rsidRDefault="00940DE7" w:rsidP="00940DE7">
      <w:pPr>
        <w:spacing w:after="0" w:line="240" w:lineRule="auto"/>
        <w:ind w:firstLine="720"/>
        <w:rPr>
          <w:rFonts w:ascii="Calibri" w:eastAsia="Times New Roman" w:hAnsi="Calibri"/>
          <w:sz w:val="22"/>
        </w:rPr>
      </w:pPr>
    </w:p>
    <w:p w14:paraId="61184B31" w14:textId="77777777" w:rsidR="00940DE7" w:rsidRDefault="00940DE7" w:rsidP="00940DE7">
      <w:pPr>
        <w:spacing w:after="0" w:line="240" w:lineRule="auto"/>
        <w:ind w:firstLine="720"/>
        <w:rPr>
          <w:rFonts w:ascii="Calibri" w:eastAsia="Times New Roman" w:hAnsi="Calibri"/>
          <w:sz w:val="22"/>
        </w:rPr>
      </w:pPr>
    </w:p>
    <w:p w14:paraId="7C099307" w14:textId="77777777" w:rsidR="00940DE7" w:rsidRDefault="00940DE7" w:rsidP="00940DE7">
      <w:pPr>
        <w:spacing w:after="0" w:line="240" w:lineRule="auto"/>
        <w:ind w:firstLine="720"/>
        <w:rPr>
          <w:rFonts w:ascii="Calibri" w:eastAsia="Times New Roman" w:hAnsi="Calibri"/>
          <w:sz w:val="22"/>
        </w:rPr>
      </w:pPr>
    </w:p>
    <w:p w14:paraId="361E0DC8" w14:textId="77777777" w:rsidR="00940DE7" w:rsidRPr="00940DE7" w:rsidRDefault="00940DE7" w:rsidP="00940DE7">
      <w:pPr>
        <w:spacing w:after="0" w:line="240" w:lineRule="auto"/>
        <w:ind w:firstLine="720"/>
        <w:rPr>
          <w:rFonts w:ascii="Calibri" w:eastAsia="Times New Roman" w:hAnsi="Calibri"/>
          <w:sz w:val="22"/>
        </w:rPr>
      </w:pPr>
    </w:p>
    <w:p w14:paraId="3D24A785" w14:textId="7075071D" w:rsidR="00940DE7" w:rsidRPr="00940DE7" w:rsidRDefault="00940DE7" w:rsidP="00940DE7">
      <w:pPr>
        <w:spacing w:after="0" w:line="240" w:lineRule="auto"/>
        <w:contextualSpacing/>
        <w:rPr>
          <w:rFonts w:eastAsia="Times New Roman" w:cs="Times New Roman"/>
          <w:sz w:val="16"/>
          <w:szCs w:val="16"/>
        </w:rPr>
      </w:pPr>
      <w:r w:rsidRPr="00940DE7">
        <w:rPr>
          <w:rFonts w:eastAsia="Times New Roman" w:cs="Times New Roman"/>
          <w:sz w:val="16"/>
          <w:szCs w:val="16"/>
        </w:rPr>
        <w:t>2</w:t>
      </w:r>
      <w:r w:rsidR="00167B49">
        <w:rPr>
          <w:rFonts w:eastAsia="Times New Roman" w:cs="Times New Roman"/>
          <w:sz w:val="16"/>
          <w:szCs w:val="16"/>
        </w:rPr>
        <w:t>8</w:t>
      </w:r>
      <w:r>
        <w:rPr>
          <w:rFonts w:eastAsia="Times New Roman" w:cs="Times New Roman"/>
          <w:sz w:val="16"/>
          <w:szCs w:val="16"/>
        </w:rPr>
        <w:t>.05.2021</w:t>
      </w:r>
      <w:r w:rsidRPr="00940DE7">
        <w:rPr>
          <w:rFonts w:eastAsia="Times New Roman" w:cs="Times New Roman"/>
          <w:sz w:val="16"/>
          <w:szCs w:val="16"/>
        </w:rPr>
        <w:t>.</w:t>
      </w:r>
    </w:p>
    <w:p w14:paraId="7FA92116" w14:textId="7D335A59" w:rsidR="00940DE7" w:rsidRPr="00940DE7" w:rsidRDefault="00940DE7" w:rsidP="00940DE7">
      <w:pPr>
        <w:spacing w:after="0" w:line="240" w:lineRule="auto"/>
        <w:contextualSpacing/>
        <w:rPr>
          <w:rFonts w:ascii="Calibri" w:eastAsia="Times New Roman" w:hAnsi="Calibri"/>
          <w:sz w:val="22"/>
        </w:rPr>
      </w:pPr>
      <w:r>
        <w:rPr>
          <w:rFonts w:eastAsia="Times New Roman" w:cs="Times New Roman"/>
          <w:sz w:val="16"/>
          <w:szCs w:val="16"/>
        </w:rPr>
        <w:t>E.Kūla</w:t>
      </w:r>
    </w:p>
    <w:p w14:paraId="2E5E13CE" w14:textId="77777777" w:rsidR="000A660F" w:rsidRDefault="000A660F" w:rsidP="000C28AD">
      <w:pPr>
        <w:tabs>
          <w:tab w:val="left" w:pos="3828"/>
        </w:tabs>
        <w:spacing w:after="0" w:line="240" w:lineRule="auto"/>
        <w:jc w:val="both"/>
        <w:rPr>
          <w:rFonts w:eastAsia="Times New Roman"/>
          <w:lang w:eastAsia="lv-LV"/>
        </w:rPr>
      </w:pPr>
    </w:p>
    <w:sectPr w:rsidR="000A660F" w:rsidSect="00940DE7">
      <w:pgSz w:w="16838" w:h="11906" w:orient="landscape"/>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16027" w14:textId="77777777" w:rsidR="00EF5E4C" w:rsidRDefault="00EF5E4C" w:rsidP="004A7858">
      <w:pPr>
        <w:spacing w:after="0" w:line="240" w:lineRule="auto"/>
      </w:pPr>
      <w:r>
        <w:separator/>
      </w:r>
    </w:p>
  </w:endnote>
  <w:endnote w:type="continuationSeparator" w:id="0">
    <w:p w14:paraId="4785F4AB" w14:textId="77777777" w:rsidR="00EF5E4C" w:rsidRDefault="00EF5E4C"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7B3D" w14:textId="77777777" w:rsidR="00496279" w:rsidRDefault="00496279">
    <w:pPr>
      <w:pStyle w:val="Footer"/>
    </w:pPr>
  </w:p>
  <w:p w14:paraId="26B5549F" w14:textId="77777777" w:rsidR="00496279" w:rsidRDefault="00496279" w:rsidP="008123DD">
    <w:pPr>
      <w:pStyle w:val="Header"/>
    </w:pPr>
  </w:p>
  <w:p w14:paraId="157C13A2" w14:textId="77777777" w:rsidR="00496279" w:rsidRDefault="00496279" w:rsidP="008123DD"/>
  <w:p w14:paraId="1E02D490" w14:textId="106CE462" w:rsidR="00496279" w:rsidRPr="006456B1" w:rsidRDefault="00496279" w:rsidP="008123DD">
    <w:pPr>
      <w:pStyle w:val="Footer"/>
      <w:rPr>
        <w:sz w:val="16"/>
        <w:szCs w:val="16"/>
      </w:rPr>
    </w:pPr>
    <w:r>
      <w:rPr>
        <w:rFonts w:cs="Times New Roman"/>
        <w:sz w:val="16"/>
        <w:szCs w:val="16"/>
      </w:rPr>
      <w:fldChar w:fldCharType="begin"/>
    </w:r>
    <w:r>
      <w:rPr>
        <w:rFonts w:cs="Times New Roman"/>
        <w:sz w:val="16"/>
        <w:szCs w:val="16"/>
      </w:rPr>
      <w:instrText xml:space="preserve"> FILENAME \* MERGEFORMAT </w:instrText>
    </w:r>
    <w:r>
      <w:rPr>
        <w:rFonts w:cs="Times New Roman"/>
        <w:sz w:val="16"/>
        <w:szCs w:val="16"/>
      </w:rPr>
      <w:fldChar w:fldCharType="separate"/>
    </w:r>
    <w:r w:rsidR="0012360F">
      <w:rPr>
        <w:rFonts w:cs="Times New Roman"/>
        <w:noProof/>
        <w:sz w:val="16"/>
        <w:szCs w:val="16"/>
      </w:rPr>
      <w:t>LMPlans_2</w:t>
    </w:r>
    <w:r w:rsidR="006A446A">
      <w:rPr>
        <w:rFonts w:cs="Times New Roman"/>
        <w:noProof/>
        <w:sz w:val="16"/>
        <w:szCs w:val="16"/>
      </w:rPr>
      <w:t>8</w:t>
    </w:r>
    <w:r w:rsidR="0012360F">
      <w:rPr>
        <w:rFonts w:cs="Times New Roman"/>
        <w:noProof/>
        <w:sz w:val="16"/>
        <w:szCs w:val="16"/>
      </w:rPr>
      <w:t>05</w:t>
    </w:r>
    <w:r>
      <w:rPr>
        <w:rFonts w:cs="Times New Roman"/>
        <w:noProof/>
        <w:sz w:val="16"/>
        <w:szCs w:val="16"/>
      </w:rPr>
      <w:t>21</w:t>
    </w:r>
    <w:r>
      <w:rPr>
        <w:rFonts w:cs="Times New Roman"/>
        <w:sz w:val="16"/>
        <w:szCs w:val="16"/>
      </w:rPr>
      <w:fldChar w:fldCharType="end"/>
    </w:r>
    <w:r w:rsidRPr="00C8506C">
      <w:rPr>
        <w:rFonts w:cs="Times New Roman"/>
        <w:sz w:val="16"/>
        <w:szCs w:val="16"/>
      </w:rPr>
      <w:t xml:space="preserve">; </w:t>
    </w:r>
    <w:r>
      <w:rPr>
        <w:rFonts w:cs="Times New Roman"/>
        <w:bCs/>
        <w:sz w:val="16"/>
        <w:szCs w:val="16"/>
      </w:rPr>
      <w:t>Plāns minimālo ienākumu atbalsta sistēmas pilnveidošanai 2022</w:t>
    </w:r>
    <w:r>
      <w:rPr>
        <w:rFonts w:cs="Times New Roman"/>
        <w:bCs/>
        <w:vanish/>
        <w:sz w:val="16"/>
        <w:szCs w:val="16"/>
      </w:rPr>
      <w:t>999</w:t>
    </w:r>
    <w:r w:rsidRPr="006456B1">
      <w:rPr>
        <w:rFonts w:cs="Times New Roman"/>
        <w:bCs/>
        <w:sz w:val="16"/>
        <w:szCs w:val="16"/>
      </w:rPr>
      <w:t>.-20</w:t>
    </w:r>
    <w:r>
      <w:rPr>
        <w:rFonts w:cs="Times New Roman"/>
        <w:bCs/>
        <w:sz w:val="16"/>
        <w:szCs w:val="16"/>
      </w:rPr>
      <w:t>24</w:t>
    </w:r>
    <w:r w:rsidR="0043096D">
      <w:rPr>
        <w:rFonts w:cs="Times New Roman"/>
        <w:bCs/>
        <w:sz w:val="16"/>
        <w:szCs w:val="16"/>
      </w:rPr>
      <w:t>.</w:t>
    </w:r>
    <w:r w:rsidR="00910AA6">
      <w:rPr>
        <w:rFonts w:cs="Times New Roman"/>
        <w:bCs/>
        <w:sz w:val="16"/>
        <w:szCs w:val="16"/>
      </w:rPr>
      <w:t> </w:t>
    </w:r>
    <w:r w:rsidRPr="006456B1">
      <w:rPr>
        <w:rFonts w:cs="Times New Roman"/>
        <w:bCs/>
        <w:sz w:val="16"/>
        <w:szCs w:val="16"/>
      </w:rPr>
      <w:t>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A803" w14:textId="2A3DAAA1" w:rsidR="00496279" w:rsidRPr="006456B1" w:rsidRDefault="00496279">
    <w:pPr>
      <w:pStyle w:val="Footer"/>
      <w:rPr>
        <w:sz w:val="16"/>
        <w:szCs w:val="16"/>
      </w:rPr>
    </w:pPr>
    <w:r>
      <w:rPr>
        <w:rFonts w:cs="Times New Roman"/>
        <w:sz w:val="16"/>
        <w:szCs w:val="16"/>
      </w:rPr>
      <w:fldChar w:fldCharType="begin"/>
    </w:r>
    <w:r>
      <w:rPr>
        <w:rFonts w:cs="Times New Roman"/>
        <w:sz w:val="16"/>
        <w:szCs w:val="16"/>
      </w:rPr>
      <w:instrText xml:space="preserve"> FILENAME \* MERGEFORMAT </w:instrText>
    </w:r>
    <w:r>
      <w:rPr>
        <w:rFonts w:cs="Times New Roman"/>
        <w:sz w:val="16"/>
        <w:szCs w:val="16"/>
      </w:rPr>
      <w:fldChar w:fldCharType="separate"/>
    </w:r>
    <w:r w:rsidR="000A660F">
      <w:rPr>
        <w:rFonts w:cs="Times New Roman"/>
        <w:noProof/>
        <w:sz w:val="16"/>
        <w:szCs w:val="16"/>
      </w:rPr>
      <w:t>LMPlans_2</w:t>
    </w:r>
    <w:r w:rsidR="006A446A">
      <w:rPr>
        <w:rFonts w:cs="Times New Roman"/>
        <w:noProof/>
        <w:sz w:val="16"/>
        <w:szCs w:val="16"/>
      </w:rPr>
      <w:t>8</w:t>
    </w:r>
    <w:r w:rsidR="0012360F">
      <w:rPr>
        <w:rFonts w:cs="Times New Roman"/>
        <w:noProof/>
        <w:sz w:val="16"/>
        <w:szCs w:val="16"/>
      </w:rPr>
      <w:t>05</w:t>
    </w:r>
    <w:r w:rsidR="00675C67">
      <w:rPr>
        <w:rFonts w:cs="Times New Roman"/>
        <w:noProof/>
        <w:sz w:val="16"/>
        <w:szCs w:val="16"/>
      </w:rPr>
      <w:t>21</w:t>
    </w:r>
    <w:r>
      <w:rPr>
        <w:rFonts w:cs="Times New Roman"/>
        <w:sz w:val="16"/>
        <w:szCs w:val="16"/>
      </w:rPr>
      <w:fldChar w:fldCharType="end"/>
    </w:r>
    <w:r w:rsidRPr="00C8506C">
      <w:rPr>
        <w:rFonts w:cs="Times New Roman"/>
        <w:sz w:val="16"/>
        <w:szCs w:val="16"/>
      </w:rPr>
      <w:t xml:space="preserve">; </w:t>
    </w:r>
    <w:r>
      <w:rPr>
        <w:rFonts w:cs="Times New Roman"/>
        <w:bCs/>
        <w:sz w:val="16"/>
        <w:szCs w:val="16"/>
      </w:rPr>
      <w:t>Plāns minimālo ienākumu atbalsta sistēmas pilnveidošanai 2022</w:t>
    </w:r>
    <w:r>
      <w:rPr>
        <w:rFonts w:cs="Times New Roman"/>
        <w:bCs/>
        <w:vanish/>
        <w:sz w:val="16"/>
        <w:szCs w:val="16"/>
      </w:rPr>
      <w:t>999</w:t>
    </w:r>
    <w:r w:rsidRPr="006456B1">
      <w:rPr>
        <w:rFonts w:cs="Times New Roman"/>
        <w:bCs/>
        <w:sz w:val="16"/>
        <w:szCs w:val="16"/>
      </w:rPr>
      <w:t>.-20</w:t>
    </w:r>
    <w:r>
      <w:rPr>
        <w:rFonts w:cs="Times New Roman"/>
        <w:bCs/>
        <w:sz w:val="16"/>
        <w:szCs w:val="16"/>
      </w:rPr>
      <w:t>24</w:t>
    </w:r>
    <w:r w:rsidRPr="006456B1">
      <w:rPr>
        <w:rFonts w:cs="Times New Roman"/>
        <w:bCs/>
        <w:sz w:val="16"/>
        <w:szCs w:val="16"/>
      </w:rPr>
      <w:t>.</w:t>
    </w:r>
    <w:r w:rsidR="00910AA6">
      <w:rPr>
        <w:rFonts w:cs="Times New Roman"/>
        <w:bCs/>
        <w:sz w:val="16"/>
        <w:szCs w:val="16"/>
      </w:rPr>
      <w:t> </w:t>
    </w:r>
    <w:r w:rsidRPr="006456B1">
      <w:rPr>
        <w:rFonts w:cs="Times New Roman"/>
        <w:bCs/>
        <w:sz w:val="16"/>
        <w:szCs w:val="16"/>
      </w:rPr>
      <w:t>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31B6" w14:textId="2B4393C2" w:rsidR="00496279" w:rsidRPr="006456B1" w:rsidRDefault="0012360F" w:rsidP="0012360F">
    <w:pPr>
      <w:pStyle w:val="Footer"/>
      <w:rPr>
        <w:sz w:val="16"/>
        <w:szCs w:val="16"/>
      </w:rPr>
    </w:pPr>
    <w:r>
      <w:rPr>
        <w:rFonts w:cs="Times New Roman"/>
        <w:sz w:val="16"/>
        <w:szCs w:val="16"/>
      </w:rPr>
      <w:fldChar w:fldCharType="begin"/>
    </w:r>
    <w:r>
      <w:rPr>
        <w:rFonts w:cs="Times New Roman"/>
        <w:sz w:val="16"/>
        <w:szCs w:val="16"/>
      </w:rPr>
      <w:instrText xml:space="preserve"> FILENAME \* MERGEFORMAT </w:instrText>
    </w:r>
    <w:r>
      <w:rPr>
        <w:rFonts w:cs="Times New Roman"/>
        <w:sz w:val="16"/>
        <w:szCs w:val="16"/>
      </w:rPr>
      <w:fldChar w:fldCharType="separate"/>
    </w:r>
    <w:r w:rsidR="00F529F3">
      <w:rPr>
        <w:rFonts w:cs="Times New Roman"/>
        <w:noProof/>
        <w:sz w:val="16"/>
        <w:szCs w:val="16"/>
      </w:rPr>
      <w:t>LMPlans_2</w:t>
    </w:r>
    <w:r w:rsidR="00910AA6">
      <w:rPr>
        <w:rFonts w:cs="Times New Roman"/>
        <w:noProof/>
        <w:sz w:val="16"/>
        <w:szCs w:val="16"/>
      </w:rPr>
      <w:t>8</w:t>
    </w:r>
    <w:r w:rsidR="00F529F3">
      <w:rPr>
        <w:rFonts w:cs="Times New Roman"/>
        <w:noProof/>
        <w:sz w:val="16"/>
        <w:szCs w:val="16"/>
      </w:rPr>
      <w:t>05</w:t>
    </w:r>
    <w:r w:rsidR="00675C67">
      <w:rPr>
        <w:rFonts w:cs="Times New Roman"/>
        <w:noProof/>
        <w:sz w:val="16"/>
        <w:szCs w:val="16"/>
      </w:rPr>
      <w:t>21</w:t>
    </w:r>
    <w:r>
      <w:rPr>
        <w:rFonts w:cs="Times New Roman"/>
        <w:sz w:val="16"/>
        <w:szCs w:val="16"/>
      </w:rPr>
      <w:fldChar w:fldCharType="end"/>
    </w:r>
    <w:r w:rsidRPr="00C8506C">
      <w:rPr>
        <w:rFonts w:cs="Times New Roman"/>
        <w:sz w:val="16"/>
        <w:szCs w:val="16"/>
      </w:rPr>
      <w:t xml:space="preserve">; </w:t>
    </w:r>
    <w:r>
      <w:rPr>
        <w:rFonts w:cs="Times New Roman"/>
        <w:bCs/>
        <w:sz w:val="16"/>
        <w:szCs w:val="16"/>
      </w:rPr>
      <w:t>Plāns minimālo ienākumu atbalsta sistēmas pilnveidošanai 2022</w:t>
    </w:r>
    <w:r>
      <w:rPr>
        <w:rFonts w:cs="Times New Roman"/>
        <w:bCs/>
        <w:vanish/>
        <w:sz w:val="16"/>
        <w:szCs w:val="16"/>
      </w:rPr>
      <w:t>999</w:t>
    </w:r>
    <w:r w:rsidRPr="006456B1">
      <w:rPr>
        <w:rFonts w:cs="Times New Roman"/>
        <w:bCs/>
        <w:sz w:val="16"/>
        <w:szCs w:val="16"/>
      </w:rPr>
      <w:t>.-20</w:t>
    </w:r>
    <w:r>
      <w:rPr>
        <w:rFonts w:cs="Times New Roman"/>
        <w:bCs/>
        <w:sz w:val="16"/>
        <w:szCs w:val="16"/>
      </w:rPr>
      <w:t>24</w:t>
    </w:r>
    <w:r w:rsidRPr="006456B1">
      <w:rPr>
        <w:rFonts w:cs="Times New Roman"/>
        <w:bCs/>
        <w:sz w:val="16"/>
        <w:szCs w:val="16"/>
      </w:rPr>
      <w:t>.</w:t>
    </w:r>
    <w:r w:rsidR="00910AA6">
      <w:rPr>
        <w:rFonts w:cs="Times New Roman"/>
        <w:bCs/>
        <w:sz w:val="16"/>
        <w:szCs w:val="16"/>
      </w:rPr>
      <w:t> </w:t>
    </w:r>
    <w:r w:rsidRPr="006456B1">
      <w:rPr>
        <w:rFonts w:cs="Times New Roman"/>
        <w:bCs/>
        <w:sz w:val="16"/>
        <w:szCs w:val="16"/>
      </w:rPr>
      <w:t>gadam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0785" w14:textId="41A6C625" w:rsidR="00496279" w:rsidRPr="006456B1" w:rsidRDefault="00496279">
    <w:pPr>
      <w:pStyle w:val="Footer"/>
      <w:rPr>
        <w:sz w:val="16"/>
        <w:szCs w:val="16"/>
      </w:rPr>
    </w:pPr>
    <w:r>
      <w:rPr>
        <w:rFonts w:cs="Times New Roman"/>
        <w:sz w:val="16"/>
        <w:szCs w:val="16"/>
      </w:rPr>
      <w:fldChar w:fldCharType="begin"/>
    </w:r>
    <w:r>
      <w:rPr>
        <w:rFonts w:cs="Times New Roman"/>
        <w:sz w:val="16"/>
        <w:szCs w:val="16"/>
      </w:rPr>
      <w:instrText xml:space="preserve"> FILENAME \* MERGEFORMAT </w:instrText>
    </w:r>
    <w:r>
      <w:rPr>
        <w:rFonts w:cs="Times New Roman"/>
        <w:sz w:val="16"/>
        <w:szCs w:val="16"/>
      </w:rPr>
      <w:fldChar w:fldCharType="separate"/>
    </w:r>
    <w:r>
      <w:rPr>
        <w:rFonts w:cs="Times New Roman"/>
        <w:noProof/>
        <w:sz w:val="16"/>
        <w:szCs w:val="16"/>
      </w:rPr>
      <w:t>LMPlans_290618_MIL</w:t>
    </w:r>
    <w:r>
      <w:rPr>
        <w:rFonts w:cs="Times New Roman"/>
        <w:sz w:val="16"/>
        <w:szCs w:val="16"/>
      </w:rPr>
      <w:fldChar w:fldCharType="end"/>
    </w:r>
    <w:r w:rsidRPr="00C8506C">
      <w:rPr>
        <w:rFonts w:cs="Times New Roman"/>
        <w:sz w:val="16"/>
        <w:szCs w:val="16"/>
      </w:rPr>
      <w:t xml:space="preserve">; </w:t>
    </w:r>
    <w:r>
      <w:rPr>
        <w:rFonts w:cs="Times New Roman"/>
        <w:bCs/>
        <w:sz w:val="16"/>
        <w:szCs w:val="16"/>
      </w:rPr>
      <w:t>Plāns minimālo ienākumu atbalsta sistēmas pilnveidošanai</w:t>
    </w:r>
    <w:r w:rsidRPr="006456B1">
      <w:rPr>
        <w:rFonts w:cs="Times New Roman"/>
        <w:bCs/>
        <w:sz w:val="16"/>
        <w:szCs w:val="16"/>
      </w:rPr>
      <w:t xml:space="preserve"> 201</w:t>
    </w:r>
    <w:r>
      <w:rPr>
        <w:rFonts w:cs="Times New Roman"/>
        <w:bCs/>
        <w:sz w:val="16"/>
        <w:szCs w:val="16"/>
      </w:rPr>
      <w:t>8</w:t>
    </w:r>
    <w:r w:rsidRPr="006456B1">
      <w:rPr>
        <w:rFonts w:cs="Times New Roman"/>
        <w:bCs/>
        <w:sz w:val="16"/>
        <w:szCs w:val="16"/>
      </w:rPr>
      <w:t>.-20</w:t>
    </w:r>
    <w:r>
      <w:rPr>
        <w:rFonts w:cs="Times New Roman"/>
        <w:bCs/>
        <w:sz w:val="16"/>
        <w:szCs w:val="16"/>
      </w:rPr>
      <w:t>20</w:t>
    </w:r>
    <w:r w:rsidRPr="006456B1">
      <w:rPr>
        <w:rFonts w:cs="Times New Roman"/>
        <w:bCs/>
        <w:sz w:val="16"/>
        <w:szCs w:val="16"/>
      </w:rPr>
      <w:t>.gadam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5578" w14:textId="77777777" w:rsidR="00EF5E4C" w:rsidRDefault="00EF5E4C" w:rsidP="004A7858">
      <w:pPr>
        <w:spacing w:after="0" w:line="240" w:lineRule="auto"/>
      </w:pPr>
      <w:r>
        <w:separator/>
      </w:r>
    </w:p>
  </w:footnote>
  <w:footnote w:type="continuationSeparator" w:id="0">
    <w:p w14:paraId="45CEFFE4" w14:textId="77777777" w:rsidR="00EF5E4C" w:rsidRDefault="00EF5E4C" w:rsidP="004A7858">
      <w:pPr>
        <w:spacing w:after="0" w:line="240" w:lineRule="auto"/>
      </w:pPr>
      <w:r>
        <w:continuationSeparator/>
      </w:r>
    </w:p>
  </w:footnote>
  <w:footnote w:id="1">
    <w:p w14:paraId="6A3E7532" w14:textId="123940ED" w:rsidR="00496279" w:rsidRPr="0008210D" w:rsidRDefault="00496279">
      <w:pPr>
        <w:pStyle w:val="FootnoteText"/>
        <w:rPr>
          <w:rFonts w:cs="Times New Roman"/>
        </w:rPr>
      </w:pPr>
      <w:r w:rsidRPr="0008210D">
        <w:rPr>
          <w:rStyle w:val="FootnoteReference"/>
        </w:rPr>
        <w:footnoteRef/>
      </w:r>
      <w:r>
        <w:rPr>
          <w:rFonts w:cs="Times New Roman"/>
        </w:rPr>
        <w:t xml:space="preserve"> Pārresoru koordinācijas centrs “Latvijas Nacionālais attīstības plāns 2021.-2027.gadam”,</w:t>
      </w:r>
      <w:r w:rsidRPr="0008210D">
        <w:rPr>
          <w:rFonts w:cs="Times New Roman"/>
        </w:rPr>
        <w:t xml:space="preserve"> 25.-26.lpp.  </w:t>
      </w:r>
      <w:hyperlink r:id="rId1" w:history="1">
        <w:r w:rsidRPr="0008210D">
          <w:rPr>
            <w:rStyle w:val="Hyperlink"/>
          </w:rPr>
          <w:t>https://www.pkc.gov.lv/sites/default/files/inline-files/NAP2027_apstiprin%C4%81ts%20Saeim%C4%81_1.pdf</w:t>
        </w:r>
      </w:hyperlink>
      <w:r w:rsidRPr="0008210D">
        <w:rPr>
          <w:rFonts w:cs="Times New Roman"/>
        </w:rPr>
        <w:t xml:space="preserve">. </w:t>
      </w:r>
    </w:p>
  </w:footnote>
  <w:footnote w:id="2">
    <w:p w14:paraId="57F26471" w14:textId="77A21177" w:rsidR="00496279" w:rsidRPr="002477AB" w:rsidRDefault="00496279">
      <w:pPr>
        <w:pStyle w:val="FootnoteText"/>
        <w:rPr>
          <w:rFonts w:cs="Times New Roman"/>
        </w:rPr>
      </w:pPr>
      <w:r w:rsidRPr="0008210D">
        <w:rPr>
          <w:rStyle w:val="FootnoteReference"/>
        </w:rPr>
        <w:footnoteRef/>
      </w:r>
      <w:r>
        <w:rPr>
          <w:rFonts w:cs="Times New Roman"/>
        </w:rPr>
        <w:t xml:space="preserve"> Ministru kabineta 07.05.2019</w:t>
      </w:r>
      <w:r w:rsidRPr="0008210D">
        <w:rPr>
          <w:rFonts w:cs="Times New Roman"/>
        </w:rPr>
        <w:t>. rī</w:t>
      </w:r>
      <w:r>
        <w:rPr>
          <w:rFonts w:cs="Times New Roman"/>
        </w:rPr>
        <w:t>kojums Nr. 210</w:t>
      </w:r>
      <w:r w:rsidRPr="0008210D">
        <w:rPr>
          <w:rFonts w:cs="Times New Roman"/>
        </w:rPr>
        <w:t>.</w:t>
      </w:r>
    </w:p>
  </w:footnote>
  <w:footnote w:id="3">
    <w:p w14:paraId="653C0933" w14:textId="0DCF1178" w:rsidR="00496279" w:rsidRDefault="00496279">
      <w:pPr>
        <w:pStyle w:val="FootnoteText"/>
      </w:pPr>
      <w:r>
        <w:rPr>
          <w:rStyle w:val="FootnoteReference"/>
        </w:rPr>
        <w:footnoteRef/>
      </w:r>
      <w:r>
        <w:t xml:space="preserve"> </w:t>
      </w:r>
      <w:r w:rsidRPr="008B722D">
        <w:rPr>
          <w:rFonts w:cs="Times New Roman"/>
        </w:rPr>
        <w:t>2020.gada</w:t>
      </w:r>
      <w:r>
        <w:rPr>
          <w:rFonts w:cs="Times New Roman"/>
        </w:rPr>
        <w:t xml:space="preserve"> </w:t>
      </w:r>
      <w:r w:rsidRPr="008B722D">
        <w:rPr>
          <w:rFonts w:cs="Times New Roman"/>
        </w:rPr>
        <w:t>25.jūnijā lietā Nr.2019-24-03_par GMI_</w:t>
      </w:r>
      <w:hyperlink r:id="rId2" w:anchor="search=" w:history="1">
        <w:r w:rsidRPr="008B722D">
          <w:rPr>
            <w:rStyle w:val="Hyperlink"/>
          </w:rPr>
          <w:t>https://www.satv.tiesa.gov.lv/web/viewer.html?file=/wp-content/uploads/2019/10/2019-24-03_Spriedums.pdf#search=</w:t>
        </w:r>
      </w:hyperlink>
    </w:p>
  </w:footnote>
  <w:footnote w:id="4">
    <w:p w14:paraId="7871C904" w14:textId="1E021774" w:rsidR="00496279" w:rsidRPr="0008210D" w:rsidRDefault="00496279" w:rsidP="0008210D">
      <w:pPr>
        <w:pStyle w:val="FootnoteText"/>
        <w:rPr>
          <w:rFonts w:cs="Times New Roman"/>
        </w:rPr>
      </w:pPr>
      <w:r w:rsidRPr="0008210D">
        <w:rPr>
          <w:rStyle w:val="FootnoteReference"/>
        </w:rPr>
        <w:footnoteRef/>
      </w:r>
      <w:r w:rsidRPr="0008210D">
        <w:rPr>
          <w:rFonts w:cs="Times New Roman"/>
        </w:rPr>
        <w:t xml:space="preserve"> 2020.gada 16.jūlijā lietā Nr. 2019-25-03_trūcīgais_</w:t>
      </w:r>
      <w:hyperlink r:id="rId3" w:anchor="search=" w:history="1">
        <w:r w:rsidRPr="0008210D">
          <w:rPr>
            <w:rStyle w:val="Hyperlink"/>
          </w:rPr>
          <w:t>https://www.satv.tiesa.gov.lv/web/viewer.html?file=/wp-content/uploads/2019/11/2019-25-03_Spriedums.pdf#search=</w:t>
        </w:r>
      </w:hyperlink>
    </w:p>
  </w:footnote>
  <w:footnote w:id="5">
    <w:p w14:paraId="723316CE" w14:textId="4687C1FA" w:rsidR="00496279" w:rsidRPr="0008210D" w:rsidRDefault="00496279" w:rsidP="0008210D">
      <w:pPr>
        <w:pStyle w:val="FootnoteText"/>
        <w:rPr>
          <w:rFonts w:cs="Times New Roman"/>
        </w:rPr>
      </w:pPr>
      <w:r w:rsidRPr="0008210D">
        <w:rPr>
          <w:rStyle w:val="FootnoteReference"/>
        </w:rPr>
        <w:footnoteRef/>
      </w:r>
      <w:r w:rsidRPr="0008210D">
        <w:rPr>
          <w:rFonts w:cs="Times New Roman"/>
        </w:rPr>
        <w:t xml:space="preserve"> 2020.gada 10.decembrī lietā Nr.2020-07-03_min_pensija_</w:t>
      </w:r>
      <w:r>
        <w:rPr>
          <w:rFonts w:cs="Times New Roman"/>
        </w:rPr>
        <w:t xml:space="preserve"> </w:t>
      </w:r>
      <w:hyperlink r:id="rId4" w:anchor="search=" w:history="1">
        <w:r w:rsidRPr="0008210D">
          <w:rPr>
            <w:rStyle w:val="Hyperlink"/>
          </w:rPr>
          <w:t>https://www.satv.tiesa.gov.lv/web/viewer.html?file=https://www.satv.tiesa.gov.lv/wp-content/uploads/2020/01/2020-07-03-Spriedums.pdf#search=</w:t>
        </w:r>
      </w:hyperlink>
    </w:p>
  </w:footnote>
  <w:footnote w:id="6">
    <w:p w14:paraId="3680037F" w14:textId="616DAB4F" w:rsidR="00496279" w:rsidRPr="0008210D" w:rsidRDefault="00496279" w:rsidP="0008210D">
      <w:pPr>
        <w:autoSpaceDE w:val="0"/>
        <w:autoSpaceDN w:val="0"/>
        <w:adjustRightInd w:val="0"/>
        <w:spacing w:after="0" w:line="240" w:lineRule="auto"/>
        <w:ind w:right="129"/>
        <w:jc w:val="both"/>
        <w:rPr>
          <w:rFonts w:cs="Times New Roman"/>
          <w:sz w:val="20"/>
          <w:szCs w:val="20"/>
        </w:rPr>
      </w:pPr>
      <w:r w:rsidRPr="0008210D">
        <w:rPr>
          <w:rStyle w:val="FootnoteReference"/>
          <w:sz w:val="20"/>
          <w:szCs w:val="20"/>
        </w:rPr>
        <w:footnoteRef/>
      </w:r>
      <w:r w:rsidRPr="0008210D">
        <w:rPr>
          <w:rFonts w:cs="Times New Roman"/>
          <w:sz w:val="20"/>
          <w:szCs w:val="20"/>
        </w:rPr>
        <w:t xml:space="preserve"> 2020.gada 9.jūlijā lietā Nr.2019-27-03_VSNP_</w:t>
      </w:r>
      <w:hyperlink r:id="rId5" w:anchor="search=" w:history="1">
        <w:r w:rsidRPr="0008210D">
          <w:rPr>
            <w:rStyle w:val="Hyperlink"/>
            <w:sz w:val="20"/>
            <w:szCs w:val="20"/>
          </w:rPr>
          <w:t>https://www.satv.tiesa.gov.lv/web/viewer.html?file=/wp-content/uploads/2019/11/2019-27-03_Spriedums-1.pdf#search=</w:t>
        </w:r>
      </w:hyperlink>
    </w:p>
  </w:footnote>
  <w:footnote w:id="7">
    <w:p w14:paraId="234708FA" w14:textId="35F543D8" w:rsidR="00496279" w:rsidRPr="00E00570" w:rsidRDefault="00496279" w:rsidP="0008210D">
      <w:pPr>
        <w:pStyle w:val="FootnoteText"/>
        <w:rPr>
          <w:rFonts w:cs="Times New Roman"/>
        </w:rPr>
      </w:pPr>
      <w:r w:rsidRPr="0008210D">
        <w:rPr>
          <w:rStyle w:val="FootnoteReference"/>
        </w:rPr>
        <w:footnoteRef/>
      </w:r>
      <w:r w:rsidRPr="0008210D">
        <w:rPr>
          <w:rFonts w:cs="Times New Roman"/>
        </w:rPr>
        <w:t xml:space="preserve"> PADOMES IETEIKUMS par Latvijas 2020. gada valsts reformu programmu un ar ko sniedz Padomes atzinumu par Latvijas 2020. gada stabilitātes programmu. </w:t>
      </w:r>
      <w:r w:rsidRPr="001325B1">
        <w:rPr>
          <w:rFonts w:cs="Times New Roman"/>
        </w:rPr>
        <w:t>COM(2020) 514 final.</w:t>
      </w:r>
    </w:p>
  </w:footnote>
  <w:footnote w:id="8">
    <w:p w14:paraId="6353328C" w14:textId="7BC94EB8" w:rsidR="00496279" w:rsidRDefault="00496279">
      <w:pPr>
        <w:pStyle w:val="FootnoteText"/>
      </w:pPr>
      <w:r>
        <w:rPr>
          <w:rStyle w:val="FootnoteReference"/>
        </w:rPr>
        <w:footnoteRef/>
      </w:r>
      <w:r>
        <w:t xml:space="preserve"> Informācija par Sociālās iekļaušanas politikas koordinācijas komiteju, sastāvu, sēdēm un sēžu protokoliem pieejama LM mājas lapā: </w:t>
      </w:r>
      <w:hyperlink r:id="rId6" w:history="1">
        <w:r w:rsidRPr="00906040">
          <w:rPr>
            <w:rStyle w:val="Hyperlink"/>
            <w:rFonts w:cs="Calibri"/>
          </w:rPr>
          <w:t>https://www.lm.gov.lv/lv/socialas-ieklausanas-politikas-koordinacijas-komiteja</w:t>
        </w:r>
      </w:hyperlink>
      <w:r>
        <w:t xml:space="preserve"> </w:t>
      </w:r>
    </w:p>
  </w:footnote>
  <w:footnote w:id="9">
    <w:p w14:paraId="2C5073AE" w14:textId="7495C2EC" w:rsidR="00496279" w:rsidRPr="004F1ACD" w:rsidRDefault="00496279" w:rsidP="004F1ACD">
      <w:pPr>
        <w:pStyle w:val="FootnoteText"/>
        <w:rPr>
          <w:rFonts w:cs="Times New Roman"/>
        </w:rPr>
      </w:pPr>
      <w:r w:rsidRPr="004F1ACD">
        <w:rPr>
          <w:rStyle w:val="FootnoteReference"/>
        </w:rPr>
        <w:footnoteRef/>
      </w:r>
      <w:r w:rsidRPr="004F1ACD">
        <w:rPr>
          <w:rFonts w:cs="Times New Roman"/>
        </w:rPr>
        <w:t xml:space="preserve"> </w:t>
      </w:r>
      <w:r w:rsidRPr="008B722D">
        <w:rPr>
          <w:rFonts w:cs="Times New Roman"/>
        </w:rPr>
        <w:t>2020.gada</w:t>
      </w:r>
      <w:r>
        <w:rPr>
          <w:rFonts w:cs="Times New Roman"/>
        </w:rPr>
        <w:t xml:space="preserve"> </w:t>
      </w:r>
      <w:r w:rsidRPr="008B722D">
        <w:rPr>
          <w:rFonts w:cs="Times New Roman"/>
        </w:rPr>
        <w:t>25.jūnijā lietā Nr.2019-24-03_par GMI</w:t>
      </w:r>
      <w:r>
        <w:rPr>
          <w:rFonts w:cs="Times New Roman"/>
        </w:rPr>
        <w:t xml:space="preserve">; 30 lpp. Pieejams </w:t>
      </w:r>
      <w:r w:rsidRPr="008B722D">
        <w:rPr>
          <w:rFonts w:cs="Times New Roman"/>
        </w:rPr>
        <w:t>_</w:t>
      </w:r>
      <w:hyperlink r:id="rId7" w:anchor="search=" w:history="1">
        <w:r w:rsidRPr="008B722D">
          <w:rPr>
            <w:rStyle w:val="Hyperlink"/>
          </w:rPr>
          <w:t>https://www.satv.tiesa.gov.lv/web/viewer.html?file=/wp-content/uploads/2019/10/2019-24-03_Spriedums.pdf#search=</w:t>
        </w:r>
      </w:hyperlink>
      <w:r w:rsidRPr="004F1ACD">
        <w:rPr>
          <w:rFonts w:cs="Times New Roman"/>
        </w:rPr>
        <w:t xml:space="preserve"> </w:t>
      </w:r>
    </w:p>
  </w:footnote>
  <w:footnote w:id="10">
    <w:p w14:paraId="1B828160" w14:textId="0B6CD68C" w:rsidR="00496279" w:rsidRDefault="00496279" w:rsidP="004F1ACD">
      <w:pPr>
        <w:pStyle w:val="FootnoteText"/>
        <w:jc w:val="both"/>
      </w:pPr>
      <w:r w:rsidRPr="004F1ACD">
        <w:rPr>
          <w:rStyle w:val="FootnoteReference"/>
        </w:rPr>
        <w:footnoteRef/>
      </w:r>
      <w:r w:rsidRPr="004F1ACD">
        <w:rPr>
          <w:rFonts w:cs="Times New Roman"/>
        </w:rPr>
        <w:t xml:space="preserve"> </w:t>
      </w:r>
      <w:r>
        <w:rPr>
          <w:rFonts w:cs="Times New Roman"/>
        </w:rPr>
        <w:t>Labklājības ministrija “Koncepcija</w:t>
      </w:r>
      <w:r w:rsidRPr="004F1ACD">
        <w:rPr>
          <w:rFonts w:cs="Times New Roman"/>
        </w:rPr>
        <w:t xml:space="preserve"> par minimālā ienākuma līmeņa noteikšanu</w:t>
      </w:r>
      <w:r>
        <w:rPr>
          <w:rFonts w:cs="Times New Roman"/>
        </w:rPr>
        <w:t>” (2014), apstiprināta MK 30.10.2014. rīkojumu nr. 619.</w:t>
      </w:r>
    </w:p>
  </w:footnote>
  <w:footnote w:id="11">
    <w:p w14:paraId="34C1A222" w14:textId="44BC82E9" w:rsidR="00496279" w:rsidRPr="004625DF" w:rsidRDefault="00496279">
      <w:pPr>
        <w:pStyle w:val="FootnoteText"/>
        <w:rPr>
          <w:rFonts w:cs="Times New Roman"/>
        </w:rPr>
      </w:pPr>
      <w:r w:rsidRPr="004625DF">
        <w:rPr>
          <w:rStyle w:val="FootnoteReference"/>
        </w:rPr>
        <w:footnoteRef/>
      </w:r>
      <w:r w:rsidRPr="004625DF">
        <w:rPr>
          <w:rFonts w:cs="Times New Roman"/>
        </w:rPr>
        <w:t xml:space="preserve"> </w:t>
      </w:r>
      <w:r w:rsidRPr="00CE67AB">
        <w:rPr>
          <w:rFonts w:cs="Times New Roman"/>
        </w:rPr>
        <w:t>Likumprojekta „Grozījums likumā „Par sociālo drošību”” sākotnējās ietekmes novērtējuma ziņojums (anotācija)</w:t>
      </w:r>
      <w:r>
        <w:rPr>
          <w:rFonts w:cs="Times New Roman"/>
        </w:rPr>
        <w:t xml:space="preserve"> </w:t>
      </w:r>
      <w:r w:rsidRPr="004625DF">
        <w:rPr>
          <w:rFonts w:cs="Times New Roman"/>
        </w:rPr>
        <w:t>13 lpp</w:t>
      </w:r>
      <w:r>
        <w:rPr>
          <w:rFonts w:cs="Times New Roman"/>
        </w:rPr>
        <w:t>.</w:t>
      </w:r>
      <w:r w:rsidRPr="004625DF">
        <w:rPr>
          <w:rFonts w:cs="Times New Roman"/>
        </w:rPr>
        <w:t xml:space="preserve"> </w:t>
      </w:r>
      <w:hyperlink r:id="rId8" w:history="1">
        <w:r w:rsidRPr="004625DF">
          <w:rPr>
            <w:rStyle w:val="Hyperlink"/>
          </w:rPr>
          <w:t>http://titania.saeima.lv/LIVS13/SaeimaLIVS13.nsf/0/1B51231DBD50D7E3C2258600004C09D6?OpenDocument</w:t>
        </w:r>
      </w:hyperlink>
      <w:r w:rsidRPr="004625DF">
        <w:rPr>
          <w:rFonts w:cs="Times New Roman"/>
        </w:rPr>
        <w:t xml:space="preserve"> </w:t>
      </w:r>
    </w:p>
  </w:footnote>
  <w:footnote w:id="12">
    <w:p w14:paraId="649FD74C" w14:textId="345A0072" w:rsidR="00496279" w:rsidRPr="00CE67AB" w:rsidRDefault="00496279" w:rsidP="00CE67AB">
      <w:pPr>
        <w:pStyle w:val="FootnoteText"/>
        <w:jc w:val="both"/>
        <w:rPr>
          <w:rFonts w:cs="Times New Roman"/>
        </w:rPr>
      </w:pPr>
      <w:r w:rsidRPr="00CE67AB">
        <w:rPr>
          <w:rStyle w:val="FootnoteReference"/>
        </w:rPr>
        <w:footnoteRef/>
      </w:r>
      <w:r w:rsidRPr="00CE67AB">
        <w:rPr>
          <w:rFonts w:cs="Times New Roman"/>
        </w:rPr>
        <w:t xml:space="preserve"> Likumprojekta “Grozījumi likumā “Par valsts pensijām”” sākotnējās ietekmes novērtējuma ziņojums (anotācija)</w:t>
      </w:r>
      <w:r>
        <w:rPr>
          <w:rFonts w:cs="Times New Roman"/>
        </w:rPr>
        <w:t xml:space="preserve">, 11 lpp; 14.-15 lpp. </w:t>
      </w:r>
      <w:hyperlink r:id="rId9" w:history="1">
        <w:r w:rsidRPr="00662709">
          <w:rPr>
            <w:rStyle w:val="Hyperlink"/>
            <w:sz w:val="18"/>
          </w:rPr>
          <w:t>http://titania.saeima.lv/LIVS13/SaeimaLIVS13.nsf/0/1A9133FE8D11FC37C2258600004CB596?OpenDocument</w:t>
        </w:r>
      </w:hyperlink>
      <w:r w:rsidRPr="00662709">
        <w:rPr>
          <w:rFonts w:cs="Times New Roman"/>
          <w:sz w:val="18"/>
        </w:rPr>
        <w:t xml:space="preserve"> </w:t>
      </w:r>
    </w:p>
  </w:footnote>
  <w:footnote w:id="13">
    <w:p w14:paraId="2D53BE97" w14:textId="76368AAD" w:rsidR="00496279" w:rsidRPr="00C25670" w:rsidRDefault="00496279">
      <w:pPr>
        <w:pStyle w:val="FootnoteText"/>
        <w:rPr>
          <w:rFonts w:cs="Times New Roman"/>
        </w:rPr>
      </w:pPr>
      <w:r w:rsidRPr="00C25670">
        <w:rPr>
          <w:rStyle w:val="FootnoteReference"/>
        </w:rPr>
        <w:footnoteRef/>
      </w:r>
      <w:r w:rsidRPr="00C25670">
        <w:rPr>
          <w:rFonts w:cs="Times New Roman"/>
        </w:rPr>
        <w:t xml:space="preserve"> Likumprojekta „Grozījumi Valsts sociālo pabalstu likumā” sākotnējās ietekmes novērtējuma ziņojums (anotācija), 18.-19.lpp., 21.lpp. </w:t>
      </w:r>
      <w:hyperlink r:id="rId10" w:history="1">
        <w:r w:rsidRPr="00C25670">
          <w:rPr>
            <w:rStyle w:val="Hyperlink"/>
            <w:sz w:val="18"/>
          </w:rPr>
          <w:t>http://titania.saeima.lv/LIVS13/SaeimaLIVS13.nsf/0/671B408D96FB8DB0C2258600004D2922?OpenDocument</w:t>
        </w:r>
      </w:hyperlink>
      <w:r w:rsidRPr="00C25670">
        <w:rPr>
          <w:rFonts w:cs="Times New Roman"/>
        </w:rPr>
        <w:t xml:space="preserve"> </w:t>
      </w:r>
    </w:p>
  </w:footnote>
  <w:footnote w:id="14">
    <w:p w14:paraId="2059F4C9" w14:textId="2C9BC897" w:rsidR="00496279" w:rsidRDefault="00496279">
      <w:pPr>
        <w:pStyle w:val="FootnoteText"/>
      </w:pPr>
      <w:r w:rsidRPr="00C25670">
        <w:rPr>
          <w:rStyle w:val="FootnoteReference"/>
        </w:rPr>
        <w:footnoteRef/>
      </w:r>
      <w:r w:rsidRPr="00C25670">
        <w:rPr>
          <w:rFonts w:cs="Times New Roman"/>
        </w:rPr>
        <w:t xml:space="preserve"> Likumprojekta “Grozījumi Sociālo pakalpojumu un sociālās palīdzības likumā” sākotnējās ietekmes novērtējuma ziņojums (anotācija), 19 lpp., 23 lpp. </w:t>
      </w:r>
      <w:hyperlink r:id="rId11" w:history="1">
        <w:r w:rsidRPr="00C25670">
          <w:rPr>
            <w:rStyle w:val="Hyperlink"/>
          </w:rPr>
          <w:t>http://titania.saeima.lv/LIVS13/SaeimaLIVS13.nsf/0/BE501D4949B77906C2258600004CF582?OpenDocument</w:t>
        </w:r>
      </w:hyperlink>
      <w:r>
        <w:t xml:space="preserve"> </w:t>
      </w:r>
    </w:p>
  </w:footnote>
  <w:footnote w:id="15">
    <w:p w14:paraId="69AD76A7" w14:textId="320C8427" w:rsidR="00496279" w:rsidRDefault="00496279" w:rsidP="00E014F3">
      <w:pPr>
        <w:pStyle w:val="FootnoteText"/>
        <w:jc w:val="both"/>
      </w:pPr>
      <w:r>
        <w:rPr>
          <w:rStyle w:val="FootnoteReference"/>
        </w:rPr>
        <w:footnoteRef/>
      </w:r>
      <w:r>
        <w:t xml:space="preserve"> Latvijas Republikas Centrālā statistikas pārvalde EU-SILC apsekojuma datus publicē par gadu, kad apsekojums veikts. Turpretim ES Statistikas birojs EU-SILC datus publicē uz datu publicēšanas gadu, attiecīgi Latvijas Centrālās statistikas pārvaldes dati tiek publicēti ar viena gada starpību (piemēram, CSP mājas lapā dati par 2019.gadu Latvijai EUROSTAT mājas lapā būs atspoguļoti par 2020.gadu).</w:t>
      </w:r>
    </w:p>
  </w:footnote>
  <w:footnote w:id="16">
    <w:p w14:paraId="7B145DA5" w14:textId="77777777" w:rsidR="00496279" w:rsidRPr="000629C7" w:rsidRDefault="00496279" w:rsidP="00350D29">
      <w:pPr>
        <w:pStyle w:val="FootnoteText"/>
        <w:rPr>
          <w:rFonts w:cs="Times New Roman"/>
        </w:rPr>
      </w:pPr>
      <w:r w:rsidRPr="000629C7">
        <w:rPr>
          <w:rStyle w:val="FootnoteReference"/>
        </w:rPr>
        <w:footnoteRef/>
      </w:r>
      <w:r w:rsidRPr="000629C7">
        <w:rPr>
          <w:rFonts w:cs="Times New Roman"/>
        </w:rPr>
        <w:t xml:space="preserve"> Likumā “Par sociālo drošību” noteiktais zemākais minimālais ienākumu slieksnis</w:t>
      </w:r>
      <w:r>
        <w:rPr>
          <w:rFonts w:cs="Times New Roman"/>
        </w:rPr>
        <w:t>.</w:t>
      </w:r>
    </w:p>
  </w:footnote>
  <w:footnote w:id="17">
    <w:p w14:paraId="57597941" w14:textId="77777777" w:rsidR="00496279" w:rsidRDefault="00496279" w:rsidP="00350D29">
      <w:pPr>
        <w:pStyle w:val="FootnoteText"/>
        <w:jc w:val="both"/>
      </w:pPr>
      <w:r w:rsidRPr="000A098E">
        <w:rPr>
          <w:rStyle w:val="FootnoteReference"/>
        </w:rPr>
        <w:footnoteRef/>
      </w:r>
      <w:r w:rsidRPr="000A098E">
        <w:t xml:space="preserve"> EUROMOD ir Eiropas nodokļu-pabalstu mikrosimulācijas modelis, kas veidots un tiek uzturēts Sociālo un ekonomikas pētījumu institūtā (Institute for Social &amp; Economic Research (ISER, University of Essex)) sadarbībā ar nacionālām ekspertu grupām. Latvijas nac</w:t>
      </w:r>
      <w:r>
        <w:t xml:space="preserve">ionālā ekspertu grupa ir BICEPS </w:t>
      </w:r>
      <w:hyperlink r:id="rId12" w:history="1">
        <w:r w:rsidRPr="00B758DD">
          <w:rPr>
            <w:rStyle w:val="Hyperlink"/>
          </w:rPr>
          <w:t>https://euromod-web.jrc.ec.europa.eu/about/country-by-country/detail?id=17</w:t>
        </w:r>
      </w:hyperlink>
      <w:r>
        <w:t xml:space="preserve">. </w:t>
      </w:r>
      <w:r w:rsidRPr="00C54672">
        <w:t xml:space="preserve">CGE </w:t>
      </w:r>
      <w:r>
        <w:t xml:space="preserve">ir Latvijas Bankas </w:t>
      </w:r>
      <w:r w:rsidRPr="00C54672">
        <w:t>modelēšanas instrument</w:t>
      </w:r>
      <w:r>
        <w:t>s</w:t>
      </w:r>
      <w:r w:rsidRPr="00C54672">
        <w:t>,</w:t>
      </w:r>
      <w:r>
        <w:t xml:space="preserve"> kuru, </w:t>
      </w:r>
      <w:r w:rsidRPr="00C54672">
        <w:t xml:space="preserve">apvienojot </w:t>
      </w:r>
      <w:r>
        <w:t xml:space="preserve">ar </w:t>
      </w:r>
      <w:r w:rsidRPr="00C54672">
        <w:t>EUROMOD rīku</w:t>
      </w:r>
      <w:r>
        <w:t>, var izmantot, lai veiktu</w:t>
      </w:r>
      <w:r w:rsidRPr="00C54672">
        <w:t xml:space="preserve"> nodokļu-pabalstu izmaiņu ietekmi plašāk un precīzāk.</w:t>
      </w:r>
    </w:p>
  </w:footnote>
  <w:footnote w:id="18">
    <w:p w14:paraId="1E8D8543" w14:textId="063D4781" w:rsidR="00496279" w:rsidRDefault="00496279" w:rsidP="00350D29">
      <w:pPr>
        <w:pStyle w:val="FootnoteText"/>
        <w:jc w:val="both"/>
      </w:pPr>
      <w:r w:rsidRPr="000A098E">
        <w:rPr>
          <w:rStyle w:val="FootnoteReference"/>
        </w:rPr>
        <w:footnoteRef/>
      </w:r>
      <w:r>
        <w:t xml:space="preserve"> Piedāvātie scenāriji </w:t>
      </w:r>
      <w:r w:rsidRPr="000A098E">
        <w:t>paredz</w:t>
      </w:r>
      <w:r>
        <w:t xml:space="preserve"> minimālo ienākumu sliekšņu pārskatīšanu ikgadēji (1.scenārijs) un reizi trīs gados (2.scenārijs), kā arī bāzes scenāriju, kas ir kā atskaites punkts gadījumā, ja netiek īstenotas </w:t>
      </w:r>
      <w:r w:rsidRPr="000D4479">
        <w:t xml:space="preserve">nekādas jaunas papildus </w:t>
      </w:r>
      <w:r>
        <w:t>izmaiņas sociālās politikas jomā</w:t>
      </w:r>
      <w:r w:rsidRPr="000D4479">
        <w:t>s. Minimālo ienākumu</w:t>
      </w:r>
      <w:r>
        <w:t xml:space="preserve"> sliekšņu aprēķināšanas metodoloģija</w:t>
      </w:r>
      <w:r w:rsidRPr="000A098E">
        <w:t>: GMI slieksni</w:t>
      </w:r>
      <w:r>
        <w:t>s</w:t>
      </w:r>
      <w:r w:rsidRPr="000A098E">
        <w:t xml:space="preserve"> –</w:t>
      </w:r>
      <w:r>
        <w:t xml:space="preserve"> </w:t>
      </w:r>
      <w:r w:rsidRPr="000A098E">
        <w:t>20% no ienākumu mediānas; trūcīgas mājsaimniecības ienākumu slieksni</w:t>
      </w:r>
      <w:r>
        <w:t>s</w:t>
      </w:r>
      <w:r w:rsidRPr="000A098E">
        <w:t xml:space="preserve"> –</w:t>
      </w:r>
      <w:r>
        <w:t xml:space="preserve"> </w:t>
      </w:r>
      <w:r w:rsidRPr="000A098E">
        <w:t>50% no ienākumu mediānas; valsts sociā</w:t>
      </w:r>
      <w:r>
        <w:t>lā nodrošinājuma pabalsta apmērs</w:t>
      </w:r>
      <w:r w:rsidRPr="000A098E">
        <w:t xml:space="preserve"> personām ar invaliditāti 20% apmērā/personām ar invaliditāti kopš bērnības 25% apmērā no ienākumu mediānas (personām ar I invaliditātes grupu valsts sociālā nodrošinājuma pabalsta aprēķinā piemērojot koeficientu 1.4, personām ar II invaliditātes grupu – 1.2; nenodarbinātām personām ar I un II invaliditātes grupu veikt piemaksu no valsts sociālā nodrošinājuma pabalsta apmēra - personām ar I invaliditātes grupu 30% apmērā, personām ar II invaliditātes grupu 20% apmērā no attiecīgās grupas valsts sociālā nodrošinājuma pabalsta apmēra); valsts sociālā nodrošinājuma pabalsta apmēru pensijas vecuma personām –</w:t>
      </w:r>
      <w:r>
        <w:t xml:space="preserve"> </w:t>
      </w:r>
      <w:r w:rsidRPr="000A098E">
        <w:t>20% no ienākumu mediānas; minimālo vecuma pensiju (bāze) –</w:t>
      </w:r>
      <w:r>
        <w:t xml:space="preserve"> </w:t>
      </w:r>
      <w:r w:rsidRPr="000A098E">
        <w:t>25% no ienākumu mediānas; personām ar invaliditāti kopš bērnības –30% no ienākumu mediānas (par katru apdrošināšanas stāža gadu noteikt, piemērojot vecuma pensijas aprēķina bāzei koeficientu – 1,1); minimālo invaliditātes pensiju (bāze) –</w:t>
      </w:r>
      <w:r>
        <w:t xml:space="preserve"> </w:t>
      </w:r>
      <w:r w:rsidRPr="000A098E">
        <w:t>25% no ienākumu mediānas/personām ar invaliditāti kopš bērnības –</w:t>
      </w:r>
      <w:r>
        <w:t xml:space="preserve"> </w:t>
      </w:r>
      <w:r w:rsidRPr="000A098E">
        <w:t>30% no ienākumu mediānas; apgādnieka zaudējuma gadījumā (apgādnieka zaudējuma pensija, apdrošināšanas atlīdzība par apgādnieka zaudējumu, valsts sociālā nodrošinājuma pabalsts apgādnieka zaudējuma gadījumā) -  25% apmērā no ienākumu mediānas bērniem līdz 7 gadu vecumam; 30% apmērā no ienākumu mediānas b</w:t>
      </w:r>
      <w:r w:rsidR="00CB25EF">
        <w:t>ērniem no 7 gadu vecuma</w:t>
      </w:r>
      <w:r w:rsidRPr="000A098E">
        <w:t>.</w:t>
      </w:r>
    </w:p>
  </w:footnote>
  <w:footnote w:id="19">
    <w:p w14:paraId="363E1C3B" w14:textId="25DB8585" w:rsidR="00496279" w:rsidRPr="009F3C15" w:rsidRDefault="00496279" w:rsidP="00350D29">
      <w:pPr>
        <w:pStyle w:val="FootnoteText"/>
        <w:jc w:val="both"/>
        <w:rPr>
          <w:rFonts w:cs="Times New Roman"/>
        </w:rPr>
      </w:pPr>
      <w:r w:rsidRPr="00BF4455">
        <w:rPr>
          <w:rStyle w:val="FootnoteReference"/>
        </w:rPr>
        <w:footnoteRef/>
      </w:r>
      <w:r w:rsidRPr="00BF4455">
        <w:rPr>
          <w:rFonts w:cs="Times New Roman"/>
        </w:rPr>
        <w:t xml:space="preserve"> </w:t>
      </w:r>
      <w:r w:rsidRPr="00BF4455">
        <w:t xml:space="preserve">EUROMOD personas ar invaliditāti tiek definētas kā personas, kuras saņem ar invaliditāti saistītus pabalstus vai pensijas, attiecīgi atbilstoši valstī noteiktajai invaliditātei. Šajā sakarā ir jānorāda, ka </w:t>
      </w:r>
      <w:r w:rsidRPr="00BF4455">
        <w:rPr>
          <w:rFonts w:cs="Times New Roman"/>
        </w:rPr>
        <w:t>EU-SILC apsekojumā invaliditāte tiek mērīta, pamatojoties uz personas pašnovērtējumu par aktivitāšu ierobežojumiem pēdējo 6 mēnešu laikā, t.i., respondentam tiek uzdots jautājums “Cik lielā mērā kāda veselības problēma vismaz pēdējo 6 mēnešu laikā ir Jūs ierobežojusi veikt aktivitātes, ko cilvēki parasti dara?”. Atbilžu varianti ir divi: ļoti būtiski ierobežo (= smaga invaliditāte) un ierobežo (=invaliditāte)</w:t>
      </w:r>
      <w:r w:rsidRPr="00BF4455">
        <w:t xml:space="preserve">. </w:t>
      </w:r>
      <w:r>
        <w:t>Tādējādi EU-SILC</w:t>
      </w:r>
      <w:r w:rsidRPr="00BF4455">
        <w:t xml:space="preserve"> apsekojumā definētajai invaliditātei nav saistības ar valsts noteikto invaliditāti.  </w:t>
      </w:r>
    </w:p>
  </w:footnote>
  <w:footnote w:id="20">
    <w:p w14:paraId="3CF89F20" w14:textId="59A9A26B" w:rsidR="00496279" w:rsidRPr="00BC69A3" w:rsidRDefault="00496279" w:rsidP="007B552E">
      <w:pPr>
        <w:pStyle w:val="FootnoteText"/>
        <w:jc w:val="both"/>
        <w:rPr>
          <w:rFonts w:cs="Times New Roman"/>
        </w:rPr>
      </w:pPr>
      <w:r w:rsidRPr="00BC69A3">
        <w:rPr>
          <w:rStyle w:val="FootnoteReference"/>
        </w:rPr>
        <w:footnoteRef/>
      </w:r>
      <w:r w:rsidRPr="00BC69A3">
        <w:rPr>
          <w:rFonts w:cs="Times New Roman"/>
        </w:rPr>
        <w:t xml:space="preserve"> Vecuma pensijas piešķiršanai nepieciešamais apdrošināšanas stāžs šobrīd ir</w:t>
      </w:r>
      <w:r>
        <w:rPr>
          <w:rFonts w:cs="Times New Roman"/>
        </w:rPr>
        <w:t xml:space="preserve"> 15 gadi, no 2025.gada 1.janvār</w:t>
      </w:r>
      <w:r w:rsidRPr="00BC69A3">
        <w:rPr>
          <w:rFonts w:cs="Times New Roman"/>
        </w:rPr>
        <w:t xml:space="preserve">a  -20 gadi. </w:t>
      </w:r>
      <w:r>
        <w:rPr>
          <w:rFonts w:cs="Times New Roman"/>
        </w:rPr>
        <w:t>I</w:t>
      </w:r>
      <w:r w:rsidRPr="00BC69A3">
        <w:rPr>
          <w:rFonts w:cs="Times New Roman"/>
        </w:rPr>
        <w:t xml:space="preserve">nvaliditātes pensijas piešķiršanai nepieciešamais apdrošināšanas stāžs ir 3 gadi. </w:t>
      </w:r>
    </w:p>
  </w:footnote>
  <w:footnote w:id="21">
    <w:p w14:paraId="28FD50A3" w14:textId="77777777" w:rsidR="00496279" w:rsidRDefault="00496279" w:rsidP="007B552E">
      <w:pPr>
        <w:pStyle w:val="FootnoteText"/>
      </w:pPr>
      <w:r w:rsidRPr="00BC69A3">
        <w:rPr>
          <w:rStyle w:val="FootnoteReference"/>
        </w:rPr>
        <w:footnoteRef/>
      </w:r>
      <w:r w:rsidRPr="00BC69A3">
        <w:rPr>
          <w:rFonts w:cs="Times New Roman"/>
        </w:rPr>
        <w:t xml:space="preserve"> </w:t>
      </w:r>
      <w:r>
        <w:rPr>
          <w:rFonts w:cs="Times New Roman"/>
        </w:rPr>
        <w:t>N</w:t>
      </w:r>
      <w:r w:rsidRPr="00BC69A3">
        <w:rPr>
          <w:rFonts w:cs="Times New Roman"/>
        </w:rPr>
        <w:t xml:space="preserve">o Stabilitātes programmas prognozētā apmēra atskaitot vidējo piemaksu </w:t>
      </w:r>
      <w:r>
        <w:rPr>
          <w:rFonts w:cs="Times New Roman"/>
        </w:rPr>
        <w:t>pie vecuma pensijas un vidējo minimālā ienākuma līmeņa</w:t>
      </w:r>
      <w:r w:rsidRPr="00BC69A3">
        <w:rPr>
          <w:rFonts w:cs="Times New Roman"/>
        </w:rPr>
        <w:t xml:space="preserve"> ietekmi</w:t>
      </w:r>
      <w:r>
        <w:rPr>
          <w:rFonts w:cs="Times New Roman"/>
        </w:rPr>
        <w:t>.</w:t>
      </w:r>
    </w:p>
  </w:footnote>
  <w:footnote w:id="22">
    <w:p w14:paraId="190B5808" w14:textId="77777777" w:rsidR="00496279" w:rsidRPr="00993B25" w:rsidRDefault="00496279" w:rsidP="007B552E">
      <w:pPr>
        <w:spacing w:after="0" w:line="240" w:lineRule="auto"/>
        <w:jc w:val="both"/>
        <w:rPr>
          <w:rFonts w:eastAsia="Times New Roman" w:cs="Times New Roman"/>
          <w:sz w:val="20"/>
          <w:szCs w:val="20"/>
        </w:rPr>
      </w:pPr>
      <w:r w:rsidRPr="00C01458">
        <w:rPr>
          <w:rStyle w:val="FootnoteReference"/>
          <w:sz w:val="20"/>
          <w:szCs w:val="20"/>
        </w:rPr>
        <w:footnoteRef/>
      </w:r>
      <w:r w:rsidRPr="00C01458">
        <w:rPr>
          <w:rFonts w:cs="Times New Roman"/>
          <w:sz w:val="20"/>
          <w:szCs w:val="20"/>
        </w:rPr>
        <w:t xml:space="preserve"> </w:t>
      </w:r>
      <w:r w:rsidRPr="00C01458">
        <w:rPr>
          <w:rFonts w:eastAsia="Times New Roman" w:cs="Times New Roman"/>
          <w:sz w:val="20"/>
          <w:szCs w:val="20"/>
        </w:rPr>
        <w:t xml:space="preserve">Iztikas minimuma groza metodoloģijas izstrādes termiņš </w:t>
      </w:r>
      <w:r>
        <w:rPr>
          <w:rFonts w:eastAsia="Times New Roman" w:cs="Times New Roman"/>
          <w:sz w:val="20"/>
          <w:szCs w:val="20"/>
        </w:rPr>
        <w:t>bija</w:t>
      </w:r>
      <w:r w:rsidRPr="00C01458">
        <w:rPr>
          <w:rFonts w:eastAsia="Times New Roman" w:cs="Times New Roman"/>
          <w:sz w:val="20"/>
          <w:szCs w:val="20"/>
        </w:rPr>
        <w:t xml:space="preserve"> plānots 2020.gada decembris, taču Covid-19 ārkārtējās situācijas dēļ noteikto ierobežojumu rezultātā īstenot fokusa grupu diskusijas ar iedzīvotājiem klātienē 2020. gada pavasarī</w:t>
      </w:r>
      <w:r>
        <w:rPr>
          <w:rFonts w:eastAsia="Times New Roman" w:cs="Times New Roman"/>
          <w:sz w:val="20"/>
          <w:szCs w:val="20"/>
        </w:rPr>
        <w:t xml:space="preserve"> nebija iespējams</w:t>
      </w:r>
      <w:r w:rsidRPr="00C01458">
        <w:rPr>
          <w:rFonts w:eastAsia="Times New Roman" w:cs="Times New Roman"/>
          <w:sz w:val="20"/>
          <w:szCs w:val="20"/>
        </w:rPr>
        <w:t xml:space="preserve"> (vairākas fokusa grupu diskusijas attālināti nebija iespējams īstenot specifiskās mērķa grupas dēļ un digitālo iekārtu</w:t>
      </w:r>
      <w:r>
        <w:rPr>
          <w:rFonts w:eastAsia="Times New Roman" w:cs="Times New Roman"/>
          <w:sz w:val="20"/>
          <w:szCs w:val="20"/>
        </w:rPr>
        <w:t xml:space="preserve"> trūkuma dēļ</w:t>
      </w:r>
      <w:r w:rsidRPr="00C01458">
        <w:rPr>
          <w:rFonts w:eastAsia="Times New Roman" w:cs="Times New Roman"/>
          <w:sz w:val="20"/>
          <w:szCs w:val="20"/>
        </w:rPr>
        <w:t xml:space="preserve">, </w:t>
      </w:r>
      <w:r>
        <w:rPr>
          <w:rFonts w:eastAsia="Times New Roman" w:cs="Times New Roman"/>
          <w:sz w:val="20"/>
          <w:szCs w:val="20"/>
        </w:rPr>
        <w:t xml:space="preserve">kā arī nepietiekamo vai trūkstošo </w:t>
      </w:r>
      <w:r w:rsidRPr="00C01458">
        <w:rPr>
          <w:rFonts w:eastAsia="Times New Roman" w:cs="Times New Roman"/>
          <w:sz w:val="20"/>
          <w:szCs w:val="20"/>
        </w:rPr>
        <w:t>prasm</w:t>
      </w:r>
      <w:r>
        <w:rPr>
          <w:rFonts w:eastAsia="Times New Roman" w:cs="Times New Roman"/>
          <w:sz w:val="20"/>
          <w:szCs w:val="20"/>
        </w:rPr>
        <w:t>ju</w:t>
      </w:r>
      <w:r w:rsidRPr="00C01458">
        <w:rPr>
          <w:rFonts w:eastAsia="Times New Roman" w:cs="Times New Roman"/>
          <w:sz w:val="20"/>
          <w:szCs w:val="20"/>
        </w:rPr>
        <w:t xml:space="preserve"> ar tām rīkoties, kas netraucē iekļauties grupu diskusijās). Savukārt 2020. gada</w:t>
      </w:r>
      <w:r>
        <w:rPr>
          <w:rFonts w:eastAsia="Times New Roman" w:cs="Times New Roman"/>
          <w:sz w:val="20"/>
          <w:szCs w:val="20"/>
        </w:rPr>
        <w:t xml:space="preserve"> novembrī</w:t>
      </w:r>
      <w:r w:rsidRPr="00C01458">
        <w:rPr>
          <w:rFonts w:eastAsia="Times New Roman" w:cs="Times New Roman"/>
          <w:sz w:val="20"/>
          <w:szCs w:val="20"/>
        </w:rPr>
        <w:t>, izsludinot atkārtotu Covid-19  ārkārtas situāciju</w:t>
      </w:r>
      <w:r>
        <w:rPr>
          <w:rFonts w:eastAsia="Times New Roman" w:cs="Times New Roman"/>
          <w:sz w:val="20"/>
          <w:szCs w:val="20"/>
        </w:rPr>
        <w:t>,</w:t>
      </w:r>
      <w:r w:rsidRPr="00C01458">
        <w:rPr>
          <w:rFonts w:eastAsia="Times New Roman" w:cs="Times New Roman"/>
          <w:sz w:val="20"/>
          <w:szCs w:val="20"/>
        </w:rPr>
        <w:t xml:space="preserve"> nebija iespējams pabeigt klātie</w:t>
      </w:r>
      <w:r>
        <w:rPr>
          <w:rFonts w:eastAsia="Times New Roman" w:cs="Times New Roman"/>
          <w:sz w:val="20"/>
          <w:szCs w:val="20"/>
        </w:rPr>
        <w:t>nes intervijas ar iedzīvotājiem</w:t>
      </w:r>
      <w:r w:rsidRPr="00C01458">
        <w:rPr>
          <w:rFonts w:eastAsia="Times New Roman" w:cs="Times New Roman"/>
          <w:sz w:val="20"/>
          <w:szCs w:val="20"/>
        </w:rPr>
        <w:t xml:space="preserve"> (klātienes intervijas nedrīkstēja organizēt, bet telefoniskas intervijas nebija iespējams organizēt metodoloģisku apsvērumu dēļ, </w:t>
      </w:r>
      <w:r>
        <w:rPr>
          <w:rFonts w:eastAsia="Times New Roman" w:cs="Times New Roman"/>
          <w:sz w:val="20"/>
          <w:szCs w:val="20"/>
        </w:rPr>
        <w:t xml:space="preserve">kā arī </w:t>
      </w:r>
      <w:r w:rsidRPr="00C01458">
        <w:rPr>
          <w:rFonts w:eastAsia="Times New Roman" w:cs="Times New Roman"/>
          <w:sz w:val="20"/>
          <w:szCs w:val="20"/>
        </w:rPr>
        <w:t>iedzīvotāji</w:t>
      </w:r>
      <w:r>
        <w:rPr>
          <w:rFonts w:eastAsia="Times New Roman" w:cs="Times New Roman"/>
          <w:sz w:val="20"/>
          <w:szCs w:val="20"/>
        </w:rPr>
        <w:t xml:space="preserve"> </w:t>
      </w:r>
      <w:r w:rsidRPr="00993B25">
        <w:rPr>
          <w:rFonts w:eastAsia="Times New Roman" w:cs="Times New Roman"/>
          <w:sz w:val="20"/>
          <w:szCs w:val="20"/>
        </w:rPr>
        <w:t>atteicās piedalīties pētījumā un intervētāji piekrita darbu turpināt, kad uzlabosies epidemioloģiskā situācija). Līdz ar to līguma izpilde tika apturēta, kamēr uzlabosies epidemioloģiskā situācija un beigsies Covid-19 ārkārtas situācija. Kad būs iespējams atjaunot līguma darbu izpildi, tiks noteikts jauns darbu izpildes termiņš.</w:t>
      </w:r>
    </w:p>
  </w:footnote>
  <w:footnote w:id="23">
    <w:p w14:paraId="32069D72" w14:textId="1F541D66" w:rsidR="00496279" w:rsidRPr="006925E2" w:rsidRDefault="00496279" w:rsidP="007B552E">
      <w:pPr>
        <w:pStyle w:val="FootnoteText"/>
        <w:jc w:val="both"/>
        <w:rPr>
          <w:rFonts w:cs="Times New Roman"/>
        </w:rPr>
      </w:pPr>
      <w:r w:rsidRPr="00993B25">
        <w:rPr>
          <w:rStyle w:val="FootnoteReference"/>
        </w:rPr>
        <w:footnoteRef/>
      </w:r>
      <w:r w:rsidRPr="00993B25">
        <w:rPr>
          <w:rFonts w:cs="Times New Roman"/>
        </w:rPr>
        <w:t xml:space="preserve"> Pēt</w:t>
      </w:r>
      <w:r>
        <w:rPr>
          <w:rFonts w:cs="Times New Roman"/>
        </w:rPr>
        <w:t>ījums tiek izstrādā</w:t>
      </w:r>
      <w:r w:rsidRPr="00993B25">
        <w:rPr>
          <w:rFonts w:cs="Times New Roman"/>
        </w:rPr>
        <w:t xml:space="preserve">ts </w:t>
      </w:r>
      <w:r>
        <w:rPr>
          <w:rFonts w:cs="Times New Roman"/>
        </w:rPr>
        <w:t>d</w:t>
      </w:r>
      <w:r w:rsidRPr="00993B25">
        <w:rPr>
          <w:rFonts w:cs="Times New Roman"/>
        </w:rPr>
        <w:t>arbības programmas “Izaugsme un nodarbinātība” 9.2.1. specifiskā atbalsta mērķa “Paaugstināt sociālo dienestu darba efektivitāti un darbinieku profesionalitāti darbam ar riska situācijā esošām personām” 9.2.1.2.pasākuma “Iekļaujoša darba tirgus un nabadzības risku pē</w:t>
      </w:r>
      <w:r>
        <w:rPr>
          <w:rFonts w:cs="Times New Roman"/>
        </w:rPr>
        <w:t>tījumi un monitorings” ietvaros.</w:t>
      </w:r>
    </w:p>
  </w:footnote>
  <w:footnote w:id="24">
    <w:p w14:paraId="25473A70" w14:textId="77777777" w:rsidR="00496279" w:rsidRPr="00CC2631" w:rsidRDefault="00496279" w:rsidP="00956037">
      <w:pPr>
        <w:pStyle w:val="FootnoteText"/>
        <w:rPr>
          <w:rFonts w:cs="Times New Roman"/>
          <w:sz w:val="18"/>
          <w:szCs w:val="18"/>
        </w:rPr>
      </w:pPr>
      <w:r w:rsidRPr="00CC2631">
        <w:rPr>
          <w:rStyle w:val="FootnoteReference"/>
          <w:sz w:val="18"/>
          <w:szCs w:val="18"/>
        </w:rPr>
        <w:footnoteRef/>
      </w:r>
      <w:r w:rsidRPr="00CC2631">
        <w:rPr>
          <w:rFonts w:cs="Times New Roman"/>
          <w:sz w:val="18"/>
          <w:szCs w:val="18"/>
        </w:rPr>
        <w:t xml:space="preserve"> Apgādībā esošs bērns ir persona, jaunāka par 18 gadiem, kā arī personas 18–24 gadu vecumā, ja tās ir ekonomiski neaktīvas un dzīvo ar vismaz vienu no vecākiem.</w:t>
      </w:r>
    </w:p>
  </w:footnote>
  <w:footnote w:id="25">
    <w:p w14:paraId="6D7D8F19" w14:textId="5697EEF8" w:rsidR="000A660F" w:rsidRDefault="000A660F" w:rsidP="000A660F">
      <w:pPr>
        <w:pStyle w:val="FootnoteText"/>
        <w:jc w:val="both"/>
      </w:pPr>
      <w:r w:rsidRPr="00EC77B2">
        <w:rPr>
          <w:rStyle w:val="FootnoteReference"/>
        </w:rPr>
        <w:footnoteRef/>
      </w:r>
      <w:r w:rsidRPr="00EC77B2">
        <w:rPr>
          <w:rFonts w:cs="Times New Roman"/>
        </w:rPr>
        <w:t xml:space="preserve"> Trūcīg</w:t>
      </w:r>
      <w:r w:rsidR="00B51D92">
        <w:rPr>
          <w:rFonts w:cs="Times New Roman"/>
        </w:rPr>
        <w:t>a</w:t>
      </w:r>
      <w:r w:rsidRPr="00EC77B2">
        <w:rPr>
          <w:rFonts w:cs="Times New Roman"/>
        </w:rPr>
        <w:t xml:space="preserve">s mājsaimniecības ienākumu </w:t>
      </w:r>
      <w:r>
        <w:rPr>
          <w:rFonts w:cs="Times New Roman"/>
        </w:rPr>
        <w:t xml:space="preserve">slieksnis </w:t>
      </w:r>
      <w:r w:rsidRPr="00EC77B2">
        <w:rPr>
          <w:rFonts w:cs="Times New Roman"/>
        </w:rPr>
        <w:t xml:space="preserve">ir noteikts 50% apmērā no rīcībā esošās ienākumu mediānas uz vienu ekvivalento patērētāju. </w:t>
      </w:r>
      <w:r>
        <w:rPr>
          <w:rFonts w:cs="Times New Roman"/>
        </w:rPr>
        <w:t>Šo metodi plānots piemērot no 2023.</w:t>
      </w:r>
      <w:r w:rsidR="00B51D92">
        <w:rPr>
          <w:rFonts w:cs="Times New Roman"/>
        </w:rPr>
        <w:t>gada ikgadēji, attiecīgi trūcīga</w:t>
      </w:r>
      <w:r>
        <w:rPr>
          <w:rFonts w:cs="Times New Roman"/>
        </w:rPr>
        <w:t xml:space="preserve">s mājsaimniecības ienākumu slieksnis no 2023.gada 1.janvāra ikgadēji palielināsies atbilstošo iedzīvotāju rīcībā esošo ienākumu izmaiņām. </w:t>
      </w:r>
    </w:p>
  </w:footnote>
  <w:footnote w:id="26">
    <w:p w14:paraId="04E7A9BF" w14:textId="25525992" w:rsidR="000A660F" w:rsidRPr="00EC7DD0" w:rsidRDefault="000A660F" w:rsidP="000A660F">
      <w:pPr>
        <w:pStyle w:val="FootnoteText"/>
        <w:rPr>
          <w:rFonts w:cs="Times New Roman"/>
        </w:rPr>
      </w:pPr>
      <w:r>
        <w:rPr>
          <w:rStyle w:val="FootnoteReference"/>
        </w:rPr>
        <w:footnoteRef/>
      </w:r>
      <w:r>
        <w:t xml:space="preserve"> </w:t>
      </w:r>
      <w:r w:rsidRPr="00EC7DD0">
        <w:rPr>
          <w:rFonts w:cs="Times New Roman"/>
        </w:rPr>
        <w:t>Sociālo pakalpoju</w:t>
      </w:r>
      <w:r w:rsidR="00B14714">
        <w:rPr>
          <w:rFonts w:cs="Times New Roman"/>
        </w:rPr>
        <w:t>mu un</w:t>
      </w:r>
      <w:r w:rsidRPr="00EC7DD0">
        <w:rPr>
          <w:rFonts w:cs="Times New Roman"/>
        </w:rPr>
        <w:t xml:space="preserve"> sociālās palīdzības likuma</w:t>
      </w:r>
      <w:r>
        <w:rPr>
          <w:rFonts w:cs="Times New Roman"/>
        </w:rPr>
        <w:t xml:space="preserve"> 35.panta pirmās daļas 2.punkts, trešā un ceturtā daļa, 36.panta piektā daļa, pārejas noteikumu 45.punkts; Ministru kabineta 2020.gada 17.decembra noteikumi Nr.809 “Noteikumi par mājsaimniecības materiālās situācijas izvērtēšanu un sociālās palīdzības saņemšanu”.  </w:t>
      </w:r>
    </w:p>
  </w:footnote>
  <w:footnote w:id="27">
    <w:p w14:paraId="4667BB02" w14:textId="77777777" w:rsidR="000A660F" w:rsidRPr="00526903" w:rsidRDefault="000A660F" w:rsidP="000A660F">
      <w:pPr>
        <w:pStyle w:val="FootnoteText"/>
        <w:rPr>
          <w:rFonts w:cs="Times New Roman"/>
        </w:rPr>
      </w:pPr>
      <w:r w:rsidRPr="00526903">
        <w:rPr>
          <w:rStyle w:val="FootnoteReference"/>
        </w:rPr>
        <w:footnoteRef/>
      </w:r>
      <w:r w:rsidRPr="00526903">
        <w:rPr>
          <w:rFonts w:cs="Times New Roman"/>
        </w:rPr>
        <w:t xml:space="preserve"> + 30% piemaksa</w:t>
      </w:r>
      <w:r>
        <w:rPr>
          <w:rFonts w:cs="Times New Roman"/>
        </w:rPr>
        <w:t xml:space="preserve"> no I invaliditātes grupai noteiktā apmērā</w:t>
      </w:r>
    </w:p>
  </w:footnote>
  <w:footnote w:id="28">
    <w:p w14:paraId="147E2587" w14:textId="77777777" w:rsidR="000A660F" w:rsidRPr="00526903" w:rsidRDefault="000A660F" w:rsidP="000A660F">
      <w:pPr>
        <w:pStyle w:val="FootnoteText"/>
        <w:rPr>
          <w:rFonts w:cs="Times New Roman"/>
        </w:rPr>
      </w:pPr>
      <w:r w:rsidRPr="00526903">
        <w:rPr>
          <w:rStyle w:val="FootnoteReference"/>
        </w:rPr>
        <w:footnoteRef/>
      </w:r>
      <w:r w:rsidRPr="00526903">
        <w:rPr>
          <w:rFonts w:cs="Times New Roman"/>
        </w:rPr>
        <w:t xml:space="preserve"> +20% piemaksa</w:t>
      </w:r>
      <w:r>
        <w:rPr>
          <w:rFonts w:cs="Times New Roman"/>
        </w:rPr>
        <w:t xml:space="preserve"> no II invaliditātes grupai noteiktā apmērā</w:t>
      </w:r>
    </w:p>
  </w:footnote>
  <w:footnote w:id="29">
    <w:p w14:paraId="467271CD" w14:textId="77777777" w:rsidR="000A660F" w:rsidRPr="00526903" w:rsidRDefault="000A660F" w:rsidP="000A660F">
      <w:pPr>
        <w:pStyle w:val="FootnoteText"/>
        <w:rPr>
          <w:rFonts w:cs="Times New Roman"/>
        </w:rPr>
      </w:pPr>
      <w:r w:rsidRPr="00526903">
        <w:rPr>
          <w:rStyle w:val="FootnoteReference"/>
        </w:rPr>
        <w:footnoteRef/>
      </w:r>
      <w:r w:rsidRPr="00526903">
        <w:rPr>
          <w:rFonts w:cs="Times New Roman"/>
        </w:rPr>
        <w:t xml:space="preserve"> </w:t>
      </w:r>
      <w:r w:rsidRPr="00526903">
        <w:rPr>
          <w:rFonts w:eastAsia="MS PGothic" w:cs="Times New Roman"/>
          <w:bCs/>
          <w:kern w:val="24"/>
        </w:rPr>
        <w:t>25 % no ienākumu mediānas</w:t>
      </w:r>
    </w:p>
  </w:footnote>
  <w:footnote w:id="30">
    <w:p w14:paraId="2F84A36F" w14:textId="77777777" w:rsidR="000A660F" w:rsidRPr="00526903" w:rsidRDefault="000A660F" w:rsidP="000A660F">
      <w:pPr>
        <w:pStyle w:val="FootnoteText"/>
        <w:rPr>
          <w:rFonts w:cs="Times New Roman"/>
        </w:rPr>
      </w:pPr>
      <w:r w:rsidRPr="00526903">
        <w:rPr>
          <w:rStyle w:val="FootnoteReference"/>
        </w:rPr>
        <w:footnoteRef/>
      </w:r>
      <w:r w:rsidRPr="00526903">
        <w:rPr>
          <w:rFonts w:cs="Times New Roman"/>
        </w:rPr>
        <w:t xml:space="preserve"> + 30% piemaksa</w:t>
      </w:r>
      <w:r>
        <w:rPr>
          <w:rFonts w:cs="Times New Roman"/>
        </w:rPr>
        <w:t xml:space="preserve"> no I invaliditātes grupai noteiktā apmēra</w:t>
      </w:r>
    </w:p>
  </w:footnote>
  <w:footnote w:id="31">
    <w:p w14:paraId="0E7EAAA0" w14:textId="77777777" w:rsidR="000A660F" w:rsidRPr="00526903" w:rsidRDefault="000A660F" w:rsidP="000A660F">
      <w:pPr>
        <w:pStyle w:val="FootnoteText"/>
        <w:rPr>
          <w:rFonts w:cs="Times New Roman"/>
        </w:rPr>
      </w:pPr>
      <w:r w:rsidRPr="00526903">
        <w:rPr>
          <w:rStyle w:val="FootnoteReference"/>
        </w:rPr>
        <w:footnoteRef/>
      </w:r>
      <w:r w:rsidRPr="00526903">
        <w:rPr>
          <w:rFonts w:cs="Times New Roman"/>
        </w:rPr>
        <w:t xml:space="preserve"> +20% piemaksa</w:t>
      </w:r>
      <w:r>
        <w:rPr>
          <w:rFonts w:cs="Times New Roman"/>
        </w:rPr>
        <w:t xml:space="preserve"> no II invaliditātes grupai noteiktā apmērā</w:t>
      </w:r>
    </w:p>
  </w:footnote>
  <w:footnote w:id="32">
    <w:p w14:paraId="2C6472AD" w14:textId="77777777" w:rsidR="000A660F" w:rsidRPr="00526903" w:rsidRDefault="000A660F" w:rsidP="000A660F">
      <w:pPr>
        <w:pStyle w:val="FootnoteText"/>
        <w:rPr>
          <w:rFonts w:cs="Times New Roman"/>
        </w:rPr>
      </w:pPr>
      <w:r w:rsidRPr="00526903">
        <w:rPr>
          <w:rStyle w:val="FootnoteReference"/>
        </w:rPr>
        <w:footnoteRef/>
      </w:r>
      <w:r w:rsidRPr="00526903">
        <w:rPr>
          <w:rFonts w:cs="Times New Roman"/>
        </w:rPr>
        <w:t xml:space="preserve"> </w:t>
      </w:r>
      <w:r w:rsidRPr="00526903">
        <w:rPr>
          <w:rFonts w:eastAsia="MS PGothic" w:cs="Times New Roman"/>
          <w:bCs/>
          <w:kern w:val="24"/>
        </w:rPr>
        <w:t>20 % no ienākumu mediānas</w:t>
      </w:r>
    </w:p>
  </w:footnote>
  <w:footnote w:id="33">
    <w:p w14:paraId="24901351" w14:textId="77777777" w:rsidR="000A660F" w:rsidRPr="00BE21FC" w:rsidRDefault="000A660F" w:rsidP="000A660F">
      <w:pPr>
        <w:pStyle w:val="FootnoteText"/>
        <w:rPr>
          <w:rFonts w:cs="Times New Roman"/>
        </w:rPr>
      </w:pPr>
      <w:r w:rsidRPr="00BE21FC">
        <w:rPr>
          <w:rStyle w:val="FootnoteReference"/>
        </w:rPr>
        <w:footnoteRef/>
      </w:r>
      <w:r w:rsidRPr="00BE21FC">
        <w:rPr>
          <w:rFonts w:cs="Times New Roman"/>
        </w:rPr>
        <w:t xml:space="preserve"> </w:t>
      </w:r>
      <w:r w:rsidRPr="00BE21FC">
        <w:rPr>
          <w:rFonts w:eastAsia="MS PGothic" w:cs="Times New Roman"/>
          <w:bCs/>
          <w:kern w:val="24"/>
        </w:rPr>
        <w:t>20 % no ienākumu mediānas</w:t>
      </w:r>
    </w:p>
  </w:footnote>
  <w:footnote w:id="34">
    <w:p w14:paraId="4641D44E" w14:textId="77777777" w:rsidR="000A660F" w:rsidRPr="00BE21FC" w:rsidRDefault="000A660F" w:rsidP="000A660F">
      <w:pPr>
        <w:pStyle w:val="FootnoteText"/>
        <w:rPr>
          <w:rFonts w:cs="Times New Roman"/>
        </w:rPr>
      </w:pPr>
      <w:r w:rsidRPr="00BE21FC">
        <w:rPr>
          <w:rStyle w:val="FootnoteReference"/>
        </w:rPr>
        <w:footnoteRef/>
      </w:r>
      <w:r w:rsidRPr="00BE21FC">
        <w:rPr>
          <w:rFonts w:cs="Times New Roman"/>
        </w:rPr>
        <w:t xml:space="preserve"> </w:t>
      </w:r>
      <w:r w:rsidRPr="00BE21FC">
        <w:rPr>
          <w:rFonts w:eastAsia="MS PGothic" w:cs="Times New Roman"/>
          <w:bCs/>
          <w:kern w:val="24"/>
        </w:rPr>
        <w:t>25 % no ienākumu mediānas</w:t>
      </w:r>
    </w:p>
  </w:footnote>
  <w:footnote w:id="35">
    <w:p w14:paraId="667A91EB" w14:textId="77777777" w:rsidR="000A660F" w:rsidRPr="00BE21FC" w:rsidRDefault="000A660F" w:rsidP="000A660F">
      <w:pPr>
        <w:pStyle w:val="FootnoteText"/>
        <w:rPr>
          <w:rFonts w:cs="Times New Roman"/>
        </w:rPr>
      </w:pPr>
      <w:r w:rsidRPr="00BE21FC">
        <w:rPr>
          <w:rStyle w:val="FootnoteReference"/>
        </w:rPr>
        <w:footnoteRef/>
      </w:r>
      <w:r w:rsidRPr="00BE21FC">
        <w:rPr>
          <w:rFonts w:cs="Times New Roman"/>
        </w:rPr>
        <w:t xml:space="preserve"> </w:t>
      </w:r>
      <w:r w:rsidRPr="00BE21FC">
        <w:rPr>
          <w:rFonts w:eastAsia="MS PGothic" w:cs="Times New Roman"/>
          <w:bCs/>
          <w:kern w:val="24"/>
        </w:rPr>
        <w:t>30 % no ienākumu mediānas</w:t>
      </w:r>
    </w:p>
  </w:footnote>
  <w:footnote w:id="36">
    <w:p w14:paraId="073CDF8F" w14:textId="77777777" w:rsidR="000A660F" w:rsidRPr="00BE21FC" w:rsidRDefault="000A660F" w:rsidP="000A660F">
      <w:pPr>
        <w:pStyle w:val="FootnoteText"/>
        <w:jc w:val="both"/>
        <w:rPr>
          <w:rFonts w:cs="Times New Roman"/>
        </w:rPr>
      </w:pPr>
      <w:r w:rsidRPr="00BE21FC">
        <w:rPr>
          <w:rStyle w:val="FootnoteReference"/>
        </w:rPr>
        <w:footnoteRef/>
      </w:r>
      <w:r w:rsidRPr="00BE21FC">
        <w:rPr>
          <w:rFonts w:cs="Times New Roman"/>
        </w:rPr>
        <w:t xml:space="preserve"> P</w:t>
      </w:r>
      <w:r w:rsidRPr="00BE21FC">
        <w:rPr>
          <w:rFonts w:eastAsia="MS PGothic" w:cs="Times New Roman"/>
          <w:kern w:val="24"/>
        </w:rPr>
        <w:t>iemērojot vecuma pensijas aprēķina bāzei koeficientu – 1,1, un par katru nākamo gadu, kas pārsniedz vecuma pensijas piešķiršanai nepieciešamo apdrošināšanas stāžu, palielinot apmēru par diviem procentiem no minimālās vecuma pensijas aprēķina bāzes</w:t>
      </w:r>
    </w:p>
  </w:footnote>
  <w:footnote w:id="37">
    <w:p w14:paraId="455915BD" w14:textId="77777777" w:rsidR="000A660F" w:rsidRPr="00BE21FC" w:rsidRDefault="000A660F" w:rsidP="000A660F">
      <w:pPr>
        <w:pStyle w:val="FootnoteText"/>
        <w:rPr>
          <w:rFonts w:cs="Times New Roman"/>
        </w:rPr>
      </w:pPr>
      <w:r w:rsidRPr="00BE21FC">
        <w:rPr>
          <w:rStyle w:val="FootnoteReference"/>
        </w:rPr>
        <w:footnoteRef/>
      </w:r>
      <w:r w:rsidRPr="00BE21FC">
        <w:rPr>
          <w:rFonts w:cs="Times New Roman"/>
        </w:rPr>
        <w:t xml:space="preserve"> </w:t>
      </w:r>
      <w:r w:rsidRPr="00BE21FC">
        <w:rPr>
          <w:rFonts w:eastAsia="MS PGothic" w:cs="Times New Roman"/>
          <w:bCs/>
          <w:kern w:val="24"/>
        </w:rPr>
        <w:t>25 % no ienākumu mediānas</w:t>
      </w:r>
    </w:p>
  </w:footnote>
  <w:footnote w:id="38">
    <w:p w14:paraId="05A3D49F" w14:textId="77777777" w:rsidR="000A660F" w:rsidRPr="00F319DC" w:rsidRDefault="000A660F" w:rsidP="000A660F">
      <w:pPr>
        <w:pStyle w:val="FootnoteText"/>
        <w:rPr>
          <w:b/>
        </w:rPr>
      </w:pPr>
      <w:r w:rsidRPr="00BE21FC">
        <w:rPr>
          <w:rStyle w:val="FootnoteReference"/>
        </w:rPr>
        <w:footnoteRef/>
      </w:r>
      <w:r w:rsidRPr="00BE21FC">
        <w:rPr>
          <w:rFonts w:cs="Times New Roman"/>
        </w:rPr>
        <w:t xml:space="preserve"> </w:t>
      </w:r>
      <w:r w:rsidRPr="00BE21FC">
        <w:rPr>
          <w:rFonts w:eastAsia="MS PGothic" w:cs="Times New Roman"/>
          <w:bCs/>
          <w:kern w:val="24"/>
        </w:rPr>
        <w:t>30 % no ienākumu mediānas</w:t>
      </w:r>
    </w:p>
  </w:footnote>
  <w:footnote w:id="39">
    <w:p w14:paraId="79208CE2" w14:textId="77777777" w:rsidR="000A660F" w:rsidRPr="00106E7F" w:rsidRDefault="000A660F" w:rsidP="000A660F">
      <w:pPr>
        <w:pStyle w:val="FootnoteText"/>
      </w:pPr>
      <w:r>
        <w:rPr>
          <w:rStyle w:val="FootnoteReference"/>
        </w:rPr>
        <w:footnoteRef/>
      </w:r>
      <w:r>
        <w:t xml:space="preserve"> </w:t>
      </w:r>
      <w:r w:rsidRPr="00106E7F">
        <w:rPr>
          <w:rFonts w:eastAsia="MS PGothic" w:cs="Times New Roman"/>
          <w:bCs/>
          <w:kern w:val="24"/>
        </w:rPr>
        <w:t>30 % no ienākumu mediānas</w:t>
      </w:r>
    </w:p>
  </w:footnote>
  <w:footnote w:id="40">
    <w:p w14:paraId="70C9B1FC" w14:textId="77777777" w:rsidR="000A660F" w:rsidRDefault="000A660F" w:rsidP="000A660F">
      <w:pPr>
        <w:pStyle w:val="FootnoteText"/>
      </w:pPr>
      <w:r w:rsidRPr="00106E7F">
        <w:rPr>
          <w:rStyle w:val="FootnoteReference"/>
        </w:rPr>
        <w:footnoteRef/>
      </w:r>
      <w:r w:rsidRPr="00106E7F">
        <w:t xml:space="preserve"> </w:t>
      </w:r>
      <w:r w:rsidRPr="00106E7F">
        <w:rPr>
          <w:rFonts w:eastAsia="MS PGothic" w:cs="Times New Roman"/>
          <w:bCs/>
          <w:kern w:val="24"/>
        </w:rPr>
        <w:t>25 % no ienākumu mediānas</w:t>
      </w:r>
    </w:p>
  </w:footnote>
  <w:footnote w:id="41">
    <w:p w14:paraId="04BE025E" w14:textId="77777777" w:rsidR="000A660F" w:rsidRPr="00973BC6" w:rsidRDefault="000A660F" w:rsidP="000A660F">
      <w:pPr>
        <w:pStyle w:val="FootnoteText"/>
        <w:rPr>
          <w:rFonts w:cs="Times New Roman"/>
        </w:rPr>
      </w:pPr>
      <w:r w:rsidRPr="00973BC6">
        <w:rPr>
          <w:rStyle w:val="FootnoteReference"/>
        </w:rPr>
        <w:footnoteRef/>
      </w:r>
      <w:r w:rsidRPr="00973BC6">
        <w:rPr>
          <w:rFonts w:cs="Times New Roman"/>
        </w:rPr>
        <w:t xml:space="preserve"> </w:t>
      </w:r>
      <w:r w:rsidRPr="00973BC6">
        <w:rPr>
          <w:rFonts w:eastAsia="MS PGothic" w:cs="Times New Roman"/>
          <w:bCs/>
          <w:kern w:val="24"/>
        </w:rPr>
        <w:t>25 % no ienākumu mediānas</w:t>
      </w:r>
    </w:p>
  </w:footnote>
  <w:footnote w:id="42">
    <w:p w14:paraId="086D8055" w14:textId="77777777" w:rsidR="000A660F" w:rsidRPr="00973BC6" w:rsidRDefault="000A660F" w:rsidP="000A660F">
      <w:pPr>
        <w:pStyle w:val="FootnoteText"/>
        <w:rPr>
          <w:rFonts w:cs="Times New Roman"/>
        </w:rPr>
      </w:pPr>
      <w:r w:rsidRPr="00973BC6">
        <w:rPr>
          <w:rStyle w:val="FootnoteReference"/>
        </w:rPr>
        <w:footnoteRef/>
      </w:r>
      <w:r w:rsidRPr="00973BC6">
        <w:rPr>
          <w:rFonts w:cs="Times New Roman"/>
        </w:rPr>
        <w:t xml:space="preserve"> </w:t>
      </w:r>
      <w:r w:rsidRPr="00973BC6">
        <w:rPr>
          <w:rFonts w:eastAsia="MS PGothic" w:cs="Times New Roman"/>
          <w:bCs/>
          <w:kern w:val="24"/>
        </w:rPr>
        <w:t>30 % no ienākumu mediānas</w:t>
      </w:r>
    </w:p>
  </w:footnote>
  <w:footnote w:id="43">
    <w:p w14:paraId="6BE0E87C" w14:textId="4C942C4F" w:rsidR="000A660F" w:rsidRPr="000352B0" w:rsidRDefault="000A660F" w:rsidP="000A660F">
      <w:pPr>
        <w:pStyle w:val="FootnoteText"/>
        <w:rPr>
          <w:rFonts w:cs="Times New Roman"/>
        </w:rPr>
      </w:pPr>
      <w:r w:rsidRPr="000352B0">
        <w:rPr>
          <w:rStyle w:val="FootnoteReference"/>
        </w:rPr>
        <w:footnoteRef/>
      </w:r>
      <w:r w:rsidRPr="000352B0">
        <w:rPr>
          <w:rFonts w:cs="Times New Roman"/>
        </w:rPr>
        <w:t xml:space="preserve"> </w:t>
      </w:r>
      <w:r>
        <w:rPr>
          <w:rFonts w:eastAsia="MS PGothic" w:cs="Times New Roman"/>
          <w:bCs/>
          <w:kern w:val="24"/>
        </w:rPr>
        <w:t>T</w:t>
      </w:r>
      <w:r w:rsidRPr="000352B0">
        <w:rPr>
          <w:rFonts w:eastAsia="MS PGothic" w:cs="Times New Roman"/>
          <w:bCs/>
          <w:kern w:val="24"/>
        </w:rPr>
        <w:t xml:space="preserve">iek piemērotas ekvivalences skalas: pirmajai personai </w:t>
      </w:r>
      <w:r w:rsidR="004B55A1">
        <w:rPr>
          <w:rFonts w:eastAsia="MS PGothic" w:cs="Times New Roman"/>
          <w:bCs/>
          <w:kern w:val="24"/>
        </w:rPr>
        <w:t>mājsaimniecībā piemēro koeficientu</w:t>
      </w:r>
      <w:r w:rsidR="00B14714">
        <w:rPr>
          <w:rFonts w:eastAsia="MS PGothic" w:cs="Times New Roman"/>
          <w:bCs/>
          <w:kern w:val="24"/>
        </w:rPr>
        <w:t xml:space="preserve"> </w:t>
      </w:r>
      <w:r>
        <w:rPr>
          <w:rFonts w:eastAsia="MS PGothic" w:cs="Times New Roman"/>
          <w:bCs/>
          <w:kern w:val="24"/>
        </w:rPr>
        <w:t xml:space="preserve">1, </w:t>
      </w:r>
      <w:r w:rsidR="004B55A1">
        <w:rPr>
          <w:rFonts w:eastAsia="MS PGothic" w:cs="Times New Roman"/>
          <w:bCs/>
          <w:kern w:val="24"/>
        </w:rPr>
        <w:t>pārejām personām</w:t>
      </w:r>
      <w:r>
        <w:rPr>
          <w:rFonts w:eastAsia="MS PGothic" w:cs="Times New Roman"/>
          <w:bCs/>
          <w:kern w:val="24"/>
        </w:rPr>
        <w:t xml:space="preserve"> - 0.7 no pirmās</w:t>
      </w:r>
      <w:r w:rsidR="00B14714">
        <w:rPr>
          <w:rFonts w:eastAsia="MS PGothic" w:cs="Times New Roman"/>
          <w:bCs/>
          <w:kern w:val="24"/>
        </w:rPr>
        <w:t xml:space="preserve"> personas</w:t>
      </w:r>
    </w:p>
  </w:footnote>
  <w:footnote w:id="44">
    <w:p w14:paraId="2E43D250" w14:textId="77777777" w:rsidR="000A660F" w:rsidRPr="00973BC6" w:rsidRDefault="000A660F" w:rsidP="000A660F">
      <w:pPr>
        <w:pStyle w:val="FootnoteText"/>
      </w:pPr>
      <w:r w:rsidRPr="00973BC6">
        <w:rPr>
          <w:rStyle w:val="FootnoteReference"/>
        </w:rPr>
        <w:footnoteRef/>
      </w:r>
      <w:r w:rsidRPr="00973BC6">
        <w:t xml:space="preserve"> </w:t>
      </w:r>
      <w:r w:rsidRPr="00973BC6">
        <w:rPr>
          <w:rFonts w:eastAsia="MS PGothic" w:cs="Times New Roman"/>
          <w:bCs/>
          <w:kern w:val="24"/>
        </w:rPr>
        <w:t>20 % no ienākumu mediānas</w:t>
      </w:r>
    </w:p>
  </w:footnote>
  <w:footnote w:id="45">
    <w:p w14:paraId="7AE804E0" w14:textId="77777777" w:rsidR="000A660F" w:rsidRPr="00973BC6" w:rsidRDefault="000A660F" w:rsidP="000A660F">
      <w:pPr>
        <w:pStyle w:val="FootnoteText"/>
      </w:pPr>
      <w:r w:rsidRPr="00973BC6">
        <w:rPr>
          <w:rStyle w:val="FootnoteReference"/>
        </w:rPr>
        <w:footnoteRef/>
      </w:r>
      <w:r w:rsidRPr="00973BC6">
        <w:t xml:space="preserve"> </w:t>
      </w:r>
      <w:r w:rsidRPr="00973BC6">
        <w:rPr>
          <w:rFonts w:eastAsia="MS PGothic" w:cs="Times New Roman"/>
          <w:bCs/>
          <w:kern w:val="24"/>
        </w:rPr>
        <w:t>50 % no ienākumu mediānas</w:t>
      </w:r>
    </w:p>
  </w:footnote>
  <w:footnote w:id="46">
    <w:p w14:paraId="320FFFF5" w14:textId="77777777" w:rsidR="000A660F" w:rsidRDefault="000A660F" w:rsidP="000A660F">
      <w:pPr>
        <w:pStyle w:val="FootnoteText"/>
      </w:pPr>
      <w:r w:rsidRPr="00973BC6">
        <w:rPr>
          <w:rStyle w:val="FootnoteReference"/>
        </w:rPr>
        <w:footnoteRef/>
      </w:r>
      <w:r w:rsidRPr="00973BC6">
        <w:t xml:space="preserve"> </w:t>
      </w:r>
      <w:r w:rsidRPr="00973BC6">
        <w:rPr>
          <w:rFonts w:eastAsia="MS PGothic" w:cs="Times New Roman"/>
          <w:bCs/>
          <w:kern w:val="24"/>
        </w:rPr>
        <w:t>80 % no ienākumu mediānas</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BABE" w14:textId="77777777" w:rsidR="00496279" w:rsidRPr="0095360C" w:rsidRDefault="00496279">
    <w:pPr>
      <w:pStyle w:val="Header"/>
      <w:jc w:val="center"/>
      <w:rPr>
        <w:rFonts w:cs="Times New Roman"/>
      </w:rPr>
    </w:pPr>
    <w:r w:rsidRPr="0095360C">
      <w:rPr>
        <w:rFonts w:cs="Times New Roman"/>
      </w:rPr>
      <w:fldChar w:fldCharType="begin"/>
    </w:r>
    <w:r w:rsidRPr="0095360C">
      <w:rPr>
        <w:rFonts w:cs="Times New Roman"/>
      </w:rPr>
      <w:instrText xml:space="preserve"> PAGE   \* MERGEFORMAT </w:instrText>
    </w:r>
    <w:r w:rsidRPr="0095360C">
      <w:rPr>
        <w:rFonts w:cs="Times New Roman"/>
      </w:rPr>
      <w:fldChar w:fldCharType="separate"/>
    </w:r>
    <w:r w:rsidR="00910AA6">
      <w:rPr>
        <w:rFonts w:cs="Times New Roman"/>
        <w:noProof/>
      </w:rPr>
      <w:t>18</w:t>
    </w:r>
    <w:r w:rsidRPr="0095360C">
      <w:rPr>
        <w:rFonts w:cs="Times New Roman"/>
      </w:rPr>
      <w:fldChar w:fldCharType="end"/>
    </w:r>
  </w:p>
  <w:p w14:paraId="0D73D069" w14:textId="77777777" w:rsidR="00496279" w:rsidRDefault="00496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CE7A" w14:textId="77777777" w:rsidR="00496279" w:rsidRPr="0095360C" w:rsidRDefault="00496279">
    <w:pPr>
      <w:pStyle w:val="Header"/>
      <w:jc w:val="center"/>
      <w:rPr>
        <w:rFonts w:cs="Times New Roman"/>
      </w:rPr>
    </w:pPr>
    <w:r w:rsidRPr="0095360C">
      <w:rPr>
        <w:rFonts w:cs="Times New Roman"/>
      </w:rPr>
      <w:fldChar w:fldCharType="begin"/>
    </w:r>
    <w:r w:rsidRPr="0095360C">
      <w:rPr>
        <w:rFonts w:cs="Times New Roman"/>
      </w:rPr>
      <w:instrText xml:space="preserve"> PAGE   \* MERGEFORMAT </w:instrText>
    </w:r>
    <w:r w:rsidRPr="0095360C">
      <w:rPr>
        <w:rFonts w:cs="Times New Roman"/>
      </w:rPr>
      <w:fldChar w:fldCharType="separate"/>
    </w:r>
    <w:r w:rsidR="00910AA6">
      <w:rPr>
        <w:rFonts w:cs="Times New Roman"/>
        <w:noProof/>
      </w:rPr>
      <w:t>32</w:t>
    </w:r>
    <w:r w:rsidRPr="0095360C">
      <w:rPr>
        <w:rFonts w:cs="Times New Roman"/>
      </w:rPr>
      <w:fldChar w:fldCharType="end"/>
    </w:r>
  </w:p>
  <w:p w14:paraId="68F9C7C1" w14:textId="77777777" w:rsidR="00496279" w:rsidRDefault="00496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2DD"/>
    <w:multiLevelType w:val="multilevel"/>
    <w:tmpl w:val="84E4BE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32786C"/>
    <w:multiLevelType w:val="hybridMultilevel"/>
    <w:tmpl w:val="0AB06DB8"/>
    <w:lvl w:ilvl="0" w:tplc="32487C3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070040D4"/>
    <w:multiLevelType w:val="hybridMultilevel"/>
    <w:tmpl w:val="7686632A"/>
    <w:lvl w:ilvl="0" w:tplc="A194459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53438"/>
    <w:multiLevelType w:val="multilevel"/>
    <w:tmpl w:val="D1121B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F2243C1"/>
    <w:multiLevelType w:val="hybridMultilevel"/>
    <w:tmpl w:val="E6D86888"/>
    <w:lvl w:ilvl="0" w:tplc="7D9409DE">
      <w:start w:val="10"/>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0F8A652C"/>
    <w:multiLevelType w:val="hybridMultilevel"/>
    <w:tmpl w:val="9A5C3BC4"/>
    <w:lvl w:ilvl="0" w:tplc="9F60920C">
      <w:start w:val="3"/>
      <w:numFmt w:val="bullet"/>
      <w:lvlText w:val="-"/>
      <w:lvlJc w:val="left"/>
      <w:pPr>
        <w:ind w:left="1440" w:hanging="360"/>
      </w:pPr>
      <w:rPr>
        <w:rFonts w:ascii="Times New Roman" w:eastAsia="Calibri" w:hAnsi="Times New Roman" w:cs="Times New Roman" w:hint="default"/>
      </w:rPr>
    </w:lvl>
    <w:lvl w:ilvl="1" w:tplc="42229BF4">
      <w:numFmt w:val="bullet"/>
      <w:lvlText w:val=""/>
      <w:lvlJc w:val="left"/>
      <w:pPr>
        <w:ind w:left="2160" w:hanging="360"/>
      </w:pPr>
      <w:rPr>
        <w:rFonts w:ascii="Symbol" w:eastAsia="Calibri" w:hAnsi="Symbol"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1B02E72"/>
    <w:multiLevelType w:val="hybridMultilevel"/>
    <w:tmpl w:val="D0C6E7FC"/>
    <w:lvl w:ilvl="0" w:tplc="7968307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3E60984"/>
    <w:multiLevelType w:val="multilevel"/>
    <w:tmpl w:val="CA466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158D046E"/>
    <w:multiLevelType w:val="hybridMultilevel"/>
    <w:tmpl w:val="3F225C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B77B7E"/>
    <w:multiLevelType w:val="hybridMultilevel"/>
    <w:tmpl w:val="AD6693F4"/>
    <w:lvl w:ilvl="0" w:tplc="04260001">
      <w:start w:val="202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F711A9"/>
    <w:multiLevelType w:val="hybridMultilevel"/>
    <w:tmpl w:val="916E9C2C"/>
    <w:lvl w:ilvl="0" w:tplc="ED72E4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C66C6"/>
    <w:multiLevelType w:val="hybridMultilevel"/>
    <w:tmpl w:val="618A7108"/>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74B31"/>
    <w:multiLevelType w:val="hybridMultilevel"/>
    <w:tmpl w:val="1B002E44"/>
    <w:lvl w:ilvl="0" w:tplc="1A384308">
      <w:start w:val="600"/>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EB7F78"/>
    <w:multiLevelType w:val="hybridMultilevel"/>
    <w:tmpl w:val="D8248476"/>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44706"/>
    <w:multiLevelType w:val="hybridMultilevel"/>
    <w:tmpl w:val="01E28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65132F3"/>
    <w:multiLevelType w:val="hybridMultilevel"/>
    <w:tmpl w:val="C7CA0D0E"/>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75662B"/>
    <w:multiLevelType w:val="hybridMultilevel"/>
    <w:tmpl w:val="B46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271394"/>
    <w:multiLevelType w:val="hybridMultilevel"/>
    <w:tmpl w:val="8D80FF58"/>
    <w:lvl w:ilvl="0" w:tplc="8D0EF8AC">
      <w:start w:val="1"/>
      <w:numFmt w:val="bullet"/>
      <w:lvlText w:val="•"/>
      <w:lvlJc w:val="left"/>
      <w:pPr>
        <w:tabs>
          <w:tab w:val="num" w:pos="720"/>
        </w:tabs>
        <w:ind w:left="720" w:hanging="360"/>
      </w:pPr>
      <w:rPr>
        <w:rFonts w:ascii="Arial" w:hAnsi="Arial" w:hint="default"/>
      </w:rPr>
    </w:lvl>
    <w:lvl w:ilvl="1" w:tplc="8716BF74">
      <w:start w:val="1"/>
      <w:numFmt w:val="bullet"/>
      <w:lvlText w:val="•"/>
      <w:lvlJc w:val="left"/>
      <w:pPr>
        <w:tabs>
          <w:tab w:val="num" w:pos="1440"/>
        </w:tabs>
        <w:ind w:left="1440" w:hanging="360"/>
      </w:pPr>
      <w:rPr>
        <w:rFonts w:ascii="Arial" w:hAnsi="Arial" w:hint="default"/>
      </w:rPr>
    </w:lvl>
    <w:lvl w:ilvl="2" w:tplc="68089C62" w:tentative="1">
      <w:start w:val="1"/>
      <w:numFmt w:val="bullet"/>
      <w:lvlText w:val="•"/>
      <w:lvlJc w:val="left"/>
      <w:pPr>
        <w:tabs>
          <w:tab w:val="num" w:pos="2160"/>
        </w:tabs>
        <w:ind w:left="2160" w:hanging="360"/>
      </w:pPr>
      <w:rPr>
        <w:rFonts w:ascii="Arial" w:hAnsi="Arial" w:hint="default"/>
      </w:rPr>
    </w:lvl>
    <w:lvl w:ilvl="3" w:tplc="F85095F4" w:tentative="1">
      <w:start w:val="1"/>
      <w:numFmt w:val="bullet"/>
      <w:lvlText w:val="•"/>
      <w:lvlJc w:val="left"/>
      <w:pPr>
        <w:tabs>
          <w:tab w:val="num" w:pos="2880"/>
        </w:tabs>
        <w:ind w:left="2880" w:hanging="360"/>
      </w:pPr>
      <w:rPr>
        <w:rFonts w:ascii="Arial" w:hAnsi="Arial" w:hint="default"/>
      </w:rPr>
    </w:lvl>
    <w:lvl w:ilvl="4" w:tplc="3AD2D6B8" w:tentative="1">
      <w:start w:val="1"/>
      <w:numFmt w:val="bullet"/>
      <w:lvlText w:val="•"/>
      <w:lvlJc w:val="left"/>
      <w:pPr>
        <w:tabs>
          <w:tab w:val="num" w:pos="3600"/>
        </w:tabs>
        <w:ind w:left="3600" w:hanging="360"/>
      </w:pPr>
      <w:rPr>
        <w:rFonts w:ascii="Arial" w:hAnsi="Arial" w:hint="default"/>
      </w:rPr>
    </w:lvl>
    <w:lvl w:ilvl="5" w:tplc="CA2C6FD4" w:tentative="1">
      <w:start w:val="1"/>
      <w:numFmt w:val="bullet"/>
      <w:lvlText w:val="•"/>
      <w:lvlJc w:val="left"/>
      <w:pPr>
        <w:tabs>
          <w:tab w:val="num" w:pos="4320"/>
        </w:tabs>
        <w:ind w:left="4320" w:hanging="360"/>
      </w:pPr>
      <w:rPr>
        <w:rFonts w:ascii="Arial" w:hAnsi="Arial" w:hint="default"/>
      </w:rPr>
    </w:lvl>
    <w:lvl w:ilvl="6" w:tplc="86D89DEE" w:tentative="1">
      <w:start w:val="1"/>
      <w:numFmt w:val="bullet"/>
      <w:lvlText w:val="•"/>
      <w:lvlJc w:val="left"/>
      <w:pPr>
        <w:tabs>
          <w:tab w:val="num" w:pos="5040"/>
        </w:tabs>
        <w:ind w:left="5040" w:hanging="360"/>
      </w:pPr>
      <w:rPr>
        <w:rFonts w:ascii="Arial" w:hAnsi="Arial" w:hint="default"/>
      </w:rPr>
    </w:lvl>
    <w:lvl w:ilvl="7" w:tplc="34CAB644" w:tentative="1">
      <w:start w:val="1"/>
      <w:numFmt w:val="bullet"/>
      <w:lvlText w:val="•"/>
      <w:lvlJc w:val="left"/>
      <w:pPr>
        <w:tabs>
          <w:tab w:val="num" w:pos="5760"/>
        </w:tabs>
        <w:ind w:left="5760" w:hanging="360"/>
      </w:pPr>
      <w:rPr>
        <w:rFonts w:ascii="Arial" w:hAnsi="Arial" w:hint="default"/>
      </w:rPr>
    </w:lvl>
    <w:lvl w:ilvl="8" w:tplc="0570D8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9444F5"/>
    <w:multiLevelType w:val="hybridMultilevel"/>
    <w:tmpl w:val="6976528E"/>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0847BD5"/>
    <w:multiLevelType w:val="hybridMultilevel"/>
    <w:tmpl w:val="9CD0877C"/>
    <w:lvl w:ilvl="0" w:tplc="47F27526">
      <w:start w:val="9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E60DF8"/>
    <w:multiLevelType w:val="hybridMultilevel"/>
    <w:tmpl w:val="15BC12E6"/>
    <w:lvl w:ilvl="0" w:tplc="9F60920C">
      <w:start w:val="3"/>
      <w:numFmt w:val="bullet"/>
      <w:lvlText w:val="-"/>
      <w:lvlJc w:val="left"/>
      <w:pPr>
        <w:ind w:left="720" w:hanging="360"/>
      </w:pPr>
      <w:rPr>
        <w:rFonts w:ascii="Times New Roman" w:eastAsia="Calibri" w:hAnsi="Times New Roman" w:cs="Times New Roman" w:hint="default"/>
      </w:rPr>
    </w:lvl>
    <w:lvl w:ilvl="1" w:tplc="9F60920C">
      <w:start w:val="3"/>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5D57BE4"/>
    <w:multiLevelType w:val="hybridMultilevel"/>
    <w:tmpl w:val="07746D92"/>
    <w:lvl w:ilvl="0" w:tplc="8E4444B4">
      <w:start w:val="155"/>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6A50F38"/>
    <w:multiLevelType w:val="multilevel"/>
    <w:tmpl w:val="26C013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42031CC7"/>
    <w:multiLevelType w:val="hybridMultilevel"/>
    <w:tmpl w:val="C41E2608"/>
    <w:lvl w:ilvl="0" w:tplc="10A28222">
      <w:start w:val="69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2A86E86"/>
    <w:multiLevelType w:val="hybridMultilevel"/>
    <w:tmpl w:val="A72251D2"/>
    <w:lvl w:ilvl="0" w:tplc="4EDCBB68">
      <w:start w:val="1"/>
      <w:numFmt w:val="bullet"/>
      <w:lvlText w:val="•"/>
      <w:lvlJc w:val="left"/>
      <w:pPr>
        <w:tabs>
          <w:tab w:val="num" w:pos="720"/>
        </w:tabs>
        <w:ind w:left="720" w:hanging="360"/>
      </w:pPr>
      <w:rPr>
        <w:rFonts w:ascii="Times New Roman" w:hAnsi="Times New Roman" w:hint="default"/>
      </w:rPr>
    </w:lvl>
    <w:lvl w:ilvl="1" w:tplc="11F0997A" w:tentative="1">
      <w:start w:val="1"/>
      <w:numFmt w:val="bullet"/>
      <w:lvlText w:val="•"/>
      <w:lvlJc w:val="left"/>
      <w:pPr>
        <w:tabs>
          <w:tab w:val="num" w:pos="1440"/>
        </w:tabs>
        <w:ind w:left="1440" w:hanging="360"/>
      </w:pPr>
      <w:rPr>
        <w:rFonts w:ascii="Times New Roman" w:hAnsi="Times New Roman" w:hint="default"/>
      </w:rPr>
    </w:lvl>
    <w:lvl w:ilvl="2" w:tplc="50D69B70" w:tentative="1">
      <w:start w:val="1"/>
      <w:numFmt w:val="bullet"/>
      <w:lvlText w:val="•"/>
      <w:lvlJc w:val="left"/>
      <w:pPr>
        <w:tabs>
          <w:tab w:val="num" w:pos="2160"/>
        </w:tabs>
        <w:ind w:left="2160" w:hanging="360"/>
      </w:pPr>
      <w:rPr>
        <w:rFonts w:ascii="Times New Roman" w:hAnsi="Times New Roman" w:hint="default"/>
      </w:rPr>
    </w:lvl>
    <w:lvl w:ilvl="3" w:tplc="A764533E" w:tentative="1">
      <w:start w:val="1"/>
      <w:numFmt w:val="bullet"/>
      <w:lvlText w:val="•"/>
      <w:lvlJc w:val="left"/>
      <w:pPr>
        <w:tabs>
          <w:tab w:val="num" w:pos="2880"/>
        </w:tabs>
        <w:ind w:left="2880" w:hanging="360"/>
      </w:pPr>
      <w:rPr>
        <w:rFonts w:ascii="Times New Roman" w:hAnsi="Times New Roman" w:hint="default"/>
      </w:rPr>
    </w:lvl>
    <w:lvl w:ilvl="4" w:tplc="C61A4FF6" w:tentative="1">
      <w:start w:val="1"/>
      <w:numFmt w:val="bullet"/>
      <w:lvlText w:val="•"/>
      <w:lvlJc w:val="left"/>
      <w:pPr>
        <w:tabs>
          <w:tab w:val="num" w:pos="3600"/>
        </w:tabs>
        <w:ind w:left="3600" w:hanging="360"/>
      </w:pPr>
      <w:rPr>
        <w:rFonts w:ascii="Times New Roman" w:hAnsi="Times New Roman" w:hint="default"/>
      </w:rPr>
    </w:lvl>
    <w:lvl w:ilvl="5" w:tplc="F05C7E20" w:tentative="1">
      <w:start w:val="1"/>
      <w:numFmt w:val="bullet"/>
      <w:lvlText w:val="•"/>
      <w:lvlJc w:val="left"/>
      <w:pPr>
        <w:tabs>
          <w:tab w:val="num" w:pos="4320"/>
        </w:tabs>
        <w:ind w:left="4320" w:hanging="360"/>
      </w:pPr>
      <w:rPr>
        <w:rFonts w:ascii="Times New Roman" w:hAnsi="Times New Roman" w:hint="default"/>
      </w:rPr>
    </w:lvl>
    <w:lvl w:ilvl="6" w:tplc="35A4297E" w:tentative="1">
      <w:start w:val="1"/>
      <w:numFmt w:val="bullet"/>
      <w:lvlText w:val="•"/>
      <w:lvlJc w:val="left"/>
      <w:pPr>
        <w:tabs>
          <w:tab w:val="num" w:pos="5040"/>
        </w:tabs>
        <w:ind w:left="5040" w:hanging="360"/>
      </w:pPr>
      <w:rPr>
        <w:rFonts w:ascii="Times New Roman" w:hAnsi="Times New Roman" w:hint="default"/>
      </w:rPr>
    </w:lvl>
    <w:lvl w:ilvl="7" w:tplc="41466D32" w:tentative="1">
      <w:start w:val="1"/>
      <w:numFmt w:val="bullet"/>
      <w:lvlText w:val="•"/>
      <w:lvlJc w:val="left"/>
      <w:pPr>
        <w:tabs>
          <w:tab w:val="num" w:pos="5760"/>
        </w:tabs>
        <w:ind w:left="5760" w:hanging="360"/>
      </w:pPr>
      <w:rPr>
        <w:rFonts w:ascii="Times New Roman" w:hAnsi="Times New Roman" w:hint="default"/>
      </w:rPr>
    </w:lvl>
    <w:lvl w:ilvl="8" w:tplc="7D84C51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30" w15:restartNumberingAfterBreak="0">
    <w:nsid w:val="4A711BC3"/>
    <w:multiLevelType w:val="hybridMultilevel"/>
    <w:tmpl w:val="7208154A"/>
    <w:lvl w:ilvl="0" w:tplc="88D60F5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D811F55"/>
    <w:multiLevelType w:val="hybridMultilevel"/>
    <w:tmpl w:val="FD9CFC7E"/>
    <w:lvl w:ilvl="0" w:tplc="E9E0D2A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F5A6499"/>
    <w:multiLevelType w:val="hybridMultilevel"/>
    <w:tmpl w:val="2ECA7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B17CAA"/>
    <w:multiLevelType w:val="hybridMultilevel"/>
    <w:tmpl w:val="8E2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BF166E"/>
    <w:multiLevelType w:val="hybridMultilevel"/>
    <w:tmpl w:val="D618F4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8DC2D78"/>
    <w:multiLevelType w:val="hybridMultilevel"/>
    <w:tmpl w:val="20C4820A"/>
    <w:lvl w:ilvl="0" w:tplc="048CAD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431392"/>
    <w:multiLevelType w:val="hybridMultilevel"/>
    <w:tmpl w:val="10503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630B3"/>
    <w:multiLevelType w:val="hybridMultilevel"/>
    <w:tmpl w:val="8A7E9D38"/>
    <w:lvl w:ilvl="0" w:tplc="D8D4E4D0">
      <w:start w:val="6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0A3D5D"/>
    <w:multiLevelType w:val="multilevel"/>
    <w:tmpl w:val="12CEE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0E6038"/>
    <w:multiLevelType w:val="hybridMultilevel"/>
    <w:tmpl w:val="2AA8DF80"/>
    <w:lvl w:ilvl="0" w:tplc="9F60920C">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656494B"/>
    <w:multiLevelType w:val="hybridMultilevel"/>
    <w:tmpl w:val="829E7A94"/>
    <w:lvl w:ilvl="0" w:tplc="CBAC0ED0">
      <w:start w:val="9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6B1635B"/>
    <w:multiLevelType w:val="hybridMultilevel"/>
    <w:tmpl w:val="706C6BC4"/>
    <w:lvl w:ilvl="0" w:tplc="5530A1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67573ACD"/>
    <w:multiLevelType w:val="hybridMultilevel"/>
    <w:tmpl w:val="D0C6E7FC"/>
    <w:lvl w:ilvl="0" w:tplc="7968307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6AD1292B"/>
    <w:multiLevelType w:val="hybridMultilevel"/>
    <w:tmpl w:val="3F2CE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D187EF8"/>
    <w:multiLevelType w:val="hybridMultilevel"/>
    <w:tmpl w:val="15826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AC5650"/>
    <w:multiLevelType w:val="hybridMultilevel"/>
    <w:tmpl w:val="1FC2AF8E"/>
    <w:lvl w:ilvl="0" w:tplc="5C34A5CC">
      <w:start w:val="10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
  </w:num>
  <w:num w:numId="3">
    <w:abstractNumId w:val="18"/>
  </w:num>
  <w:num w:numId="4">
    <w:abstractNumId w:val="46"/>
  </w:num>
  <w:num w:numId="5">
    <w:abstractNumId w:val="4"/>
  </w:num>
  <w:num w:numId="6">
    <w:abstractNumId w:val="7"/>
  </w:num>
  <w:num w:numId="7">
    <w:abstractNumId w:val="0"/>
  </w:num>
  <w:num w:numId="8">
    <w:abstractNumId w:val="6"/>
  </w:num>
  <w:num w:numId="9">
    <w:abstractNumId w:val="41"/>
  </w:num>
  <w:num w:numId="10">
    <w:abstractNumId w:val="33"/>
  </w:num>
  <w:num w:numId="11">
    <w:abstractNumId w:val="28"/>
  </w:num>
  <w:num w:numId="12">
    <w:abstractNumId w:val="17"/>
  </w:num>
  <w:num w:numId="13">
    <w:abstractNumId w:val="27"/>
  </w:num>
  <w:num w:numId="14">
    <w:abstractNumId w:val="14"/>
  </w:num>
  <w:num w:numId="15">
    <w:abstractNumId w:val="16"/>
  </w:num>
  <w:num w:numId="16">
    <w:abstractNumId w:val="19"/>
  </w:num>
  <w:num w:numId="17">
    <w:abstractNumId w:val="35"/>
  </w:num>
  <w:num w:numId="18">
    <w:abstractNumId w:val="32"/>
  </w:num>
  <w:num w:numId="19">
    <w:abstractNumId w:val="11"/>
  </w:num>
  <w:num w:numId="20">
    <w:abstractNumId w:val="38"/>
  </w:num>
  <w:num w:numId="21">
    <w:abstractNumId w:val="5"/>
  </w:num>
  <w:num w:numId="22">
    <w:abstractNumId w:val="22"/>
  </w:num>
  <w:num w:numId="23">
    <w:abstractNumId w:val="13"/>
  </w:num>
  <w:num w:numId="24">
    <w:abstractNumId w:val="45"/>
  </w:num>
  <w:num w:numId="25">
    <w:abstractNumId w:val="36"/>
  </w:num>
  <w:num w:numId="26">
    <w:abstractNumId w:val="34"/>
  </w:num>
  <w:num w:numId="27">
    <w:abstractNumId w:val="8"/>
  </w:num>
  <w:num w:numId="28">
    <w:abstractNumId w:val="39"/>
  </w:num>
  <w:num w:numId="29">
    <w:abstractNumId w:val="24"/>
  </w:num>
  <w:num w:numId="30">
    <w:abstractNumId w:val="9"/>
  </w:num>
  <w:num w:numId="31">
    <w:abstractNumId w:val="21"/>
  </w:num>
  <w:num w:numId="32">
    <w:abstractNumId w:val="42"/>
  </w:num>
  <w:num w:numId="33">
    <w:abstractNumId w:val="30"/>
  </w:num>
  <w:num w:numId="34">
    <w:abstractNumId w:val="44"/>
  </w:num>
  <w:num w:numId="35">
    <w:abstractNumId w:val="10"/>
  </w:num>
  <w:num w:numId="36">
    <w:abstractNumId w:val="15"/>
  </w:num>
  <w:num w:numId="37">
    <w:abstractNumId w:val="20"/>
  </w:num>
  <w:num w:numId="38">
    <w:abstractNumId w:val="3"/>
  </w:num>
  <w:num w:numId="39">
    <w:abstractNumId w:val="1"/>
  </w:num>
  <w:num w:numId="40">
    <w:abstractNumId w:val="40"/>
  </w:num>
  <w:num w:numId="41">
    <w:abstractNumId w:val="23"/>
  </w:num>
  <w:num w:numId="42">
    <w:abstractNumId w:val="43"/>
  </w:num>
  <w:num w:numId="43">
    <w:abstractNumId w:val="31"/>
  </w:num>
  <w:num w:numId="44">
    <w:abstractNumId w:val="25"/>
  </w:num>
  <w:num w:numId="45">
    <w:abstractNumId w:val="12"/>
  </w:num>
  <w:num w:numId="46">
    <w:abstractNumId w:val="2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5F"/>
    <w:rsid w:val="000019FC"/>
    <w:rsid w:val="00002033"/>
    <w:rsid w:val="0000397A"/>
    <w:rsid w:val="000039B4"/>
    <w:rsid w:val="00003E7B"/>
    <w:rsid w:val="00003FD3"/>
    <w:rsid w:val="00005BF1"/>
    <w:rsid w:val="00005E69"/>
    <w:rsid w:val="000060C8"/>
    <w:rsid w:val="00007300"/>
    <w:rsid w:val="00010653"/>
    <w:rsid w:val="00010735"/>
    <w:rsid w:val="00010CE9"/>
    <w:rsid w:val="00011005"/>
    <w:rsid w:val="000112C2"/>
    <w:rsid w:val="00013432"/>
    <w:rsid w:val="00013804"/>
    <w:rsid w:val="00013AB8"/>
    <w:rsid w:val="00014FD9"/>
    <w:rsid w:val="00015CB1"/>
    <w:rsid w:val="00016246"/>
    <w:rsid w:val="000176E0"/>
    <w:rsid w:val="00020159"/>
    <w:rsid w:val="00021A82"/>
    <w:rsid w:val="00021E6D"/>
    <w:rsid w:val="000238D8"/>
    <w:rsid w:val="00024093"/>
    <w:rsid w:val="00025419"/>
    <w:rsid w:val="0002703E"/>
    <w:rsid w:val="00027A9F"/>
    <w:rsid w:val="00030138"/>
    <w:rsid w:val="00030DBF"/>
    <w:rsid w:val="00031496"/>
    <w:rsid w:val="00031508"/>
    <w:rsid w:val="00032E6C"/>
    <w:rsid w:val="000338CB"/>
    <w:rsid w:val="00033AEE"/>
    <w:rsid w:val="00033FB0"/>
    <w:rsid w:val="00034109"/>
    <w:rsid w:val="00035310"/>
    <w:rsid w:val="00035633"/>
    <w:rsid w:val="00036833"/>
    <w:rsid w:val="00037039"/>
    <w:rsid w:val="000370C9"/>
    <w:rsid w:val="00040695"/>
    <w:rsid w:val="000424C0"/>
    <w:rsid w:val="0004255A"/>
    <w:rsid w:val="00042CD2"/>
    <w:rsid w:val="00043758"/>
    <w:rsid w:val="00044462"/>
    <w:rsid w:val="0004452A"/>
    <w:rsid w:val="00044A6E"/>
    <w:rsid w:val="00044BE3"/>
    <w:rsid w:val="000450DE"/>
    <w:rsid w:val="000450E2"/>
    <w:rsid w:val="00045CA4"/>
    <w:rsid w:val="00046B27"/>
    <w:rsid w:val="00046CAB"/>
    <w:rsid w:val="000472A4"/>
    <w:rsid w:val="0005056C"/>
    <w:rsid w:val="000507BA"/>
    <w:rsid w:val="00050CFE"/>
    <w:rsid w:val="0005166C"/>
    <w:rsid w:val="000538BC"/>
    <w:rsid w:val="00053A67"/>
    <w:rsid w:val="00054FF3"/>
    <w:rsid w:val="000564BB"/>
    <w:rsid w:val="00057035"/>
    <w:rsid w:val="0005746F"/>
    <w:rsid w:val="0006129B"/>
    <w:rsid w:val="00061889"/>
    <w:rsid w:val="000629C7"/>
    <w:rsid w:val="00064DCC"/>
    <w:rsid w:val="00064E3C"/>
    <w:rsid w:val="00066FBF"/>
    <w:rsid w:val="0006745F"/>
    <w:rsid w:val="00067962"/>
    <w:rsid w:val="00070355"/>
    <w:rsid w:val="00070607"/>
    <w:rsid w:val="00071B95"/>
    <w:rsid w:val="00072739"/>
    <w:rsid w:val="000729D5"/>
    <w:rsid w:val="0007326F"/>
    <w:rsid w:val="00074162"/>
    <w:rsid w:val="00075D6E"/>
    <w:rsid w:val="00076479"/>
    <w:rsid w:val="0007688A"/>
    <w:rsid w:val="000777AD"/>
    <w:rsid w:val="00080076"/>
    <w:rsid w:val="00081043"/>
    <w:rsid w:val="0008210D"/>
    <w:rsid w:val="000822DD"/>
    <w:rsid w:val="0008313B"/>
    <w:rsid w:val="00083532"/>
    <w:rsid w:val="00083F59"/>
    <w:rsid w:val="00084F24"/>
    <w:rsid w:val="00085B63"/>
    <w:rsid w:val="00085BEA"/>
    <w:rsid w:val="00085D9D"/>
    <w:rsid w:val="00085DEB"/>
    <w:rsid w:val="00087FAB"/>
    <w:rsid w:val="0009154F"/>
    <w:rsid w:val="000919AB"/>
    <w:rsid w:val="000919B8"/>
    <w:rsid w:val="00091BB0"/>
    <w:rsid w:val="00093897"/>
    <w:rsid w:val="000942FE"/>
    <w:rsid w:val="00095879"/>
    <w:rsid w:val="00095C0E"/>
    <w:rsid w:val="00095F3E"/>
    <w:rsid w:val="00096D1A"/>
    <w:rsid w:val="00097AF7"/>
    <w:rsid w:val="00097EBF"/>
    <w:rsid w:val="000A1D77"/>
    <w:rsid w:val="000A26E4"/>
    <w:rsid w:val="000A5496"/>
    <w:rsid w:val="000A5737"/>
    <w:rsid w:val="000A6046"/>
    <w:rsid w:val="000A660F"/>
    <w:rsid w:val="000B033B"/>
    <w:rsid w:val="000B0CFA"/>
    <w:rsid w:val="000B26FB"/>
    <w:rsid w:val="000B300D"/>
    <w:rsid w:val="000B43E2"/>
    <w:rsid w:val="000B4E01"/>
    <w:rsid w:val="000B54E4"/>
    <w:rsid w:val="000B57CC"/>
    <w:rsid w:val="000B6C8B"/>
    <w:rsid w:val="000B7131"/>
    <w:rsid w:val="000B7EB0"/>
    <w:rsid w:val="000C0FC1"/>
    <w:rsid w:val="000C13B9"/>
    <w:rsid w:val="000C1AE5"/>
    <w:rsid w:val="000C262E"/>
    <w:rsid w:val="000C28AD"/>
    <w:rsid w:val="000C2BE5"/>
    <w:rsid w:val="000C4FDF"/>
    <w:rsid w:val="000C560A"/>
    <w:rsid w:val="000C6FA3"/>
    <w:rsid w:val="000C75CD"/>
    <w:rsid w:val="000C7693"/>
    <w:rsid w:val="000C7BCA"/>
    <w:rsid w:val="000D02C3"/>
    <w:rsid w:val="000D3148"/>
    <w:rsid w:val="000D550D"/>
    <w:rsid w:val="000D63A4"/>
    <w:rsid w:val="000E0DB1"/>
    <w:rsid w:val="000E13E3"/>
    <w:rsid w:val="000E1568"/>
    <w:rsid w:val="000E2718"/>
    <w:rsid w:val="000E2E91"/>
    <w:rsid w:val="000E3E5F"/>
    <w:rsid w:val="000E4B61"/>
    <w:rsid w:val="000E546E"/>
    <w:rsid w:val="000E55E8"/>
    <w:rsid w:val="000E657D"/>
    <w:rsid w:val="000E67C4"/>
    <w:rsid w:val="000E7013"/>
    <w:rsid w:val="000F0AF8"/>
    <w:rsid w:val="000F21D7"/>
    <w:rsid w:val="000F239A"/>
    <w:rsid w:val="000F2534"/>
    <w:rsid w:val="000F25A7"/>
    <w:rsid w:val="000F6463"/>
    <w:rsid w:val="000F671A"/>
    <w:rsid w:val="000F6DAF"/>
    <w:rsid w:val="000F7B8B"/>
    <w:rsid w:val="00100178"/>
    <w:rsid w:val="00103FD0"/>
    <w:rsid w:val="00106E68"/>
    <w:rsid w:val="0010786D"/>
    <w:rsid w:val="0010787A"/>
    <w:rsid w:val="00107E7F"/>
    <w:rsid w:val="00111B1D"/>
    <w:rsid w:val="00111C92"/>
    <w:rsid w:val="001129D2"/>
    <w:rsid w:val="00113BC6"/>
    <w:rsid w:val="00114AB6"/>
    <w:rsid w:val="00115100"/>
    <w:rsid w:val="00115559"/>
    <w:rsid w:val="00115ED8"/>
    <w:rsid w:val="00117D13"/>
    <w:rsid w:val="001206AB"/>
    <w:rsid w:val="001208FB"/>
    <w:rsid w:val="00122090"/>
    <w:rsid w:val="001224FD"/>
    <w:rsid w:val="0012360F"/>
    <w:rsid w:val="001237C6"/>
    <w:rsid w:val="0012438A"/>
    <w:rsid w:val="001246EA"/>
    <w:rsid w:val="00125BE7"/>
    <w:rsid w:val="00125D2F"/>
    <w:rsid w:val="0012646B"/>
    <w:rsid w:val="00126B70"/>
    <w:rsid w:val="001278A3"/>
    <w:rsid w:val="00130A68"/>
    <w:rsid w:val="0013122C"/>
    <w:rsid w:val="001316DF"/>
    <w:rsid w:val="00131A7C"/>
    <w:rsid w:val="00131B1E"/>
    <w:rsid w:val="001325B1"/>
    <w:rsid w:val="00132626"/>
    <w:rsid w:val="0013382A"/>
    <w:rsid w:val="00133AB0"/>
    <w:rsid w:val="00134BD7"/>
    <w:rsid w:val="0014058A"/>
    <w:rsid w:val="00140C56"/>
    <w:rsid w:val="001410F5"/>
    <w:rsid w:val="0014127E"/>
    <w:rsid w:val="001429F9"/>
    <w:rsid w:val="00144303"/>
    <w:rsid w:val="00145022"/>
    <w:rsid w:val="001450C0"/>
    <w:rsid w:val="00146EF1"/>
    <w:rsid w:val="00147118"/>
    <w:rsid w:val="00152057"/>
    <w:rsid w:val="001530BB"/>
    <w:rsid w:val="00153970"/>
    <w:rsid w:val="00153AB8"/>
    <w:rsid w:val="001546A3"/>
    <w:rsid w:val="00154E6C"/>
    <w:rsid w:val="00155347"/>
    <w:rsid w:val="001554C8"/>
    <w:rsid w:val="001555C9"/>
    <w:rsid w:val="0015588E"/>
    <w:rsid w:val="00156EB7"/>
    <w:rsid w:val="00157CA3"/>
    <w:rsid w:val="00163801"/>
    <w:rsid w:val="00164F93"/>
    <w:rsid w:val="001653C7"/>
    <w:rsid w:val="00165D29"/>
    <w:rsid w:val="001666D6"/>
    <w:rsid w:val="00166A2A"/>
    <w:rsid w:val="0016783F"/>
    <w:rsid w:val="001679BD"/>
    <w:rsid w:val="00167B49"/>
    <w:rsid w:val="00170A69"/>
    <w:rsid w:val="001718E9"/>
    <w:rsid w:val="00174256"/>
    <w:rsid w:val="00174417"/>
    <w:rsid w:val="00177B64"/>
    <w:rsid w:val="00180D87"/>
    <w:rsid w:val="00181718"/>
    <w:rsid w:val="00182556"/>
    <w:rsid w:val="00183EAA"/>
    <w:rsid w:val="00184893"/>
    <w:rsid w:val="001856EB"/>
    <w:rsid w:val="00185E19"/>
    <w:rsid w:val="001868E9"/>
    <w:rsid w:val="00186A2B"/>
    <w:rsid w:val="00190E47"/>
    <w:rsid w:val="00190EB2"/>
    <w:rsid w:val="00193AF0"/>
    <w:rsid w:val="001948B7"/>
    <w:rsid w:val="001948CA"/>
    <w:rsid w:val="00195E75"/>
    <w:rsid w:val="00196CEB"/>
    <w:rsid w:val="00197344"/>
    <w:rsid w:val="00197BFB"/>
    <w:rsid w:val="001A0B20"/>
    <w:rsid w:val="001A0CF6"/>
    <w:rsid w:val="001A0D72"/>
    <w:rsid w:val="001A18E7"/>
    <w:rsid w:val="001A1B79"/>
    <w:rsid w:val="001A1BFA"/>
    <w:rsid w:val="001A2CF2"/>
    <w:rsid w:val="001A5ED6"/>
    <w:rsid w:val="001A686B"/>
    <w:rsid w:val="001A725E"/>
    <w:rsid w:val="001A758A"/>
    <w:rsid w:val="001A7685"/>
    <w:rsid w:val="001A76B6"/>
    <w:rsid w:val="001A7B02"/>
    <w:rsid w:val="001B17D1"/>
    <w:rsid w:val="001B1BB0"/>
    <w:rsid w:val="001B2DD3"/>
    <w:rsid w:val="001B3097"/>
    <w:rsid w:val="001B3A40"/>
    <w:rsid w:val="001B3F39"/>
    <w:rsid w:val="001B4791"/>
    <w:rsid w:val="001C06B8"/>
    <w:rsid w:val="001C0C1D"/>
    <w:rsid w:val="001C0FCB"/>
    <w:rsid w:val="001C118F"/>
    <w:rsid w:val="001C2007"/>
    <w:rsid w:val="001C2162"/>
    <w:rsid w:val="001C3F8C"/>
    <w:rsid w:val="001C40C8"/>
    <w:rsid w:val="001C517C"/>
    <w:rsid w:val="001C73FF"/>
    <w:rsid w:val="001C74F6"/>
    <w:rsid w:val="001C7CA1"/>
    <w:rsid w:val="001D059E"/>
    <w:rsid w:val="001D0886"/>
    <w:rsid w:val="001D0E91"/>
    <w:rsid w:val="001D0F53"/>
    <w:rsid w:val="001D1AB8"/>
    <w:rsid w:val="001D1DB4"/>
    <w:rsid w:val="001D2072"/>
    <w:rsid w:val="001D434D"/>
    <w:rsid w:val="001D5A38"/>
    <w:rsid w:val="001D63A6"/>
    <w:rsid w:val="001D6652"/>
    <w:rsid w:val="001D6D5B"/>
    <w:rsid w:val="001E0043"/>
    <w:rsid w:val="001E7F10"/>
    <w:rsid w:val="001F013A"/>
    <w:rsid w:val="001F01CB"/>
    <w:rsid w:val="001F04C1"/>
    <w:rsid w:val="001F25D0"/>
    <w:rsid w:val="001F2B88"/>
    <w:rsid w:val="001F4BD4"/>
    <w:rsid w:val="001F58CA"/>
    <w:rsid w:val="001F6E96"/>
    <w:rsid w:val="001F74C0"/>
    <w:rsid w:val="001F7E02"/>
    <w:rsid w:val="002007E1"/>
    <w:rsid w:val="00202593"/>
    <w:rsid w:val="00203217"/>
    <w:rsid w:val="00204D4A"/>
    <w:rsid w:val="002054D7"/>
    <w:rsid w:val="0020636C"/>
    <w:rsid w:val="00206DC9"/>
    <w:rsid w:val="00207351"/>
    <w:rsid w:val="00213DA9"/>
    <w:rsid w:val="00213E3B"/>
    <w:rsid w:val="00214123"/>
    <w:rsid w:val="002141E8"/>
    <w:rsid w:val="00215664"/>
    <w:rsid w:val="002158B7"/>
    <w:rsid w:val="00215D0A"/>
    <w:rsid w:val="00215DA8"/>
    <w:rsid w:val="00215DC8"/>
    <w:rsid w:val="00216B7F"/>
    <w:rsid w:val="00217964"/>
    <w:rsid w:val="002200A7"/>
    <w:rsid w:val="00221721"/>
    <w:rsid w:val="0022290B"/>
    <w:rsid w:val="00223360"/>
    <w:rsid w:val="00225499"/>
    <w:rsid w:val="0022574E"/>
    <w:rsid w:val="00226777"/>
    <w:rsid w:val="00226E17"/>
    <w:rsid w:val="0023080A"/>
    <w:rsid w:val="002308AC"/>
    <w:rsid w:val="00230A05"/>
    <w:rsid w:val="00231549"/>
    <w:rsid w:val="00232D3D"/>
    <w:rsid w:val="00234B10"/>
    <w:rsid w:val="0023587C"/>
    <w:rsid w:val="00235EAC"/>
    <w:rsid w:val="00237E99"/>
    <w:rsid w:val="002403C7"/>
    <w:rsid w:val="002410A6"/>
    <w:rsid w:val="00242446"/>
    <w:rsid w:val="002425AF"/>
    <w:rsid w:val="00242FE8"/>
    <w:rsid w:val="00243557"/>
    <w:rsid w:val="002446DC"/>
    <w:rsid w:val="002449A8"/>
    <w:rsid w:val="00244EB2"/>
    <w:rsid w:val="0024649E"/>
    <w:rsid w:val="00246DFC"/>
    <w:rsid w:val="00247223"/>
    <w:rsid w:val="002477AB"/>
    <w:rsid w:val="00247AC0"/>
    <w:rsid w:val="00250B97"/>
    <w:rsid w:val="00251AED"/>
    <w:rsid w:val="00252BBE"/>
    <w:rsid w:val="00254458"/>
    <w:rsid w:val="00254AFB"/>
    <w:rsid w:val="0025536C"/>
    <w:rsid w:val="00255620"/>
    <w:rsid w:val="00256823"/>
    <w:rsid w:val="00256AD8"/>
    <w:rsid w:val="00256E7A"/>
    <w:rsid w:val="00257F49"/>
    <w:rsid w:val="00260539"/>
    <w:rsid w:val="0026135E"/>
    <w:rsid w:val="00261383"/>
    <w:rsid w:val="00261C26"/>
    <w:rsid w:val="00262695"/>
    <w:rsid w:val="00263046"/>
    <w:rsid w:val="00263EE7"/>
    <w:rsid w:val="0026484A"/>
    <w:rsid w:val="00264BF1"/>
    <w:rsid w:val="00265274"/>
    <w:rsid w:val="0026645A"/>
    <w:rsid w:val="00266F01"/>
    <w:rsid w:val="00270E1D"/>
    <w:rsid w:val="002715A4"/>
    <w:rsid w:val="00271FD8"/>
    <w:rsid w:val="00272E40"/>
    <w:rsid w:val="00274F17"/>
    <w:rsid w:val="002767EF"/>
    <w:rsid w:val="00277491"/>
    <w:rsid w:val="00281621"/>
    <w:rsid w:val="00281EAB"/>
    <w:rsid w:val="00282FBB"/>
    <w:rsid w:val="002834F9"/>
    <w:rsid w:val="00284679"/>
    <w:rsid w:val="00284EFD"/>
    <w:rsid w:val="00285124"/>
    <w:rsid w:val="0028533E"/>
    <w:rsid w:val="00285A7A"/>
    <w:rsid w:val="002871E9"/>
    <w:rsid w:val="0028794E"/>
    <w:rsid w:val="00287DA6"/>
    <w:rsid w:val="00290C7B"/>
    <w:rsid w:val="002920C2"/>
    <w:rsid w:val="002924A3"/>
    <w:rsid w:val="002929E3"/>
    <w:rsid w:val="00292EB1"/>
    <w:rsid w:val="00296447"/>
    <w:rsid w:val="002A05EF"/>
    <w:rsid w:val="002A0A84"/>
    <w:rsid w:val="002A0CC9"/>
    <w:rsid w:val="002A0F26"/>
    <w:rsid w:val="002A2AC0"/>
    <w:rsid w:val="002A443B"/>
    <w:rsid w:val="002A4658"/>
    <w:rsid w:val="002A475A"/>
    <w:rsid w:val="002A4B9C"/>
    <w:rsid w:val="002A5019"/>
    <w:rsid w:val="002A55D7"/>
    <w:rsid w:val="002A7BAA"/>
    <w:rsid w:val="002B0400"/>
    <w:rsid w:val="002B2638"/>
    <w:rsid w:val="002B34B9"/>
    <w:rsid w:val="002B53DB"/>
    <w:rsid w:val="002B5472"/>
    <w:rsid w:val="002B60E1"/>
    <w:rsid w:val="002C08BA"/>
    <w:rsid w:val="002C108E"/>
    <w:rsid w:val="002C178A"/>
    <w:rsid w:val="002C1D50"/>
    <w:rsid w:val="002C2A24"/>
    <w:rsid w:val="002C30AD"/>
    <w:rsid w:val="002C3512"/>
    <w:rsid w:val="002C4619"/>
    <w:rsid w:val="002C4D4A"/>
    <w:rsid w:val="002C4E04"/>
    <w:rsid w:val="002C5629"/>
    <w:rsid w:val="002C5827"/>
    <w:rsid w:val="002D35A0"/>
    <w:rsid w:val="002D4136"/>
    <w:rsid w:val="002D4326"/>
    <w:rsid w:val="002D4F09"/>
    <w:rsid w:val="002D60C4"/>
    <w:rsid w:val="002E0F35"/>
    <w:rsid w:val="002E2128"/>
    <w:rsid w:val="002E2E49"/>
    <w:rsid w:val="002E4585"/>
    <w:rsid w:val="002E7822"/>
    <w:rsid w:val="002F029D"/>
    <w:rsid w:val="002F140F"/>
    <w:rsid w:val="002F184F"/>
    <w:rsid w:val="002F1AC4"/>
    <w:rsid w:val="002F2394"/>
    <w:rsid w:val="002F280E"/>
    <w:rsid w:val="002F394E"/>
    <w:rsid w:val="002F4B97"/>
    <w:rsid w:val="002F5217"/>
    <w:rsid w:val="002F5748"/>
    <w:rsid w:val="002F5888"/>
    <w:rsid w:val="002F65F6"/>
    <w:rsid w:val="002F770B"/>
    <w:rsid w:val="00302478"/>
    <w:rsid w:val="003035BE"/>
    <w:rsid w:val="00303726"/>
    <w:rsid w:val="00304479"/>
    <w:rsid w:val="003044AF"/>
    <w:rsid w:val="00304D44"/>
    <w:rsid w:val="0030689D"/>
    <w:rsid w:val="00307235"/>
    <w:rsid w:val="0031020D"/>
    <w:rsid w:val="003117AA"/>
    <w:rsid w:val="00312278"/>
    <w:rsid w:val="00312C00"/>
    <w:rsid w:val="003137C0"/>
    <w:rsid w:val="00313B72"/>
    <w:rsid w:val="00313F47"/>
    <w:rsid w:val="003141D4"/>
    <w:rsid w:val="00314FF5"/>
    <w:rsid w:val="00316D0A"/>
    <w:rsid w:val="00316F20"/>
    <w:rsid w:val="003205F1"/>
    <w:rsid w:val="00323241"/>
    <w:rsid w:val="00323792"/>
    <w:rsid w:val="003239E0"/>
    <w:rsid w:val="00323ECA"/>
    <w:rsid w:val="003242F3"/>
    <w:rsid w:val="00324925"/>
    <w:rsid w:val="00324FB8"/>
    <w:rsid w:val="003255B7"/>
    <w:rsid w:val="003255FF"/>
    <w:rsid w:val="00325744"/>
    <w:rsid w:val="00326BFB"/>
    <w:rsid w:val="003275C3"/>
    <w:rsid w:val="003277F5"/>
    <w:rsid w:val="0033026C"/>
    <w:rsid w:val="00330E6B"/>
    <w:rsid w:val="00331151"/>
    <w:rsid w:val="00331684"/>
    <w:rsid w:val="00332EB3"/>
    <w:rsid w:val="00332ECF"/>
    <w:rsid w:val="00333233"/>
    <w:rsid w:val="003336BF"/>
    <w:rsid w:val="003339E4"/>
    <w:rsid w:val="00333E1C"/>
    <w:rsid w:val="00334A28"/>
    <w:rsid w:val="00336DB0"/>
    <w:rsid w:val="00337253"/>
    <w:rsid w:val="00342781"/>
    <w:rsid w:val="003439A7"/>
    <w:rsid w:val="00343A03"/>
    <w:rsid w:val="003440D2"/>
    <w:rsid w:val="003463E9"/>
    <w:rsid w:val="00346585"/>
    <w:rsid w:val="00346656"/>
    <w:rsid w:val="0034702B"/>
    <w:rsid w:val="00347670"/>
    <w:rsid w:val="003477D2"/>
    <w:rsid w:val="00350D29"/>
    <w:rsid w:val="00350FB7"/>
    <w:rsid w:val="00354883"/>
    <w:rsid w:val="00355604"/>
    <w:rsid w:val="003564EC"/>
    <w:rsid w:val="00356B9C"/>
    <w:rsid w:val="00356C0B"/>
    <w:rsid w:val="00357240"/>
    <w:rsid w:val="00360E8A"/>
    <w:rsid w:val="00362251"/>
    <w:rsid w:val="0036405A"/>
    <w:rsid w:val="00364F25"/>
    <w:rsid w:val="00365051"/>
    <w:rsid w:val="0036549C"/>
    <w:rsid w:val="00365D18"/>
    <w:rsid w:val="003701F7"/>
    <w:rsid w:val="0037107F"/>
    <w:rsid w:val="003720D8"/>
    <w:rsid w:val="00372AF8"/>
    <w:rsid w:val="0037366F"/>
    <w:rsid w:val="00373D81"/>
    <w:rsid w:val="003745BF"/>
    <w:rsid w:val="00374CA4"/>
    <w:rsid w:val="003751AC"/>
    <w:rsid w:val="00375F5E"/>
    <w:rsid w:val="003763BD"/>
    <w:rsid w:val="00376E38"/>
    <w:rsid w:val="00377995"/>
    <w:rsid w:val="00380FE5"/>
    <w:rsid w:val="003816C3"/>
    <w:rsid w:val="003827EA"/>
    <w:rsid w:val="0038280B"/>
    <w:rsid w:val="00382D56"/>
    <w:rsid w:val="00383020"/>
    <w:rsid w:val="00383216"/>
    <w:rsid w:val="00383468"/>
    <w:rsid w:val="003834DC"/>
    <w:rsid w:val="003841DF"/>
    <w:rsid w:val="00384CE1"/>
    <w:rsid w:val="00385426"/>
    <w:rsid w:val="003860A4"/>
    <w:rsid w:val="003873CC"/>
    <w:rsid w:val="00390E3C"/>
    <w:rsid w:val="00391699"/>
    <w:rsid w:val="00394987"/>
    <w:rsid w:val="00394CDA"/>
    <w:rsid w:val="00395F57"/>
    <w:rsid w:val="00395F5E"/>
    <w:rsid w:val="00395F62"/>
    <w:rsid w:val="00396BDB"/>
    <w:rsid w:val="00396BF1"/>
    <w:rsid w:val="003A0150"/>
    <w:rsid w:val="003A167C"/>
    <w:rsid w:val="003A1FD5"/>
    <w:rsid w:val="003A4338"/>
    <w:rsid w:val="003A4AE7"/>
    <w:rsid w:val="003A4D30"/>
    <w:rsid w:val="003A4E9C"/>
    <w:rsid w:val="003A6A1B"/>
    <w:rsid w:val="003A6E8F"/>
    <w:rsid w:val="003B0E89"/>
    <w:rsid w:val="003B13E6"/>
    <w:rsid w:val="003B145F"/>
    <w:rsid w:val="003B261D"/>
    <w:rsid w:val="003B390F"/>
    <w:rsid w:val="003B59D3"/>
    <w:rsid w:val="003B6C51"/>
    <w:rsid w:val="003C035D"/>
    <w:rsid w:val="003C036F"/>
    <w:rsid w:val="003C0E2A"/>
    <w:rsid w:val="003C0F59"/>
    <w:rsid w:val="003C2EE0"/>
    <w:rsid w:val="003C3E74"/>
    <w:rsid w:val="003C4798"/>
    <w:rsid w:val="003C682B"/>
    <w:rsid w:val="003C7078"/>
    <w:rsid w:val="003D0763"/>
    <w:rsid w:val="003D092C"/>
    <w:rsid w:val="003D18D6"/>
    <w:rsid w:val="003D35F0"/>
    <w:rsid w:val="003D3B38"/>
    <w:rsid w:val="003D45A2"/>
    <w:rsid w:val="003D4658"/>
    <w:rsid w:val="003D4951"/>
    <w:rsid w:val="003D5336"/>
    <w:rsid w:val="003D63B9"/>
    <w:rsid w:val="003D697F"/>
    <w:rsid w:val="003D6CCE"/>
    <w:rsid w:val="003E06E3"/>
    <w:rsid w:val="003E1B9D"/>
    <w:rsid w:val="003E2368"/>
    <w:rsid w:val="003E2828"/>
    <w:rsid w:val="003E304E"/>
    <w:rsid w:val="003E3217"/>
    <w:rsid w:val="003E3279"/>
    <w:rsid w:val="003E35EF"/>
    <w:rsid w:val="003E4A82"/>
    <w:rsid w:val="003E6B7D"/>
    <w:rsid w:val="003F0733"/>
    <w:rsid w:val="003F0C4E"/>
    <w:rsid w:val="003F0E61"/>
    <w:rsid w:val="003F1F09"/>
    <w:rsid w:val="003F207F"/>
    <w:rsid w:val="003F230C"/>
    <w:rsid w:val="003F2351"/>
    <w:rsid w:val="003F2F7E"/>
    <w:rsid w:val="003F4EBB"/>
    <w:rsid w:val="003F60D9"/>
    <w:rsid w:val="003F71ED"/>
    <w:rsid w:val="003F78BA"/>
    <w:rsid w:val="003F7C52"/>
    <w:rsid w:val="003F7C74"/>
    <w:rsid w:val="0040057E"/>
    <w:rsid w:val="00402693"/>
    <w:rsid w:val="0040275B"/>
    <w:rsid w:val="00402E3A"/>
    <w:rsid w:val="0040334D"/>
    <w:rsid w:val="00403C58"/>
    <w:rsid w:val="00404223"/>
    <w:rsid w:val="00404F8B"/>
    <w:rsid w:val="004055F1"/>
    <w:rsid w:val="00405749"/>
    <w:rsid w:val="00406F09"/>
    <w:rsid w:val="00407CF3"/>
    <w:rsid w:val="004119DD"/>
    <w:rsid w:val="00413045"/>
    <w:rsid w:val="00415973"/>
    <w:rsid w:val="00416EBF"/>
    <w:rsid w:val="004176C0"/>
    <w:rsid w:val="00420207"/>
    <w:rsid w:val="00422E4C"/>
    <w:rsid w:val="00423953"/>
    <w:rsid w:val="00424441"/>
    <w:rsid w:val="00424896"/>
    <w:rsid w:val="00424ECB"/>
    <w:rsid w:val="00424F59"/>
    <w:rsid w:val="004253DE"/>
    <w:rsid w:val="0042641A"/>
    <w:rsid w:val="00426D40"/>
    <w:rsid w:val="00426F37"/>
    <w:rsid w:val="004275AB"/>
    <w:rsid w:val="004279C9"/>
    <w:rsid w:val="00427AB2"/>
    <w:rsid w:val="0043096D"/>
    <w:rsid w:val="00431705"/>
    <w:rsid w:val="0043294F"/>
    <w:rsid w:val="00432A46"/>
    <w:rsid w:val="004331E2"/>
    <w:rsid w:val="004345BE"/>
    <w:rsid w:val="00434F04"/>
    <w:rsid w:val="004350C9"/>
    <w:rsid w:val="00436EA0"/>
    <w:rsid w:val="004372C1"/>
    <w:rsid w:val="00437B1E"/>
    <w:rsid w:val="00437EEA"/>
    <w:rsid w:val="004400FC"/>
    <w:rsid w:val="00442456"/>
    <w:rsid w:val="00442DB8"/>
    <w:rsid w:val="00443677"/>
    <w:rsid w:val="00445F4A"/>
    <w:rsid w:val="004470F8"/>
    <w:rsid w:val="00447731"/>
    <w:rsid w:val="0044791D"/>
    <w:rsid w:val="00447ECA"/>
    <w:rsid w:val="004500C2"/>
    <w:rsid w:val="004503AB"/>
    <w:rsid w:val="00452E78"/>
    <w:rsid w:val="00453F9A"/>
    <w:rsid w:val="00455CCF"/>
    <w:rsid w:val="00456A2F"/>
    <w:rsid w:val="00456D31"/>
    <w:rsid w:val="004602BE"/>
    <w:rsid w:val="004625DF"/>
    <w:rsid w:val="004640C3"/>
    <w:rsid w:val="00464639"/>
    <w:rsid w:val="00464C36"/>
    <w:rsid w:val="004655AF"/>
    <w:rsid w:val="00465C95"/>
    <w:rsid w:val="00466758"/>
    <w:rsid w:val="00467BBB"/>
    <w:rsid w:val="0047023F"/>
    <w:rsid w:val="00473F70"/>
    <w:rsid w:val="004742AF"/>
    <w:rsid w:val="004744A4"/>
    <w:rsid w:val="0047458F"/>
    <w:rsid w:val="00474F9B"/>
    <w:rsid w:val="00475AD6"/>
    <w:rsid w:val="00476F27"/>
    <w:rsid w:val="0047721F"/>
    <w:rsid w:val="00477418"/>
    <w:rsid w:val="004800BC"/>
    <w:rsid w:val="0048136A"/>
    <w:rsid w:val="004819E5"/>
    <w:rsid w:val="00483C9D"/>
    <w:rsid w:val="004840F3"/>
    <w:rsid w:val="00484BCA"/>
    <w:rsid w:val="00484CEC"/>
    <w:rsid w:val="00485E99"/>
    <w:rsid w:val="00486074"/>
    <w:rsid w:val="0048707B"/>
    <w:rsid w:val="004873DE"/>
    <w:rsid w:val="00490477"/>
    <w:rsid w:val="00490675"/>
    <w:rsid w:val="004908A4"/>
    <w:rsid w:val="0049095F"/>
    <w:rsid w:val="00493255"/>
    <w:rsid w:val="004933D9"/>
    <w:rsid w:val="004936A2"/>
    <w:rsid w:val="0049597E"/>
    <w:rsid w:val="00496279"/>
    <w:rsid w:val="004976AE"/>
    <w:rsid w:val="004A0672"/>
    <w:rsid w:val="004A13AB"/>
    <w:rsid w:val="004A1787"/>
    <w:rsid w:val="004A4D74"/>
    <w:rsid w:val="004A5305"/>
    <w:rsid w:val="004A5BFF"/>
    <w:rsid w:val="004A7858"/>
    <w:rsid w:val="004B069D"/>
    <w:rsid w:val="004B0A78"/>
    <w:rsid w:val="004B186C"/>
    <w:rsid w:val="004B2446"/>
    <w:rsid w:val="004B293F"/>
    <w:rsid w:val="004B3215"/>
    <w:rsid w:val="004B33EE"/>
    <w:rsid w:val="004B3B1B"/>
    <w:rsid w:val="004B3C4D"/>
    <w:rsid w:val="004B474F"/>
    <w:rsid w:val="004B492A"/>
    <w:rsid w:val="004B4B53"/>
    <w:rsid w:val="004B55A1"/>
    <w:rsid w:val="004B5E19"/>
    <w:rsid w:val="004B677A"/>
    <w:rsid w:val="004B731F"/>
    <w:rsid w:val="004B7C26"/>
    <w:rsid w:val="004C105C"/>
    <w:rsid w:val="004C1B85"/>
    <w:rsid w:val="004C3D72"/>
    <w:rsid w:val="004C4D2F"/>
    <w:rsid w:val="004C540B"/>
    <w:rsid w:val="004C5FD4"/>
    <w:rsid w:val="004C7541"/>
    <w:rsid w:val="004C7C37"/>
    <w:rsid w:val="004D0E74"/>
    <w:rsid w:val="004D10CF"/>
    <w:rsid w:val="004D244E"/>
    <w:rsid w:val="004D3040"/>
    <w:rsid w:val="004D3327"/>
    <w:rsid w:val="004D3BEE"/>
    <w:rsid w:val="004D3CC0"/>
    <w:rsid w:val="004D41F2"/>
    <w:rsid w:val="004D4830"/>
    <w:rsid w:val="004D4B36"/>
    <w:rsid w:val="004D51B2"/>
    <w:rsid w:val="004D611B"/>
    <w:rsid w:val="004D756F"/>
    <w:rsid w:val="004E138C"/>
    <w:rsid w:val="004E30FE"/>
    <w:rsid w:val="004E3384"/>
    <w:rsid w:val="004E41C8"/>
    <w:rsid w:val="004E4362"/>
    <w:rsid w:val="004E4A5F"/>
    <w:rsid w:val="004E4B9A"/>
    <w:rsid w:val="004E4C40"/>
    <w:rsid w:val="004E56DD"/>
    <w:rsid w:val="004E72A9"/>
    <w:rsid w:val="004E73D9"/>
    <w:rsid w:val="004F0F57"/>
    <w:rsid w:val="004F15E9"/>
    <w:rsid w:val="004F1ACD"/>
    <w:rsid w:val="004F2121"/>
    <w:rsid w:val="004F298B"/>
    <w:rsid w:val="004F3C6E"/>
    <w:rsid w:val="004F3DA0"/>
    <w:rsid w:val="004F4533"/>
    <w:rsid w:val="004F576C"/>
    <w:rsid w:val="004F709D"/>
    <w:rsid w:val="004F7126"/>
    <w:rsid w:val="00500852"/>
    <w:rsid w:val="0050229E"/>
    <w:rsid w:val="00502862"/>
    <w:rsid w:val="00502F78"/>
    <w:rsid w:val="005130E5"/>
    <w:rsid w:val="005149EA"/>
    <w:rsid w:val="0051583F"/>
    <w:rsid w:val="005163D2"/>
    <w:rsid w:val="00516D5B"/>
    <w:rsid w:val="00517348"/>
    <w:rsid w:val="00517FEA"/>
    <w:rsid w:val="00520EFB"/>
    <w:rsid w:val="005219A6"/>
    <w:rsid w:val="00522CD2"/>
    <w:rsid w:val="005231E9"/>
    <w:rsid w:val="00525682"/>
    <w:rsid w:val="00525C0D"/>
    <w:rsid w:val="0052794D"/>
    <w:rsid w:val="00530E9E"/>
    <w:rsid w:val="00530FD8"/>
    <w:rsid w:val="005315DA"/>
    <w:rsid w:val="005315ED"/>
    <w:rsid w:val="00532ED2"/>
    <w:rsid w:val="00533163"/>
    <w:rsid w:val="00533692"/>
    <w:rsid w:val="00535CFA"/>
    <w:rsid w:val="00535DA7"/>
    <w:rsid w:val="005362A1"/>
    <w:rsid w:val="00536E2F"/>
    <w:rsid w:val="00536F35"/>
    <w:rsid w:val="0054020B"/>
    <w:rsid w:val="005426C7"/>
    <w:rsid w:val="005429A5"/>
    <w:rsid w:val="00543002"/>
    <w:rsid w:val="00546E56"/>
    <w:rsid w:val="00546EF9"/>
    <w:rsid w:val="00547463"/>
    <w:rsid w:val="0054757F"/>
    <w:rsid w:val="00551420"/>
    <w:rsid w:val="00552854"/>
    <w:rsid w:val="00554FED"/>
    <w:rsid w:val="005553ED"/>
    <w:rsid w:val="005559CE"/>
    <w:rsid w:val="00555A2F"/>
    <w:rsid w:val="005601D0"/>
    <w:rsid w:val="005603C2"/>
    <w:rsid w:val="00561276"/>
    <w:rsid w:val="00561854"/>
    <w:rsid w:val="00562371"/>
    <w:rsid w:val="0056287C"/>
    <w:rsid w:val="0056409B"/>
    <w:rsid w:val="0056515B"/>
    <w:rsid w:val="00565E6D"/>
    <w:rsid w:val="00566412"/>
    <w:rsid w:val="005667EF"/>
    <w:rsid w:val="00570A69"/>
    <w:rsid w:val="00571227"/>
    <w:rsid w:val="005714C8"/>
    <w:rsid w:val="00571AC9"/>
    <w:rsid w:val="00573270"/>
    <w:rsid w:val="00573C45"/>
    <w:rsid w:val="00573F38"/>
    <w:rsid w:val="005747D2"/>
    <w:rsid w:val="005759B3"/>
    <w:rsid w:val="00575BB4"/>
    <w:rsid w:val="00576CB0"/>
    <w:rsid w:val="00576E06"/>
    <w:rsid w:val="00576FCE"/>
    <w:rsid w:val="00577992"/>
    <w:rsid w:val="00577E62"/>
    <w:rsid w:val="0058027F"/>
    <w:rsid w:val="005802DE"/>
    <w:rsid w:val="0058066B"/>
    <w:rsid w:val="00581A22"/>
    <w:rsid w:val="005821B3"/>
    <w:rsid w:val="00582D27"/>
    <w:rsid w:val="00583801"/>
    <w:rsid w:val="00583E20"/>
    <w:rsid w:val="00584ABF"/>
    <w:rsid w:val="005855AD"/>
    <w:rsid w:val="005871C4"/>
    <w:rsid w:val="00587513"/>
    <w:rsid w:val="00590A6B"/>
    <w:rsid w:val="0059419A"/>
    <w:rsid w:val="00594FE7"/>
    <w:rsid w:val="0059541F"/>
    <w:rsid w:val="005A03E8"/>
    <w:rsid w:val="005A07DC"/>
    <w:rsid w:val="005A1D20"/>
    <w:rsid w:val="005A1D82"/>
    <w:rsid w:val="005A1DD0"/>
    <w:rsid w:val="005A1DED"/>
    <w:rsid w:val="005A37BA"/>
    <w:rsid w:val="005A3A45"/>
    <w:rsid w:val="005A5E88"/>
    <w:rsid w:val="005A71E2"/>
    <w:rsid w:val="005B1961"/>
    <w:rsid w:val="005B1B5B"/>
    <w:rsid w:val="005B1FBA"/>
    <w:rsid w:val="005B2528"/>
    <w:rsid w:val="005B2784"/>
    <w:rsid w:val="005B2C15"/>
    <w:rsid w:val="005B3CD6"/>
    <w:rsid w:val="005B566B"/>
    <w:rsid w:val="005B61CC"/>
    <w:rsid w:val="005B6E8B"/>
    <w:rsid w:val="005B717E"/>
    <w:rsid w:val="005C01EB"/>
    <w:rsid w:val="005C0DF3"/>
    <w:rsid w:val="005C1B48"/>
    <w:rsid w:val="005C43A3"/>
    <w:rsid w:val="005C58BC"/>
    <w:rsid w:val="005C7115"/>
    <w:rsid w:val="005C712C"/>
    <w:rsid w:val="005C77CD"/>
    <w:rsid w:val="005C7E87"/>
    <w:rsid w:val="005D188D"/>
    <w:rsid w:val="005D2433"/>
    <w:rsid w:val="005D4175"/>
    <w:rsid w:val="005D4DD0"/>
    <w:rsid w:val="005D520A"/>
    <w:rsid w:val="005E02DA"/>
    <w:rsid w:val="005E0993"/>
    <w:rsid w:val="005E0F5D"/>
    <w:rsid w:val="005E106A"/>
    <w:rsid w:val="005E14C6"/>
    <w:rsid w:val="005E1F70"/>
    <w:rsid w:val="005E24A5"/>
    <w:rsid w:val="005E2F56"/>
    <w:rsid w:val="005E4081"/>
    <w:rsid w:val="005E419C"/>
    <w:rsid w:val="005E4676"/>
    <w:rsid w:val="005E4E53"/>
    <w:rsid w:val="005E5390"/>
    <w:rsid w:val="005E53E8"/>
    <w:rsid w:val="005E64CB"/>
    <w:rsid w:val="005F0DD6"/>
    <w:rsid w:val="005F18FC"/>
    <w:rsid w:val="005F2577"/>
    <w:rsid w:val="005F25DC"/>
    <w:rsid w:val="005F60E5"/>
    <w:rsid w:val="005F70D3"/>
    <w:rsid w:val="00600346"/>
    <w:rsid w:val="00600B33"/>
    <w:rsid w:val="00601556"/>
    <w:rsid w:val="00601E86"/>
    <w:rsid w:val="00603260"/>
    <w:rsid w:val="00604FF1"/>
    <w:rsid w:val="00605287"/>
    <w:rsid w:val="0060557B"/>
    <w:rsid w:val="00605C52"/>
    <w:rsid w:val="00606191"/>
    <w:rsid w:val="00606AA4"/>
    <w:rsid w:val="006070E4"/>
    <w:rsid w:val="006127BE"/>
    <w:rsid w:val="00612DD6"/>
    <w:rsid w:val="00613B5D"/>
    <w:rsid w:val="00615E1B"/>
    <w:rsid w:val="006167AA"/>
    <w:rsid w:val="00616F69"/>
    <w:rsid w:val="006173E4"/>
    <w:rsid w:val="00617AB0"/>
    <w:rsid w:val="006200E9"/>
    <w:rsid w:val="0062044F"/>
    <w:rsid w:val="00621B9A"/>
    <w:rsid w:val="00622AA1"/>
    <w:rsid w:val="00622C15"/>
    <w:rsid w:val="006245FF"/>
    <w:rsid w:val="00626B7D"/>
    <w:rsid w:val="006272EC"/>
    <w:rsid w:val="006300A9"/>
    <w:rsid w:val="006303E8"/>
    <w:rsid w:val="006304EA"/>
    <w:rsid w:val="006305AF"/>
    <w:rsid w:val="00630706"/>
    <w:rsid w:val="00633044"/>
    <w:rsid w:val="006332AC"/>
    <w:rsid w:val="006353E9"/>
    <w:rsid w:val="00635617"/>
    <w:rsid w:val="006370A1"/>
    <w:rsid w:val="006374DA"/>
    <w:rsid w:val="00637617"/>
    <w:rsid w:val="006411BE"/>
    <w:rsid w:val="00642F2C"/>
    <w:rsid w:val="00644B0A"/>
    <w:rsid w:val="00644B4A"/>
    <w:rsid w:val="006456B1"/>
    <w:rsid w:val="00646557"/>
    <w:rsid w:val="00646BE6"/>
    <w:rsid w:val="00650B38"/>
    <w:rsid w:val="00650BFB"/>
    <w:rsid w:val="00651246"/>
    <w:rsid w:val="00652280"/>
    <w:rsid w:val="0065258E"/>
    <w:rsid w:val="00653202"/>
    <w:rsid w:val="00654104"/>
    <w:rsid w:val="00654463"/>
    <w:rsid w:val="00654602"/>
    <w:rsid w:val="00655982"/>
    <w:rsid w:val="00656C03"/>
    <w:rsid w:val="00657253"/>
    <w:rsid w:val="0065735D"/>
    <w:rsid w:val="00661B29"/>
    <w:rsid w:val="00661E2E"/>
    <w:rsid w:val="00662709"/>
    <w:rsid w:val="0066302B"/>
    <w:rsid w:val="00663DF4"/>
    <w:rsid w:val="00663F00"/>
    <w:rsid w:val="006652B5"/>
    <w:rsid w:val="00665C41"/>
    <w:rsid w:val="00666616"/>
    <w:rsid w:val="00667A05"/>
    <w:rsid w:val="00667CA4"/>
    <w:rsid w:val="00667E63"/>
    <w:rsid w:val="00670167"/>
    <w:rsid w:val="00670176"/>
    <w:rsid w:val="00670A80"/>
    <w:rsid w:val="006736F1"/>
    <w:rsid w:val="00674361"/>
    <w:rsid w:val="006745AA"/>
    <w:rsid w:val="00674A7F"/>
    <w:rsid w:val="00674D6C"/>
    <w:rsid w:val="00675180"/>
    <w:rsid w:val="006751DA"/>
    <w:rsid w:val="00675339"/>
    <w:rsid w:val="00675C67"/>
    <w:rsid w:val="00676EF8"/>
    <w:rsid w:val="006774F1"/>
    <w:rsid w:val="00677AEF"/>
    <w:rsid w:val="00684314"/>
    <w:rsid w:val="00684498"/>
    <w:rsid w:val="00684A62"/>
    <w:rsid w:val="006858F2"/>
    <w:rsid w:val="0068712F"/>
    <w:rsid w:val="00690C84"/>
    <w:rsid w:val="00691DA9"/>
    <w:rsid w:val="006925E2"/>
    <w:rsid w:val="00695137"/>
    <w:rsid w:val="006958C2"/>
    <w:rsid w:val="00696617"/>
    <w:rsid w:val="0069664B"/>
    <w:rsid w:val="00696B1D"/>
    <w:rsid w:val="00696D40"/>
    <w:rsid w:val="00697774"/>
    <w:rsid w:val="006A01E2"/>
    <w:rsid w:val="006A1135"/>
    <w:rsid w:val="006A1E9D"/>
    <w:rsid w:val="006A2330"/>
    <w:rsid w:val="006A2FA2"/>
    <w:rsid w:val="006A3C7A"/>
    <w:rsid w:val="006A446A"/>
    <w:rsid w:val="006A49EA"/>
    <w:rsid w:val="006A49EC"/>
    <w:rsid w:val="006A5DC7"/>
    <w:rsid w:val="006A6536"/>
    <w:rsid w:val="006A69F8"/>
    <w:rsid w:val="006A7084"/>
    <w:rsid w:val="006A7BF0"/>
    <w:rsid w:val="006B00CF"/>
    <w:rsid w:val="006B08E2"/>
    <w:rsid w:val="006B0B23"/>
    <w:rsid w:val="006B0E1F"/>
    <w:rsid w:val="006B1FB7"/>
    <w:rsid w:val="006B2013"/>
    <w:rsid w:val="006B22A2"/>
    <w:rsid w:val="006B30A9"/>
    <w:rsid w:val="006B3CBD"/>
    <w:rsid w:val="006B3D26"/>
    <w:rsid w:val="006B4096"/>
    <w:rsid w:val="006B6414"/>
    <w:rsid w:val="006B6936"/>
    <w:rsid w:val="006B6A58"/>
    <w:rsid w:val="006B6FCB"/>
    <w:rsid w:val="006B7E36"/>
    <w:rsid w:val="006C159B"/>
    <w:rsid w:val="006C18FA"/>
    <w:rsid w:val="006C2611"/>
    <w:rsid w:val="006C2F9E"/>
    <w:rsid w:val="006C4AE6"/>
    <w:rsid w:val="006C4F25"/>
    <w:rsid w:val="006C5549"/>
    <w:rsid w:val="006C5A99"/>
    <w:rsid w:val="006C75DA"/>
    <w:rsid w:val="006D156E"/>
    <w:rsid w:val="006D3173"/>
    <w:rsid w:val="006D35CE"/>
    <w:rsid w:val="006D3CDC"/>
    <w:rsid w:val="006D6258"/>
    <w:rsid w:val="006D6F94"/>
    <w:rsid w:val="006D7A14"/>
    <w:rsid w:val="006E07E5"/>
    <w:rsid w:val="006E0973"/>
    <w:rsid w:val="006E1043"/>
    <w:rsid w:val="006E198E"/>
    <w:rsid w:val="006E485D"/>
    <w:rsid w:val="006E52EB"/>
    <w:rsid w:val="006E56B8"/>
    <w:rsid w:val="006E597D"/>
    <w:rsid w:val="006E5EC5"/>
    <w:rsid w:val="006F00FB"/>
    <w:rsid w:val="006F094D"/>
    <w:rsid w:val="006F1214"/>
    <w:rsid w:val="006F1364"/>
    <w:rsid w:val="006F295C"/>
    <w:rsid w:val="006F37A7"/>
    <w:rsid w:val="006F3C02"/>
    <w:rsid w:val="006F3C90"/>
    <w:rsid w:val="006F3DAE"/>
    <w:rsid w:val="006F4F6C"/>
    <w:rsid w:val="006F4FE2"/>
    <w:rsid w:val="006F5A3D"/>
    <w:rsid w:val="006F5AF8"/>
    <w:rsid w:val="006F618C"/>
    <w:rsid w:val="006F6BBF"/>
    <w:rsid w:val="006F6EA5"/>
    <w:rsid w:val="006F779C"/>
    <w:rsid w:val="0070064E"/>
    <w:rsid w:val="007020DE"/>
    <w:rsid w:val="00703149"/>
    <w:rsid w:val="007054CD"/>
    <w:rsid w:val="007057DD"/>
    <w:rsid w:val="0070603A"/>
    <w:rsid w:val="00707233"/>
    <w:rsid w:val="00707A0B"/>
    <w:rsid w:val="007100E3"/>
    <w:rsid w:val="00710504"/>
    <w:rsid w:val="00710E4E"/>
    <w:rsid w:val="00711131"/>
    <w:rsid w:val="007127A0"/>
    <w:rsid w:val="0071283E"/>
    <w:rsid w:val="00714951"/>
    <w:rsid w:val="00714BE0"/>
    <w:rsid w:val="007154F6"/>
    <w:rsid w:val="00715ECD"/>
    <w:rsid w:val="007178C5"/>
    <w:rsid w:val="007207B8"/>
    <w:rsid w:val="00720822"/>
    <w:rsid w:val="00720F56"/>
    <w:rsid w:val="00721F7A"/>
    <w:rsid w:val="00723845"/>
    <w:rsid w:val="0072666A"/>
    <w:rsid w:val="00726F13"/>
    <w:rsid w:val="007300EF"/>
    <w:rsid w:val="0073200D"/>
    <w:rsid w:val="00732E59"/>
    <w:rsid w:val="00733A04"/>
    <w:rsid w:val="00733A42"/>
    <w:rsid w:val="00733FC3"/>
    <w:rsid w:val="00734ADF"/>
    <w:rsid w:val="00734D5B"/>
    <w:rsid w:val="00734F1F"/>
    <w:rsid w:val="00736535"/>
    <w:rsid w:val="00736600"/>
    <w:rsid w:val="00740257"/>
    <w:rsid w:val="007413C8"/>
    <w:rsid w:val="00741497"/>
    <w:rsid w:val="00742D3F"/>
    <w:rsid w:val="007432D8"/>
    <w:rsid w:val="00743D2A"/>
    <w:rsid w:val="00744238"/>
    <w:rsid w:val="00744A97"/>
    <w:rsid w:val="007455C2"/>
    <w:rsid w:val="00745C94"/>
    <w:rsid w:val="007460DD"/>
    <w:rsid w:val="00746225"/>
    <w:rsid w:val="00747466"/>
    <w:rsid w:val="00750D75"/>
    <w:rsid w:val="0075260C"/>
    <w:rsid w:val="0075322F"/>
    <w:rsid w:val="007539C2"/>
    <w:rsid w:val="0075449F"/>
    <w:rsid w:val="00754904"/>
    <w:rsid w:val="00754E07"/>
    <w:rsid w:val="007563FC"/>
    <w:rsid w:val="007579BC"/>
    <w:rsid w:val="007603F1"/>
    <w:rsid w:val="007610B7"/>
    <w:rsid w:val="00762910"/>
    <w:rsid w:val="00763165"/>
    <w:rsid w:val="00764207"/>
    <w:rsid w:val="0076530C"/>
    <w:rsid w:val="0076553A"/>
    <w:rsid w:val="0076655A"/>
    <w:rsid w:val="007669FA"/>
    <w:rsid w:val="0077137F"/>
    <w:rsid w:val="00772615"/>
    <w:rsid w:val="007730EB"/>
    <w:rsid w:val="007749EF"/>
    <w:rsid w:val="00774BEE"/>
    <w:rsid w:val="007773BE"/>
    <w:rsid w:val="00777D0C"/>
    <w:rsid w:val="00780CBA"/>
    <w:rsid w:val="00780FEE"/>
    <w:rsid w:val="0078343A"/>
    <w:rsid w:val="00784CDE"/>
    <w:rsid w:val="00786393"/>
    <w:rsid w:val="007872DA"/>
    <w:rsid w:val="007910B9"/>
    <w:rsid w:val="00791ECB"/>
    <w:rsid w:val="00792A1C"/>
    <w:rsid w:val="007939B4"/>
    <w:rsid w:val="00793C90"/>
    <w:rsid w:val="00793F80"/>
    <w:rsid w:val="0079495A"/>
    <w:rsid w:val="00794F36"/>
    <w:rsid w:val="0079628B"/>
    <w:rsid w:val="0079628C"/>
    <w:rsid w:val="00796358"/>
    <w:rsid w:val="00796717"/>
    <w:rsid w:val="00796BDD"/>
    <w:rsid w:val="007979E7"/>
    <w:rsid w:val="007A1AEF"/>
    <w:rsid w:val="007A3132"/>
    <w:rsid w:val="007A50CC"/>
    <w:rsid w:val="007A5DDC"/>
    <w:rsid w:val="007A68F3"/>
    <w:rsid w:val="007A7FCA"/>
    <w:rsid w:val="007B0118"/>
    <w:rsid w:val="007B17AC"/>
    <w:rsid w:val="007B1818"/>
    <w:rsid w:val="007B210B"/>
    <w:rsid w:val="007B2F24"/>
    <w:rsid w:val="007B32EE"/>
    <w:rsid w:val="007B4380"/>
    <w:rsid w:val="007B45FB"/>
    <w:rsid w:val="007B4F77"/>
    <w:rsid w:val="007B552E"/>
    <w:rsid w:val="007B5F78"/>
    <w:rsid w:val="007B6B3E"/>
    <w:rsid w:val="007B7071"/>
    <w:rsid w:val="007B72DC"/>
    <w:rsid w:val="007B7AE2"/>
    <w:rsid w:val="007C0291"/>
    <w:rsid w:val="007C0D5E"/>
    <w:rsid w:val="007C18E9"/>
    <w:rsid w:val="007C27F1"/>
    <w:rsid w:val="007C300F"/>
    <w:rsid w:val="007C35C7"/>
    <w:rsid w:val="007C3C70"/>
    <w:rsid w:val="007C48F3"/>
    <w:rsid w:val="007C4EBC"/>
    <w:rsid w:val="007C51EF"/>
    <w:rsid w:val="007C5214"/>
    <w:rsid w:val="007C6190"/>
    <w:rsid w:val="007C6D53"/>
    <w:rsid w:val="007C7411"/>
    <w:rsid w:val="007C7682"/>
    <w:rsid w:val="007C7B6E"/>
    <w:rsid w:val="007D02EC"/>
    <w:rsid w:val="007D21F6"/>
    <w:rsid w:val="007D2FBE"/>
    <w:rsid w:val="007D4DAD"/>
    <w:rsid w:val="007D7EAC"/>
    <w:rsid w:val="007E13F1"/>
    <w:rsid w:val="007E1B9C"/>
    <w:rsid w:val="007E2787"/>
    <w:rsid w:val="007E2D7B"/>
    <w:rsid w:val="007E339E"/>
    <w:rsid w:val="007E4812"/>
    <w:rsid w:val="007E7981"/>
    <w:rsid w:val="007F1372"/>
    <w:rsid w:val="007F2E06"/>
    <w:rsid w:val="007F310B"/>
    <w:rsid w:val="007F4A20"/>
    <w:rsid w:val="007F5574"/>
    <w:rsid w:val="007F6027"/>
    <w:rsid w:val="007F64BB"/>
    <w:rsid w:val="007F664B"/>
    <w:rsid w:val="0080248A"/>
    <w:rsid w:val="008026D9"/>
    <w:rsid w:val="00803594"/>
    <w:rsid w:val="00804B5F"/>
    <w:rsid w:val="00805248"/>
    <w:rsid w:val="00805882"/>
    <w:rsid w:val="0080607F"/>
    <w:rsid w:val="0080707F"/>
    <w:rsid w:val="00807169"/>
    <w:rsid w:val="008071CC"/>
    <w:rsid w:val="0080759B"/>
    <w:rsid w:val="00810920"/>
    <w:rsid w:val="00811210"/>
    <w:rsid w:val="008123DD"/>
    <w:rsid w:val="00812540"/>
    <w:rsid w:val="00814EA0"/>
    <w:rsid w:val="00817A61"/>
    <w:rsid w:val="00821FAB"/>
    <w:rsid w:val="00822813"/>
    <w:rsid w:val="00823557"/>
    <w:rsid w:val="008235E7"/>
    <w:rsid w:val="00824159"/>
    <w:rsid w:val="008243BF"/>
    <w:rsid w:val="008251FC"/>
    <w:rsid w:val="00826569"/>
    <w:rsid w:val="00827639"/>
    <w:rsid w:val="008278E9"/>
    <w:rsid w:val="00827D2D"/>
    <w:rsid w:val="00827D42"/>
    <w:rsid w:val="00831142"/>
    <w:rsid w:val="0083370B"/>
    <w:rsid w:val="00834B39"/>
    <w:rsid w:val="00834BD2"/>
    <w:rsid w:val="00834E65"/>
    <w:rsid w:val="00834E9C"/>
    <w:rsid w:val="0083603F"/>
    <w:rsid w:val="00836604"/>
    <w:rsid w:val="00836E71"/>
    <w:rsid w:val="00837779"/>
    <w:rsid w:val="00840910"/>
    <w:rsid w:val="008422E8"/>
    <w:rsid w:val="0084390B"/>
    <w:rsid w:val="00844ACD"/>
    <w:rsid w:val="00844C60"/>
    <w:rsid w:val="00845536"/>
    <w:rsid w:val="008465BF"/>
    <w:rsid w:val="008475B7"/>
    <w:rsid w:val="00850AA4"/>
    <w:rsid w:val="008510BB"/>
    <w:rsid w:val="00851799"/>
    <w:rsid w:val="0085258B"/>
    <w:rsid w:val="00852D5C"/>
    <w:rsid w:val="00854229"/>
    <w:rsid w:val="00855492"/>
    <w:rsid w:val="0085591C"/>
    <w:rsid w:val="00856C55"/>
    <w:rsid w:val="0086136C"/>
    <w:rsid w:val="00861B2B"/>
    <w:rsid w:val="00863121"/>
    <w:rsid w:val="0086497E"/>
    <w:rsid w:val="00865239"/>
    <w:rsid w:val="00865A00"/>
    <w:rsid w:val="00865B5E"/>
    <w:rsid w:val="00865EB6"/>
    <w:rsid w:val="00866965"/>
    <w:rsid w:val="0086793B"/>
    <w:rsid w:val="00867A72"/>
    <w:rsid w:val="0087094F"/>
    <w:rsid w:val="00871146"/>
    <w:rsid w:val="00871AC3"/>
    <w:rsid w:val="00873A96"/>
    <w:rsid w:val="0087543F"/>
    <w:rsid w:val="00875CEB"/>
    <w:rsid w:val="00876AF5"/>
    <w:rsid w:val="00882BE1"/>
    <w:rsid w:val="00884257"/>
    <w:rsid w:val="00884297"/>
    <w:rsid w:val="00885020"/>
    <w:rsid w:val="00885618"/>
    <w:rsid w:val="0088675A"/>
    <w:rsid w:val="00890EC5"/>
    <w:rsid w:val="00892690"/>
    <w:rsid w:val="00892B58"/>
    <w:rsid w:val="00894F1B"/>
    <w:rsid w:val="00894FEC"/>
    <w:rsid w:val="00895C4F"/>
    <w:rsid w:val="008971D3"/>
    <w:rsid w:val="008972E9"/>
    <w:rsid w:val="008A01BC"/>
    <w:rsid w:val="008A0D9D"/>
    <w:rsid w:val="008A10D7"/>
    <w:rsid w:val="008A1ADF"/>
    <w:rsid w:val="008A2D7B"/>
    <w:rsid w:val="008A3FBC"/>
    <w:rsid w:val="008A4136"/>
    <w:rsid w:val="008A58FE"/>
    <w:rsid w:val="008A5FD5"/>
    <w:rsid w:val="008A7075"/>
    <w:rsid w:val="008A77E9"/>
    <w:rsid w:val="008B04C8"/>
    <w:rsid w:val="008B22F7"/>
    <w:rsid w:val="008B3339"/>
    <w:rsid w:val="008B419D"/>
    <w:rsid w:val="008B45A6"/>
    <w:rsid w:val="008B4DC5"/>
    <w:rsid w:val="008B570F"/>
    <w:rsid w:val="008B59D2"/>
    <w:rsid w:val="008B68B9"/>
    <w:rsid w:val="008B7665"/>
    <w:rsid w:val="008B768C"/>
    <w:rsid w:val="008C056F"/>
    <w:rsid w:val="008C3C51"/>
    <w:rsid w:val="008C480B"/>
    <w:rsid w:val="008C567A"/>
    <w:rsid w:val="008C6313"/>
    <w:rsid w:val="008C7E7D"/>
    <w:rsid w:val="008D1061"/>
    <w:rsid w:val="008D2736"/>
    <w:rsid w:val="008D2B94"/>
    <w:rsid w:val="008D38E5"/>
    <w:rsid w:val="008D4CD9"/>
    <w:rsid w:val="008E0AF4"/>
    <w:rsid w:val="008E0B4D"/>
    <w:rsid w:val="008E27B4"/>
    <w:rsid w:val="008E3428"/>
    <w:rsid w:val="008E4ECA"/>
    <w:rsid w:val="008E5652"/>
    <w:rsid w:val="008E5E42"/>
    <w:rsid w:val="008E6EBE"/>
    <w:rsid w:val="008E724C"/>
    <w:rsid w:val="008E7DAB"/>
    <w:rsid w:val="008F021F"/>
    <w:rsid w:val="008F1996"/>
    <w:rsid w:val="008F1B77"/>
    <w:rsid w:val="008F2DEC"/>
    <w:rsid w:val="008F3254"/>
    <w:rsid w:val="008F37D8"/>
    <w:rsid w:val="008F4A86"/>
    <w:rsid w:val="008F5C32"/>
    <w:rsid w:val="008F5FC5"/>
    <w:rsid w:val="008F6905"/>
    <w:rsid w:val="008F7A15"/>
    <w:rsid w:val="0090086F"/>
    <w:rsid w:val="009020FE"/>
    <w:rsid w:val="009037DD"/>
    <w:rsid w:val="00903DD4"/>
    <w:rsid w:val="00905196"/>
    <w:rsid w:val="009051F6"/>
    <w:rsid w:val="00905FEA"/>
    <w:rsid w:val="009062CC"/>
    <w:rsid w:val="00907BB1"/>
    <w:rsid w:val="00910814"/>
    <w:rsid w:val="00910AA6"/>
    <w:rsid w:val="00910BC1"/>
    <w:rsid w:val="00910E0C"/>
    <w:rsid w:val="00911282"/>
    <w:rsid w:val="0091141F"/>
    <w:rsid w:val="0091184E"/>
    <w:rsid w:val="00912047"/>
    <w:rsid w:val="0091256B"/>
    <w:rsid w:val="00913898"/>
    <w:rsid w:val="0091413B"/>
    <w:rsid w:val="0091423C"/>
    <w:rsid w:val="0091464A"/>
    <w:rsid w:val="00915891"/>
    <w:rsid w:val="0091738F"/>
    <w:rsid w:val="00917C5E"/>
    <w:rsid w:val="00917CA4"/>
    <w:rsid w:val="00917D83"/>
    <w:rsid w:val="00917F01"/>
    <w:rsid w:val="0092037C"/>
    <w:rsid w:val="00921990"/>
    <w:rsid w:val="009228FB"/>
    <w:rsid w:val="009233C9"/>
    <w:rsid w:val="0092347A"/>
    <w:rsid w:val="00923CAE"/>
    <w:rsid w:val="00924C4F"/>
    <w:rsid w:val="00924DB4"/>
    <w:rsid w:val="00925984"/>
    <w:rsid w:val="00927004"/>
    <w:rsid w:val="0092700B"/>
    <w:rsid w:val="009302CF"/>
    <w:rsid w:val="00930C51"/>
    <w:rsid w:val="0093244D"/>
    <w:rsid w:val="0093333E"/>
    <w:rsid w:val="00935476"/>
    <w:rsid w:val="00935F99"/>
    <w:rsid w:val="00940AD1"/>
    <w:rsid w:val="00940CFB"/>
    <w:rsid w:val="00940DE7"/>
    <w:rsid w:val="009419F1"/>
    <w:rsid w:val="00942766"/>
    <w:rsid w:val="00942977"/>
    <w:rsid w:val="00943FC2"/>
    <w:rsid w:val="00945828"/>
    <w:rsid w:val="00946CEC"/>
    <w:rsid w:val="0095063A"/>
    <w:rsid w:val="00952645"/>
    <w:rsid w:val="0095360C"/>
    <w:rsid w:val="00953C8B"/>
    <w:rsid w:val="00954098"/>
    <w:rsid w:val="00954469"/>
    <w:rsid w:val="00954CE3"/>
    <w:rsid w:val="00954D20"/>
    <w:rsid w:val="00955151"/>
    <w:rsid w:val="00955D0A"/>
    <w:rsid w:val="00956037"/>
    <w:rsid w:val="009565D8"/>
    <w:rsid w:val="00956925"/>
    <w:rsid w:val="00956963"/>
    <w:rsid w:val="00956B45"/>
    <w:rsid w:val="00956D95"/>
    <w:rsid w:val="0096046B"/>
    <w:rsid w:val="00960AEE"/>
    <w:rsid w:val="009616BB"/>
    <w:rsid w:val="00961DAF"/>
    <w:rsid w:val="00962BA9"/>
    <w:rsid w:val="00965576"/>
    <w:rsid w:val="00967648"/>
    <w:rsid w:val="0096775D"/>
    <w:rsid w:val="00967B65"/>
    <w:rsid w:val="00967EFF"/>
    <w:rsid w:val="00970BE2"/>
    <w:rsid w:val="0097310C"/>
    <w:rsid w:val="009741DA"/>
    <w:rsid w:val="0097433D"/>
    <w:rsid w:val="0097549D"/>
    <w:rsid w:val="009770E5"/>
    <w:rsid w:val="0097758C"/>
    <w:rsid w:val="0097759F"/>
    <w:rsid w:val="009777FD"/>
    <w:rsid w:val="00980287"/>
    <w:rsid w:val="00980E5B"/>
    <w:rsid w:val="0098114D"/>
    <w:rsid w:val="00981DC7"/>
    <w:rsid w:val="0098296C"/>
    <w:rsid w:val="009837E9"/>
    <w:rsid w:val="00983D69"/>
    <w:rsid w:val="00984077"/>
    <w:rsid w:val="00984907"/>
    <w:rsid w:val="0098495C"/>
    <w:rsid w:val="00984E12"/>
    <w:rsid w:val="00985055"/>
    <w:rsid w:val="009850C6"/>
    <w:rsid w:val="009917B7"/>
    <w:rsid w:val="00993B25"/>
    <w:rsid w:val="00993F7C"/>
    <w:rsid w:val="00996DBA"/>
    <w:rsid w:val="00997499"/>
    <w:rsid w:val="009975C6"/>
    <w:rsid w:val="00997F02"/>
    <w:rsid w:val="009A021E"/>
    <w:rsid w:val="009A0345"/>
    <w:rsid w:val="009A2CEB"/>
    <w:rsid w:val="009A3489"/>
    <w:rsid w:val="009A43CF"/>
    <w:rsid w:val="009A4B69"/>
    <w:rsid w:val="009A5D2A"/>
    <w:rsid w:val="009A60AA"/>
    <w:rsid w:val="009A7CC5"/>
    <w:rsid w:val="009B0FB6"/>
    <w:rsid w:val="009B1F3E"/>
    <w:rsid w:val="009B2D47"/>
    <w:rsid w:val="009B4A2A"/>
    <w:rsid w:val="009B54D6"/>
    <w:rsid w:val="009B57E7"/>
    <w:rsid w:val="009C014B"/>
    <w:rsid w:val="009C087F"/>
    <w:rsid w:val="009C23AE"/>
    <w:rsid w:val="009C24EE"/>
    <w:rsid w:val="009C261F"/>
    <w:rsid w:val="009C3E75"/>
    <w:rsid w:val="009C4252"/>
    <w:rsid w:val="009C479B"/>
    <w:rsid w:val="009C6E89"/>
    <w:rsid w:val="009C721A"/>
    <w:rsid w:val="009D1985"/>
    <w:rsid w:val="009D1B80"/>
    <w:rsid w:val="009D1BD9"/>
    <w:rsid w:val="009D3595"/>
    <w:rsid w:val="009D4963"/>
    <w:rsid w:val="009D544E"/>
    <w:rsid w:val="009D67B7"/>
    <w:rsid w:val="009D6B5A"/>
    <w:rsid w:val="009E0F06"/>
    <w:rsid w:val="009E2A53"/>
    <w:rsid w:val="009E3A40"/>
    <w:rsid w:val="009E3BBE"/>
    <w:rsid w:val="009E4B15"/>
    <w:rsid w:val="009E4B37"/>
    <w:rsid w:val="009E51E1"/>
    <w:rsid w:val="009E622F"/>
    <w:rsid w:val="009E657F"/>
    <w:rsid w:val="009E69D4"/>
    <w:rsid w:val="009E72D2"/>
    <w:rsid w:val="009F12C2"/>
    <w:rsid w:val="009F335E"/>
    <w:rsid w:val="009F4120"/>
    <w:rsid w:val="009F5BFE"/>
    <w:rsid w:val="009F5D7E"/>
    <w:rsid w:val="009F61AA"/>
    <w:rsid w:val="009F6C34"/>
    <w:rsid w:val="00A0258C"/>
    <w:rsid w:val="00A02B13"/>
    <w:rsid w:val="00A033EA"/>
    <w:rsid w:val="00A04080"/>
    <w:rsid w:val="00A04179"/>
    <w:rsid w:val="00A04CF1"/>
    <w:rsid w:val="00A053C2"/>
    <w:rsid w:val="00A05A1C"/>
    <w:rsid w:val="00A05A22"/>
    <w:rsid w:val="00A06211"/>
    <w:rsid w:val="00A06395"/>
    <w:rsid w:val="00A06507"/>
    <w:rsid w:val="00A07906"/>
    <w:rsid w:val="00A1052A"/>
    <w:rsid w:val="00A10C50"/>
    <w:rsid w:val="00A11D84"/>
    <w:rsid w:val="00A1235C"/>
    <w:rsid w:val="00A140EC"/>
    <w:rsid w:val="00A144EF"/>
    <w:rsid w:val="00A14AC7"/>
    <w:rsid w:val="00A14EA3"/>
    <w:rsid w:val="00A1544C"/>
    <w:rsid w:val="00A15771"/>
    <w:rsid w:val="00A15836"/>
    <w:rsid w:val="00A20162"/>
    <w:rsid w:val="00A206F9"/>
    <w:rsid w:val="00A21441"/>
    <w:rsid w:val="00A236CC"/>
    <w:rsid w:val="00A25399"/>
    <w:rsid w:val="00A253E5"/>
    <w:rsid w:val="00A2658B"/>
    <w:rsid w:val="00A271C9"/>
    <w:rsid w:val="00A32E9E"/>
    <w:rsid w:val="00A330B3"/>
    <w:rsid w:val="00A337FF"/>
    <w:rsid w:val="00A34108"/>
    <w:rsid w:val="00A36FD1"/>
    <w:rsid w:val="00A3711C"/>
    <w:rsid w:val="00A40C43"/>
    <w:rsid w:val="00A40C7D"/>
    <w:rsid w:val="00A41261"/>
    <w:rsid w:val="00A42073"/>
    <w:rsid w:val="00A436CB"/>
    <w:rsid w:val="00A43CB2"/>
    <w:rsid w:val="00A44B2B"/>
    <w:rsid w:val="00A44E8D"/>
    <w:rsid w:val="00A451AC"/>
    <w:rsid w:val="00A451E3"/>
    <w:rsid w:val="00A45264"/>
    <w:rsid w:val="00A46D23"/>
    <w:rsid w:val="00A474D0"/>
    <w:rsid w:val="00A50F11"/>
    <w:rsid w:val="00A52BE1"/>
    <w:rsid w:val="00A54918"/>
    <w:rsid w:val="00A563F5"/>
    <w:rsid w:val="00A6010E"/>
    <w:rsid w:val="00A60C78"/>
    <w:rsid w:val="00A6145B"/>
    <w:rsid w:val="00A616B5"/>
    <w:rsid w:val="00A6287B"/>
    <w:rsid w:val="00A635ED"/>
    <w:rsid w:val="00A636F0"/>
    <w:rsid w:val="00A6371B"/>
    <w:rsid w:val="00A6371E"/>
    <w:rsid w:val="00A63F59"/>
    <w:rsid w:val="00A64BF9"/>
    <w:rsid w:val="00A64DAB"/>
    <w:rsid w:val="00A654D7"/>
    <w:rsid w:val="00A66AAC"/>
    <w:rsid w:val="00A6709D"/>
    <w:rsid w:val="00A71768"/>
    <w:rsid w:val="00A747E1"/>
    <w:rsid w:val="00A76A94"/>
    <w:rsid w:val="00A76EDE"/>
    <w:rsid w:val="00A80306"/>
    <w:rsid w:val="00A806B8"/>
    <w:rsid w:val="00A8137D"/>
    <w:rsid w:val="00A81399"/>
    <w:rsid w:val="00A821DA"/>
    <w:rsid w:val="00A8293D"/>
    <w:rsid w:val="00A8361C"/>
    <w:rsid w:val="00A84BA2"/>
    <w:rsid w:val="00A85A81"/>
    <w:rsid w:val="00A861B2"/>
    <w:rsid w:val="00A865BC"/>
    <w:rsid w:val="00A86639"/>
    <w:rsid w:val="00A91A03"/>
    <w:rsid w:val="00A9223E"/>
    <w:rsid w:val="00A92FCA"/>
    <w:rsid w:val="00A952EB"/>
    <w:rsid w:val="00A95C6A"/>
    <w:rsid w:val="00A968F5"/>
    <w:rsid w:val="00A96DA2"/>
    <w:rsid w:val="00A97429"/>
    <w:rsid w:val="00A97B55"/>
    <w:rsid w:val="00AA08F6"/>
    <w:rsid w:val="00AA1E1A"/>
    <w:rsid w:val="00AA1ECD"/>
    <w:rsid w:val="00AA269F"/>
    <w:rsid w:val="00AA361D"/>
    <w:rsid w:val="00AA59C1"/>
    <w:rsid w:val="00AA5F8E"/>
    <w:rsid w:val="00AA6362"/>
    <w:rsid w:val="00AA68E1"/>
    <w:rsid w:val="00AB0072"/>
    <w:rsid w:val="00AB0274"/>
    <w:rsid w:val="00AB027C"/>
    <w:rsid w:val="00AB0DDE"/>
    <w:rsid w:val="00AB12E3"/>
    <w:rsid w:val="00AB2F84"/>
    <w:rsid w:val="00AB3C68"/>
    <w:rsid w:val="00AB4EEE"/>
    <w:rsid w:val="00AC085E"/>
    <w:rsid w:val="00AC095E"/>
    <w:rsid w:val="00AC1362"/>
    <w:rsid w:val="00AC29C3"/>
    <w:rsid w:val="00AC2C10"/>
    <w:rsid w:val="00AC2D69"/>
    <w:rsid w:val="00AC2F83"/>
    <w:rsid w:val="00AC44B7"/>
    <w:rsid w:val="00AC5178"/>
    <w:rsid w:val="00AC583E"/>
    <w:rsid w:val="00AC5B5D"/>
    <w:rsid w:val="00AC7752"/>
    <w:rsid w:val="00AC7A90"/>
    <w:rsid w:val="00AD0CE1"/>
    <w:rsid w:val="00AD1BC7"/>
    <w:rsid w:val="00AD4A34"/>
    <w:rsid w:val="00AD5243"/>
    <w:rsid w:val="00AD6E16"/>
    <w:rsid w:val="00AE002F"/>
    <w:rsid w:val="00AE01D8"/>
    <w:rsid w:val="00AE0A4D"/>
    <w:rsid w:val="00AE0A7B"/>
    <w:rsid w:val="00AE0BFB"/>
    <w:rsid w:val="00AE1011"/>
    <w:rsid w:val="00AE159F"/>
    <w:rsid w:val="00AE2B23"/>
    <w:rsid w:val="00AE4DFF"/>
    <w:rsid w:val="00AE5211"/>
    <w:rsid w:val="00AE5378"/>
    <w:rsid w:val="00AE5F34"/>
    <w:rsid w:val="00AE6159"/>
    <w:rsid w:val="00AF0254"/>
    <w:rsid w:val="00AF0486"/>
    <w:rsid w:val="00AF161D"/>
    <w:rsid w:val="00AF3E1D"/>
    <w:rsid w:val="00AF4068"/>
    <w:rsid w:val="00AF43F1"/>
    <w:rsid w:val="00AF4FE4"/>
    <w:rsid w:val="00AF6F8B"/>
    <w:rsid w:val="00AF7F1B"/>
    <w:rsid w:val="00B00BC3"/>
    <w:rsid w:val="00B010F4"/>
    <w:rsid w:val="00B022AD"/>
    <w:rsid w:val="00B022EC"/>
    <w:rsid w:val="00B02BFF"/>
    <w:rsid w:val="00B03949"/>
    <w:rsid w:val="00B04543"/>
    <w:rsid w:val="00B04B0C"/>
    <w:rsid w:val="00B05551"/>
    <w:rsid w:val="00B0687D"/>
    <w:rsid w:val="00B071A2"/>
    <w:rsid w:val="00B0725C"/>
    <w:rsid w:val="00B07AB0"/>
    <w:rsid w:val="00B10F61"/>
    <w:rsid w:val="00B12285"/>
    <w:rsid w:val="00B1239C"/>
    <w:rsid w:val="00B124A4"/>
    <w:rsid w:val="00B12667"/>
    <w:rsid w:val="00B131AE"/>
    <w:rsid w:val="00B134E3"/>
    <w:rsid w:val="00B13E90"/>
    <w:rsid w:val="00B14714"/>
    <w:rsid w:val="00B14B67"/>
    <w:rsid w:val="00B14CFD"/>
    <w:rsid w:val="00B15952"/>
    <w:rsid w:val="00B15D94"/>
    <w:rsid w:val="00B15EAA"/>
    <w:rsid w:val="00B16C25"/>
    <w:rsid w:val="00B22280"/>
    <w:rsid w:val="00B2267C"/>
    <w:rsid w:val="00B248EF"/>
    <w:rsid w:val="00B257B5"/>
    <w:rsid w:val="00B25FA1"/>
    <w:rsid w:val="00B265B4"/>
    <w:rsid w:val="00B26A20"/>
    <w:rsid w:val="00B26D54"/>
    <w:rsid w:val="00B27163"/>
    <w:rsid w:val="00B27C91"/>
    <w:rsid w:val="00B27F8F"/>
    <w:rsid w:val="00B31386"/>
    <w:rsid w:val="00B330E3"/>
    <w:rsid w:val="00B3310E"/>
    <w:rsid w:val="00B373B8"/>
    <w:rsid w:val="00B40505"/>
    <w:rsid w:val="00B40673"/>
    <w:rsid w:val="00B40BDE"/>
    <w:rsid w:val="00B41802"/>
    <w:rsid w:val="00B41AEE"/>
    <w:rsid w:val="00B41B06"/>
    <w:rsid w:val="00B41E1B"/>
    <w:rsid w:val="00B41FD7"/>
    <w:rsid w:val="00B42768"/>
    <w:rsid w:val="00B4387F"/>
    <w:rsid w:val="00B43CC5"/>
    <w:rsid w:val="00B441B1"/>
    <w:rsid w:val="00B46781"/>
    <w:rsid w:val="00B50A6B"/>
    <w:rsid w:val="00B50F6A"/>
    <w:rsid w:val="00B517D4"/>
    <w:rsid w:val="00B51D92"/>
    <w:rsid w:val="00B522AB"/>
    <w:rsid w:val="00B52C00"/>
    <w:rsid w:val="00B54BE5"/>
    <w:rsid w:val="00B54E2E"/>
    <w:rsid w:val="00B55700"/>
    <w:rsid w:val="00B57641"/>
    <w:rsid w:val="00B62181"/>
    <w:rsid w:val="00B6237E"/>
    <w:rsid w:val="00B630FA"/>
    <w:rsid w:val="00B63464"/>
    <w:rsid w:val="00B649CE"/>
    <w:rsid w:val="00B66756"/>
    <w:rsid w:val="00B66821"/>
    <w:rsid w:val="00B66889"/>
    <w:rsid w:val="00B67A20"/>
    <w:rsid w:val="00B67C41"/>
    <w:rsid w:val="00B707A4"/>
    <w:rsid w:val="00B70A32"/>
    <w:rsid w:val="00B71C6E"/>
    <w:rsid w:val="00B72BF0"/>
    <w:rsid w:val="00B75606"/>
    <w:rsid w:val="00B7692D"/>
    <w:rsid w:val="00B77D41"/>
    <w:rsid w:val="00B803FA"/>
    <w:rsid w:val="00B8348F"/>
    <w:rsid w:val="00B83D78"/>
    <w:rsid w:val="00B84950"/>
    <w:rsid w:val="00B84C4E"/>
    <w:rsid w:val="00B85B59"/>
    <w:rsid w:val="00B860FB"/>
    <w:rsid w:val="00B865B3"/>
    <w:rsid w:val="00B87EC2"/>
    <w:rsid w:val="00B87F5B"/>
    <w:rsid w:val="00B908C5"/>
    <w:rsid w:val="00B91307"/>
    <w:rsid w:val="00B925AF"/>
    <w:rsid w:val="00B925B4"/>
    <w:rsid w:val="00B95B68"/>
    <w:rsid w:val="00B96B71"/>
    <w:rsid w:val="00B96E4B"/>
    <w:rsid w:val="00B9704E"/>
    <w:rsid w:val="00BA03A3"/>
    <w:rsid w:val="00BA0727"/>
    <w:rsid w:val="00BA0B3D"/>
    <w:rsid w:val="00BA32E3"/>
    <w:rsid w:val="00BA3EC4"/>
    <w:rsid w:val="00BA459D"/>
    <w:rsid w:val="00BA4847"/>
    <w:rsid w:val="00BA4AFF"/>
    <w:rsid w:val="00BA6856"/>
    <w:rsid w:val="00BA738D"/>
    <w:rsid w:val="00BA7985"/>
    <w:rsid w:val="00BA79BC"/>
    <w:rsid w:val="00BB07DC"/>
    <w:rsid w:val="00BB0C0C"/>
    <w:rsid w:val="00BB1827"/>
    <w:rsid w:val="00BB1D96"/>
    <w:rsid w:val="00BB1F59"/>
    <w:rsid w:val="00BB23A2"/>
    <w:rsid w:val="00BB2922"/>
    <w:rsid w:val="00BB2B91"/>
    <w:rsid w:val="00BB2DF4"/>
    <w:rsid w:val="00BB38FB"/>
    <w:rsid w:val="00BB5B61"/>
    <w:rsid w:val="00BB628E"/>
    <w:rsid w:val="00BB64CE"/>
    <w:rsid w:val="00BB6FB4"/>
    <w:rsid w:val="00BC04E7"/>
    <w:rsid w:val="00BC071E"/>
    <w:rsid w:val="00BC1538"/>
    <w:rsid w:val="00BC2CDB"/>
    <w:rsid w:val="00BC352B"/>
    <w:rsid w:val="00BC3C08"/>
    <w:rsid w:val="00BC3D80"/>
    <w:rsid w:val="00BC4277"/>
    <w:rsid w:val="00BC4D08"/>
    <w:rsid w:val="00BC4EEC"/>
    <w:rsid w:val="00BC6533"/>
    <w:rsid w:val="00BC69A3"/>
    <w:rsid w:val="00BC73F6"/>
    <w:rsid w:val="00BC7C2B"/>
    <w:rsid w:val="00BD024F"/>
    <w:rsid w:val="00BD054D"/>
    <w:rsid w:val="00BD0629"/>
    <w:rsid w:val="00BD06B3"/>
    <w:rsid w:val="00BD129A"/>
    <w:rsid w:val="00BD15A7"/>
    <w:rsid w:val="00BD456C"/>
    <w:rsid w:val="00BD4941"/>
    <w:rsid w:val="00BD5315"/>
    <w:rsid w:val="00BD5C16"/>
    <w:rsid w:val="00BD7251"/>
    <w:rsid w:val="00BE0153"/>
    <w:rsid w:val="00BE1DE9"/>
    <w:rsid w:val="00BE36A2"/>
    <w:rsid w:val="00BE3909"/>
    <w:rsid w:val="00BE43FF"/>
    <w:rsid w:val="00BE4E7E"/>
    <w:rsid w:val="00BE56BD"/>
    <w:rsid w:val="00BE5712"/>
    <w:rsid w:val="00BE5C72"/>
    <w:rsid w:val="00BE7485"/>
    <w:rsid w:val="00BE74BE"/>
    <w:rsid w:val="00BE795B"/>
    <w:rsid w:val="00BF055D"/>
    <w:rsid w:val="00BF05D3"/>
    <w:rsid w:val="00BF1550"/>
    <w:rsid w:val="00BF1ECE"/>
    <w:rsid w:val="00BF2AFD"/>
    <w:rsid w:val="00BF2B54"/>
    <w:rsid w:val="00BF2C17"/>
    <w:rsid w:val="00BF3353"/>
    <w:rsid w:val="00BF372D"/>
    <w:rsid w:val="00BF42DD"/>
    <w:rsid w:val="00BF4455"/>
    <w:rsid w:val="00BF7366"/>
    <w:rsid w:val="00C002E3"/>
    <w:rsid w:val="00C0114D"/>
    <w:rsid w:val="00C01458"/>
    <w:rsid w:val="00C02AA7"/>
    <w:rsid w:val="00C0402D"/>
    <w:rsid w:val="00C0532A"/>
    <w:rsid w:val="00C055AE"/>
    <w:rsid w:val="00C055FA"/>
    <w:rsid w:val="00C06147"/>
    <w:rsid w:val="00C0712C"/>
    <w:rsid w:val="00C1232F"/>
    <w:rsid w:val="00C15531"/>
    <w:rsid w:val="00C15578"/>
    <w:rsid w:val="00C1634B"/>
    <w:rsid w:val="00C16E40"/>
    <w:rsid w:val="00C20CAD"/>
    <w:rsid w:val="00C21357"/>
    <w:rsid w:val="00C2161F"/>
    <w:rsid w:val="00C22D90"/>
    <w:rsid w:val="00C22F69"/>
    <w:rsid w:val="00C24255"/>
    <w:rsid w:val="00C243E5"/>
    <w:rsid w:val="00C2565E"/>
    <w:rsid w:val="00C25670"/>
    <w:rsid w:val="00C25707"/>
    <w:rsid w:val="00C25BA2"/>
    <w:rsid w:val="00C25CEA"/>
    <w:rsid w:val="00C264E1"/>
    <w:rsid w:val="00C26B93"/>
    <w:rsid w:val="00C27B97"/>
    <w:rsid w:val="00C30064"/>
    <w:rsid w:val="00C30528"/>
    <w:rsid w:val="00C31BFB"/>
    <w:rsid w:val="00C3239F"/>
    <w:rsid w:val="00C325D4"/>
    <w:rsid w:val="00C327AA"/>
    <w:rsid w:val="00C32FF7"/>
    <w:rsid w:val="00C340F1"/>
    <w:rsid w:val="00C345B8"/>
    <w:rsid w:val="00C377A6"/>
    <w:rsid w:val="00C4148A"/>
    <w:rsid w:val="00C43162"/>
    <w:rsid w:val="00C44771"/>
    <w:rsid w:val="00C44CA6"/>
    <w:rsid w:val="00C44CC2"/>
    <w:rsid w:val="00C452E4"/>
    <w:rsid w:val="00C469E8"/>
    <w:rsid w:val="00C46B57"/>
    <w:rsid w:val="00C472B3"/>
    <w:rsid w:val="00C502CE"/>
    <w:rsid w:val="00C50705"/>
    <w:rsid w:val="00C50C13"/>
    <w:rsid w:val="00C531F2"/>
    <w:rsid w:val="00C5368F"/>
    <w:rsid w:val="00C53A51"/>
    <w:rsid w:val="00C54672"/>
    <w:rsid w:val="00C54BD4"/>
    <w:rsid w:val="00C54CE1"/>
    <w:rsid w:val="00C54EF9"/>
    <w:rsid w:val="00C56280"/>
    <w:rsid w:val="00C56A04"/>
    <w:rsid w:val="00C56C4F"/>
    <w:rsid w:val="00C56C8E"/>
    <w:rsid w:val="00C57158"/>
    <w:rsid w:val="00C62FB1"/>
    <w:rsid w:val="00C638DA"/>
    <w:rsid w:val="00C66107"/>
    <w:rsid w:val="00C67E6F"/>
    <w:rsid w:val="00C700FC"/>
    <w:rsid w:val="00C7117D"/>
    <w:rsid w:val="00C7160E"/>
    <w:rsid w:val="00C71623"/>
    <w:rsid w:val="00C71C2D"/>
    <w:rsid w:val="00C74F39"/>
    <w:rsid w:val="00C75433"/>
    <w:rsid w:val="00C7572B"/>
    <w:rsid w:val="00C760E7"/>
    <w:rsid w:val="00C8009B"/>
    <w:rsid w:val="00C801E5"/>
    <w:rsid w:val="00C8106A"/>
    <w:rsid w:val="00C82884"/>
    <w:rsid w:val="00C83726"/>
    <w:rsid w:val="00C83B1B"/>
    <w:rsid w:val="00C83FC2"/>
    <w:rsid w:val="00C8506C"/>
    <w:rsid w:val="00C871FA"/>
    <w:rsid w:val="00C8777C"/>
    <w:rsid w:val="00C877A4"/>
    <w:rsid w:val="00C902F5"/>
    <w:rsid w:val="00C90B68"/>
    <w:rsid w:val="00C91A0C"/>
    <w:rsid w:val="00C922BB"/>
    <w:rsid w:val="00C923C1"/>
    <w:rsid w:val="00C93B86"/>
    <w:rsid w:val="00C940F7"/>
    <w:rsid w:val="00C942D7"/>
    <w:rsid w:val="00C94D0B"/>
    <w:rsid w:val="00C9507F"/>
    <w:rsid w:val="00C960F4"/>
    <w:rsid w:val="00C96912"/>
    <w:rsid w:val="00C9774F"/>
    <w:rsid w:val="00C97BD5"/>
    <w:rsid w:val="00CA14AF"/>
    <w:rsid w:val="00CA1FC7"/>
    <w:rsid w:val="00CA3A75"/>
    <w:rsid w:val="00CA4A52"/>
    <w:rsid w:val="00CA4DB2"/>
    <w:rsid w:val="00CA4EC8"/>
    <w:rsid w:val="00CA6945"/>
    <w:rsid w:val="00CA6B03"/>
    <w:rsid w:val="00CA7DFA"/>
    <w:rsid w:val="00CB02D4"/>
    <w:rsid w:val="00CB0664"/>
    <w:rsid w:val="00CB0AB3"/>
    <w:rsid w:val="00CB25EF"/>
    <w:rsid w:val="00CB28F1"/>
    <w:rsid w:val="00CB2C36"/>
    <w:rsid w:val="00CB32E3"/>
    <w:rsid w:val="00CB36BB"/>
    <w:rsid w:val="00CB3CAA"/>
    <w:rsid w:val="00CB3FFD"/>
    <w:rsid w:val="00CB4E21"/>
    <w:rsid w:val="00CB5E2C"/>
    <w:rsid w:val="00CB5EF1"/>
    <w:rsid w:val="00CB61F8"/>
    <w:rsid w:val="00CB7EEC"/>
    <w:rsid w:val="00CC01DE"/>
    <w:rsid w:val="00CC1779"/>
    <w:rsid w:val="00CC211D"/>
    <w:rsid w:val="00CC2631"/>
    <w:rsid w:val="00CC335A"/>
    <w:rsid w:val="00CC3F2A"/>
    <w:rsid w:val="00CC41BD"/>
    <w:rsid w:val="00CC4264"/>
    <w:rsid w:val="00CC42D3"/>
    <w:rsid w:val="00CC4DB7"/>
    <w:rsid w:val="00CC4E3E"/>
    <w:rsid w:val="00CC6271"/>
    <w:rsid w:val="00CC6293"/>
    <w:rsid w:val="00CC6C23"/>
    <w:rsid w:val="00CD3A78"/>
    <w:rsid w:val="00CD3C72"/>
    <w:rsid w:val="00CD4286"/>
    <w:rsid w:val="00CD53B3"/>
    <w:rsid w:val="00CD6F3E"/>
    <w:rsid w:val="00CD793A"/>
    <w:rsid w:val="00CE1E1D"/>
    <w:rsid w:val="00CE21CD"/>
    <w:rsid w:val="00CE22A0"/>
    <w:rsid w:val="00CE2B42"/>
    <w:rsid w:val="00CE3561"/>
    <w:rsid w:val="00CE4013"/>
    <w:rsid w:val="00CE412D"/>
    <w:rsid w:val="00CE579A"/>
    <w:rsid w:val="00CE5996"/>
    <w:rsid w:val="00CE5E1C"/>
    <w:rsid w:val="00CE67AB"/>
    <w:rsid w:val="00CE67E3"/>
    <w:rsid w:val="00CE7732"/>
    <w:rsid w:val="00CF034E"/>
    <w:rsid w:val="00CF0B7E"/>
    <w:rsid w:val="00CF3881"/>
    <w:rsid w:val="00CF3E3C"/>
    <w:rsid w:val="00CF487D"/>
    <w:rsid w:val="00CF489F"/>
    <w:rsid w:val="00CF5144"/>
    <w:rsid w:val="00CF56A5"/>
    <w:rsid w:val="00CF5849"/>
    <w:rsid w:val="00CF654C"/>
    <w:rsid w:val="00CF6B56"/>
    <w:rsid w:val="00CF7CF7"/>
    <w:rsid w:val="00CF7FF4"/>
    <w:rsid w:val="00D011DD"/>
    <w:rsid w:val="00D0125C"/>
    <w:rsid w:val="00D01BE6"/>
    <w:rsid w:val="00D037F9"/>
    <w:rsid w:val="00D03BF2"/>
    <w:rsid w:val="00D065D6"/>
    <w:rsid w:val="00D07154"/>
    <w:rsid w:val="00D100DB"/>
    <w:rsid w:val="00D106E4"/>
    <w:rsid w:val="00D11E90"/>
    <w:rsid w:val="00D12D3E"/>
    <w:rsid w:val="00D14138"/>
    <w:rsid w:val="00D14B13"/>
    <w:rsid w:val="00D14C3B"/>
    <w:rsid w:val="00D14C48"/>
    <w:rsid w:val="00D15D2D"/>
    <w:rsid w:val="00D15F81"/>
    <w:rsid w:val="00D161CE"/>
    <w:rsid w:val="00D1630A"/>
    <w:rsid w:val="00D16359"/>
    <w:rsid w:val="00D176A3"/>
    <w:rsid w:val="00D178B7"/>
    <w:rsid w:val="00D21647"/>
    <w:rsid w:val="00D23303"/>
    <w:rsid w:val="00D2413B"/>
    <w:rsid w:val="00D269C9"/>
    <w:rsid w:val="00D27EDA"/>
    <w:rsid w:val="00D27F89"/>
    <w:rsid w:val="00D31837"/>
    <w:rsid w:val="00D35503"/>
    <w:rsid w:val="00D36931"/>
    <w:rsid w:val="00D371EF"/>
    <w:rsid w:val="00D37837"/>
    <w:rsid w:val="00D3787C"/>
    <w:rsid w:val="00D416C9"/>
    <w:rsid w:val="00D426DD"/>
    <w:rsid w:val="00D42B9B"/>
    <w:rsid w:val="00D438CA"/>
    <w:rsid w:val="00D43B3E"/>
    <w:rsid w:val="00D45E21"/>
    <w:rsid w:val="00D46B3F"/>
    <w:rsid w:val="00D471A3"/>
    <w:rsid w:val="00D51239"/>
    <w:rsid w:val="00D515DC"/>
    <w:rsid w:val="00D51FDF"/>
    <w:rsid w:val="00D544AA"/>
    <w:rsid w:val="00D54621"/>
    <w:rsid w:val="00D54DC1"/>
    <w:rsid w:val="00D561F8"/>
    <w:rsid w:val="00D56C5F"/>
    <w:rsid w:val="00D576EE"/>
    <w:rsid w:val="00D57C8C"/>
    <w:rsid w:val="00D60976"/>
    <w:rsid w:val="00D617CA"/>
    <w:rsid w:val="00D61A57"/>
    <w:rsid w:val="00D63E98"/>
    <w:rsid w:val="00D64A0E"/>
    <w:rsid w:val="00D66A12"/>
    <w:rsid w:val="00D676E9"/>
    <w:rsid w:val="00D70896"/>
    <w:rsid w:val="00D710B5"/>
    <w:rsid w:val="00D73BE3"/>
    <w:rsid w:val="00D74126"/>
    <w:rsid w:val="00D74C13"/>
    <w:rsid w:val="00D755F7"/>
    <w:rsid w:val="00D75BDA"/>
    <w:rsid w:val="00D75E10"/>
    <w:rsid w:val="00D764AC"/>
    <w:rsid w:val="00D76AD0"/>
    <w:rsid w:val="00D775C3"/>
    <w:rsid w:val="00D775D3"/>
    <w:rsid w:val="00D833DC"/>
    <w:rsid w:val="00D84A89"/>
    <w:rsid w:val="00D9035B"/>
    <w:rsid w:val="00D90535"/>
    <w:rsid w:val="00D912EC"/>
    <w:rsid w:val="00D9133A"/>
    <w:rsid w:val="00D91A76"/>
    <w:rsid w:val="00D92518"/>
    <w:rsid w:val="00D93AFF"/>
    <w:rsid w:val="00D93C26"/>
    <w:rsid w:val="00D947F6"/>
    <w:rsid w:val="00D96A0D"/>
    <w:rsid w:val="00D97957"/>
    <w:rsid w:val="00DA22C5"/>
    <w:rsid w:val="00DA34E3"/>
    <w:rsid w:val="00DA3568"/>
    <w:rsid w:val="00DA35FC"/>
    <w:rsid w:val="00DA38CA"/>
    <w:rsid w:val="00DA44B2"/>
    <w:rsid w:val="00DA499D"/>
    <w:rsid w:val="00DA4CF5"/>
    <w:rsid w:val="00DA516E"/>
    <w:rsid w:val="00DA5CC2"/>
    <w:rsid w:val="00DA741C"/>
    <w:rsid w:val="00DA7AC0"/>
    <w:rsid w:val="00DA7F57"/>
    <w:rsid w:val="00DB084C"/>
    <w:rsid w:val="00DB0D61"/>
    <w:rsid w:val="00DB2B6F"/>
    <w:rsid w:val="00DB339B"/>
    <w:rsid w:val="00DB45EE"/>
    <w:rsid w:val="00DB5CC0"/>
    <w:rsid w:val="00DB6D05"/>
    <w:rsid w:val="00DB6F26"/>
    <w:rsid w:val="00DB7587"/>
    <w:rsid w:val="00DB7710"/>
    <w:rsid w:val="00DB7D9D"/>
    <w:rsid w:val="00DB7DEF"/>
    <w:rsid w:val="00DC08B8"/>
    <w:rsid w:val="00DC1B2F"/>
    <w:rsid w:val="00DC2369"/>
    <w:rsid w:val="00DC2819"/>
    <w:rsid w:val="00DC2D63"/>
    <w:rsid w:val="00DC3756"/>
    <w:rsid w:val="00DD02E3"/>
    <w:rsid w:val="00DD0615"/>
    <w:rsid w:val="00DD0848"/>
    <w:rsid w:val="00DD0B9E"/>
    <w:rsid w:val="00DD0E86"/>
    <w:rsid w:val="00DD1075"/>
    <w:rsid w:val="00DD107D"/>
    <w:rsid w:val="00DD2215"/>
    <w:rsid w:val="00DD24C7"/>
    <w:rsid w:val="00DD2C12"/>
    <w:rsid w:val="00DD2D0B"/>
    <w:rsid w:val="00DD4630"/>
    <w:rsid w:val="00DD5FD6"/>
    <w:rsid w:val="00DD676E"/>
    <w:rsid w:val="00DD726C"/>
    <w:rsid w:val="00DD763F"/>
    <w:rsid w:val="00DD7C26"/>
    <w:rsid w:val="00DE03CE"/>
    <w:rsid w:val="00DE1E6F"/>
    <w:rsid w:val="00DE2912"/>
    <w:rsid w:val="00DE325A"/>
    <w:rsid w:val="00DE3788"/>
    <w:rsid w:val="00DE49A6"/>
    <w:rsid w:val="00DE4A1E"/>
    <w:rsid w:val="00DE53DF"/>
    <w:rsid w:val="00DE6B28"/>
    <w:rsid w:val="00DE6C9F"/>
    <w:rsid w:val="00DE7A25"/>
    <w:rsid w:val="00DF0A56"/>
    <w:rsid w:val="00DF485D"/>
    <w:rsid w:val="00DF542E"/>
    <w:rsid w:val="00DF61E2"/>
    <w:rsid w:val="00DF7069"/>
    <w:rsid w:val="00DF70ED"/>
    <w:rsid w:val="00DF72B8"/>
    <w:rsid w:val="00E00570"/>
    <w:rsid w:val="00E00FA4"/>
    <w:rsid w:val="00E014E9"/>
    <w:rsid w:val="00E014F3"/>
    <w:rsid w:val="00E03096"/>
    <w:rsid w:val="00E0358D"/>
    <w:rsid w:val="00E037FD"/>
    <w:rsid w:val="00E04026"/>
    <w:rsid w:val="00E042CA"/>
    <w:rsid w:val="00E04FA9"/>
    <w:rsid w:val="00E061CB"/>
    <w:rsid w:val="00E07C41"/>
    <w:rsid w:val="00E107C1"/>
    <w:rsid w:val="00E10C41"/>
    <w:rsid w:val="00E11145"/>
    <w:rsid w:val="00E117B6"/>
    <w:rsid w:val="00E1237F"/>
    <w:rsid w:val="00E12D19"/>
    <w:rsid w:val="00E13866"/>
    <w:rsid w:val="00E145B7"/>
    <w:rsid w:val="00E15717"/>
    <w:rsid w:val="00E15999"/>
    <w:rsid w:val="00E16D05"/>
    <w:rsid w:val="00E178A1"/>
    <w:rsid w:val="00E17DAD"/>
    <w:rsid w:val="00E21876"/>
    <w:rsid w:val="00E21D43"/>
    <w:rsid w:val="00E21DF7"/>
    <w:rsid w:val="00E22FCB"/>
    <w:rsid w:val="00E23006"/>
    <w:rsid w:val="00E24047"/>
    <w:rsid w:val="00E24691"/>
    <w:rsid w:val="00E24B0D"/>
    <w:rsid w:val="00E24CE6"/>
    <w:rsid w:val="00E254B5"/>
    <w:rsid w:val="00E261F5"/>
    <w:rsid w:val="00E26E76"/>
    <w:rsid w:val="00E26FC4"/>
    <w:rsid w:val="00E2718C"/>
    <w:rsid w:val="00E273A9"/>
    <w:rsid w:val="00E30866"/>
    <w:rsid w:val="00E30CD8"/>
    <w:rsid w:val="00E32AE9"/>
    <w:rsid w:val="00E33243"/>
    <w:rsid w:val="00E34BAD"/>
    <w:rsid w:val="00E35093"/>
    <w:rsid w:val="00E36C6E"/>
    <w:rsid w:val="00E410DF"/>
    <w:rsid w:val="00E4154A"/>
    <w:rsid w:val="00E435B0"/>
    <w:rsid w:val="00E4364A"/>
    <w:rsid w:val="00E43AAB"/>
    <w:rsid w:val="00E46429"/>
    <w:rsid w:val="00E51272"/>
    <w:rsid w:val="00E512D7"/>
    <w:rsid w:val="00E513B6"/>
    <w:rsid w:val="00E525AD"/>
    <w:rsid w:val="00E52A69"/>
    <w:rsid w:val="00E53D90"/>
    <w:rsid w:val="00E53E95"/>
    <w:rsid w:val="00E54E96"/>
    <w:rsid w:val="00E56DEA"/>
    <w:rsid w:val="00E60F13"/>
    <w:rsid w:val="00E6313D"/>
    <w:rsid w:val="00E63679"/>
    <w:rsid w:val="00E664F0"/>
    <w:rsid w:val="00E670B0"/>
    <w:rsid w:val="00E6720E"/>
    <w:rsid w:val="00E674FD"/>
    <w:rsid w:val="00E70AA6"/>
    <w:rsid w:val="00E70B7E"/>
    <w:rsid w:val="00E72355"/>
    <w:rsid w:val="00E73372"/>
    <w:rsid w:val="00E74468"/>
    <w:rsid w:val="00E74CF6"/>
    <w:rsid w:val="00E75907"/>
    <w:rsid w:val="00E76709"/>
    <w:rsid w:val="00E76C93"/>
    <w:rsid w:val="00E76D28"/>
    <w:rsid w:val="00E80903"/>
    <w:rsid w:val="00E8095D"/>
    <w:rsid w:val="00E80D13"/>
    <w:rsid w:val="00E81536"/>
    <w:rsid w:val="00E8182B"/>
    <w:rsid w:val="00E81EFB"/>
    <w:rsid w:val="00E820FA"/>
    <w:rsid w:val="00E84511"/>
    <w:rsid w:val="00E84B5E"/>
    <w:rsid w:val="00E85499"/>
    <w:rsid w:val="00E85D31"/>
    <w:rsid w:val="00E86361"/>
    <w:rsid w:val="00E8731D"/>
    <w:rsid w:val="00E929A3"/>
    <w:rsid w:val="00E93322"/>
    <w:rsid w:val="00E935AA"/>
    <w:rsid w:val="00E93CD8"/>
    <w:rsid w:val="00E95CA1"/>
    <w:rsid w:val="00E9650D"/>
    <w:rsid w:val="00E977D5"/>
    <w:rsid w:val="00E97905"/>
    <w:rsid w:val="00EA0D3E"/>
    <w:rsid w:val="00EA33AA"/>
    <w:rsid w:val="00EA3BE4"/>
    <w:rsid w:val="00EA4525"/>
    <w:rsid w:val="00EA4E18"/>
    <w:rsid w:val="00EA53B3"/>
    <w:rsid w:val="00EA57BF"/>
    <w:rsid w:val="00EA6062"/>
    <w:rsid w:val="00EA7308"/>
    <w:rsid w:val="00EA7E47"/>
    <w:rsid w:val="00EB0499"/>
    <w:rsid w:val="00EB2BEF"/>
    <w:rsid w:val="00EB4184"/>
    <w:rsid w:val="00EB73AE"/>
    <w:rsid w:val="00EB77D0"/>
    <w:rsid w:val="00EB7B7C"/>
    <w:rsid w:val="00EC04E4"/>
    <w:rsid w:val="00EC04EC"/>
    <w:rsid w:val="00EC0780"/>
    <w:rsid w:val="00EC13FA"/>
    <w:rsid w:val="00EC1F59"/>
    <w:rsid w:val="00EC21B8"/>
    <w:rsid w:val="00EC21F6"/>
    <w:rsid w:val="00EC21FB"/>
    <w:rsid w:val="00EC2285"/>
    <w:rsid w:val="00EC31C1"/>
    <w:rsid w:val="00EC3B51"/>
    <w:rsid w:val="00EC3C70"/>
    <w:rsid w:val="00EC3E94"/>
    <w:rsid w:val="00EC4A59"/>
    <w:rsid w:val="00EC52FA"/>
    <w:rsid w:val="00ED1DAF"/>
    <w:rsid w:val="00ED1F2D"/>
    <w:rsid w:val="00ED3515"/>
    <w:rsid w:val="00ED352F"/>
    <w:rsid w:val="00ED3EC8"/>
    <w:rsid w:val="00ED648D"/>
    <w:rsid w:val="00ED6852"/>
    <w:rsid w:val="00ED6F0F"/>
    <w:rsid w:val="00ED7311"/>
    <w:rsid w:val="00ED796B"/>
    <w:rsid w:val="00ED7F1E"/>
    <w:rsid w:val="00EE07FD"/>
    <w:rsid w:val="00EE2CB5"/>
    <w:rsid w:val="00EE47DE"/>
    <w:rsid w:val="00EE55E9"/>
    <w:rsid w:val="00EE7204"/>
    <w:rsid w:val="00EF09C2"/>
    <w:rsid w:val="00EF1154"/>
    <w:rsid w:val="00EF14C9"/>
    <w:rsid w:val="00EF21EF"/>
    <w:rsid w:val="00EF46EB"/>
    <w:rsid w:val="00EF4BE3"/>
    <w:rsid w:val="00EF5E4C"/>
    <w:rsid w:val="00EF60CD"/>
    <w:rsid w:val="00EF6C21"/>
    <w:rsid w:val="00EF6EC3"/>
    <w:rsid w:val="00EF76A2"/>
    <w:rsid w:val="00F0037F"/>
    <w:rsid w:val="00F0061B"/>
    <w:rsid w:val="00F00FC2"/>
    <w:rsid w:val="00F017C0"/>
    <w:rsid w:val="00F0424F"/>
    <w:rsid w:val="00F04D4B"/>
    <w:rsid w:val="00F05E9E"/>
    <w:rsid w:val="00F05EB8"/>
    <w:rsid w:val="00F061E3"/>
    <w:rsid w:val="00F0622C"/>
    <w:rsid w:val="00F06CDE"/>
    <w:rsid w:val="00F07085"/>
    <w:rsid w:val="00F10ABA"/>
    <w:rsid w:val="00F116B0"/>
    <w:rsid w:val="00F11E76"/>
    <w:rsid w:val="00F11F13"/>
    <w:rsid w:val="00F125CA"/>
    <w:rsid w:val="00F13838"/>
    <w:rsid w:val="00F13A87"/>
    <w:rsid w:val="00F148BE"/>
    <w:rsid w:val="00F14F98"/>
    <w:rsid w:val="00F17403"/>
    <w:rsid w:val="00F20C8D"/>
    <w:rsid w:val="00F22D0E"/>
    <w:rsid w:val="00F235CF"/>
    <w:rsid w:val="00F24B32"/>
    <w:rsid w:val="00F24ED0"/>
    <w:rsid w:val="00F269EC"/>
    <w:rsid w:val="00F2711B"/>
    <w:rsid w:val="00F27152"/>
    <w:rsid w:val="00F318E4"/>
    <w:rsid w:val="00F31EE5"/>
    <w:rsid w:val="00F322E0"/>
    <w:rsid w:val="00F332A6"/>
    <w:rsid w:val="00F33374"/>
    <w:rsid w:val="00F33902"/>
    <w:rsid w:val="00F33AA4"/>
    <w:rsid w:val="00F33DBA"/>
    <w:rsid w:val="00F341E4"/>
    <w:rsid w:val="00F3427B"/>
    <w:rsid w:val="00F35943"/>
    <w:rsid w:val="00F36470"/>
    <w:rsid w:val="00F404C0"/>
    <w:rsid w:val="00F4050D"/>
    <w:rsid w:val="00F405AD"/>
    <w:rsid w:val="00F405B1"/>
    <w:rsid w:val="00F41B40"/>
    <w:rsid w:val="00F430B3"/>
    <w:rsid w:val="00F4316C"/>
    <w:rsid w:val="00F43A33"/>
    <w:rsid w:val="00F43BD9"/>
    <w:rsid w:val="00F446FC"/>
    <w:rsid w:val="00F44BAF"/>
    <w:rsid w:val="00F4602A"/>
    <w:rsid w:val="00F46A2C"/>
    <w:rsid w:val="00F46CEA"/>
    <w:rsid w:val="00F46FAB"/>
    <w:rsid w:val="00F47864"/>
    <w:rsid w:val="00F5085D"/>
    <w:rsid w:val="00F50ABD"/>
    <w:rsid w:val="00F50F2B"/>
    <w:rsid w:val="00F529F3"/>
    <w:rsid w:val="00F543F1"/>
    <w:rsid w:val="00F55740"/>
    <w:rsid w:val="00F60463"/>
    <w:rsid w:val="00F60732"/>
    <w:rsid w:val="00F612E8"/>
    <w:rsid w:val="00F61770"/>
    <w:rsid w:val="00F61869"/>
    <w:rsid w:val="00F61BE4"/>
    <w:rsid w:val="00F61CAB"/>
    <w:rsid w:val="00F62242"/>
    <w:rsid w:val="00F6287B"/>
    <w:rsid w:val="00F62E3F"/>
    <w:rsid w:val="00F65FFF"/>
    <w:rsid w:val="00F666A0"/>
    <w:rsid w:val="00F6689C"/>
    <w:rsid w:val="00F67BCC"/>
    <w:rsid w:val="00F67C29"/>
    <w:rsid w:val="00F70C76"/>
    <w:rsid w:val="00F730EA"/>
    <w:rsid w:val="00F74187"/>
    <w:rsid w:val="00F754E2"/>
    <w:rsid w:val="00F7722E"/>
    <w:rsid w:val="00F8572C"/>
    <w:rsid w:val="00F86B38"/>
    <w:rsid w:val="00F87138"/>
    <w:rsid w:val="00F87DA2"/>
    <w:rsid w:val="00F87E8C"/>
    <w:rsid w:val="00F91EFF"/>
    <w:rsid w:val="00F92667"/>
    <w:rsid w:val="00F92787"/>
    <w:rsid w:val="00F927C0"/>
    <w:rsid w:val="00F92808"/>
    <w:rsid w:val="00F930EA"/>
    <w:rsid w:val="00F93942"/>
    <w:rsid w:val="00F94017"/>
    <w:rsid w:val="00F94317"/>
    <w:rsid w:val="00F95480"/>
    <w:rsid w:val="00F96569"/>
    <w:rsid w:val="00F96B9D"/>
    <w:rsid w:val="00F9799B"/>
    <w:rsid w:val="00F97B42"/>
    <w:rsid w:val="00FA0BD2"/>
    <w:rsid w:val="00FA0DC1"/>
    <w:rsid w:val="00FA2402"/>
    <w:rsid w:val="00FA280E"/>
    <w:rsid w:val="00FA28FA"/>
    <w:rsid w:val="00FA3143"/>
    <w:rsid w:val="00FA3373"/>
    <w:rsid w:val="00FA35A6"/>
    <w:rsid w:val="00FA3761"/>
    <w:rsid w:val="00FA442E"/>
    <w:rsid w:val="00FA61EB"/>
    <w:rsid w:val="00FA7401"/>
    <w:rsid w:val="00FA754F"/>
    <w:rsid w:val="00FB0444"/>
    <w:rsid w:val="00FB1C41"/>
    <w:rsid w:val="00FB20D2"/>
    <w:rsid w:val="00FB2902"/>
    <w:rsid w:val="00FB4619"/>
    <w:rsid w:val="00FB46E9"/>
    <w:rsid w:val="00FB6D5E"/>
    <w:rsid w:val="00FC1C86"/>
    <w:rsid w:val="00FC2DD1"/>
    <w:rsid w:val="00FC3139"/>
    <w:rsid w:val="00FC5F64"/>
    <w:rsid w:val="00FC6694"/>
    <w:rsid w:val="00FD0C0B"/>
    <w:rsid w:val="00FD1E8F"/>
    <w:rsid w:val="00FD3151"/>
    <w:rsid w:val="00FD333C"/>
    <w:rsid w:val="00FD35C6"/>
    <w:rsid w:val="00FD6BD0"/>
    <w:rsid w:val="00FD6D79"/>
    <w:rsid w:val="00FE03E2"/>
    <w:rsid w:val="00FE2370"/>
    <w:rsid w:val="00FE4AF3"/>
    <w:rsid w:val="00FE52F7"/>
    <w:rsid w:val="00FE5ABB"/>
    <w:rsid w:val="00FE602B"/>
    <w:rsid w:val="00FE71FF"/>
    <w:rsid w:val="00FF02C1"/>
    <w:rsid w:val="00FF04F4"/>
    <w:rsid w:val="00FF316A"/>
    <w:rsid w:val="00FF3C5F"/>
    <w:rsid w:val="00FF7A06"/>
    <w:rsid w:val="00FF7F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756551"/>
  <w15:docId w15:val="{813BDF44-1E84-411C-8F0D-0F87A3E0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39"/>
    <w:pPr>
      <w:spacing w:after="200" w:line="276" w:lineRule="auto"/>
    </w:pPr>
    <w:rPr>
      <w:rFonts w:ascii="Times New Roman" w:hAnsi="Times New Roman" w:cs="Calibri"/>
      <w:sz w:val="24"/>
      <w:szCs w:val="22"/>
      <w:lang w:eastAsia="en-US"/>
    </w:rPr>
  </w:style>
  <w:style w:type="paragraph" w:styleId="Heading1">
    <w:name w:val="heading 1"/>
    <w:basedOn w:val="Normal"/>
    <w:next w:val="Normal"/>
    <w:link w:val="Heading1Char"/>
    <w:autoRedefine/>
    <w:qFormat/>
    <w:locked/>
    <w:rsid w:val="00827639"/>
    <w:pPr>
      <w:keepNext/>
      <w:keepLines/>
      <w:spacing w:before="240" w:after="0"/>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locked/>
    <w:rsid w:val="00827639"/>
    <w:pPr>
      <w:keepNext/>
      <w:keepLines/>
      <w:spacing w:before="40" w:after="0"/>
      <w:outlineLvl w:val="1"/>
    </w:pPr>
    <w:rPr>
      <w:rFonts w:eastAsiaTheme="majorEastAsia" w:cstheme="majorBidi"/>
      <w:b/>
      <w:i/>
      <w:sz w:val="26"/>
      <w:szCs w:val="26"/>
    </w:rPr>
  </w:style>
  <w:style w:type="paragraph" w:styleId="Heading3">
    <w:name w:val="heading 3"/>
    <w:basedOn w:val="Normal"/>
    <w:link w:val="Heading3Char"/>
    <w:uiPriority w:val="9"/>
    <w:qFormat/>
    <w:locked/>
    <w:rsid w:val="003F2F7E"/>
    <w:pPr>
      <w:spacing w:before="100" w:beforeAutospacing="1" w:after="100" w:afterAutospacing="1" w:line="240" w:lineRule="auto"/>
      <w:outlineLvl w:val="2"/>
    </w:pPr>
    <w:rPr>
      <w:rFonts w:eastAsia="Times New Roman" w:cs="Times New Roman"/>
      <w:b/>
      <w:bCs/>
      <w:sz w:val="27"/>
      <w:szCs w:val="27"/>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basedOn w:val="Normal"/>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eastAsia="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Cs w:val="24"/>
      <w:lang w:eastAsia="lv-LV"/>
    </w:rPr>
  </w:style>
  <w:style w:type="paragraph" w:styleId="BodyText">
    <w:name w:val="Body Text"/>
    <w:aliases w:val="OT Body Text,Body,Tekst"/>
    <w:basedOn w:val="Normal"/>
    <w:link w:val="BodyTextChar1"/>
    <w:uiPriority w:val="99"/>
    <w:rsid w:val="00195E75"/>
    <w:pPr>
      <w:spacing w:after="120" w:line="240" w:lineRule="auto"/>
    </w:pPr>
    <w:rPr>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BodyTextChar1">
    <w:name w:val="Body Text Char1"/>
    <w:aliases w:val="OT Body Text Char1,Body Char1,Tekst Char1"/>
    <w:link w:val="BodyText"/>
    <w:uiPriority w:val="99"/>
    <w:locked/>
    <w:rsid w:val="00195E75"/>
    <w:rPr>
      <w:rFonts w:cs="Times New Roman"/>
      <w:sz w:val="24"/>
      <w:szCs w:val="24"/>
      <w:lang w:val="ru-RU" w:eastAsia="lv-LV"/>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C"/>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C Char"/>
    <w:link w:val="FootnoteText"/>
    <w:uiPriority w:val="99"/>
    <w:locked/>
    <w:rsid w:val="00E9650D"/>
    <w:rPr>
      <w:rFonts w:cs="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195E75"/>
    <w:rPr>
      <w:rFonts w:cs="Times New Roman"/>
      <w:vertAlign w:val="superscript"/>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cs="Times New Roman"/>
      <w:b/>
      <w:caps/>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eastAsia="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7C7411"/>
    <w:pPr>
      <w:ind w:left="720"/>
      <w:contextualSpacing/>
    </w:pPr>
  </w:style>
  <w:style w:type="character" w:customStyle="1" w:styleId="apple-converted-space">
    <w:name w:val="apple-converted-space"/>
    <w:basedOn w:val="DefaultParagraphFont"/>
    <w:rsid w:val="00CE21CD"/>
  </w:style>
  <w:style w:type="table" w:styleId="TableGrid">
    <w:name w:val="Table Grid"/>
    <w:basedOn w:val="TableNormal"/>
    <w:uiPriority w:val="39"/>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C243E5"/>
  </w:style>
  <w:style w:type="character" w:customStyle="1" w:styleId="highlight">
    <w:name w:val="highlight"/>
    <w:rsid w:val="00C243E5"/>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C243E5"/>
    <w:rPr>
      <w:rFonts w:cs="Calibri"/>
      <w:sz w:val="22"/>
      <w:szCs w:val="22"/>
      <w:lang w:eastAsia="en-US"/>
    </w:rPr>
  </w:style>
  <w:style w:type="paragraph" w:customStyle="1" w:styleId="CharCharCharChar">
    <w:name w:val="Char Char Char Char"/>
    <w:aliases w:val="Char2"/>
    <w:basedOn w:val="Normal"/>
    <w:next w:val="Normal"/>
    <w:link w:val="FootnoteReference"/>
    <w:uiPriority w:val="99"/>
    <w:rsid w:val="00570A69"/>
    <w:pPr>
      <w:spacing w:after="160" w:line="240" w:lineRule="exact"/>
      <w:jc w:val="both"/>
      <w:textAlignment w:val="baseline"/>
    </w:pPr>
    <w:rPr>
      <w:rFonts w:cs="Times New Roman"/>
      <w:sz w:val="20"/>
      <w:szCs w:val="20"/>
      <w:vertAlign w:val="superscript"/>
      <w:lang w:eastAsia="lv-LV"/>
    </w:rPr>
  </w:style>
  <w:style w:type="paragraph" w:styleId="Subtitle">
    <w:name w:val="Subtitle"/>
    <w:basedOn w:val="Normal"/>
    <w:link w:val="SubtitleChar"/>
    <w:qFormat/>
    <w:locked/>
    <w:rsid w:val="00912047"/>
    <w:pPr>
      <w:spacing w:after="0" w:line="240" w:lineRule="auto"/>
      <w:jc w:val="center"/>
    </w:pPr>
    <w:rPr>
      <w:rFonts w:eastAsia="Times New Roman" w:cs="Times New Roman"/>
      <w:b/>
      <w:sz w:val="40"/>
      <w:szCs w:val="20"/>
      <w:lang w:eastAsia="lv-LV"/>
    </w:rPr>
  </w:style>
  <w:style w:type="character" w:customStyle="1" w:styleId="SubtitleChar">
    <w:name w:val="Subtitle Char"/>
    <w:basedOn w:val="DefaultParagraphFont"/>
    <w:link w:val="Subtitle"/>
    <w:rsid w:val="00912047"/>
    <w:rPr>
      <w:rFonts w:ascii="Times New Roman" w:eastAsia="Times New Roman" w:hAnsi="Times New Roman"/>
      <w:b/>
      <w:sz w:val="40"/>
    </w:rPr>
  </w:style>
  <w:style w:type="character" w:styleId="Emphasis">
    <w:name w:val="Emphasis"/>
    <w:basedOn w:val="DefaultParagraphFont"/>
    <w:uiPriority w:val="20"/>
    <w:qFormat/>
    <w:locked/>
    <w:rsid w:val="00B8348F"/>
    <w:rPr>
      <w:i/>
      <w:iCs/>
    </w:rPr>
  </w:style>
  <w:style w:type="paragraph" w:customStyle="1" w:styleId="naisc">
    <w:name w:val="naisc"/>
    <w:basedOn w:val="Normal"/>
    <w:rsid w:val="005A07DC"/>
    <w:pPr>
      <w:spacing w:before="75" w:after="75" w:line="240" w:lineRule="auto"/>
      <w:jc w:val="center"/>
    </w:pPr>
    <w:rPr>
      <w:rFonts w:eastAsia="Times New Roman" w:cs="Times New Roman"/>
      <w:szCs w:val="24"/>
      <w:lang w:eastAsia="lv-LV"/>
    </w:rPr>
  </w:style>
  <w:style w:type="paragraph" w:styleId="Revision">
    <w:name w:val="Revision"/>
    <w:hidden/>
    <w:uiPriority w:val="99"/>
    <w:semiHidden/>
    <w:rsid w:val="00243557"/>
    <w:rPr>
      <w:rFonts w:cs="Calibri"/>
      <w:sz w:val="22"/>
      <w:szCs w:val="22"/>
      <w:lang w:eastAsia="en-US"/>
    </w:rPr>
  </w:style>
  <w:style w:type="paragraph" w:customStyle="1" w:styleId="tv213">
    <w:name w:val="tv213"/>
    <w:basedOn w:val="Normal"/>
    <w:rsid w:val="00B54E2E"/>
    <w:pPr>
      <w:spacing w:before="100" w:beforeAutospacing="1" w:after="100" w:afterAutospacing="1" w:line="240" w:lineRule="auto"/>
    </w:pPr>
    <w:rPr>
      <w:rFonts w:eastAsia="Times New Roman" w:cs="Times New Roman"/>
      <w:szCs w:val="24"/>
      <w:lang w:eastAsia="lv-LV"/>
    </w:rPr>
  </w:style>
  <w:style w:type="character" w:customStyle="1" w:styleId="Heading3Char">
    <w:name w:val="Heading 3 Char"/>
    <w:basedOn w:val="DefaultParagraphFont"/>
    <w:link w:val="Heading3"/>
    <w:uiPriority w:val="9"/>
    <w:rsid w:val="003F2F7E"/>
    <w:rPr>
      <w:rFonts w:ascii="Times New Roman" w:eastAsia="Times New Roman" w:hAnsi="Times New Roman"/>
      <w:b/>
      <w:bCs/>
      <w:sz w:val="27"/>
      <w:szCs w:val="27"/>
      <w:lang w:bidi="lo-LA"/>
    </w:rPr>
  </w:style>
  <w:style w:type="paragraph" w:styleId="EndnoteText">
    <w:name w:val="endnote text"/>
    <w:basedOn w:val="Normal"/>
    <w:link w:val="EndnoteTextChar"/>
    <w:uiPriority w:val="99"/>
    <w:semiHidden/>
    <w:unhideWhenUsed/>
    <w:rsid w:val="00CC26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631"/>
    <w:rPr>
      <w:rFonts w:cs="Calibri"/>
      <w:lang w:eastAsia="en-US"/>
    </w:rPr>
  </w:style>
  <w:style w:type="character" w:styleId="EndnoteReference">
    <w:name w:val="endnote reference"/>
    <w:basedOn w:val="DefaultParagraphFont"/>
    <w:uiPriority w:val="99"/>
    <w:semiHidden/>
    <w:unhideWhenUsed/>
    <w:rsid w:val="00CC2631"/>
    <w:rPr>
      <w:vertAlign w:val="superscript"/>
    </w:rPr>
  </w:style>
  <w:style w:type="paragraph" w:styleId="NoSpacing">
    <w:name w:val="No Spacing"/>
    <w:uiPriority w:val="1"/>
    <w:qFormat/>
    <w:rsid w:val="00D775C3"/>
    <w:rPr>
      <w:rFonts w:cs="Calibri"/>
      <w:sz w:val="22"/>
      <w:szCs w:val="22"/>
      <w:lang w:eastAsia="en-US"/>
    </w:rPr>
  </w:style>
  <w:style w:type="paragraph" w:customStyle="1" w:styleId="xl65">
    <w:name w:val="xl65"/>
    <w:basedOn w:val="Normal"/>
    <w:rsid w:val="00B010F4"/>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66">
    <w:name w:val="xl6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67">
    <w:name w:val="xl67"/>
    <w:basedOn w:val="Normal"/>
    <w:rsid w:val="00B010F4"/>
    <w:pPr>
      <w:pBdr>
        <w:top w:val="single" w:sz="4" w:space="0" w:color="000000"/>
        <w:left w:val="single" w:sz="4" w:space="0" w:color="000000"/>
        <w:right w:val="single" w:sz="12"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68">
    <w:name w:val="xl68"/>
    <w:basedOn w:val="Normal"/>
    <w:rsid w:val="00B010F4"/>
    <w:pPr>
      <w:pBdr>
        <w:left w:val="single" w:sz="4" w:space="0" w:color="000000"/>
        <w:right w:val="single" w:sz="12"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69">
    <w:name w:val="xl69"/>
    <w:basedOn w:val="Normal"/>
    <w:rsid w:val="00B010F4"/>
    <w:pPr>
      <w:pBdr>
        <w:left w:val="single" w:sz="4" w:space="0" w:color="000000"/>
        <w:right w:val="single" w:sz="4"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70">
    <w:name w:val="xl70"/>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1">
    <w:name w:val="xl71"/>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sz w:val="16"/>
      <w:szCs w:val="16"/>
      <w:lang w:val="en-GB" w:eastAsia="en-GB"/>
    </w:rPr>
  </w:style>
  <w:style w:type="paragraph" w:customStyle="1" w:styleId="xl72">
    <w:name w:val="xl72"/>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top"/>
    </w:pPr>
    <w:rPr>
      <w:rFonts w:eastAsia="Times New Roman" w:cs="Times New Roman"/>
      <w:sz w:val="16"/>
      <w:szCs w:val="16"/>
      <w:lang w:val="en-GB" w:eastAsia="en-GB"/>
    </w:rPr>
  </w:style>
  <w:style w:type="paragraph" w:customStyle="1" w:styleId="xl73">
    <w:name w:val="xl73"/>
    <w:basedOn w:val="Normal"/>
    <w:rsid w:val="00B010F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4">
    <w:name w:val="xl74"/>
    <w:basedOn w:val="Normal"/>
    <w:rsid w:val="00B010F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5">
    <w:name w:val="xl7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76">
    <w:name w:val="xl7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77">
    <w:name w:val="xl77"/>
    <w:basedOn w:val="Normal"/>
    <w:rsid w:val="00B010F4"/>
    <w:pPr>
      <w:pBdr>
        <w:left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8">
    <w:name w:val="xl78"/>
    <w:basedOn w:val="Normal"/>
    <w:rsid w:val="00B010F4"/>
    <w:pPr>
      <w:pBdr>
        <w:left w:val="single" w:sz="4" w:space="0" w:color="000000"/>
        <w:right w:val="single" w:sz="12"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9">
    <w:name w:val="xl79"/>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0">
    <w:name w:val="xl80"/>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81">
    <w:name w:val="xl81"/>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82">
    <w:name w:val="xl82"/>
    <w:basedOn w:val="Normal"/>
    <w:rsid w:val="00B010F4"/>
    <w:pP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3">
    <w:name w:val="xl83"/>
    <w:basedOn w:val="Normal"/>
    <w:rsid w:val="00B010F4"/>
    <w:pPr>
      <w:pBdr>
        <w:left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4">
    <w:name w:val="xl84"/>
    <w:basedOn w:val="Normal"/>
    <w:rsid w:val="00B010F4"/>
    <w:pPr>
      <w:pBdr>
        <w:top w:val="single" w:sz="4" w:space="0" w:color="000000"/>
        <w:left w:val="single" w:sz="4" w:space="0" w:color="000000"/>
        <w:bottom w:val="single" w:sz="12"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5">
    <w:name w:val="xl85"/>
    <w:basedOn w:val="Normal"/>
    <w:rsid w:val="00B010F4"/>
    <w:pPr>
      <w:pBdr>
        <w:lef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6">
    <w:name w:val="xl86"/>
    <w:basedOn w:val="Normal"/>
    <w:rsid w:val="00B010F4"/>
    <w:pPr>
      <w:pBdr>
        <w:left w:val="single" w:sz="4" w:space="0" w:color="000000"/>
        <w:bottom w:val="single" w:sz="4" w:space="0" w:color="000000"/>
      </w:pBdr>
      <w:spacing w:before="100" w:beforeAutospacing="1" w:after="100" w:afterAutospacing="1" w:line="240" w:lineRule="auto"/>
      <w:jc w:val="center"/>
      <w:textAlignment w:val="top"/>
    </w:pPr>
    <w:rPr>
      <w:rFonts w:eastAsia="Times New Roman" w:cs="Times New Roman"/>
      <w:sz w:val="16"/>
      <w:szCs w:val="16"/>
      <w:lang w:val="en-GB" w:eastAsia="en-GB"/>
    </w:rPr>
  </w:style>
  <w:style w:type="paragraph" w:customStyle="1" w:styleId="xl87">
    <w:name w:val="xl87"/>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88">
    <w:name w:val="xl8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9">
    <w:name w:val="xl8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92">
    <w:name w:val="xl92"/>
    <w:basedOn w:val="Normal"/>
    <w:rsid w:val="00B010F4"/>
    <w:pPr>
      <w:pBdr>
        <w:top w:val="single" w:sz="4" w:space="0" w:color="000000"/>
        <w:left w:val="single" w:sz="4"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93">
    <w:name w:val="xl93"/>
    <w:basedOn w:val="Normal"/>
    <w:rsid w:val="00B010F4"/>
    <w:pPr>
      <w:pBdr>
        <w:left w:val="single" w:sz="4"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94">
    <w:name w:val="xl94"/>
    <w:basedOn w:val="Normal"/>
    <w:rsid w:val="00B010F4"/>
    <w:pPr>
      <w:spacing w:before="100" w:beforeAutospacing="1" w:after="100" w:afterAutospacing="1" w:line="240" w:lineRule="auto"/>
      <w:jc w:val="center"/>
      <w:textAlignment w:val="top"/>
    </w:pPr>
    <w:rPr>
      <w:rFonts w:eastAsia="Times New Roman" w:cs="Times New Roman"/>
      <w:sz w:val="16"/>
      <w:szCs w:val="16"/>
      <w:lang w:val="en-GB" w:eastAsia="en-GB"/>
    </w:rPr>
  </w:style>
  <w:style w:type="paragraph" w:customStyle="1" w:styleId="xl95">
    <w:name w:val="xl95"/>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96">
    <w:name w:val="xl96"/>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97">
    <w:name w:val="xl97"/>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98">
    <w:name w:val="xl98"/>
    <w:basedOn w:val="Normal"/>
    <w:rsid w:val="00B010F4"/>
    <w:pPr>
      <w:pBdr>
        <w:left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99">
    <w:name w:val="xl9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val="en-GB" w:eastAsia="en-GB"/>
    </w:rPr>
  </w:style>
  <w:style w:type="paragraph" w:customStyle="1" w:styleId="xl100">
    <w:name w:val="xl100"/>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101">
    <w:name w:val="xl101"/>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102">
    <w:name w:val="xl102"/>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val="en-GB" w:eastAsia="en-GB"/>
    </w:rPr>
  </w:style>
  <w:style w:type="paragraph" w:customStyle="1" w:styleId="xl103">
    <w:name w:val="xl103"/>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4"/>
      <w:lang w:val="en-GB" w:eastAsia="en-GB"/>
    </w:rPr>
  </w:style>
  <w:style w:type="paragraph" w:customStyle="1" w:styleId="xl104">
    <w:name w:val="xl104"/>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B0F0"/>
      <w:szCs w:val="24"/>
      <w:lang w:val="en-GB" w:eastAsia="en-GB"/>
    </w:rPr>
  </w:style>
  <w:style w:type="paragraph" w:customStyle="1" w:styleId="xl105">
    <w:name w:val="xl10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06">
    <w:name w:val="xl10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07">
    <w:name w:val="xl107"/>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08">
    <w:name w:val="xl108"/>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09">
    <w:name w:val="xl109"/>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10">
    <w:name w:val="xl110"/>
    <w:basedOn w:val="Normal"/>
    <w:rsid w:val="00B010F4"/>
    <w:pPr>
      <w:pBdr>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11">
    <w:name w:val="xl111"/>
    <w:basedOn w:val="Normal"/>
    <w:rsid w:val="00B010F4"/>
    <w:pPr>
      <w:pBdr>
        <w:bottom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112">
    <w:name w:val="xl112"/>
    <w:basedOn w:val="Normal"/>
    <w:rsid w:val="00B010F4"/>
    <w:pPr>
      <w:pBdr>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113">
    <w:name w:val="xl113"/>
    <w:basedOn w:val="Normal"/>
    <w:rsid w:val="00B010F4"/>
    <w:pPr>
      <w:pBdr>
        <w:left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114">
    <w:name w:val="xl114"/>
    <w:basedOn w:val="Normal"/>
    <w:rsid w:val="00B010F4"/>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115">
    <w:name w:val="xl11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116">
    <w:name w:val="xl116"/>
    <w:basedOn w:val="Normal"/>
    <w:rsid w:val="00B010F4"/>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117">
    <w:name w:val="xl11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118">
    <w:name w:val="xl11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19">
    <w:name w:val="xl119"/>
    <w:basedOn w:val="Normal"/>
    <w:rsid w:val="00B010F4"/>
    <w:pPr>
      <w:pBdr>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0">
    <w:name w:val="xl120"/>
    <w:basedOn w:val="Normal"/>
    <w:rsid w:val="00B010F4"/>
    <w:pPr>
      <w:pBdr>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1">
    <w:name w:val="xl121"/>
    <w:basedOn w:val="Normal"/>
    <w:rsid w:val="00B010F4"/>
    <w:pPr>
      <w:pBdr>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2">
    <w:name w:val="xl122"/>
    <w:basedOn w:val="Normal"/>
    <w:rsid w:val="00B010F4"/>
    <w:pPr>
      <w:pBdr>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3">
    <w:name w:val="xl123"/>
    <w:basedOn w:val="Normal"/>
    <w:rsid w:val="00B010F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4"/>
      <w:lang w:val="en-GB" w:eastAsia="en-GB"/>
    </w:rPr>
  </w:style>
  <w:style w:type="paragraph" w:customStyle="1" w:styleId="xl124">
    <w:name w:val="xl124"/>
    <w:basedOn w:val="Normal"/>
    <w:rsid w:val="00B010F4"/>
    <w:pPr>
      <w:pBdr>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5">
    <w:name w:val="xl12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6">
    <w:name w:val="xl126"/>
    <w:basedOn w:val="Normal"/>
    <w:rsid w:val="00B010F4"/>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7">
    <w:name w:val="xl12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8">
    <w:name w:val="xl12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Cs w:val="24"/>
      <w:lang w:val="en-GB" w:eastAsia="en-GB"/>
    </w:rPr>
  </w:style>
  <w:style w:type="paragraph" w:customStyle="1" w:styleId="naisf">
    <w:name w:val="naisf"/>
    <w:basedOn w:val="Normal"/>
    <w:rsid w:val="00865EB6"/>
    <w:pPr>
      <w:spacing w:before="100" w:beforeAutospacing="1" w:after="100" w:afterAutospacing="1" w:line="240" w:lineRule="auto"/>
    </w:pPr>
    <w:rPr>
      <w:rFonts w:eastAsia="Times New Roman" w:cs="Times New Roman"/>
      <w:szCs w:val="24"/>
      <w:lang w:eastAsia="lv-LV"/>
    </w:rPr>
  </w:style>
  <w:style w:type="character" w:customStyle="1" w:styleId="apple-style-span">
    <w:name w:val="apple-style-span"/>
    <w:rsid w:val="00865EB6"/>
  </w:style>
  <w:style w:type="character" w:customStyle="1" w:styleId="Heading1Char">
    <w:name w:val="Heading 1 Char"/>
    <w:basedOn w:val="DefaultParagraphFont"/>
    <w:link w:val="Heading1"/>
    <w:rsid w:val="00827639"/>
    <w:rPr>
      <w:rFonts w:ascii="Times New Roman" w:eastAsiaTheme="majorEastAsia" w:hAnsi="Times New Roman"/>
      <w:b/>
      <w:sz w:val="28"/>
      <w:szCs w:val="28"/>
      <w:lang w:eastAsia="en-US"/>
    </w:rPr>
  </w:style>
  <w:style w:type="character" w:customStyle="1" w:styleId="Heading2Char">
    <w:name w:val="Heading 2 Char"/>
    <w:basedOn w:val="DefaultParagraphFont"/>
    <w:link w:val="Heading2"/>
    <w:rsid w:val="00827639"/>
    <w:rPr>
      <w:rFonts w:ascii="Times New Roman" w:eastAsiaTheme="majorEastAsia" w:hAnsi="Times New Roman" w:cstheme="majorBidi"/>
      <w:b/>
      <w:i/>
      <w:sz w:val="26"/>
      <w:szCs w:val="26"/>
      <w:lang w:eastAsia="en-US"/>
    </w:rPr>
  </w:style>
  <w:style w:type="character" w:styleId="Strong">
    <w:name w:val="Strong"/>
    <w:basedOn w:val="DefaultParagraphFont"/>
    <w:uiPriority w:val="22"/>
    <w:qFormat/>
    <w:locked/>
    <w:rsid w:val="000A660F"/>
    <w:rPr>
      <w:b/>
      <w:bCs/>
    </w:rPr>
  </w:style>
  <w:style w:type="character" w:customStyle="1" w:styleId="UnresolvedMention1">
    <w:name w:val="Unresolved Mention1"/>
    <w:basedOn w:val="DefaultParagraphFont"/>
    <w:uiPriority w:val="99"/>
    <w:semiHidden/>
    <w:unhideWhenUsed/>
    <w:rsid w:val="000A660F"/>
    <w:rPr>
      <w:color w:val="605E5C"/>
      <w:shd w:val="clear" w:color="auto" w:fill="E1DFDD"/>
    </w:rPr>
  </w:style>
  <w:style w:type="paragraph" w:styleId="PlainText">
    <w:name w:val="Plain Text"/>
    <w:basedOn w:val="Normal"/>
    <w:link w:val="PlainTextChar"/>
    <w:uiPriority w:val="99"/>
    <w:semiHidden/>
    <w:unhideWhenUsed/>
    <w:rsid w:val="000A660F"/>
    <w:pPr>
      <w:spacing w:after="0" w:line="240" w:lineRule="auto"/>
      <w:jc w:val="both"/>
    </w:pPr>
    <w:rPr>
      <w:rFonts w:cs="Times New Roman"/>
      <w:szCs w:val="21"/>
    </w:rPr>
  </w:style>
  <w:style w:type="character" w:customStyle="1" w:styleId="PlainTextChar">
    <w:name w:val="Plain Text Char"/>
    <w:basedOn w:val="DefaultParagraphFont"/>
    <w:link w:val="PlainText"/>
    <w:uiPriority w:val="99"/>
    <w:semiHidden/>
    <w:rsid w:val="000A660F"/>
    <w:rPr>
      <w:rFonts w:ascii="Times New Roman" w:hAnsi="Times New Roman"/>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9057">
      <w:bodyDiv w:val="1"/>
      <w:marLeft w:val="0"/>
      <w:marRight w:val="0"/>
      <w:marTop w:val="0"/>
      <w:marBottom w:val="0"/>
      <w:divBdr>
        <w:top w:val="none" w:sz="0" w:space="0" w:color="auto"/>
        <w:left w:val="none" w:sz="0" w:space="0" w:color="auto"/>
        <w:bottom w:val="none" w:sz="0" w:space="0" w:color="auto"/>
        <w:right w:val="none" w:sz="0" w:space="0" w:color="auto"/>
      </w:divBdr>
    </w:div>
    <w:div w:id="105387326">
      <w:bodyDiv w:val="1"/>
      <w:marLeft w:val="0"/>
      <w:marRight w:val="0"/>
      <w:marTop w:val="0"/>
      <w:marBottom w:val="0"/>
      <w:divBdr>
        <w:top w:val="none" w:sz="0" w:space="0" w:color="auto"/>
        <w:left w:val="none" w:sz="0" w:space="0" w:color="auto"/>
        <w:bottom w:val="none" w:sz="0" w:space="0" w:color="auto"/>
        <w:right w:val="none" w:sz="0" w:space="0" w:color="auto"/>
      </w:divBdr>
    </w:div>
    <w:div w:id="139730741">
      <w:bodyDiv w:val="1"/>
      <w:marLeft w:val="0"/>
      <w:marRight w:val="0"/>
      <w:marTop w:val="0"/>
      <w:marBottom w:val="0"/>
      <w:divBdr>
        <w:top w:val="none" w:sz="0" w:space="0" w:color="auto"/>
        <w:left w:val="none" w:sz="0" w:space="0" w:color="auto"/>
        <w:bottom w:val="none" w:sz="0" w:space="0" w:color="auto"/>
        <w:right w:val="none" w:sz="0" w:space="0" w:color="auto"/>
      </w:divBdr>
    </w:div>
    <w:div w:id="144515260">
      <w:bodyDiv w:val="1"/>
      <w:marLeft w:val="0"/>
      <w:marRight w:val="0"/>
      <w:marTop w:val="0"/>
      <w:marBottom w:val="0"/>
      <w:divBdr>
        <w:top w:val="none" w:sz="0" w:space="0" w:color="auto"/>
        <w:left w:val="none" w:sz="0" w:space="0" w:color="auto"/>
        <w:bottom w:val="none" w:sz="0" w:space="0" w:color="auto"/>
        <w:right w:val="none" w:sz="0" w:space="0" w:color="auto"/>
      </w:divBdr>
      <w:divsChild>
        <w:div w:id="659886507">
          <w:marLeft w:val="0"/>
          <w:marRight w:val="0"/>
          <w:marTop w:val="0"/>
          <w:marBottom w:val="0"/>
          <w:divBdr>
            <w:top w:val="none" w:sz="0" w:space="0" w:color="auto"/>
            <w:left w:val="none" w:sz="0" w:space="0" w:color="auto"/>
            <w:bottom w:val="none" w:sz="0" w:space="0" w:color="auto"/>
            <w:right w:val="none" w:sz="0" w:space="0" w:color="auto"/>
          </w:divBdr>
        </w:div>
        <w:div w:id="681708170">
          <w:marLeft w:val="0"/>
          <w:marRight w:val="0"/>
          <w:marTop w:val="0"/>
          <w:marBottom w:val="0"/>
          <w:divBdr>
            <w:top w:val="none" w:sz="0" w:space="0" w:color="auto"/>
            <w:left w:val="none" w:sz="0" w:space="0" w:color="auto"/>
            <w:bottom w:val="none" w:sz="0" w:space="0" w:color="auto"/>
            <w:right w:val="none" w:sz="0" w:space="0" w:color="auto"/>
          </w:divBdr>
        </w:div>
        <w:div w:id="745542239">
          <w:marLeft w:val="0"/>
          <w:marRight w:val="0"/>
          <w:marTop w:val="0"/>
          <w:marBottom w:val="0"/>
          <w:divBdr>
            <w:top w:val="none" w:sz="0" w:space="0" w:color="auto"/>
            <w:left w:val="none" w:sz="0" w:space="0" w:color="auto"/>
            <w:bottom w:val="none" w:sz="0" w:space="0" w:color="auto"/>
            <w:right w:val="none" w:sz="0" w:space="0" w:color="auto"/>
          </w:divBdr>
        </w:div>
        <w:div w:id="1289318949">
          <w:marLeft w:val="0"/>
          <w:marRight w:val="0"/>
          <w:marTop w:val="0"/>
          <w:marBottom w:val="0"/>
          <w:divBdr>
            <w:top w:val="none" w:sz="0" w:space="0" w:color="auto"/>
            <w:left w:val="none" w:sz="0" w:space="0" w:color="auto"/>
            <w:bottom w:val="none" w:sz="0" w:space="0" w:color="auto"/>
            <w:right w:val="none" w:sz="0" w:space="0" w:color="auto"/>
          </w:divBdr>
        </w:div>
        <w:div w:id="1430276750">
          <w:marLeft w:val="0"/>
          <w:marRight w:val="0"/>
          <w:marTop w:val="0"/>
          <w:marBottom w:val="0"/>
          <w:divBdr>
            <w:top w:val="none" w:sz="0" w:space="0" w:color="auto"/>
            <w:left w:val="none" w:sz="0" w:space="0" w:color="auto"/>
            <w:bottom w:val="none" w:sz="0" w:space="0" w:color="auto"/>
            <w:right w:val="none" w:sz="0" w:space="0" w:color="auto"/>
          </w:divBdr>
        </w:div>
        <w:div w:id="1633320829">
          <w:marLeft w:val="0"/>
          <w:marRight w:val="0"/>
          <w:marTop w:val="0"/>
          <w:marBottom w:val="0"/>
          <w:divBdr>
            <w:top w:val="none" w:sz="0" w:space="0" w:color="auto"/>
            <w:left w:val="none" w:sz="0" w:space="0" w:color="auto"/>
            <w:bottom w:val="none" w:sz="0" w:space="0" w:color="auto"/>
            <w:right w:val="none" w:sz="0" w:space="0" w:color="auto"/>
          </w:divBdr>
        </w:div>
        <w:div w:id="1749231867">
          <w:marLeft w:val="0"/>
          <w:marRight w:val="0"/>
          <w:marTop w:val="0"/>
          <w:marBottom w:val="0"/>
          <w:divBdr>
            <w:top w:val="none" w:sz="0" w:space="0" w:color="auto"/>
            <w:left w:val="none" w:sz="0" w:space="0" w:color="auto"/>
            <w:bottom w:val="none" w:sz="0" w:space="0" w:color="auto"/>
            <w:right w:val="none" w:sz="0" w:space="0" w:color="auto"/>
          </w:divBdr>
        </w:div>
        <w:div w:id="1808618620">
          <w:marLeft w:val="0"/>
          <w:marRight w:val="0"/>
          <w:marTop w:val="0"/>
          <w:marBottom w:val="0"/>
          <w:divBdr>
            <w:top w:val="none" w:sz="0" w:space="0" w:color="auto"/>
            <w:left w:val="none" w:sz="0" w:space="0" w:color="auto"/>
            <w:bottom w:val="none" w:sz="0" w:space="0" w:color="auto"/>
            <w:right w:val="none" w:sz="0" w:space="0" w:color="auto"/>
          </w:divBdr>
        </w:div>
      </w:divsChild>
    </w:div>
    <w:div w:id="164132224">
      <w:bodyDiv w:val="1"/>
      <w:marLeft w:val="0"/>
      <w:marRight w:val="0"/>
      <w:marTop w:val="0"/>
      <w:marBottom w:val="0"/>
      <w:divBdr>
        <w:top w:val="none" w:sz="0" w:space="0" w:color="auto"/>
        <w:left w:val="none" w:sz="0" w:space="0" w:color="auto"/>
        <w:bottom w:val="none" w:sz="0" w:space="0" w:color="auto"/>
        <w:right w:val="none" w:sz="0" w:space="0" w:color="auto"/>
      </w:divBdr>
    </w:div>
    <w:div w:id="191581306">
      <w:bodyDiv w:val="1"/>
      <w:marLeft w:val="0"/>
      <w:marRight w:val="0"/>
      <w:marTop w:val="0"/>
      <w:marBottom w:val="0"/>
      <w:divBdr>
        <w:top w:val="none" w:sz="0" w:space="0" w:color="auto"/>
        <w:left w:val="none" w:sz="0" w:space="0" w:color="auto"/>
        <w:bottom w:val="none" w:sz="0" w:space="0" w:color="auto"/>
        <w:right w:val="none" w:sz="0" w:space="0" w:color="auto"/>
      </w:divBdr>
    </w:div>
    <w:div w:id="201678070">
      <w:bodyDiv w:val="1"/>
      <w:marLeft w:val="0"/>
      <w:marRight w:val="0"/>
      <w:marTop w:val="0"/>
      <w:marBottom w:val="0"/>
      <w:divBdr>
        <w:top w:val="none" w:sz="0" w:space="0" w:color="auto"/>
        <w:left w:val="none" w:sz="0" w:space="0" w:color="auto"/>
        <w:bottom w:val="none" w:sz="0" w:space="0" w:color="auto"/>
        <w:right w:val="none" w:sz="0" w:space="0" w:color="auto"/>
      </w:divBdr>
    </w:div>
    <w:div w:id="204174841">
      <w:bodyDiv w:val="1"/>
      <w:marLeft w:val="0"/>
      <w:marRight w:val="0"/>
      <w:marTop w:val="0"/>
      <w:marBottom w:val="0"/>
      <w:divBdr>
        <w:top w:val="none" w:sz="0" w:space="0" w:color="auto"/>
        <w:left w:val="none" w:sz="0" w:space="0" w:color="auto"/>
        <w:bottom w:val="none" w:sz="0" w:space="0" w:color="auto"/>
        <w:right w:val="none" w:sz="0" w:space="0" w:color="auto"/>
      </w:divBdr>
    </w:div>
    <w:div w:id="233011541">
      <w:bodyDiv w:val="1"/>
      <w:marLeft w:val="0"/>
      <w:marRight w:val="0"/>
      <w:marTop w:val="0"/>
      <w:marBottom w:val="0"/>
      <w:divBdr>
        <w:top w:val="none" w:sz="0" w:space="0" w:color="auto"/>
        <w:left w:val="none" w:sz="0" w:space="0" w:color="auto"/>
        <w:bottom w:val="none" w:sz="0" w:space="0" w:color="auto"/>
        <w:right w:val="none" w:sz="0" w:space="0" w:color="auto"/>
      </w:divBdr>
    </w:div>
    <w:div w:id="297536875">
      <w:bodyDiv w:val="1"/>
      <w:marLeft w:val="0"/>
      <w:marRight w:val="0"/>
      <w:marTop w:val="0"/>
      <w:marBottom w:val="0"/>
      <w:divBdr>
        <w:top w:val="none" w:sz="0" w:space="0" w:color="auto"/>
        <w:left w:val="none" w:sz="0" w:space="0" w:color="auto"/>
        <w:bottom w:val="none" w:sz="0" w:space="0" w:color="auto"/>
        <w:right w:val="none" w:sz="0" w:space="0" w:color="auto"/>
      </w:divBdr>
    </w:div>
    <w:div w:id="311763883">
      <w:bodyDiv w:val="1"/>
      <w:marLeft w:val="0"/>
      <w:marRight w:val="0"/>
      <w:marTop w:val="0"/>
      <w:marBottom w:val="0"/>
      <w:divBdr>
        <w:top w:val="none" w:sz="0" w:space="0" w:color="auto"/>
        <w:left w:val="none" w:sz="0" w:space="0" w:color="auto"/>
        <w:bottom w:val="none" w:sz="0" w:space="0" w:color="auto"/>
        <w:right w:val="none" w:sz="0" w:space="0" w:color="auto"/>
      </w:divBdr>
      <w:divsChild>
        <w:div w:id="826550515">
          <w:marLeft w:val="0"/>
          <w:marRight w:val="0"/>
          <w:marTop w:val="15"/>
          <w:marBottom w:val="0"/>
          <w:divBdr>
            <w:top w:val="single" w:sz="48" w:space="0" w:color="auto"/>
            <w:left w:val="single" w:sz="48" w:space="0" w:color="auto"/>
            <w:bottom w:val="single" w:sz="48" w:space="0" w:color="auto"/>
            <w:right w:val="single" w:sz="48" w:space="0" w:color="auto"/>
          </w:divBdr>
          <w:divsChild>
            <w:div w:id="24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710">
      <w:bodyDiv w:val="1"/>
      <w:marLeft w:val="0"/>
      <w:marRight w:val="0"/>
      <w:marTop w:val="0"/>
      <w:marBottom w:val="0"/>
      <w:divBdr>
        <w:top w:val="none" w:sz="0" w:space="0" w:color="auto"/>
        <w:left w:val="none" w:sz="0" w:space="0" w:color="auto"/>
        <w:bottom w:val="none" w:sz="0" w:space="0" w:color="auto"/>
        <w:right w:val="none" w:sz="0" w:space="0" w:color="auto"/>
      </w:divBdr>
      <w:divsChild>
        <w:div w:id="67390767">
          <w:marLeft w:val="0"/>
          <w:marRight w:val="0"/>
          <w:marTop w:val="0"/>
          <w:marBottom w:val="0"/>
          <w:divBdr>
            <w:top w:val="none" w:sz="0" w:space="0" w:color="auto"/>
            <w:left w:val="none" w:sz="0" w:space="0" w:color="auto"/>
            <w:bottom w:val="none" w:sz="0" w:space="0" w:color="auto"/>
            <w:right w:val="none" w:sz="0" w:space="0" w:color="auto"/>
          </w:divBdr>
        </w:div>
        <w:div w:id="208107048">
          <w:marLeft w:val="0"/>
          <w:marRight w:val="0"/>
          <w:marTop w:val="0"/>
          <w:marBottom w:val="0"/>
          <w:divBdr>
            <w:top w:val="none" w:sz="0" w:space="0" w:color="auto"/>
            <w:left w:val="none" w:sz="0" w:space="0" w:color="auto"/>
            <w:bottom w:val="none" w:sz="0" w:space="0" w:color="auto"/>
            <w:right w:val="none" w:sz="0" w:space="0" w:color="auto"/>
          </w:divBdr>
        </w:div>
        <w:div w:id="223030106">
          <w:marLeft w:val="0"/>
          <w:marRight w:val="0"/>
          <w:marTop w:val="0"/>
          <w:marBottom w:val="0"/>
          <w:divBdr>
            <w:top w:val="none" w:sz="0" w:space="0" w:color="auto"/>
            <w:left w:val="none" w:sz="0" w:space="0" w:color="auto"/>
            <w:bottom w:val="none" w:sz="0" w:space="0" w:color="auto"/>
            <w:right w:val="none" w:sz="0" w:space="0" w:color="auto"/>
          </w:divBdr>
        </w:div>
        <w:div w:id="225531244">
          <w:marLeft w:val="0"/>
          <w:marRight w:val="0"/>
          <w:marTop w:val="0"/>
          <w:marBottom w:val="0"/>
          <w:divBdr>
            <w:top w:val="none" w:sz="0" w:space="0" w:color="auto"/>
            <w:left w:val="none" w:sz="0" w:space="0" w:color="auto"/>
            <w:bottom w:val="none" w:sz="0" w:space="0" w:color="auto"/>
            <w:right w:val="none" w:sz="0" w:space="0" w:color="auto"/>
          </w:divBdr>
        </w:div>
        <w:div w:id="494803146">
          <w:marLeft w:val="0"/>
          <w:marRight w:val="0"/>
          <w:marTop w:val="0"/>
          <w:marBottom w:val="0"/>
          <w:divBdr>
            <w:top w:val="none" w:sz="0" w:space="0" w:color="auto"/>
            <w:left w:val="none" w:sz="0" w:space="0" w:color="auto"/>
            <w:bottom w:val="none" w:sz="0" w:space="0" w:color="auto"/>
            <w:right w:val="none" w:sz="0" w:space="0" w:color="auto"/>
          </w:divBdr>
        </w:div>
        <w:div w:id="533662097">
          <w:marLeft w:val="0"/>
          <w:marRight w:val="0"/>
          <w:marTop w:val="0"/>
          <w:marBottom w:val="0"/>
          <w:divBdr>
            <w:top w:val="none" w:sz="0" w:space="0" w:color="auto"/>
            <w:left w:val="none" w:sz="0" w:space="0" w:color="auto"/>
            <w:bottom w:val="none" w:sz="0" w:space="0" w:color="auto"/>
            <w:right w:val="none" w:sz="0" w:space="0" w:color="auto"/>
          </w:divBdr>
        </w:div>
        <w:div w:id="605425834">
          <w:marLeft w:val="0"/>
          <w:marRight w:val="0"/>
          <w:marTop w:val="0"/>
          <w:marBottom w:val="0"/>
          <w:divBdr>
            <w:top w:val="none" w:sz="0" w:space="0" w:color="auto"/>
            <w:left w:val="none" w:sz="0" w:space="0" w:color="auto"/>
            <w:bottom w:val="none" w:sz="0" w:space="0" w:color="auto"/>
            <w:right w:val="none" w:sz="0" w:space="0" w:color="auto"/>
          </w:divBdr>
        </w:div>
        <w:div w:id="679895473">
          <w:marLeft w:val="0"/>
          <w:marRight w:val="0"/>
          <w:marTop w:val="0"/>
          <w:marBottom w:val="0"/>
          <w:divBdr>
            <w:top w:val="none" w:sz="0" w:space="0" w:color="auto"/>
            <w:left w:val="none" w:sz="0" w:space="0" w:color="auto"/>
            <w:bottom w:val="none" w:sz="0" w:space="0" w:color="auto"/>
            <w:right w:val="none" w:sz="0" w:space="0" w:color="auto"/>
          </w:divBdr>
        </w:div>
        <w:div w:id="866139037">
          <w:marLeft w:val="0"/>
          <w:marRight w:val="0"/>
          <w:marTop w:val="0"/>
          <w:marBottom w:val="0"/>
          <w:divBdr>
            <w:top w:val="none" w:sz="0" w:space="0" w:color="auto"/>
            <w:left w:val="none" w:sz="0" w:space="0" w:color="auto"/>
            <w:bottom w:val="none" w:sz="0" w:space="0" w:color="auto"/>
            <w:right w:val="none" w:sz="0" w:space="0" w:color="auto"/>
          </w:divBdr>
        </w:div>
        <w:div w:id="952395027">
          <w:marLeft w:val="0"/>
          <w:marRight w:val="0"/>
          <w:marTop w:val="0"/>
          <w:marBottom w:val="0"/>
          <w:divBdr>
            <w:top w:val="none" w:sz="0" w:space="0" w:color="auto"/>
            <w:left w:val="none" w:sz="0" w:space="0" w:color="auto"/>
            <w:bottom w:val="none" w:sz="0" w:space="0" w:color="auto"/>
            <w:right w:val="none" w:sz="0" w:space="0" w:color="auto"/>
          </w:divBdr>
        </w:div>
        <w:div w:id="989753128">
          <w:marLeft w:val="0"/>
          <w:marRight w:val="0"/>
          <w:marTop w:val="0"/>
          <w:marBottom w:val="0"/>
          <w:divBdr>
            <w:top w:val="none" w:sz="0" w:space="0" w:color="auto"/>
            <w:left w:val="none" w:sz="0" w:space="0" w:color="auto"/>
            <w:bottom w:val="none" w:sz="0" w:space="0" w:color="auto"/>
            <w:right w:val="none" w:sz="0" w:space="0" w:color="auto"/>
          </w:divBdr>
        </w:div>
        <w:div w:id="1591347429">
          <w:marLeft w:val="0"/>
          <w:marRight w:val="0"/>
          <w:marTop w:val="0"/>
          <w:marBottom w:val="0"/>
          <w:divBdr>
            <w:top w:val="none" w:sz="0" w:space="0" w:color="auto"/>
            <w:left w:val="none" w:sz="0" w:space="0" w:color="auto"/>
            <w:bottom w:val="none" w:sz="0" w:space="0" w:color="auto"/>
            <w:right w:val="none" w:sz="0" w:space="0" w:color="auto"/>
          </w:divBdr>
        </w:div>
        <w:div w:id="1862164643">
          <w:marLeft w:val="0"/>
          <w:marRight w:val="0"/>
          <w:marTop w:val="0"/>
          <w:marBottom w:val="0"/>
          <w:divBdr>
            <w:top w:val="none" w:sz="0" w:space="0" w:color="auto"/>
            <w:left w:val="none" w:sz="0" w:space="0" w:color="auto"/>
            <w:bottom w:val="none" w:sz="0" w:space="0" w:color="auto"/>
            <w:right w:val="none" w:sz="0" w:space="0" w:color="auto"/>
          </w:divBdr>
        </w:div>
        <w:div w:id="1868135794">
          <w:marLeft w:val="0"/>
          <w:marRight w:val="0"/>
          <w:marTop w:val="0"/>
          <w:marBottom w:val="0"/>
          <w:divBdr>
            <w:top w:val="none" w:sz="0" w:space="0" w:color="auto"/>
            <w:left w:val="none" w:sz="0" w:space="0" w:color="auto"/>
            <w:bottom w:val="none" w:sz="0" w:space="0" w:color="auto"/>
            <w:right w:val="none" w:sz="0" w:space="0" w:color="auto"/>
          </w:divBdr>
        </w:div>
        <w:div w:id="1972400303">
          <w:marLeft w:val="0"/>
          <w:marRight w:val="0"/>
          <w:marTop w:val="0"/>
          <w:marBottom w:val="0"/>
          <w:divBdr>
            <w:top w:val="none" w:sz="0" w:space="0" w:color="auto"/>
            <w:left w:val="none" w:sz="0" w:space="0" w:color="auto"/>
            <w:bottom w:val="none" w:sz="0" w:space="0" w:color="auto"/>
            <w:right w:val="none" w:sz="0" w:space="0" w:color="auto"/>
          </w:divBdr>
        </w:div>
      </w:divsChild>
    </w:div>
    <w:div w:id="350299385">
      <w:bodyDiv w:val="1"/>
      <w:marLeft w:val="0"/>
      <w:marRight w:val="0"/>
      <w:marTop w:val="0"/>
      <w:marBottom w:val="0"/>
      <w:divBdr>
        <w:top w:val="none" w:sz="0" w:space="0" w:color="auto"/>
        <w:left w:val="none" w:sz="0" w:space="0" w:color="auto"/>
        <w:bottom w:val="none" w:sz="0" w:space="0" w:color="auto"/>
        <w:right w:val="none" w:sz="0" w:space="0" w:color="auto"/>
      </w:divBdr>
    </w:div>
    <w:div w:id="421220118">
      <w:bodyDiv w:val="1"/>
      <w:marLeft w:val="0"/>
      <w:marRight w:val="0"/>
      <w:marTop w:val="0"/>
      <w:marBottom w:val="0"/>
      <w:divBdr>
        <w:top w:val="none" w:sz="0" w:space="0" w:color="auto"/>
        <w:left w:val="none" w:sz="0" w:space="0" w:color="auto"/>
        <w:bottom w:val="none" w:sz="0" w:space="0" w:color="auto"/>
        <w:right w:val="none" w:sz="0" w:space="0" w:color="auto"/>
      </w:divBdr>
      <w:divsChild>
        <w:div w:id="621613369">
          <w:marLeft w:val="0"/>
          <w:marRight w:val="0"/>
          <w:marTop w:val="0"/>
          <w:marBottom w:val="0"/>
          <w:divBdr>
            <w:top w:val="none" w:sz="0" w:space="0" w:color="auto"/>
            <w:left w:val="none" w:sz="0" w:space="0" w:color="auto"/>
            <w:bottom w:val="none" w:sz="0" w:space="0" w:color="auto"/>
            <w:right w:val="none" w:sz="0" w:space="0" w:color="auto"/>
          </w:divBdr>
        </w:div>
        <w:div w:id="1190417388">
          <w:marLeft w:val="0"/>
          <w:marRight w:val="0"/>
          <w:marTop w:val="0"/>
          <w:marBottom w:val="0"/>
          <w:divBdr>
            <w:top w:val="none" w:sz="0" w:space="0" w:color="auto"/>
            <w:left w:val="none" w:sz="0" w:space="0" w:color="auto"/>
            <w:bottom w:val="none" w:sz="0" w:space="0" w:color="auto"/>
            <w:right w:val="none" w:sz="0" w:space="0" w:color="auto"/>
          </w:divBdr>
        </w:div>
      </w:divsChild>
    </w:div>
    <w:div w:id="425419139">
      <w:bodyDiv w:val="1"/>
      <w:marLeft w:val="0"/>
      <w:marRight w:val="0"/>
      <w:marTop w:val="0"/>
      <w:marBottom w:val="0"/>
      <w:divBdr>
        <w:top w:val="none" w:sz="0" w:space="0" w:color="auto"/>
        <w:left w:val="none" w:sz="0" w:space="0" w:color="auto"/>
        <w:bottom w:val="none" w:sz="0" w:space="0" w:color="auto"/>
        <w:right w:val="none" w:sz="0" w:space="0" w:color="auto"/>
      </w:divBdr>
    </w:div>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441269595">
      <w:bodyDiv w:val="1"/>
      <w:marLeft w:val="0"/>
      <w:marRight w:val="0"/>
      <w:marTop w:val="0"/>
      <w:marBottom w:val="0"/>
      <w:divBdr>
        <w:top w:val="none" w:sz="0" w:space="0" w:color="auto"/>
        <w:left w:val="none" w:sz="0" w:space="0" w:color="auto"/>
        <w:bottom w:val="none" w:sz="0" w:space="0" w:color="auto"/>
        <w:right w:val="none" w:sz="0" w:space="0" w:color="auto"/>
      </w:divBdr>
    </w:div>
    <w:div w:id="461578474">
      <w:bodyDiv w:val="1"/>
      <w:marLeft w:val="0"/>
      <w:marRight w:val="0"/>
      <w:marTop w:val="0"/>
      <w:marBottom w:val="0"/>
      <w:divBdr>
        <w:top w:val="none" w:sz="0" w:space="0" w:color="auto"/>
        <w:left w:val="none" w:sz="0" w:space="0" w:color="auto"/>
        <w:bottom w:val="none" w:sz="0" w:space="0" w:color="auto"/>
        <w:right w:val="none" w:sz="0" w:space="0" w:color="auto"/>
      </w:divBdr>
    </w:div>
    <w:div w:id="481309494">
      <w:bodyDiv w:val="1"/>
      <w:marLeft w:val="0"/>
      <w:marRight w:val="0"/>
      <w:marTop w:val="0"/>
      <w:marBottom w:val="0"/>
      <w:divBdr>
        <w:top w:val="none" w:sz="0" w:space="0" w:color="auto"/>
        <w:left w:val="none" w:sz="0" w:space="0" w:color="auto"/>
        <w:bottom w:val="none" w:sz="0" w:space="0" w:color="auto"/>
        <w:right w:val="none" w:sz="0" w:space="0" w:color="auto"/>
      </w:divBdr>
    </w:div>
    <w:div w:id="543252409">
      <w:bodyDiv w:val="1"/>
      <w:marLeft w:val="0"/>
      <w:marRight w:val="0"/>
      <w:marTop w:val="0"/>
      <w:marBottom w:val="0"/>
      <w:divBdr>
        <w:top w:val="none" w:sz="0" w:space="0" w:color="auto"/>
        <w:left w:val="none" w:sz="0" w:space="0" w:color="auto"/>
        <w:bottom w:val="none" w:sz="0" w:space="0" w:color="auto"/>
        <w:right w:val="none" w:sz="0" w:space="0" w:color="auto"/>
      </w:divBdr>
    </w:div>
    <w:div w:id="545530322">
      <w:bodyDiv w:val="1"/>
      <w:marLeft w:val="0"/>
      <w:marRight w:val="0"/>
      <w:marTop w:val="0"/>
      <w:marBottom w:val="0"/>
      <w:divBdr>
        <w:top w:val="none" w:sz="0" w:space="0" w:color="auto"/>
        <w:left w:val="none" w:sz="0" w:space="0" w:color="auto"/>
        <w:bottom w:val="none" w:sz="0" w:space="0" w:color="auto"/>
        <w:right w:val="none" w:sz="0" w:space="0" w:color="auto"/>
      </w:divBdr>
    </w:div>
    <w:div w:id="546526496">
      <w:bodyDiv w:val="1"/>
      <w:marLeft w:val="0"/>
      <w:marRight w:val="0"/>
      <w:marTop w:val="0"/>
      <w:marBottom w:val="0"/>
      <w:divBdr>
        <w:top w:val="none" w:sz="0" w:space="0" w:color="auto"/>
        <w:left w:val="none" w:sz="0" w:space="0" w:color="auto"/>
        <w:bottom w:val="none" w:sz="0" w:space="0" w:color="auto"/>
        <w:right w:val="none" w:sz="0" w:space="0" w:color="auto"/>
      </w:divBdr>
      <w:divsChild>
        <w:div w:id="41177528">
          <w:marLeft w:val="0"/>
          <w:marRight w:val="0"/>
          <w:marTop w:val="15"/>
          <w:marBottom w:val="0"/>
          <w:divBdr>
            <w:top w:val="single" w:sz="48" w:space="0" w:color="auto"/>
            <w:left w:val="single" w:sz="48" w:space="0" w:color="auto"/>
            <w:bottom w:val="single" w:sz="48" w:space="0" w:color="auto"/>
            <w:right w:val="single" w:sz="48"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5892">
      <w:bodyDiv w:val="1"/>
      <w:marLeft w:val="0"/>
      <w:marRight w:val="0"/>
      <w:marTop w:val="0"/>
      <w:marBottom w:val="0"/>
      <w:divBdr>
        <w:top w:val="none" w:sz="0" w:space="0" w:color="auto"/>
        <w:left w:val="none" w:sz="0" w:space="0" w:color="auto"/>
        <w:bottom w:val="none" w:sz="0" w:space="0" w:color="auto"/>
        <w:right w:val="none" w:sz="0" w:space="0" w:color="auto"/>
      </w:divBdr>
    </w:div>
    <w:div w:id="627902015">
      <w:bodyDiv w:val="1"/>
      <w:marLeft w:val="0"/>
      <w:marRight w:val="0"/>
      <w:marTop w:val="0"/>
      <w:marBottom w:val="0"/>
      <w:divBdr>
        <w:top w:val="none" w:sz="0" w:space="0" w:color="auto"/>
        <w:left w:val="none" w:sz="0" w:space="0" w:color="auto"/>
        <w:bottom w:val="none" w:sz="0" w:space="0" w:color="auto"/>
        <w:right w:val="none" w:sz="0" w:space="0" w:color="auto"/>
      </w:divBdr>
      <w:divsChild>
        <w:div w:id="469202773">
          <w:marLeft w:val="0"/>
          <w:marRight w:val="0"/>
          <w:marTop w:val="15"/>
          <w:marBottom w:val="0"/>
          <w:divBdr>
            <w:top w:val="single" w:sz="48" w:space="0" w:color="auto"/>
            <w:left w:val="single" w:sz="48" w:space="0" w:color="auto"/>
            <w:bottom w:val="single" w:sz="48" w:space="0" w:color="auto"/>
            <w:right w:val="single" w:sz="48" w:space="0" w:color="auto"/>
          </w:divBdr>
          <w:divsChild>
            <w:div w:id="16933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037">
      <w:bodyDiv w:val="1"/>
      <w:marLeft w:val="0"/>
      <w:marRight w:val="0"/>
      <w:marTop w:val="0"/>
      <w:marBottom w:val="0"/>
      <w:divBdr>
        <w:top w:val="none" w:sz="0" w:space="0" w:color="auto"/>
        <w:left w:val="none" w:sz="0" w:space="0" w:color="auto"/>
        <w:bottom w:val="none" w:sz="0" w:space="0" w:color="auto"/>
        <w:right w:val="none" w:sz="0" w:space="0" w:color="auto"/>
      </w:divBdr>
    </w:div>
    <w:div w:id="680936470">
      <w:bodyDiv w:val="1"/>
      <w:marLeft w:val="0"/>
      <w:marRight w:val="0"/>
      <w:marTop w:val="0"/>
      <w:marBottom w:val="0"/>
      <w:divBdr>
        <w:top w:val="none" w:sz="0" w:space="0" w:color="auto"/>
        <w:left w:val="none" w:sz="0" w:space="0" w:color="auto"/>
        <w:bottom w:val="none" w:sz="0" w:space="0" w:color="auto"/>
        <w:right w:val="none" w:sz="0" w:space="0" w:color="auto"/>
      </w:divBdr>
      <w:divsChild>
        <w:div w:id="633173632">
          <w:marLeft w:val="547"/>
          <w:marRight w:val="0"/>
          <w:marTop w:val="0"/>
          <w:marBottom w:val="0"/>
          <w:divBdr>
            <w:top w:val="none" w:sz="0" w:space="0" w:color="auto"/>
            <w:left w:val="none" w:sz="0" w:space="0" w:color="auto"/>
            <w:bottom w:val="none" w:sz="0" w:space="0" w:color="auto"/>
            <w:right w:val="none" w:sz="0" w:space="0" w:color="auto"/>
          </w:divBdr>
        </w:div>
      </w:divsChild>
    </w:div>
    <w:div w:id="687751841">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808059688">
      <w:bodyDiv w:val="1"/>
      <w:marLeft w:val="0"/>
      <w:marRight w:val="0"/>
      <w:marTop w:val="0"/>
      <w:marBottom w:val="0"/>
      <w:divBdr>
        <w:top w:val="none" w:sz="0" w:space="0" w:color="auto"/>
        <w:left w:val="none" w:sz="0" w:space="0" w:color="auto"/>
        <w:bottom w:val="none" w:sz="0" w:space="0" w:color="auto"/>
        <w:right w:val="none" w:sz="0" w:space="0" w:color="auto"/>
      </w:divBdr>
    </w:div>
    <w:div w:id="835151249">
      <w:bodyDiv w:val="1"/>
      <w:marLeft w:val="0"/>
      <w:marRight w:val="0"/>
      <w:marTop w:val="0"/>
      <w:marBottom w:val="0"/>
      <w:divBdr>
        <w:top w:val="none" w:sz="0" w:space="0" w:color="auto"/>
        <w:left w:val="none" w:sz="0" w:space="0" w:color="auto"/>
        <w:bottom w:val="none" w:sz="0" w:space="0" w:color="auto"/>
        <w:right w:val="none" w:sz="0" w:space="0" w:color="auto"/>
      </w:divBdr>
    </w:div>
    <w:div w:id="868951995">
      <w:bodyDiv w:val="1"/>
      <w:marLeft w:val="0"/>
      <w:marRight w:val="0"/>
      <w:marTop w:val="0"/>
      <w:marBottom w:val="0"/>
      <w:divBdr>
        <w:top w:val="none" w:sz="0" w:space="0" w:color="auto"/>
        <w:left w:val="none" w:sz="0" w:space="0" w:color="auto"/>
        <w:bottom w:val="none" w:sz="0" w:space="0" w:color="auto"/>
        <w:right w:val="none" w:sz="0" w:space="0" w:color="auto"/>
      </w:divBdr>
    </w:div>
    <w:div w:id="899944155">
      <w:bodyDiv w:val="1"/>
      <w:marLeft w:val="0"/>
      <w:marRight w:val="0"/>
      <w:marTop w:val="0"/>
      <w:marBottom w:val="0"/>
      <w:divBdr>
        <w:top w:val="none" w:sz="0" w:space="0" w:color="auto"/>
        <w:left w:val="none" w:sz="0" w:space="0" w:color="auto"/>
        <w:bottom w:val="none" w:sz="0" w:space="0" w:color="auto"/>
        <w:right w:val="none" w:sz="0" w:space="0" w:color="auto"/>
      </w:divBdr>
    </w:div>
    <w:div w:id="974413672">
      <w:bodyDiv w:val="1"/>
      <w:marLeft w:val="0"/>
      <w:marRight w:val="0"/>
      <w:marTop w:val="0"/>
      <w:marBottom w:val="0"/>
      <w:divBdr>
        <w:top w:val="none" w:sz="0" w:space="0" w:color="auto"/>
        <w:left w:val="none" w:sz="0" w:space="0" w:color="auto"/>
        <w:bottom w:val="none" w:sz="0" w:space="0" w:color="auto"/>
        <w:right w:val="none" w:sz="0" w:space="0" w:color="auto"/>
      </w:divBdr>
    </w:div>
    <w:div w:id="981425209">
      <w:bodyDiv w:val="1"/>
      <w:marLeft w:val="0"/>
      <w:marRight w:val="0"/>
      <w:marTop w:val="0"/>
      <w:marBottom w:val="0"/>
      <w:divBdr>
        <w:top w:val="none" w:sz="0" w:space="0" w:color="auto"/>
        <w:left w:val="none" w:sz="0" w:space="0" w:color="auto"/>
        <w:bottom w:val="none" w:sz="0" w:space="0" w:color="auto"/>
        <w:right w:val="none" w:sz="0" w:space="0" w:color="auto"/>
      </w:divBdr>
    </w:div>
    <w:div w:id="1003505590">
      <w:bodyDiv w:val="1"/>
      <w:marLeft w:val="0"/>
      <w:marRight w:val="0"/>
      <w:marTop w:val="0"/>
      <w:marBottom w:val="0"/>
      <w:divBdr>
        <w:top w:val="none" w:sz="0" w:space="0" w:color="auto"/>
        <w:left w:val="none" w:sz="0" w:space="0" w:color="auto"/>
        <w:bottom w:val="none" w:sz="0" w:space="0" w:color="auto"/>
        <w:right w:val="none" w:sz="0" w:space="0" w:color="auto"/>
      </w:divBdr>
    </w:div>
    <w:div w:id="1008026699">
      <w:bodyDiv w:val="1"/>
      <w:marLeft w:val="0"/>
      <w:marRight w:val="0"/>
      <w:marTop w:val="0"/>
      <w:marBottom w:val="0"/>
      <w:divBdr>
        <w:top w:val="none" w:sz="0" w:space="0" w:color="auto"/>
        <w:left w:val="none" w:sz="0" w:space="0" w:color="auto"/>
        <w:bottom w:val="none" w:sz="0" w:space="0" w:color="auto"/>
        <w:right w:val="none" w:sz="0" w:space="0" w:color="auto"/>
      </w:divBdr>
    </w:div>
    <w:div w:id="1014452030">
      <w:bodyDiv w:val="1"/>
      <w:marLeft w:val="0"/>
      <w:marRight w:val="0"/>
      <w:marTop w:val="0"/>
      <w:marBottom w:val="0"/>
      <w:divBdr>
        <w:top w:val="none" w:sz="0" w:space="0" w:color="auto"/>
        <w:left w:val="none" w:sz="0" w:space="0" w:color="auto"/>
        <w:bottom w:val="none" w:sz="0" w:space="0" w:color="auto"/>
        <w:right w:val="none" w:sz="0" w:space="0" w:color="auto"/>
      </w:divBdr>
    </w:div>
    <w:div w:id="1078013389">
      <w:bodyDiv w:val="1"/>
      <w:marLeft w:val="0"/>
      <w:marRight w:val="0"/>
      <w:marTop w:val="0"/>
      <w:marBottom w:val="0"/>
      <w:divBdr>
        <w:top w:val="none" w:sz="0" w:space="0" w:color="auto"/>
        <w:left w:val="none" w:sz="0" w:space="0" w:color="auto"/>
        <w:bottom w:val="none" w:sz="0" w:space="0" w:color="auto"/>
        <w:right w:val="none" w:sz="0" w:space="0" w:color="auto"/>
      </w:divBdr>
    </w:div>
    <w:div w:id="1120225777">
      <w:bodyDiv w:val="1"/>
      <w:marLeft w:val="0"/>
      <w:marRight w:val="0"/>
      <w:marTop w:val="0"/>
      <w:marBottom w:val="0"/>
      <w:divBdr>
        <w:top w:val="none" w:sz="0" w:space="0" w:color="auto"/>
        <w:left w:val="none" w:sz="0" w:space="0" w:color="auto"/>
        <w:bottom w:val="none" w:sz="0" w:space="0" w:color="auto"/>
        <w:right w:val="none" w:sz="0" w:space="0" w:color="auto"/>
      </w:divBdr>
    </w:div>
    <w:div w:id="1137993656">
      <w:bodyDiv w:val="1"/>
      <w:marLeft w:val="0"/>
      <w:marRight w:val="0"/>
      <w:marTop w:val="0"/>
      <w:marBottom w:val="0"/>
      <w:divBdr>
        <w:top w:val="none" w:sz="0" w:space="0" w:color="auto"/>
        <w:left w:val="none" w:sz="0" w:space="0" w:color="auto"/>
        <w:bottom w:val="none" w:sz="0" w:space="0" w:color="auto"/>
        <w:right w:val="none" w:sz="0" w:space="0" w:color="auto"/>
      </w:divBdr>
      <w:divsChild>
        <w:div w:id="1603957329">
          <w:marLeft w:val="1080"/>
          <w:marRight w:val="0"/>
          <w:marTop w:val="100"/>
          <w:marBottom w:val="0"/>
          <w:divBdr>
            <w:top w:val="none" w:sz="0" w:space="0" w:color="auto"/>
            <w:left w:val="none" w:sz="0" w:space="0" w:color="auto"/>
            <w:bottom w:val="none" w:sz="0" w:space="0" w:color="auto"/>
            <w:right w:val="none" w:sz="0" w:space="0" w:color="auto"/>
          </w:divBdr>
        </w:div>
      </w:divsChild>
    </w:div>
    <w:div w:id="1138720456">
      <w:bodyDiv w:val="1"/>
      <w:marLeft w:val="0"/>
      <w:marRight w:val="0"/>
      <w:marTop w:val="0"/>
      <w:marBottom w:val="0"/>
      <w:divBdr>
        <w:top w:val="none" w:sz="0" w:space="0" w:color="auto"/>
        <w:left w:val="none" w:sz="0" w:space="0" w:color="auto"/>
        <w:bottom w:val="none" w:sz="0" w:space="0" w:color="auto"/>
        <w:right w:val="none" w:sz="0" w:space="0" w:color="auto"/>
      </w:divBdr>
    </w:div>
    <w:div w:id="1141728721">
      <w:bodyDiv w:val="1"/>
      <w:marLeft w:val="0"/>
      <w:marRight w:val="0"/>
      <w:marTop w:val="0"/>
      <w:marBottom w:val="0"/>
      <w:divBdr>
        <w:top w:val="none" w:sz="0" w:space="0" w:color="auto"/>
        <w:left w:val="none" w:sz="0" w:space="0" w:color="auto"/>
        <w:bottom w:val="none" w:sz="0" w:space="0" w:color="auto"/>
        <w:right w:val="none" w:sz="0" w:space="0" w:color="auto"/>
      </w:divBdr>
    </w:div>
    <w:div w:id="1156651192">
      <w:bodyDiv w:val="1"/>
      <w:marLeft w:val="0"/>
      <w:marRight w:val="0"/>
      <w:marTop w:val="0"/>
      <w:marBottom w:val="0"/>
      <w:divBdr>
        <w:top w:val="none" w:sz="0" w:space="0" w:color="auto"/>
        <w:left w:val="none" w:sz="0" w:space="0" w:color="auto"/>
        <w:bottom w:val="none" w:sz="0" w:space="0" w:color="auto"/>
        <w:right w:val="none" w:sz="0" w:space="0" w:color="auto"/>
      </w:divBdr>
    </w:div>
    <w:div w:id="1202791407">
      <w:bodyDiv w:val="1"/>
      <w:marLeft w:val="0"/>
      <w:marRight w:val="0"/>
      <w:marTop w:val="0"/>
      <w:marBottom w:val="0"/>
      <w:divBdr>
        <w:top w:val="none" w:sz="0" w:space="0" w:color="auto"/>
        <w:left w:val="none" w:sz="0" w:space="0" w:color="auto"/>
        <w:bottom w:val="none" w:sz="0" w:space="0" w:color="auto"/>
        <w:right w:val="none" w:sz="0" w:space="0" w:color="auto"/>
      </w:divBdr>
      <w:divsChild>
        <w:div w:id="1943882033">
          <w:marLeft w:val="0"/>
          <w:marRight w:val="0"/>
          <w:marTop w:val="15"/>
          <w:marBottom w:val="0"/>
          <w:divBdr>
            <w:top w:val="single" w:sz="48" w:space="0" w:color="auto"/>
            <w:left w:val="single" w:sz="48" w:space="0" w:color="auto"/>
            <w:bottom w:val="single" w:sz="48" w:space="0" w:color="auto"/>
            <w:right w:val="single" w:sz="48" w:space="0" w:color="auto"/>
          </w:divBdr>
          <w:divsChild>
            <w:div w:id="5840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4364">
      <w:bodyDiv w:val="1"/>
      <w:marLeft w:val="0"/>
      <w:marRight w:val="0"/>
      <w:marTop w:val="0"/>
      <w:marBottom w:val="0"/>
      <w:divBdr>
        <w:top w:val="none" w:sz="0" w:space="0" w:color="auto"/>
        <w:left w:val="none" w:sz="0" w:space="0" w:color="auto"/>
        <w:bottom w:val="none" w:sz="0" w:space="0" w:color="auto"/>
        <w:right w:val="none" w:sz="0" w:space="0" w:color="auto"/>
      </w:divBdr>
    </w:div>
    <w:div w:id="1310552192">
      <w:bodyDiv w:val="1"/>
      <w:marLeft w:val="0"/>
      <w:marRight w:val="0"/>
      <w:marTop w:val="0"/>
      <w:marBottom w:val="0"/>
      <w:divBdr>
        <w:top w:val="none" w:sz="0" w:space="0" w:color="auto"/>
        <w:left w:val="none" w:sz="0" w:space="0" w:color="auto"/>
        <w:bottom w:val="none" w:sz="0" w:space="0" w:color="auto"/>
        <w:right w:val="none" w:sz="0" w:space="0" w:color="auto"/>
      </w:divBdr>
      <w:divsChild>
        <w:div w:id="151144147">
          <w:marLeft w:val="0"/>
          <w:marRight w:val="0"/>
          <w:marTop w:val="0"/>
          <w:marBottom w:val="0"/>
          <w:divBdr>
            <w:top w:val="none" w:sz="0" w:space="0" w:color="auto"/>
            <w:left w:val="none" w:sz="0" w:space="0" w:color="auto"/>
            <w:bottom w:val="none" w:sz="0" w:space="0" w:color="auto"/>
            <w:right w:val="none" w:sz="0" w:space="0" w:color="auto"/>
          </w:divBdr>
        </w:div>
        <w:div w:id="696857029">
          <w:marLeft w:val="0"/>
          <w:marRight w:val="0"/>
          <w:marTop w:val="0"/>
          <w:marBottom w:val="0"/>
          <w:divBdr>
            <w:top w:val="none" w:sz="0" w:space="0" w:color="auto"/>
            <w:left w:val="none" w:sz="0" w:space="0" w:color="auto"/>
            <w:bottom w:val="none" w:sz="0" w:space="0" w:color="auto"/>
            <w:right w:val="none" w:sz="0" w:space="0" w:color="auto"/>
          </w:divBdr>
        </w:div>
        <w:div w:id="794904640">
          <w:marLeft w:val="0"/>
          <w:marRight w:val="0"/>
          <w:marTop w:val="0"/>
          <w:marBottom w:val="0"/>
          <w:divBdr>
            <w:top w:val="none" w:sz="0" w:space="0" w:color="auto"/>
            <w:left w:val="none" w:sz="0" w:space="0" w:color="auto"/>
            <w:bottom w:val="none" w:sz="0" w:space="0" w:color="auto"/>
            <w:right w:val="none" w:sz="0" w:space="0" w:color="auto"/>
          </w:divBdr>
        </w:div>
        <w:div w:id="835651131">
          <w:marLeft w:val="0"/>
          <w:marRight w:val="0"/>
          <w:marTop w:val="0"/>
          <w:marBottom w:val="0"/>
          <w:divBdr>
            <w:top w:val="none" w:sz="0" w:space="0" w:color="auto"/>
            <w:left w:val="none" w:sz="0" w:space="0" w:color="auto"/>
            <w:bottom w:val="none" w:sz="0" w:space="0" w:color="auto"/>
            <w:right w:val="none" w:sz="0" w:space="0" w:color="auto"/>
          </w:divBdr>
        </w:div>
        <w:div w:id="2069842650">
          <w:marLeft w:val="0"/>
          <w:marRight w:val="0"/>
          <w:marTop w:val="0"/>
          <w:marBottom w:val="0"/>
          <w:divBdr>
            <w:top w:val="none" w:sz="0" w:space="0" w:color="auto"/>
            <w:left w:val="none" w:sz="0" w:space="0" w:color="auto"/>
            <w:bottom w:val="none" w:sz="0" w:space="0" w:color="auto"/>
            <w:right w:val="none" w:sz="0" w:space="0" w:color="auto"/>
          </w:divBdr>
        </w:div>
      </w:divsChild>
    </w:div>
    <w:div w:id="1360624706">
      <w:bodyDiv w:val="1"/>
      <w:marLeft w:val="0"/>
      <w:marRight w:val="0"/>
      <w:marTop w:val="0"/>
      <w:marBottom w:val="0"/>
      <w:divBdr>
        <w:top w:val="none" w:sz="0" w:space="0" w:color="auto"/>
        <w:left w:val="none" w:sz="0" w:space="0" w:color="auto"/>
        <w:bottom w:val="none" w:sz="0" w:space="0" w:color="auto"/>
        <w:right w:val="none" w:sz="0" w:space="0" w:color="auto"/>
      </w:divBdr>
    </w:div>
    <w:div w:id="1422919022">
      <w:bodyDiv w:val="1"/>
      <w:marLeft w:val="0"/>
      <w:marRight w:val="0"/>
      <w:marTop w:val="0"/>
      <w:marBottom w:val="0"/>
      <w:divBdr>
        <w:top w:val="none" w:sz="0" w:space="0" w:color="auto"/>
        <w:left w:val="none" w:sz="0" w:space="0" w:color="auto"/>
        <w:bottom w:val="none" w:sz="0" w:space="0" w:color="auto"/>
        <w:right w:val="none" w:sz="0" w:space="0" w:color="auto"/>
      </w:divBdr>
    </w:div>
    <w:div w:id="1467120172">
      <w:bodyDiv w:val="1"/>
      <w:marLeft w:val="0"/>
      <w:marRight w:val="0"/>
      <w:marTop w:val="0"/>
      <w:marBottom w:val="0"/>
      <w:divBdr>
        <w:top w:val="none" w:sz="0" w:space="0" w:color="auto"/>
        <w:left w:val="none" w:sz="0" w:space="0" w:color="auto"/>
        <w:bottom w:val="none" w:sz="0" w:space="0" w:color="auto"/>
        <w:right w:val="none" w:sz="0" w:space="0" w:color="auto"/>
      </w:divBdr>
      <w:divsChild>
        <w:div w:id="299111083">
          <w:marLeft w:val="0"/>
          <w:marRight w:val="0"/>
          <w:marTop w:val="15"/>
          <w:marBottom w:val="0"/>
          <w:divBdr>
            <w:top w:val="single" w:sz="48" w:space="0" w:color="auto"/>
            <w:left w:val="single" w:sz="48" w:space="0" w:color="auto"/>
            <w:bottom w:val="single" w:sz="48" w:space="0" w:color="auto"/>
            <w:right w:val="single" w:sz="48" w:space="0" w:color="auto"/>
          </w:divBdr>
          <w:divsChild>
            <w:div w:id="7543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2196">
      <w:bodyDiv w:val="1"/>
      <w:marLeft w:val="0"/>
      <w:marRight w:val="0"/>
      <w:marTop w:val="0"/>
      <w:marBottom w:val="0"/>
      <w:divBdr>
        <w:top w:val="none" w:sz="0" w:space="0" w:color="auto"/>
        <w:left w:val="none" w:sz="0" w:space="0" w:color="auto"/>
        <w:bottom w:val="none" w:sz="0" w:space="0" w:color="auto"/>
        <w:right w:val="none" w:sz="0" w:space="0" w:color="auto"/>
      </w:divBdr>
    </w:div>
    <w:div w:id="1524518533">
      <w:bodyDiv w:val="1"/>
      <w:marLeft w:val="0"/>
      <w:marRight w:val="0"/>
      <w:marTop w:val="0"/>
      <w:marBottom w:val="0"/>
      <w:divBdr>
        <w:top w:val="none" w:sz="0" w:space="0" w:color="auto"/>
        <w:left w:val="none" w:sz="0" w:space="0" w:color="auto"/>
        <w:bottom w:val="none" w:sz="0" w:space="0" w:color="auto"/>
        <w:right w:val="none" w:sz="0" w:space="0" w:color="auto"/>
      </w:divBdr>
    </w:div>
    <w:div w:id="1542939038">
      <w:bodyDiv w:val="1"/>
      <w:marLeft w:val="0"/>
      <w:marRight w:val="0"/>
      <w:marTop w:val="0"/>
      <w:marBottom w:val="0"/>
      <w:divBdr>
        <w:top w:val="none" w:sz="0" w:space="0" w:color="auto"/>
        <w:left w:val="none" w:sz="0" w:space="0" w:color="auto"/>
        <w:bottom w:val="none" w:sz="0" w:space="0" w:color="auto"/>
        <w:right w:val="none" w:sz="0" w:space="0" w:color="auto"/>
      </w:divBdr>
    </w:div>
    <w:div w:id="1552158789">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617253417">
      <w:bodyDiv w:val="1"/>
      <w:marLeft w:val="0"/>
      <w:marRight w:val="0"/>
      <w:marTop w:val="0"/>
      <w:marBottom w:val="0"/>
      <w:divBdr>
        <w:top w:val="none" w:sz="0" w:space="0" w:color="auto"/>
        <w:left w:val="none" w:sz="0" w:space="0" w:color="auto"/>
        <w:bottom w:val="none" w:sz="0" w:space="0" w:color="auto"/>
        <w:right w:val="none" w:sz="0" w:space="0" w:color="auto"/>
      </w:divBdr>
    </w:div>
    <w:div w:id="1681349307">
      <w:bodyDiv w:val="1"/>
      <w:marLeft w:val="0"/>
      <w:marRight w:val="0"/>
      <w:marTop w:val="0"/>
      <w:marBottom w:val="0"/>
      <w:divBdr>
        <w:top w:val="none" w:sz="0" w:space="0" w:color="auto"/>
        <w:left w:val="none" w:sz="0" w:space="0" w:color="auto"/>
        <w:bottom w:val="none" w:sz="0" w:space="0" w:color="auto"/>
        <w:right w:val="none" w:sz="0" w:space="0" w:color="auto"/>
      </w:divBdr>
    </w:div>
    <w:div w:id="1685669194">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 w:id="1842970499">
      <w:bodyDiv w:val="1"/>
      <w:marLeft w:val="0"/>
      <w:marRight w:val="0"/>
      <w:marTop w:val="0"/>
      <w:marBottom w:val="0"/>
      <w:divBdr>
        <w:top w:val="none" w:sz="0" w:space="0" w:color="auto"/>
        <w:left w:val="none" w:sz="0" w:space="0" w:color="auto"/>
        <w:bottom w:val="none" w:sz="0" w:space="0" w:color="auto"/>
        <w:right w:val="none" w:sz="0" w:space="0" w:color="auto"/>
      </w:divBdr>
    </w:div>
    <w:div w:id="1870946799">
      <w:bodyDiv w:val="1"/>
      <w:marLeft w:val="0"/>
      <w:marRight w:val="0"/>
      <w:marTop w:val="0"/>
      <w:marBottom w:val="0"/>
      <w:divBdr>
        <w:top w:val="none" w:sz="0" w:space="0" w:color="auto"/>
        <w:left w:val="none" w:sz="0" w:space="0" w:color="auto"/>
        <w:bottom w:val="none" w:sz="0" w:space="0" w:color="auto"/>
        <w:right w:val="none" w:sz="0" w:space="0" w:color="auto"/>
      </w:divBdr>
    </w:div>
    <w:div w:id="1927030376">
      <w:bodyDiv w:val="1"/>
      <w:marLeft w:val="0"/>
      <w:marRight w:val="0"/>
      <w:marTop w:val="0"/>
      <w:marBottom w:val="0"/>
      <w:divBdr>
        <w:top w:val="none" w:sz="0" w:space="0" w:color="auto"/>
        <w:left w:val="none" w:sz="0" w:space="0" w:color="auto"/>
        <w:bottom w:val="none" w:sz="0" w:space="0" w:color="auto"/>
        <w:right w:val="none" w:sz="0" w:space="0" w:color="auto"/>
      </w:divBdr>
    </w:div>
    <w:div w:id="1928270557">
      <w:bodyDiv w:val="1"/>
      <w:marLeft w:val="0"/>
      <w:marRight w:val="0"/>
      <w:marTop w:val="0"/>
      <w:marBottom w:val="0"/>
      <w:divBdr>
        <w:top w:val="none" w:sz="0" w:space="0" w:color="auto"/>
        <w:left w:val="none" w:sz="0" w:space="0" w:color="auto"/>
        <w:bottom w:val="none" w:sz="0" w:space="0" w:color="auto"/>
        <w:right w:val="none" w:sz="0" w:space="0" w:color="auto"/>
      </w:divBdr>
    </w:div>
    <w:div w:id="2009360120">
      <w:bodyDiv w:val="1"/>
      <w:marLeft w:val="0"/>
      <w:marRight w:val="0"/>
      <w:marTop w:val="0"/>
      <w:marBottom w:val="0"/>
      <w:divBdr>
        <w:top w:val="none" w:sz="0" w:space="0" w:color="auto"/>
        <w:left w:val="none" w:sz="0" w:space="0" w:color="auto"/>
        <w:bottom w:val="none" w:sz="0" w:space="0" w:color="auto"/>
        <w:right w:val="none" w:sz="0" w:space="0" w:color="auto"/>
      </w:divBdr>
    </w:div>
    <w:div w:id="2061202788">
      <w:bodyDiv w:val="1"/>
      <w:marLeft w:val="0"/>
      <w:marRight w:val="0"/>
      <w:marTop w:val="0"/>
      <w:marBottom w:val="0"/>
      <w:divBdr>
        <w:top w:val="none" w:sz="0" w:space="0" w:color="auto"/>
        <w:left w:val="none" w:sz="0" w:space="0" w:color="auto"/>
        <w:bottom w:val="none" w:sz="0" w:space="0" w:color="auto"/>
        <w:right w:val="none" w:sz="0" w:space="0" w:color="auto"/>
      </w:divBdr>
    </w:div>
    <w:div w:id="2067990763">
      <w:bodyDiv w:val="1"/>
      <w:marLeft w:val="0"/>
      <w:marRight w:val="0"/>
      <w:marTop w:val="0"/>
      <w:marBottom w:val="0"/>
      <w:divBdr>
        <w:top w:val="none" w:sz="0" w:space="0" w:color="auto"/>
        <w:left w:val="none" w:sz="0" w:space="0" w:color="auto"/>
        <w:bottom w:val="none" w:sz="0" w:space="0" w:color="auto"/>
        <w:right w:val="none" w:sz="0" w:space="0" w:color="auto"/>
      </w:divBdr>
    </w:div>
    <w:div w:id="20729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850-par-socialo-drosibu" TargetMode="Externa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itania.saeima.lv/LIVS13/SaeimaLIVS13.nsf/0/1B51231DBD50D7E3C2258600004C09D6?OpenDocument" TargetMode="External"/><Relationship Id="rId3" Type="http://schemas.openxmlformats.org/officeDocument/2006/relationships/hyperlink" Target="https://www.satv.tiesa.gov.lv/web/viewer.html?file=/wp-content/uploads/2019/11/2019-25-03_Spriedums.pdf" TargetMode="External"/><Relationship Id="rId7" Type="http://schemas.openxmlformats.org/officeDocument/2006/relationships/hyperlink" Target="https://www.satv.tiesa.gov.lv/web/viewer.html?file=/wp-content/uploads/2019/10/2019-24-03_Spriedums.pdf" TargetMode="External"/><Relationship Id="rId12" Type="http://schemas.openxmlformats.org/officeDocument/2006/relationships/hyperlink" Target="https://euromod-web.jrc.ec.europa.eu/about/country-by-country/detail?id=17" TargetMode="External"/><Relationship Id="rId2" Type="http://schemas.openxmlformats.org/officeDocument/2006/relationships/hyperlink" Target="https://www.satv.tiesa.gov.lv/web/viewer.html?file=/wp-content/uploads/2019/10/2019-24-03_Spriedums.pdf" TargetMode="External"/><Relationship Id="rId1" Type="http://schemas.openxmlformats.org/officeDocument/2006/relationships/hyperlink" Target="https://www.pkc.gov.lv/sites/default/files/inline-files/NAP2027_apstiprin%C4%81ts%20Saeim%C4%81_1.pdf" TargetMode="External"/><Relationship Id="rId6" Type="http://schemas.openxmlformats.org/officeDocument/2006/relationships/hyperlink" Target="https://www.lm.gov.lv/lv/socialas-ieklausanas-politikas-koordinacijas-komiteja" TargetMode="External"/><Relationship Id="rId11" Type="http://schemas.openxmlformats.org/officeDocument/2006/relationships/hyperlink" Target="http://titania.saeima.lv/LIVS13/SaeimaLIVS13.nsf/0/BE501D4949B77906C2258600004CF582?OpenDocument" TargetMode="External"/><Relationship Id="rId5" Type="http://schemas.openxmlformats.org/officeDocument/2006/relationships/hyperlink" Target="https://www.satv.tiesa.gov.lv/web/viewer.html?file=/wp-content/uploads/2019/11/2019-27-03_Spriedums-1.pdf" TargetMode="External"/><Relationship Id="rId10" Type="http://schemas.openxmlformats.org/officeDocument/2006/relationships/hyperlink" Target="http://titania.saeima.lv/LIVS13/SaeimaLIVS13.nsf/0/671B408D96FB8DB0C2258600004D2922?OpenDocument" TargetMode="External"/><Relationship Id="rId4" Type="http://schemas.openxmlformats.org/officeDocument/2006/relationships/hyperlink" Target="https://www.satv.tiesa.gov.lv/web/viewer.html?file=https://www.satv.tiesa.gov.lv/wp-content/uploads/2020/01/2020-07-03-Spriedums.pdf" TargetMode="External"/><Relationship Id="rId9" Type="http://schemas.openxmlformats.org/officeDocument/2006/relationships/hyperlink" Target="http://titania.saeima.lv/LIVS13/SaeimaLIVS13.nsf/0/1A9133FE8D11FC37C2258600004CB596?OpenDocum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PIEŅĒMUMI!$H$16</c:f>
              <c:strCache>
                <c:ptCount val="1"/>
                <c:pt idx="0">
                  <c:v>1.scenārijs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PIEŅĒMUMI!$J$14:$N$14</c:f>
              <c:numCache>
                <c:formatCode>General</c:formatCode>
                <c:ptCount val="5"/>
                <c:pt idx="0">
                  <c:v>2021</c:v>
                </c:pt>
                <c:pt idx="1">
                  <c:v>2022</c:v>
                </c:pt>
                <c:pt idx="2">
                  <c:v>2023</c:v>
                </c:pt>
                <c:pt idx="3">
                  <c:v>2024</c:v>
                </c:pt>
                <c:pt idx="4">
                  <c:v>2025</c:v>
                </c:pt>
              </c:numCache>
            </c:numRef>
          </c:cat>
          <c:val>
            <c:numRef>
              <c:f>PIEŅĒMUMI!$J$16:$N$16</c:f>
              <c:numCache>
                <c:formatCode>0</c:formatCode>
                <c:ptCount val="5"/>
                <c:pt idx="0">
                  <c:v>108.88200000000001</c:v>
                </c:pt>
                <c:pt idx="1">
                  <c:v>116.37200000000001</c:v>
                </c:pt>
                <c:pt idx="2">
                  <c:v>117.25369803766397</c:v>
                </c:pt>
                <c:pt idx="3">
                  <c:v>125.53002548504526</c:v>
                </c:pt>
                <c:pt idx="4">
                  <c:v>130.08071234347022</c:v>
                </c:pt>
              </c:numCache>
            </c:numRef>
          </c:val>
          <c:extLst xmlns:c16r2="http://schemas.microsoft.com/office/drawing/2015/06/chart">
            <c:ext xmlns:c16="http://schemas.microsoft.com/office/drawing/2014/chart" uri="{C3380CC4-5D6E-409C-BE32-E72D297353CC}">
              <c16:uniqueId val="{00000005-3C23-49DB-B1D2-626DA1F87E35}"/>
            </c:ext>
          </c:extLst>
        </c:ser>
        <c:ser>
          <c:idx val="2"/>
          <c:order val="1"/>
          <c:tx>
            <c:strRef>
              <c:f>PIEŅĒMUMI!$H$17</c:f>
              <c:strCache>
                <c:ptCount val="1"/>
                <c:pt idx="0">
                  <c:v>2. scenārijs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PIEŅĒMUMI!$J$14:$N$14</c:f>
              <c:numCache>
                <c:formatCode>General</c:formatCode>
                <c:ptCount val="5"/>
                <c:pt idx="0">
                  <c:v>2021</c:v>
                </c:pt>
                <c:pt idx="1">
                  <c:v>2022</c:v>
                </c:pt>
                <c:pt idx="2">
                  <c:v>2023</c:v>
                </c:pt>
                <c:pt idx="3">
                  <c:v>2024</c:v>
                </c:pt>
                <c:pt idx="4">
                  <c:v>2025</c:v>
                </c:pt>
              </c:numCache>
            </c:numRef>
          </c:cat>
          <c:val>
            <c:numRef>
              <c:f>PIEŅĒMUMI!$J$17:$N$17</c:f>
              <c:numCache>
                <c:formatCode>0</c:formatCode>
                <c:ptCount val="5"/>
                <c:pt idx="0">
                  <c:v>108.88200000000001</c:v>
                </c:pt>
                <c:pt idx="1">
                  <c:v>108.88200000000001</c:v>
                </c:pt>
                <c:pt idx="2">
                  <c:v>108.88200000000001</c:v>
                </c:pt>
                <c:pt idx="3">
                  <c:v>125.53002548504526</c:v>
                </c:pt>
                <c:pt idx="4">
                  <c:v>125.53002548504526</c:v>
                </c:pt>
              </c:numCache>
            </c:numRef>
          </c:val>
          <c:extLst xmlns:c16r2="http://schemas.microsoft.com/office/drawing/2015/06/chart">
            <c:ext xmlns:c16="http://schemas.microsoft.com/office/drawing/2014/chart" uri="{C3380CC4-5D6E-409C-BE32-E72D297353CC}">
              <c16:uniqueId val="{00000007-3C23-49DB-B1D2-626DA1F87E35}"/>
            </c:ext>
          </c:extLst>
        </c:ser>
        <c:dLbls>
          <c:showLegendKey val="0"/>
          <c:showVal val="0"/>
          <c:showCatName val="0"/>
          <c:showSerName val="0"/>
          <c:showPercent val="0"/>
          <c:showBubbleSize val="0"/>
        </c:dLbls>
        <c:gapWidth val="219"/>
        <c:overlap val="-27"/>
        <c:axId val="488470376"/>
        <c:axId val="488470768"/>
      </c:barChart>
      <c:catAx>
        <c:axId val="48847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88470768"/>
        <c:crosses val="autoZero"/>
        <c:auto val="1"/>
        <c:lblAlgn val="ctr"/>
        <c:lblOffset val="100"/>
        <c:noMultiLvlLbl val="0"/>
      </c:catAx>
      <c:valAx>
        <c:axId val="488470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88470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solidFill>
                  <a:sysClr val="windowText" lastClr="000000"/>
                </a:solidFill>
                <a:latin typeface="+mn-lt"/>
                <a:ea typeface="+mn-ea"/>
                <a:cs typeface="+mn-cs"/>
              </a:defRPr>
            </a:pPr>
            <a:r>
              <a:rPr lang="lv-LV"/>
              <a:t>Džini KOEFICIENTS, % izmaiņas pret 2021</a:t>
            </a:r>
          </a:p>
        </c:rich>
      </c:tx>
      <c:layout/>
      <c:overlay val="0"/>
      <c:spPr>
        <a:noFill/>
        <a:ln>
          <a:noFill/>
        </a:ln>
        <a:effectLst/>
      </c:spPr>
      <c:txPr>
        <a:bodyPr rot="0" spcFirstLastPara="1" vertOverflow="ellipsis" vert="horz" wrap="square" anchor="ctr" anchorCtr="1"/>
        <a:lstStyle/>
        <a:p>
          <a:pPr>
            <a:defRPr sz="1440" b="0" i="0" u="none" strike="noStrike" kern="1200" cap="all"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0390954037722016E-2"/>
          <c:y val="0.11981852913085007"/>
          <c:w val="0.62900218867990343"/>
          <c:h val="0.66477185225663815"/>
        </c:manualLayout>
      </c:layout>
      <c:lineChart>
        <c:grouping val="standard"/>
        <c:varyColors val="0"/>
        <c:ser>
          <c:idx val="0"/>
          <c:order val="0"/>
          <c:tx>
            <c:strRef>
              <c:f>'Scenariji (pret 2021)'!$P$1</c:f>
              <c:strCache>
                <c:ptCount val="1"/>
                <c:pt idx="0">
                  <c:v>bāzes scenārijs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2021)'!$P$5:$S$5</c:f>
              <c:numCache>
                <c:formatCode>0.0%</c:formatCode>
                <c:ptCount val="4"/>
                <c:pt idx="0">
                  <c:v>1.2035839932474035E-2</c:v>
                </c:pt>
                <c:pt idx="1">
                  <c:v>2.4928168045073695E-2</c:v>
                </c:pt>
                <c:pt idx="2">
                  <c:v>3.739664122391595E-2</c:v>
                </c:pt>
                <c:pt idx="3">
                  <c:v>5.016707441499535E-2</c:v>
                </c:pt>
              </c:numCache>
            </c:numRef>
          </c:val>
          <c:smooth val="0"/>
          <c:extLst xmlns:c16r2="http://schemas.microsoft.com/office/drawing/2015/06/chart">
            <c:ext xmlns:c16="http://schemas.microsoft.com/office/drawing/2014/chart" uri="{C3380CC4-5D6E-409C-BE32-E72D297353CC}">
              <c16:uniqueId val="{00000000-DF4B-4562-A9E6-9C1D8EA1CAF1}"/>
            </c:ext>
          </c:extLst>
        </c:ser>
        <c:ser>
          <c:idx val="1"/>
          <c:order val="1"/>
          <c:tx>
            <c:strRef>
              <c:f>'Scenariji (pret 2021)'!$T$1</c:f>
              <c:strCache>
                <c:ptCount val="1"/>
                <c:pt idx="0">
                  <c:v>1. scenārijs</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2"/>
              <c:layout>
                <c:manualLayout>
                  <c:x val="-6.5060908084163899E-2"/>
                  <c:y val="-2.8653295128939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AC7-4B50-BFE5-2F7AA47BB18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2021)'!$T$5:$W$5</c:f>
              <c:numCache>
                <c:formatCode>0.0%</c:formatCode>
                <c:ptCount val="4"/>
                <c:pt idx="0">
                  <c:v>3.869196166693234E-3</c:v>
                </c:pt>
                <c:pt idx="1">
                  <c:v>1.6212160817369758E-2</c:v>
                </c:pt>
                <c:pt idx="2">
                  <c:v>2.0559244224638507E-2</c:v>
                </c:pt>
                <c:pt idx="3">
                  <c:v>2.9469975165732798E-2</c:v>
                </c:pt>
              </c:numCache>
            </c:numRef>
          </c:val>
          <c:smooth val="0"/>
          <c:extLst xmlns:c16r2="http://schemas.microsoft.com/office/drawing/2015/06/chart">
            <c:ext xmlns:c16="http://schemas.microsoft.com/office/drawing/2014/chart" uri="{C3380CC4-5D6E-409C-BE32-E72D297353CC}">
              <c16:uniqueId val="{00000001-DF4B-4562-A9E6-9C1D8EA1CAF1}"/>
            </c:ext>
          </c:extLst>
        </c:ser>
        <c:ser>
          <c:idx val="2"/>
          <c:order val="2"/>
          <c:tx>
            <c:strRef>
              <c:f>'Scenariji (pret 2021)'!$X$1</c:f>
              <c:strCache>
                <c:ptCount val="1"/>
                <c:pt idx="0">
                  <c:v>2. scenārijs</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2"/>
              <c:layout>
                <c:manualLayout>
                  <c:x val="-5.9523809523809521E-2"/>
                  <c:y val="2.8653295128939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AC7-4B50-BFE5-2F7AA47BB18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2021)'!$X$5:$AA$5</c:f>
              <c:numCache>
                <c:formatCode>0.0%</c:formatCode>
                <c:ptCount val="4"/>
                <c:pt idx="0">
                  <c:v>1.2041078389112059E-2</c:v>
                </c:pt>
                <c:pt idx="1">
                  <c:v>2.4939347539097323E-2</c:v>
                </c:pt>
                <c:pt idx="2">
                  <c:v>2.0045996363367014E-2</c:v>
                </c:pt>
                <c:pt idx="3">
                  <c:v>3.4272042690446813E-2</c:v>
                </c:pt>
              </c:numCache>
            </c:numRef>
          </c:val>
          <c:smooth val="0"/>
          <c:extLst xmlns:c16r2="http://schemas.microsoft.com/office/drawing/2015/06/chart">
            <c:ext xmlns:c16="http://schemas.microsoft.com/office/drawing/2014/chart" uri="{C3380CC4-5D6E-409C-BE32-E72D297353CC}">
              <c16:uniqueId val="{00000002-DF4B-4562-A9E6-9C1D8EA1CAF1}"/>
            </c:ext>
          </c:extLst>
        </c:ser>
        <c:dLbls>
          <c:dLblPos val="ctr"/>
          <c:showLegendKey val="0"/>
          <c:showVal val="1"/>
          <c:showCatName val="0"/>
          <c:showSerName val="0"/>
          <c:showPercent val="0"/>
          <c:showBubbleSize val="0"/>
        </c:dLbls>
        <c:marker val="1"/>
        <c:smooth val="0"/>
        <c:axId val="488465672"/>
        <c:axId val="488468808"/>
      </c:lineChart>
      <c:catAx>
        <c:axId val="48846567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crossAx val="488468808"/>
        <c:crosses val="autoZero"/>
        <c:auto val="1"/>
        <c:lblAlgn val="ctr"/>
        <c:lblOffset val="100"/>
        <c:noMultiLvlLbl val="0"/>
      </c:catAx>
      <c:valAx>
        <c:axId val="488468808"/>
        <c:scaling>
          <c:orientation val="minMax"/>
        </c:scaling>
        <c:delete val="1"/>
        <c:axPos val="l"/>
        <c:numFmt formatCode="0.0%" sourceLinked="1"/>
        <c:majorTickMark val="none"/>
        <c:minorTickMark val="none"/>
        <c:tickLblPos val="nextTo"/>
        <c:crossAx val="488465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lv-LV" sz="1100" b="1"/>
              <a:t>Nabadzības riska īpatsvars, % </a:t>
            </a:r>
          </a:p>
          <a:p>
            <a:pPr>
              <a:defRPr sz="1100" b="1"/>
            </a:pPr>
            <a:r>
              <a:rPr lang="lv-LV" sz="1100" b="1"/>
              <a:t>izmaiņas pret 2021</a:t>
            </a:r>
          </a:p>
        </c:rich>
      </c:tx>
      <c:layout/>
      <c:overlay val="0"/>
      <c:spPr>
        <a:noFill/>
        <a:ln>
          <a:noFill/>
        </a:ln>
        <a:effectLst/>
      </c:spPr>
      <c:txPr>
        <a:bodyPr rot="0" spcFirstLastPara="1" vertOverflow="ellipsis" vert="horz" wrap="square" anchor="ctr" anchorCtr="1"/>
        <a:lstStyle/>
        <a:p>
          <a:pPr>
            <a:defRPr sz="11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lv-LV"/>
        </a:p>
      </c:txPr>
    </c:title>
    <c:autoTitleDeleted val="0"/>
    <c:plotArea>
      <c:layout/>
      <c:lineChart>
        <c:grouping val="standard"/>
        <c:varyColors val="0"/>
        <c:ser>
          <c:idx val="0"/>
          <c:order val="0"/>
          <c:tx>
            <c:strRef>
              <c:f>'Scenariji (pret 2021)'!$P$1</c:f>
              <c:strCache>
                <c:ptCount val="1"/>
                <c:pt idx="0">
                  <c:v>bāzes scenārijs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2021)'!$P$8:$S$8</c:f>
              <c:numCache>
                <c:formatCode>0.0%</c:formatCode>
                <c:ptCount val="4"/>
                <c:pt idx="0">
                  <c:v>3.5469588503861615E-2</c:v>
                </c:pt>
                <c:pt idx="1">
                  <c:v>6.9787106710857971E-2</c:v>
                </c:pt>
                <c:pt idx="2">
                  <c:v>9.6547582008175814E-2</c:v>
                </c:pt>
                <c:pt idx="3">
                  <c:v>0.1192195209982585</c:v>
                </c:pt>
              </c:numCache>
            </c:numRef>
          </c:val>
          <c:smooth val="0"/>
          <c:extLst xmlns:c16r2="http://schemas.microsoft.com/office/drawing/2015/06/chart">
            <c:ext xmlns:c16="http://schemas.microsoft.com/office/drawing/2014/chart" uri="{C3380CC4-5D6E-409C-BE32-E72D297353CC}">
              <c16:uniqueId val="{00000000-1D0E-4450-9161-0CDDB441B69B}"/>
            </c:ext>
          </c:extLst>
        </c:ser>
        <c:ser>
          <c:idx val="1"/>
          <c:order val="1"/>
          <c:tx>
            <c:strRef>
              <c:f>'Scenariji (pret 2021)'!$T$1</c:f>
              <c:strCache>
                <c:ptCount val="1"/>
                <c:pt idx="0">
                  <c:v>1. scenārijs</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2"/>
              <c:layout>
                <c:manualLayout>
                  <c:x val="-7.605177993527508E-2"/>
                  <c:y val="-1.70164492342598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C87-4F8F-9104-F51C54C8001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2021)'!$T$8:$W$8</c:f>
              <c:numCache>
                <c:formatCode>0.0%</c:formatCode>
                <c:ptCount val="4"/>
                <c:pt idx="0">
                  <c:v>1.1677454482146077E-2</c:v>
                </c:pt>
                <c:pt idx="1">
                  <c:v>4.3025238480277617E-2</c:v>
                </c:pt>
                <c:pt idx="2">
                  <c:v>4.6368884775904284E-2</c:v>
                </c:pt>
                <c:pt idx="3">
                  <c:v>6.0154594554373331E-2</c:v>
                </c:pt>
              </c:numCache>
            </c:numRef>
          </c:val>
          <c:smooth val="0"/>
          <c:extLst xmlns:c16r2="http://schemas.microsoft.com/office/drawing/2015/06/chart">
            <c:ext xmlns:c16="http://schemas.microsoft.com/office/drawing/2014/chart" uri="{C3380CC4-5D6E-409C-BE32-E72D297353CC}">
              <c16:uniqueId val="{00000001-1D0E-4450-9161-0CDDB441B69B}"/>
            </c:ext>
          </c:extLst>
        </c:ser>
        <c:ser>
          <c:idx val="2"/>
          <c:order val="2"/>
          <c:tx>
            <c:strRef>
              <c:f>'Scenariji (pret 2021)'!$X$1</c:f>
              <c:strCache>
                <c:ptCount val="1"/>
                <c:pt idx="0">
                  <c:v>2. scenārijs</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2"/>
              <c:layout>
                <c:manualLayout>
                  <c:x val="-7.605177993527508E-2"/>
                  <c:y val="1.13442994895065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87-4F8F-9104-F51C54C8001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2021)'!$X$8:$AA$8</c:f>
              <c:numCache>
                <c:formatCode>0.0%</c:formatCode>
                <c:ptCount val="4"/>
                <c:pt idx="0">
                  <c:v>3.5469588503861615E-2</c:v>
                </c:pt>
                <c:pt idx="1">
                  <c:v>6.9787106710857971E-2</c:v>
                </c:pt>
                <c:pt idx="2">
                  <c:v>4.3653784484331659E-2</c:v>
                </c:pt>
                <c:pt idx="3">
                  <c:v>8.0636555568636581E-2</c:v>
                </c:pt>
              </c:numCache>
            </c:numRef>
          </c:val>
          <c:smooth val="0"/>
          <c:extLst xmlns:c16r2="http://schemas.microsoft.com/office/drawing/2015/06/chart">
            <c:ext xmlns:c16="http://schemas.microsoft.com/office/drawing/2014/chart" uri="{C3380CC4-5D6E-409C-BE32-E72D297353CC}">
              <c16:uniqueId val="{00000002-1D0E-4450-9161-0CDDB441B69B}"/>
            </c:ext>
          </c:extLst>
        </c:ser>
        <c:dLbls>
          <c:dLblPos val="ctr"/>
          <c:showLegendKey val="0"/>
          <c:showVal val="1"/>
          <c:showCatName val="0"/>
          <c:showSerName val="0"/>
          <c:showPercent val="0"/>
          <c:showBubbleSize val="0"/>
        </c:dLbls>
        <c:marker val="1"/>
        <c:smooth val="0"/>
        <c:axId val="488466064"/>
        <c:axId val="488468416"/>
      </c:lineChart>
      <c:catAx>
        <c:axId val="4884660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v-LV"/>
          </a:p>
        </c:txPr>
        <c:crossAx val="488468416"/>
        <c:crosses val="autoZero"/>
        <c:auto val="1"/>
        <c:lblAlgn val="ctr"/>
        <c:lblOffset val="100"/>
        <c:noMultiLvlLbl val="0"/>
      </c:catAx>
      <c:valAx>
        <c:axId val="488468416"/>
        <c:scaling>
          <c:orientation val="minMax"/>
        </c:scaling>
        <c:delete val="1"/>
        <c:axPos val="l"/>
        <c:numFmt formatCode="0.0%" sourceLinked="1"/>
        <c:majorTickMark val="none"/>
        <c:minorTickMark val="none"/>
        <c:tickLblPos val="nextTo"/>
        <c:crossAx val="488466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spc="0" baseline="0">
                <a:solidFill>
                  <a:sysClr val="windowText" lastClr="000000"/>
                </a:solidFill>
                <a:latin typeface="+mn-lt"/>
                <a:ea typeface="+mn-ea"/>
                <a:cs typeface="+mn-cs"/>
              </a:defRPr>
            </a:pPr>
            <a:r>
              <a:rPr lang="lv-LV" sz="1100">
                <a:solidFill>
                  <a:sysClr val="windowText" lastClr="000000"/>
                </a:solidFill>
              </a:rPr>
              <a:t>Izmaiņas rīcībā esošā ekvivalentajā ienākumā, pa ienākuma decilēm (1. scenārijs), % pret 2021.gadu</a:t>
            </a:r>
          </a:p>
        </c:rich>
      </c:tx>
      <c:layout/>
      <c:overlay val="0"/>
      <c:spPr>
        <a:noFill/>
        <a:ln>
          <a:noFill/>
        </a:ln>
        <a:effectLst/>
      </c:spPr>
      <c:txPr>
        <a:bodyPr rot="0" spcFirstLastPara="1" vertOverflow="ellipsis" vert="horz" wrap="square" anchor="ctr" anchorCtr="1"/>
        <a:lstStyle/>
        <a:p>
          <a:pPr>
            <a:defRPr sz="1100" b="0" i="0" u="none" strike="noStrike" kern="1200" cap="all" spc="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tx>
            <c:strRef>
              <c:f>'Scenariji (pret 2021)'!$T$4</c:f>
              <c:strCache>
                <c:ptCount val="1"/>
                <c:pt idx="0">
                  <c:v>2022LM1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2021)'!$T$17:$T$26</c:f>
              <c:numCache>
                <c:formatCode>0%</c:formatCode>
                <c:ptCount val="10"/>
                <c:pt idx="0">
                  <c:v>4.4759438610058266E-2</c:v>
                </c:pt>
                <c:pt idx="1">
                  <c:v>3.8177307320932163E-2</c:v>
                </c:pt>
                <c:pt idx="2">
                  <c:v>3.4997650453349571E-2</c:v>
                </c:pt>
                <c:pt idx="3">
                  <c:v>3.549590759236354E-2</c:v>
                </c:pt>
                <c:pt idx="4">
                  <c:v>3.601708729678732E-2</c:v>
                </c:pt>
                <c:pt idx="5">
                  <c:v>3.8976669682949883E-2</c:v>
                </c:pt>
                <c:pt idx="6">
                  <c:v>3.8873127430979482E-2</c:v>
                </c:pt>
                <c:pt idx="7">
                  <c:v>4.0996887951152639E-2</c:v>
                </c:pt>
                <c:pt idx="8">
                  <c:v>4.3534928912177806E-2</c:v>
                </c:pt>
                <c:pt idx="9">
                  <c:v>4.4539949536436252E-2</c:v>
                </c:pt>
              </c:numCache>
            </c:numRef>
          </c:val>
          <c:smooth val="0"/>
          <c:extLst xmlns:c16r2="http://schemas.microsoft.com/office/drawing/2015/06/chart">
            <c:ext xmlns:c16="http://schemas.microsoft.com/office/drawing/2014/chart" uri="{C3380CC4-5D6E-409C-BE32-E72D297353CC}">
              <c16:uniqueId val="{00000000-0D1B-4C1F-9177-3349A955A44A}"/>
            </c:ext>
          </c:extLst>
        </c:ser>
        <c:ser>
          <c:idx val="1"/>
          <c:order val="1"/>
          <c:tx>
            <c:strRef>
              <c:f>'Scenariji (pret 2021)'!$U$4</c:f>
              <c:strCache>
                <c:ptCount val="1"/>
                <c:pt idx="0">
                  <c:v>2023LM1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2021)'!$U$17:$U$26</c:f>
              <c:numCache>
                <c:formatCode>0%</c:formatCode>
                <c:ptCount val="10"/>
                <c:pt idx="0">
                  <c:v>5.9894641580119368E-2</c:v>
                </c:pt>
                <c:pt idx="1">
                  <c:v>5.8252339275960852E-2</c:v>
                </c:pt>
                <c:pt idx="2">
                  <c:v>5.8108680329485018E-2</c:v>
                </c:pt>
                <c:pt idx="3">
                  <c:v>6.4342398087876118E-2</c:v>
                </c:pt>
                <c:pt idx="4">
                  <c:v>6.9952942364688964E-2</c:v>
                </c:pt>
                <c:pt idx="5">
                  <c:v>7.6284804002539897E-2</c:v>
                </c:pt>
                <c:pt idx="6">
                  <c:v>7.7295178361640904E-2</c:v>
                </c:pt>
                <c:pt idx="7">
                  <c:v>8.0328611016311058E-2</c:v>
                </c:pt>
                <c:pt idx="8">
                  <c:v>8.6427405836293714E-2</c:v>
                </c:pt>
                <c:pt idx="9">
                  <c:v>9.0513150968543066E-2</c:v>
                </c:pt>
              </c:numCache>
            </c:numRef>
          </c:val>
          <c:smooth val="0"/>
          <c:extLst xmlns:c16r2="http://schemas.microsoft.com/office/drawing/2015/06/chart">
            <c:ext xmlns:c16="http://schemas.microsoft.com/office/drawing/2014/chart" uri="{C3380CC4-5D6E-409C-BE32-E72D297353CC}">
              <c16:uniqueId val="{00000001-0D1B-4C1F-9177-3349A955A44A}"/>
            </c:ext>
          </c:extLst>
        </c:ser>
        <c:ser>
          <c:idx val="2"/>
          <c:order val="2"/>
          <c:tx>
            <c:strRef>
              <c:f>'Scenariji (pret 2021)'!$V$4</c:f>
              <c:strCache>
                <c:ptCount val="1"/>
                <c:pt idx="0">
                  <c:v>2024LM1</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2021)'!$V$17:$V$26</c:f>
              <c:numCache>
                <c:formatCode>0%</c:formatCode>
                <c:ptCount val="10"/>
                <c:pt idx="0">
                  <c:v>0.10620826103743242</c:v>
                </c:pt>
                <c:pt idx="1">
                  <c:v>9.8079028462726425E-2</c:v>
                </c:pt>
                <c:pt idx="2">
                  <c:v>9.50639789628831E-2</c:v>
                </c:pt>
                <c:pt idx="3">
                  <c:v>0.10162400189107079</c:v>
                </c:pt>
                <c:pt idx="4">
                  <c:v>0.10737060762562867</c:v>
                </c:pt>
                <c:pt idx="5">
                  <c:v>0.11755611334920379</c:v>
                </c:pt>
                <c:pt idx="6">
                  <c:v>0.12003895146019983</c:v>
                </c:pt>
                <c:pt idx="7">
                  <c:v>0.12413762242083037</c:v>
                </c:pt>
                <c:pt idx="8">
                  <c:v>0.13307620262933662</c:v>
                </c:pt>
                <c:pt idx="9">
                  <c:v>0.13916026641226287</c:v>
                </c:pt>
              </c:numCache>
            </c:numRef>
          </c:val>
          <c:smooth val="0"/>
          <c:extLst xmlns:c16r2="http://schemas.microsoft.com/office/drawing/2015/06/chart">
            <c:ext xmlns:c16="http://schemas.microsoft.com/office/drawing/2014/chart" uri="{C3380CC4-5D6E-409C-BE32-E72D297353CC}">
              <c16:uniqueId val="{00000002-0D1B-4C1F-9177-3349A955A44A}"/>
            </c:ext>
          </c:extLst>
        </c:ser>
        <c:ser>
          <c:idx val="3"/>
          <c:order val="3"/>
          <c:tx>
            <c:strRef>
              <c:f>'Scenariji (pret 2021)'!$W$4</c:f>
              <c:strCache>
                <c:ptCount val="1"/>
                <c:pt idx="0">
                  <c:v>2025LM1</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2021)'!$W$17:$W$26</c:f>
              <c:numCache>
                <c:formatCode>0%</c:formatCode>
                <c:ptCount val="10"/>
                <c:pt idx="0">
                  <c:v>0.13595483432290445</c:v>
                </c:pt>
                <c:pt idx="1">
                  <c:v>0.12758766118532772</c:v>
                </c:pt>
                <c:pt idx="2">
                  <c:v>0.12545744179167029</c:v>
                </c:pt>
                <c:pt idx="3">
                  <c:v>0.13719585378182209</c:v>
                </c:pt>
                <c:pt idx="4">
                  <c:v>0.14426456223916539</c:v>
                </c:pt>
                <c:pt idx="5">
                  <c:v>0.15848995882989003</c:v>
                </c:pt>
                <c:pt idx="6">
                  <c:v>0.1633778133655277</c:v>
                </c:pt>
                <c:pt idx="7">
                  <c:v>0.16953736458211521</c:v>
                </c:pt>
                <c:pt idx="8">
                  <c:v>0.18167095316463788</c:v>
                </c:pt>
                <c:pt idx="9">
                  <c:v>0.18981782467132136</c:v>
                </c:pt>
              </c:numCache>
            </c:numRef>
          </c:val>
          <c:smooth val="0"/>
          <c:extLst xmlns:c16r2="http://schemas.microsoft.com/office/drawing/2015/06/chart">
            <c:ext xmlns:c16="http://schemas.microsoft.com/office/drawing/2014/chart" uri="{C3380CC4-5D6E-409C-BE32-E72D297353CC}">
              <c16:uniqueId val="{00000003-0D1B-4C1F-9177-3349A955A44A}"/>
            </c:ext>
          </c:extLst>
        </c:ser>
        <c:dLbls>
          <c:dLblPos val="ctr"/>
          <c:showLegendKey val="0"/>
          <c:showVal val="1"/>
          <c:showCatName val="0"/>
          <c:showSerName val="0"/>
          <c:showPercent val="0"/>
          <c:showBubbleSize val="0"/>
        </c:dLbls>
        <c:marker val="1"/>
        <c:smooth val="0"/>
        <c:axId val="488469200"/>
        <c:axId val="488462928"/>
      </c:lineChart>
      <c:catAx>
        <c:axId val="4884692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v-LV"/>
          </a:p>
        </c:txPr>
        <c:crossAx val="488462928"/>
        <c:crosses val="autoZero"/>
        <c:auto val="1"/>
        <c:lblAlgn val="ctr"/>
        <c:lblOffset val="100"/>
        <c:noMultiLvlLbl val="0"/>
      </c:catAx>
      <c:valAx>
        <c:axId val="488462928"/>
        <c:scaling>
          <c:orientation val="minMax"/>
        </c:scaling>
        <c:delete val="1"/>
        <c:axPos val="l"/>
        <c:numFmt formatCode="0%" sourceLinked="1"/>
        <c:majorTickMark val="none"/>
        <c:minorTickMark val="none"/>
        <c:tickLblPos val="nextTo"/>
        <c:crossAx val="488469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spc="0" baseline="0">
                <a:solidFill>
                  <a:sysClr val="windowText" lastClr="000000"/>
                </a:solidFill>
                <a:latin typeface="+mn-lt"/>
                <a:ea typeface="+mn-ea"/>
                <a:cs typeface="+mn-cs"/>
              </a:defRPr>
            </a:pPr>
            <a:r>
              <a:rPr lang="lv-LV" sz="1100">
                <a:solidFill>
                  <a:sysClr val="windowText" lastClr="000000"/>
                </a:solidFill>
              </a:rPr>
              <a:t>Izmaiņas rīcībā esošā ekvivalentajā ienākumā, pa ienākumu decilēm (2. scenārijs), % pret 2021.gadu</a:t>
            </a:r>
          </a:p>
        </c:rich>
      </c:tx>
      <c:layout/>
      <c:overlay val="0"/>
      <c:spPr>
        <a:noFill/>
        <a:ln>
          <a:noFill/>
        </a:ln>
        <a:effectLst/>
      </c:spPr>
      <c:txPr>
        <a:bodyPr rot="0" spcFirstLastPara="1" vertOverflow="ellipsis" vert="horz" wrap="square" anchor="ctr" anchorCtr="1"/>
        <a:lstStyle/>
        <a:p>
          <a:pPr>
            <a:defRPr sz="1100" b="0" i="0" u="none" strike="noStrike" kern="1200" cap="all" spc="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tx>
            <c:strRef>
              <c:f>'Scenariji (pret 2021)'!$X$4</c:f>
              <c:strCache>
                <c:ptCount val="1"/>
                <c:pt idx="0">
                  <c:v>2022 LM2</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2021)'!$X$17:$X$26</c:f>
              <c:numCache>
                <c:formatCode>0%</c:formatCode>
                <c:ptCount val="10"/>
                <c:pt idx="0">
                  <c:v>1.3001238842272E-2</c:v>
                </c:pt>
                <c:pt idx="1">
                  <c:v>1.9130779885341509E-2</c:v>
                </c:pt>
                <c:pt idx="2">
                  <c:v>2.3699592762560506E-2</c:v>
                </c:pt>
                <c:pt idx="3">
                  <c:v>2.9600452159007196E-2</c:v>
                </c:pt>
                <c:pt idx="4">
                  <c:v>3.2868627032402786E-2</c:v>
                </c:pt>
                <c:pt idx="5">
                  <c:v>3.6121150608815267E-2</c:v>
                </c:pt>
                <c:pt idx="6">
                  <c:v>3.647368760541414E-2</c:v>
                </c:pt>
                <c:pt idx="7">
                  <c:v>3.8688963629993189E-2</c:v>
                </c:pt>
                <c:pt idx="8">
                  <c:v>4.1351574479822739E-2</c:v>
                </c:pt>
                <c:pt idx="9">
                  <c:v>4.3602863421820626E-2</c:v>
                </c:pt>
              </c:numCache>
            </c:numRef>
          </c:val>
          <c:smooth val="0"/>
          <c:extLst xmlns:c16r2="http://schemas.microsoft.com/office/drawing/2015/06/chart">
            <c:ext xmlns:c16="http://schemas.microsoft.com/office/drawing/2014/chart" uri="{C3380CC4-5D6E-409C-BE32-E72D297353CC}">
              <c16:uniqueId val="{00000000-FB02-4B95-BB13-91D6531C9B5D}"/>
            </c:ext>
          </c:extLst>
        </c:ser>
        <c:ser>
          <c:idx val="1"/>
          <c:order val="1"/>
          <c:tx>
            <c:strRef>
              <c:f>'Scenariji (pret 2021)'!$Y$4</c:f>
              <c:strCache>
                <c:ptCount val="1"/>
                <c:pt idx="0">
                  <c:v>2023 LM2</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2021)'!$Y$17:$Y$26</c:f>
              <c:numCache>
                <c:formatCode>0%</c:formatCode>
                <c:ptCount val="10"/>
                <c:pt idx="0">
                  <c:v>2.4140406119793845E-2</c:v>
                </c:pt>
                <c:pt idx="1">
                  <c:v>3.6861862406716517E-2</c:v>
                </c:pt>
                <c:pt idx="2">
                  <c:v>4.5497030111028902E-2</c:v>
                </c:pt>
                <c:pt idx="3">
                  <c:v>5.8603156034622073E-2</c:v>
                </c:pt>
                <c:pt idx="4">
                  <c:v>6.6140380083784533E-2</c:v>
                </c:pt>
                <c:pt idx="5">
                  <c:v>7.3386132834988071E-2</c:v>
                </c:pt>
                <c:pt idx="6">
                  <c:v>7.5301725676807818E-2</c:v>
                </c:pt>
                <c:pt idx="7">
                  <c:v>7.8425110023088163E-2</c:v>
                </c:pt>
                <c:pt idx="8">
                  <c:v>8.4463579320786408E-2</c:v>
                </c:pt>
                <c:pt idx="9">
                  <c:v>8.878385866525984E-2</c:v>
                </c:pt>
              </c:numCache>
            </c:numRef>
          </c:val>
          <c:smooth val="0"/>
          <c:extLst xmlns:c16r2="http://schemas.microsoft.com/office/drawing/2015/06/chart">
            <c:ext xmlns:c16="http://schemas.microsoft.com/office/drawing/2014/chart" uri="{C3380CC4-5D6E-409C-BE32-E72D297353CC}">
              <c16:uniqueId val="{00000001-FB02-4B95-BB13-91D6531C9B5D}"/>
            </c:ext>
          </c:extLst>
        </c:ser>
        <c:ser>
          <c:idx val="2"/>
          <c:order val="2"/>
          <c:tx>
            <c:strRef>
              <c:f>'Scenariji (pret 2021)'!$Z$4</c:f>
              <c:strCache>
                <c:ptCount val="1"/>
                <c:pt idx="0">
                  <c:v>2024 LM2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2021)'!$Z$17:$Z$26</c:f>
              <c:numCache>
                <c:formatCode>0%</c:formatCode>
                <c:ptCount val="10"/>
                <c:pt idx="0">
                  <c:v>0.10828537246882153</c:v>
                </c:pt>
                <c:pt idx="1">
                  <c:v>9.9397825895314096E-2</c:v>
                </c:pt>
                <c:pt idx="2">
                  <c:v>9.620413410894213E-2</c:v>
                </c:pt>
                <c:pt idx="3">
                  <c:v>0.10205178355490974</c:v>
                </c:pt>
                <c:pt idx="4">
                  <c:v>0.10666954073128521</c:v>
                </c:pt>
                <c:pt idx="5">
                  <c:v>0.11715079005598605</c:v>
                </c:pt>
                <c:pt idx="6">
                  <c:v>0.11970501962081892</c:v>
                </c:pt>
                <c:pt idx="7">
                  <c:v>0.1235614285731752</c:v>
                </c:pt>
                <c:pt idx="8">
                  <c:v>0.1327244256499045</c:v>
                </c:pt>
                <c:pt idx="9">
                  <c:v>0.1395253901922997</c:v>
                </c:pt>
              </c:numCache>
            </c:numRef>
          </c:val>
          <c:smooth val="0"/>
          <c:extLst xmlns:c16r2="http://schemas.microsoft.com/office/drawing/2015/06/chart">
            <c:ext xmlns:c16="http://schemas.microsoft.com/office/drawing/2014/chart" uri="{C3380CC4-5D6E-409C-BE32-E72D297353CC}">
              <c16:uniqueId val="{00000002-FB02-4B95-BB13-91D6531C9B5D}"/>
            </c:ext>
          </c:extLst>
        </c:ser>
        <c:ser>
          <c:idx val="3"/>
          <c:order val="3"/>
          <c:tx>
            <c:strRef>
              <c:f>'Scenariji (pret 2021)'!$AA$4</c:f>
              <c:strCache>
                <c:ptCount val="1"/>
                <c:pt idx="0">
                  <c:v>2025 LM2</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2021)'!$AA$17:$AA$26</c:f>
              <c:numCache>
                <c:formatCode>0%</c:formatCode>
                <c:ptCount val="10"/>
                <c:pt idx="0">
                  <c:v>0.11692095120220669</c:v>
                </c:pt>
                <c:pt idx="1">
                  <c:v>0.11506871452460721</c:v>
                </c:pt>
                <c:pt idx="2">
                  <c:v>0.11785407295923278</c:v>
                </c:pt>
                <c:pt idx="3">
                  <c:v>0.13350957693611343</c:v>
                </c:pt>
                <c:pt idx="4">
                  <c:v>0.14312339016010101</c:v>
                </c:pt>
                <c:pt idx="5">
                  <c:v>0.1576627669298083</c:v>
                </c:pt>
                <c:pt idx="6">
                  <c:v>0.16250427972273962</c:v>
                </c:pt>
                <c:pt idx="7">
                  <c:v>0.16813611907688242</c:v>
                </c:pt>
                <c:pt idx="8">
                  <c:v>0.18041195858093184</c:v>
                </c:pt>
                <c:pt idx="9">
                  <c:v>0.18914423232738731</c:v>
                </c:pt>
              </c:numCache>
            </c:numRef>
          </c:val>
          <c:smooth val="0"/>
          <c:extLst xmlns:c16r2="http://schemas.microsoft.com/office/drawing/2015/06/chart">
            <c:ext xmlns:c16="http://schemas.microsoft.com/office/drawing/2014/chart" uri="{C3380CC4-5D6E-409C-BE32-E72D297353CC}">
              <c16:uniqueId val="{00000003-FB02-4B95-BB13-91D6531C9B5D}"/>
            </c:ext>
          </c:extLst>
        </c:ser>
        <c:dLbls>
          <c:dLblPos val="ctr"/>
          <c:showLegendKey val="0"/>
          <c:showVal val="1"/>
          <c:showCatName val="0"/>
          <c:showSerName val="0"/>
          <c:showPercent val="0"/>
          <c:showBubbleSize val="0"/>
        </c:dLbls>
        <c:marker val="1"/>
        <c:smooth val="0"/>
        <c:axId val="488469984"/>
        <c:axId val="488471944"/>
      </c:lineChart>
      <c:catAx>
        <c:axId val="4884699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v-LV"/>
          </a:p>
        </c:txPr>
        <c:crossAx val="488471944"/>
        <c:crosses val="autoZero"/>
        <c:auto val="1"/>
        <c:lblAlgn val="ctr"/>
        <c:lblOffset val="100"/>
        <c:noMultiLvlLbl val="0"/>
      </c:catAx>
      <c:valAx>
        <c:axId val="488471944"/>
        <c:scaling>
          <c:orientation val="minMax"/>
        </c:scaling>
        <c:delete val="1"/>
        <c:axPos val="l"/>
        <c:numFmt formatCode="0%" sourceLinked="1"/>
        <c:majorTickMark val="none"/>
        <c:minorTickMark val="none"/>
        <c:tickLblPos val="nextTo"/>
        <c:crossAx val="488469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0E808-4820-4BDF-A18C-8412414D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43</Pages>
  <Words>11240</Words>
  <Characters>73113</Characters>
  <Application>Microsoft Office Word</Application>
  <DocSecurity>0</DocSecurity>
  <Lines>609</Lines>
  <Paragraphs>168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Plāns minimālo ienākumu atbalsta sistēmas pilnveidošanai 2018.-2020.gadam</vt:lpstr>
      <vt:lpstr>2</vt:lpstr>
    </vt:vector>
  </TitlesOfParts>
  <Company>lm</Company>
  <LinksUpToDate>false</LinksUpToDate>
  <CharactersWithSpaces>84185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minimālo ienākumu atbalsta sistēmas pilnveidošanai 2018.-2020.gadam</dc:title>
  <dc:creator>Evija Kula</dc:creator>
  <cp:lastModifiedBy>Evija Kūla</cp:lastModifiedBy>
  <cp:revision>114</cp:revision>
  <cp:lastPrinted>2018-06-29T07:11:00Z</cp:lastPrinted>
  <dcterms:created xsi:type="dcterms:W3CDTF">2021-04-29T20:10:00Z</dcterms:created>
  <dcterms:modified xsi:type="dcterms:W3CDTF">2021-05-28T06:15:00Z</dcterms:modified>
</cp:coreProperties>
</file>