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B80C8" w14:textId="77777777" w:rsidR="004B40B5" w:rsidRPr="0007525D" w:rsidRDefault="001059AE" w:rsidP="004B40B5">
      <w:pPr>
        <w:spacing w:before="0" w:after="0"/>
        <w:jc w:val="right"/>
        <w:rPr>
          <w:sz w:val="28"/>
          <w:szCs w:val="28"/>
        </w:rPr>
      </w:pPr>
      <w:r w:rsidRPr="001059AE">
        <w:rPr>
          <w:bCs/>
          <w:color w:val="414142"/>
          <w:sz w:val="28"/>
          <w:szCs w:val="28"/>
          <w:shd w:val="clear" w:color="auto" w:fill="FFFFFF"/>
        </w:rPr>
        <w:t>(</w:t>
      </w:r>
      <w:r w:rsidR="004B40B5" w:rsidRPr="0007525D">
        <w:rPr>
          <w:sz w:val="28"/>
          <w:szCs w:val="28"/>
        </w:rPr>
        <w:t>Ministru kabineta</w:t>
      </w:r>
    </w:p>
    <w:p w14:paraId="7F682982" w14:textId="0DB74CD4" w:rsidR="004B40B5" w:rsidRPr="0007525D" w:rsidRDefault="004B40B5" w:rsidP="004B40B5">
      <w:pPr>
        <w:spacing w:before="0" w:after="0"/>
        <w:jc w:val="right"/>
        <w:rPr>
          <w:sz w:val="28"/>
          <w:szCs w:val="28"/>
        </w:rPr>
      </w:pPr>
      <w:r w:rsidRPr="0007525D">
        <w:rPr>
          <w:sz w:val="28"/>
          <w:szCs w:val="28"/>
        </w:rPr>
        <w:t xml:space="preserve">2021. gada </w:t>
      </w:r>
      <w:r w:rsidR="00CA77B2">
        <w:rPr>
          <w:sz w:val="28"/>
          <w:szCs w:val="28"/>
        </w:rPr>
        <w:t>31.</w:t>
      </w:r>
      <w:r w:rsidRPr="0007525D">
        <w:rPr>
          <w:sz w:val="28"/>
          <w:szCs w:val="28"/>
        </w:rPr>
        <w:t> </w:t>
      </w:r>
      <w:r w:rsidR="00CA77B2">
        <w:rPr>
          <w:sz w:val="28"/>
          <w:szCs w:val="28"/>
        </w:rPr>
        <w:t>maija</w:t>
      </w:r>
    </w:p>
    <w:p w14:paraId="5A0D4A8C" w14:textId="36ECE3D0" w:rsidR="004B40B5" w:rsidRPr="0007525D" w:rsidRDefault="004B40B5" w:rsidP="004B40B5">
      <w:pPr>
        <w:spacing w:before="0" w:after="0"/>
        <w:jc w:val="right"/>
        <w:rPr>
          <w:sz w:val="28"/>
          <w:szCs w:val="28"/>
        </w:rPr>
      </w:pPr>
      <w:r>
        <w:rPr>
          <w:sz w:val="28"/>
          <w:szCs w:val="28"/>
        </w:rPr>
        <w:t>rīkojums</w:t>
      </w:r>
      <w:r w:rsidRPr="0007525D">
        <w:rPr>
          <w:sz w:val="28"/>
          <w:szCs w:val="28"/>
        </w:rPr>
        <w:t xml:space="preserve"> Nr. </w:t>
      </w:r>
      <w:r w:rsidR="00CA77B2">
        <w:rPr>
          <w:sz w:val="28"/>
          <w:szCs w:val="28"/>
        </w:rPr>
        <w:t>360</w:t>
      </w:r>
      <w:bookmarkStart w:id="0" w:name="_GoBack"/>
      <w:bookmarkEnd w:id="0"/>
      <w:r>
        <w:rPr>
          <w:sz w:val="28"/>
          <w:szCs w:val="28"/>
        </w:rPr>
        <w:t>)</w:t>
      </w:r>
    </w:p>
    <w:p w14:paraId="199D511D" w14:textId="4B7298C4" w:rsidR="006B0944" w:rsidRPr="001059AE" w:rsidRDefault="006B0944" w:rsidP="004B40B5">
      <w:pPr>
        <w:pStyle w:val="Nosaukums"/>
        <w:spacing w:line="240" w:lineRule="auto"/>
        <w:jc w:val="right"/>
        <w:rPr>
          <w:rFonts w:ascii="Times New Roman" w:hAnsi="Times New Roman"/>
          <w:b w:val="0"/>
          <w:bCs/>
          <w:sz w:val="28"/>
          <w:szCs w:val="28"/>
        </w:rPr>
      </w:pPr>
    </w:p>
    <w:p w14:paraId="433D76D7" w14:textId="77777777" w:rsidR="006B0944" w:rsidRPr="000D5DBF" w:rsidRDefault="006B0944" w:rsidP="00641840">
      <w:pPr>
        <w:pStyle w:val="Nosaukums"/>
        <w:spacing w:line="240" w:lineRule="auto"/>
        <w:rPr>
          <w:rFonts w:ascii="Times New Roman" w:hAnsi="Times New Roman"/>
        </w:rPr>
      </w:pPr>
    </w:p>
    <w:p w14:paraId="2804DD84" w14:textId="77777777" w:rsidR="006B0944" w:rsidRPr="000D5DBF" w:rsidRDefault="006B0944" w:rsidP="00641840">
      <w:pPr>
        <w:pStyle w:val="Nosaukums"/>
        <w:spacing w:line="240" w:lineRule="auto"/>
        <w:rPr>
          <w:rFonts w:ascii="Times New Roman" w:hAnsi="Times New Roman"/>
        </w:rPr>
      </w:pPr>
    </w:p>
    <w:p w14:paraId="5DB2C866" w14:textId="77777777" w:rsidR="00A62D01" w:rsidRPr="000D5DBF" w:rsidRDefault="00A62D01" w:rsidP="00641840">
      <w:pPr>
        <w:pStyle w:val="Nosaukums"/>
        <w:spacing w:line="240" w:lineRule="auto"/>
        <w:rPr>
          <w:rFonts w:ascii="Times New Roman" w:hAnsi="Times New Roman"/>
        </w:rPr>
      </w:pPr>
    </w:p>
    <w:p w14:paraId="2EBEDAC8" w14:textId="77777777" w:rsidR="00A62D01" w:rsidRPr="000D5DBF" w:rsidRDefault="00A62D01" w:rsidP="00641840">
      <w:pPr>
        <w:pStyle w:val="Nosaukums"/>
        <w:spacing w:line="240" w:lineRule="auto"/>
        <w:rPr>
          <w:rFonts w:ascii="Times New Roman" w:hAnsi="Times New Roman"/>
        </w:rPr>
      </w:pPr>
    </w:p>
    <w:p w14:paraId="6ADBE972" w14:textId="77777777" w:rsidR="006B0944" w:rsidRPr="004B40B5" w:rsidRDefault="006B0944" w:rsidP="00641840">
      <w:pPr>
        <w:pStyle w:val="Nosaukums"/>
        <w:spacing w:line="240" w:lineRule="auto"/>
        <w:rPr>
          <w:rFonts w:ascii="Times New Roman" w:hAnsi="Times New Roman"/>
          <w:sz w:val="32"/>
          <w:szCs w:val="32"/>
        </w:rPr>
      </w:pPr>
      <w:r w:rsidRPr="004B40B5">
        <w:rPr>
          <w:rFonts w:ascii="Times New Roman" w:hAnsi="Times New Roman"/>
          <w:sz w:val="32"/>
          <w:szCs w:val="32"/>
        </w:rPr>
        <w:t>ESF+ programma materiālās nenodrošinātības mazināšanai</w:t>
      </w:r>
    </w:p>
    <w:p w14:paraId="11979C80" w14:textId="77777777" w:rsidR="006B0944" w:rsidRPr="004B40B5" w:rsidRDefault="006B0944" w:rsidP="00641840">
      <w:pPr>
        <w:pStyle w:val="Nosaukums"/>
        <w:spacing w:line="240" w:lineRule="auto"/>
        <w:rPr>
          <w:rFonts w:ascii="Times New Roman" w:hAnsi="Times New Roman"/>
          <w:sz w:val="32"/>
          <w:szCs w:val="32"/>
        </w:rPr>
      </w:pPr>
      <w:r w:rsidRPr="004B40B5">
        <w:rPr>
          <w:rFonts w:ascii="Times New Roman" w:hAnsi="Times New Roman"/>
          <w:sz w:val="32"/>
          <w:szCs w:val="32"/>
        </w:rPr>
        <w:t>2021.–2027. gadam</w:t>
      </w:r>
    </w:p>
    <w:p w14:paraId="005B8523" w14:textId="77777777" w:rsidR="006B0944" w:rsidRPr="000D5DBF" w:rsidRDefault="006B0944" w:rsidP="00641840">
      <w:pPr>
        <w:spacing w:before="0" w:after="0"/>
        <w:rPr>
          <w:b/>
          <w:sz w:val="32"/>
        </w:rPr>
      </w:pPr>
    </w:p>
    <w:p w14:paraId="520F50C0" w14:textId="77777777" w:rsidR="006B0944" w:rsidRPr="000D5DBF" w:rsidRDefault="006B0944" w:rsidP="00641840">
      <w:pPr>
        <w:spacing w:before="0" w:after="0"/>
        <w:rPr>
          <w:b/>
          <w:sz w:val="32"/>
        </w:rPr>
      </w:pPr>
    </w:p>
    <w:p w14:paraId="3099C911" w14:textId="77777777" w:rsidR="006B0944" w:rsidRPr="000D5DBF" w:rsidRDefault="006B0944" w:rsidP="00641840">
      <w:pPr>
        <w:spacing w:before="0" w:after="0"/>
        <w:rPr>
          <w:b/>
          <w:sz w:val="32"/>
        </w:rPr>
      </w:pPr>
    </w:p>
    <w:p w14:paraId="16C367F2" w14:textId="77777777" w:rsidR="006B0944" w:rsidRPr="000D5DBF" w:rsidRDefault="006B0944" w:rsidP="00641840">
      <w:pPr>
        <w:spacing w:before="0" w:after="0"/>
        <w:rPr>
          <w:b/>
          <w:sz w:val="32"/>
        </w:rPr>
      </w:pPr>
    </w:p>
    <w:p w14:paraId="61776F6D" w14:textId="77777777" w:rsidR="006B0944" w:rsidRPr="000D5DBF" w:rsidRDefault="006B0944" w:rsidP="00641840">
      <w:pPr>
        <w:spacing w:before="0" w:after="0"/>
        <w:rPr>
          <w:b/>
          <w:sz w:val="32"/>
        </w:rPr>
      </w:pPr>
    </w:p>
    <w:p w14:paraId="3DFA917F" w14:textId="77777777" w:rsidR="006B0944" w:rsidRPr="000D5DBF" w:rsidRDefault="006B0944" w:rsidP="00641840">
      <w:pPr>
        <w:spacing w:before="0" w:after="0"/>
        <w:rPr>
          <w:b/>
          <w:sz w:val="32"/>
        </w:rPr>
      </w:pPr>
    </w:p>
    <w:p w14:paraId="50AC9A5D" w14:textId="77777777" w:rsidR="006B0944" w:rsidRPr="000D5DBF" w:rsidRDefault="006B0944" w:rsidP="00641840">
      <w:pPr>
        <w:spacing w:before="0" w:after="0"/>
        <w:rPr>
          <w:b/>
          <w:sz w:val="32"/>
        </w:rPr>
      </w:pPr>
    </w:p>
    <w:p w14:paraId="08AACAD7" w14:textId="77777777" w:rsidR="006B0944" w:rsidRPr="000D5DBF" w:rsidRDefault="006B0944" w:rsidP="00641840">
      <w:pPr>
        <w:spacing w:before="0" w:after="0"/>
        <w:rPr>
          <w:b/>
          <w:sz w:val="32"/>
        </w:rPr>
      </w:pPr>
    </w:p>
    <w:p w14:paraId="1B34408C" w14:textId="77777777" w:rsidR="006B0944" w:rsidRPr="000D5DBF" w:rsidRDefault="006B0944" w:rsidP="00641840">
      <w:pPr>
        <w:spacing w:before="0" w:after="0"/>
        <w:rPr>
          <w:b/>
          <w:sz w:val="32"/>
        </w:rPr>
      </w:pPr>
    </w:p>
    <w:p w14:paraId="3E9CF54E" w14:textId="77777777" w:rsidR="006B0944" w:rsidRPr="000D5DBF" w:rsidRDefault="006B0944" w:rsidP="00641840">
      <w:pPr>
        <w:spacing w:before="0" w:after="0"/>
        <w:rPr>
          <w:b/>
          <w:sz w:val="32"/>
        </w:rPr>
      </w:pPr>
    </w:p>
    <w:p w14:paraId="267B7EE3" w14:textId="77777777" w:rsidR="006B0944" w:rsidRPr="000D5DBF" w:rsidRDefault="006B0944" w:rsidP="00641840">
      <w:pPr>
        <w:spacing w:before="0" w:after="0"/>
        <w:rPr>
          <w:b/>
          <w:sz w:val="32"/>
        </w:rPr>
      </w:pPr>
    </w:p>
    <w:p w14:paraId="6ABFA43A" w14:textId="77777777" w:rsidR="00A62D01" w:rsidRPr="000D5DBF" w:rsidRDefault="00A62D01" w:rsidP="00641840">
      <w:pPr>
        <w:spacing w:before="0" w:after="0"/>
        <w:rPr>
          <w:b/>
          <w:sz w:val="32"/>
        </w:rPr>
      </w:pPr>
    </w:p>
    <w:p w14:paraId="550C3623" w14:textId="77777777" w:rsidR="00A62D01" w:rsidRPr="000D5DBF" w:rsidRDefault="00A62D01" w:rsidP="00641840">
      <w:pPr>
        <w:spacing w:before="0" w:after="0"/>
        <w:rPr>
          <w:b/>
          <w:sz w:val="32"/>
        </w:rPr>
      </w:pPr>
    </w:p>
    <w:p w14:paraId="073FF22D" w14:textId="77777777" w:rsidR="001059AE" w:rsidRDefault="001059AE" w:rsidP="00641840">
      <w:pPr>
        <w:spacing w:before="0" w:after="0"/>
        <w:jc w:val="center"/>
        <w:rPr>
          <w:b/>
          <w:sz w:val="28"/>
          <w:szCs w:val="28"/>
        </w:rPr>
      </w:pPr>
    </w:p>
    <w:p w14:paraId="4654FCAE" w14:textId="77777777" w:rsidR="001059AE" w:rsidRDefault="001059AE" w:rsidP="00641840">
      <w:pPr>
        <w:spacing w:before="0" w:after="0"/>
        <w:jc w:val="center"/>
        <w:rPr>
          <w:b/>
          <w:sz w:val="28"/>
          <w:szCs w:val="28"/>
        </w:rPr>
      </w:pPr>
    </w:p>
    <w:p w14:paraId="3C4BC0B2" w14:textId="77777777" w:rsidR="001059AE" w:rsidRDefault="001059AE" w:rsidP="00641840">
      <w:pPr>
        <w:spacing w:before="0" w:after="0"/>
        <w:jc w:val="center"/>
        <w:rPr>
          <w:b/>
          <w:sz w:val="28"/>
          <w:szCs w:val="28"/>
        </w:rPr>
      </w:pPr>
    </w:p>
    <w:p w14:paraId="578E9795" w14:textId="77777777" w:rsidR="001059AE" w:rsidRDefault="001059AE" w:rsidP="00641840">
      <w:pPr>
        <w:spacing w:before="0" w:after="0"/>
        <w:jc w:val="center"/>
        <w:rPr>
          <w:b/>
          <w:sz w:val="28"/>
          <w:szCs w:val="28"/>
        </w:rPr>
      </w:pPr>
    </w:p>
    <w:p w14:paraId="5DA97D2B" w14:textId="77777777" w:rsidR="001059AE" w:rsidRDefault="001059AE" w:rsidP="00641840">
      <w:pPr>
        <w:spacing w:before="0" w:after="0"/>
        <w:jc w:val="center"/>
        <w:rPr>
          <w:b/>
          <w:sz w:val="28"/>
          <w:szCs w:val="28"/>
        </w:rPr>
      </w:pPr>
    </w:p>
    <w:p w14:paraId="3F8D22C9" w14:textId="77777777" w:rsidR="001059AE" w:rsidRDefault="001059AE" w:rsidP="00641840">
      <w:pPr>
        <w:spacing w:before="0" w:after="0"/>
        <w:jc w:val="center"/>
        <w:rPr>
          <w:b/>
          <w:sz w:val="28"/>
          <w:szCs w:val="28"/>
        </w:rPr>
      </w:pPr>
    </w:p>
    <w:p w14:paraId="503BB6D4" w14:textId="77777777" w:rsidR="001059AE" w:rsidRDefault="001059AE" w:rsidP="00641840">
      <w:pPr>
        <w:spacing w:before="0" w:after="0"/>
        <w:jc w:val="center"/>
        <w:rPr>
          <w:b/>
          <w:sz w:val="28"/>
          <w:szCs w:val="28"/>
        </w:rPr>
      </w:pPr>
    </w:p>
    <w:p w14:paraId="7636E4D3" w14:textId="77777777" w:rsidR="001059AE" w:rsidRDefault="001059AE" w:rsidP="00641840">
      <w:pPr>
        <w:spacing w:before="0" w:after="0"/>
        <w:jc w:val="center"/>
        <w:rPr>
          <w:b/>
          <w:sz w:val="28"/>
          <w:szCs w:val="28"/>
        </w:rPr>
      </w:pPr>
    </w:p>
    <w:p w14:paraId="200E1650" w14:textId="77777777" w:rsidR="00D00CCB" w:rsidRPr="000D5DBF" w:rsidRDefault="00D00CCB" w:rsidP="00641840">
      <w:pPr>
        <w:spacing w:before="0" w:after="0"/>
        <w:jc w:val="left"/>
        <w:rPr>
          <w:b/>
          <w:sz w:val="32"/>
        </w:rPr>
      </w:pPr>
      <w:r w:rsidRPr="000D5DBF">
        <w:rPr>
          <w:b/>
          <w:sz w:val="3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103"/>
      </w:tblGrid>
      <w:tr w:rsidR="00F0703E" w:rsidRPr="000D5DBF" w14:paraId="3BF403AF" w14:textId="77777777" w:rsidTr="00F837F9">
        <w:trPr>
          <w:trHeight w:val="222"/>
          <w:jc w:val="center"/>
        </w:trPr>
        <w:tc>
          <w:tcPr>
            <w:tcW w:w="3315" w:type="dxa"/>
            <w:shd w:val="clear" w:color="auto" w:fill="auto"/>
          </w:tcPr>
          <w:p w14:paraId="577AB3B5" w14:textId="77777777" w:rsidR="00D00CCB" w:rsidRPr="000D5DBF" w:rsidRDefault="00D00CCB" w:rsidP="00641840">
            <w:pPr>
              <w:spacing w:before="0" w:after="0"/>
              <w:rPr>
                <w:b/>
                <w:noProof/>
              </w:rPr>
            </w:pPr>
            <w:r w:rsidRPr="000D5DBF">
              <w:rPr>
                <w:b/>
                <w:i/>
                <w:noProof/>
              </w:rPr>
              <w:lastRenderedPageBreak/>
              <w:t>CCI</w:t>
            </w:r>
          </w:p>
        </w:tc>
        <w:tc>
          <w:tcPr>
            <w:tcW w:w="5103" w:type="dxa"/>
            <w:shd w:val="clear" w:color="auto" w:fill="auto"/>
          </w:tcPr>
          <w:p w14:paraId="194D0CE2" w14:textId="77777777" w:rsidR="00D00CCB" w:rsidRPr="000D5DBF" w:rsidRDefault="00D00CCB" w:rsidP="00641840">
            <w:pPr>
              <w:spacing w:before="0" w:after="0"/>
              <w:rPr>
                <w:i/>
                <w:noProof/>
                <w:szCs w:val="24"/>
              </w:rPr>
            </w:pPr>
            <w:r w:rsidRPr="000D5DBF">
              <w:rPr>
                <w:i/>
                <w:noProof/>
                <w:szCs w:val="24"/>
              </w:rPr>
              <w:t>Piešķirs SFC2021 sistēma</w:t>
            </w:r>
          </w:p>
        </w:tc>
      </w:tr>
      <w:tr w:rsidR="00F0703E" w:rsidRPr="000D5DBF" w14:paraId="2178EB4F" w14:textId="77777777" w:rsidTr="00F837F9">
        <w:trPr>
          <w:trHeight w:val="269"/>
          <w:jc w:val="center"/>
        </w:trPr>
        <w:tc>
          <w:tcPr>
            <w:tcW w:w="3315" w:type="dxa"/>
            <w:shd w:val="clear" w:color="auto" w:fill="auto"/>
          </w:tcPr>
          <w:p w14:paraId="1B3E124A" w14:textId="77777777" w:rsidR="00D00CCB" w:rsidRPr="000D5DBF" w:rsidRDefault="00D00CCB" w:rsidP="00641840">
            <w:pPr>
              <w:spacing w:before="0" w:after="0"/>
              <w:rPr>
                <w:b/>
                <w:noProof/>
              </w:rPr>
            </w:pPr>
            <w:r w:rsidRPr="000D5DBF">
              <w:rPr>
                <w:b/>
                <w:noProof/>
              </w:rPr>
              <w:t>Nosaukums angļu valodā</w:t>
            </w:r>
          </w:p>
        </w:tc>
        <w:tc>
          <w:tcPr>
            <w:tcW w:w="5103" w:type="dxa"/>
            <w:shd w:val="clear" w:color="auto" w:fill="auto"/>
          </w:tcPr>
          <w:p w14:paraId="37505FD3" w14:textId="77777777" w:rsidR="00D00CCB" w:rsidRPr="000D5DBF" w:rsidRDefault="00D00CCB" w:rsidP="00641840">
            <w:pPr>
              <w:spacing w:before="0" w:after="0"/>
              <w:rPr>
                <w:noProof/>
                <w:szCs w:val="24"/>
              </w:rPr>
            </w:pPr>
            <w:r w:rsidRPr="000D5DBF">
              <w:rPr>
                <w:noProof/>
                <w:szCs w:val="24"/>
              </w:rPr>
              <w:t>ESF+ Programme for Adressing  Material Deprivation</w:t>
            </w:r>
          </w:p>
        </w:tc>
      </w:tr>
      <w:tr w:rsidR="00F0703E" w:rsidRPr="000D5DBF" w14:paraId="6A7AE943" w14:textId="77777777" w:rsidTr="00F837F9">
        <w:trPr>
          <w:trHeight w:val="138"/>
          <w:jc w:val="center"/>
        </w:trPr>
        <w:tc>
          <w:tcPr>
            <w:tcW w:w="3315" w:type="dxa"/>
            <w:shd w:val="clear" w:color="auto" w:fill="auto"/>
          </w:tcPr>
          <w:p w14:paraId="36E7FE61" w14:textId="77777777" w:rsidR="00D00CCB" w:rsidRPr="000D5DBF" w:rsidRDefault="00D00CCB" w:rsidP="00641840">
            <w:pPr>
              <w:spacing w:before="0" w:after="0"/>
              <w:rPr>
                <w:b/>
                <w:noProof/>
              </w:rPr>
            </w:pPr>
            <w:r w:rsidRPr="000D5DBF">
              <w:rPr>
                <w:b/>
                <w:noProof/>
              </w:rPr>
              <w:t>Nosaukums valsts valodā(-ās)</w:t>
            </w:r>
          </w:p>
        </w:tc>
        <w:tc>
          <w:tcPr>
            <w:tcW w:w="5103" w:type="dxa"/>
            <w:shd w:val="clear" w:color="auto" w:fill="auto"/>
          </w:tcPr>
          <w:p w14:paraId="7D16B06B" w14:textId="77777777" w:rsidR="00D00CCB" w:rsidRPr="000D5DBF" w:rsidRDefault="00D00CCB" w:rsidP="00641840">
            <w:pPr>
              <w:spacing w:before="0" w:after="0"/>
              <w:rPr>
                <w:noProof/>
                <w:szCs w:val="24"/>
              </w:rPr>
            </w:pPr>
            <w:r w:rsidRPr="000D5DBF">
              <w:rPr>
                <w:noProof/>
                <w:szCs w:val="24"/>
              </w:rPr>
              <w:t>ESF+ programma materiālās nenodrošinātības mazināšanai</w:t>
            </w:r>
          </w:p>
        </w:tc>
      </w:tr>
      <w:tr w:rsidR="00F0703E" w:rsidRPr="000D5DBF" w14:paraId="73EDD62F" w14:textId="77777777" w:rsidTr="00F837F9">
        <w:trPr>
          <w:trHeight w:val="138"/>
          <w:jc w:val="center"/>
        </w:trPr>
        <w:tc>
          <w:tcPr>
            <w:tcW w:w="3315" w:type="dxa"/>
            <w:shd w:val="clear" w:color="auto" w:fill="auto"/>
          </w:tcPr>
          <w:p w14:paraId="08539ADE" w14:textId="77777777" w:rsidR="00D00CCB" w:rsidRPr="000D5DBF" w:rsidRDefault="00D00CCB" w:rsidP="00641840">
            <w:pPr>
              <w:spacing w:before="0" w:after="0"/>
              <w:rPr>
                <w:b/>
                <w:noProof/>
              </w:rPr>
            </w:pPr>
            <w:r w:rsidRPr="000D5DBF">
              <w:rPr>
                <w:b/>
                <w:noProof/>
              </w:rPr>
              <w:t>Versija</w:t>
            </w:r>
          </w:p>
        </w:tc>
        <w:tc>
          <w:tcPr>
            <w:tcW w:w="5103" w:type="dxa"/>
            <w:shd w:val="clear" w:color="auto" w:fill="auto"/>
          </w:tcPr>
          <w:p w14:paraId="0A68DCDE" w14:textId="1533C46E" w:rsidR="00D00CCB" w:rsidRPr="000D5DBF" w:rsidRDefault="00223CF6" w:rsidP="00641840">
            <w:pPr>
              <w:spacing w:before="0" w:after="0"/>
              <w:rPr>
                <w:noProof/>
                <w:szCs w:val="24"/>
              </w:rPr>
            </w:pPr>
            <w:r>
              <w:rPr>
                <w:noProof/>
                <w:szCs w:val="24"/>
              </w:rPr>
              <w:t>2</w:t>
            </w:r>
            <w:r w:rsidR="00D00CCB" w:rsidRPr="000D5DBF">
              <w:rPr>
                <w:noProof/>
                <w:szCs w:val="24"/>
              </w:rPr>
              <w:t>. versija</w:t>
            </w:r>
          </w:p>
        </w:tc>
      </w:tr>
      <w:tr w:rsidR="00F0703E" w:rsidRPr="000D5DBF" w14:paraId="14F96A83" w14:textId="77777777" w:rsidTr="00F837F9">
        <w:trPr>
          <w:jc w:val="center"/>
        </w:trPr>
        <w:tc>
          <w:tcPr>
            <w:tcW w:w="3315" w:type="dxa"/>
            <w:shd w:val="clear" w:color="auto" w:fill="auto"/>
          </w:tcPr>
          <w:p w14:paraId="063EC95B" w14:textId="77777777" w:rsidR="00D00CCB" w:rsidRPr="000D5DBF" w:rsidRDefault="00D00CCB" w:rsidP="00641840">
            <w:pPr>
              <w:spacing w:before="0" w:after="0"/>
              <w:rPr>
                <w:b/>
                <w:noProof/>
              </w:rPr>
            </w:pPr>
            <w:r w:rsidRPr="000D5DBF">
              <w:rPr>
                <w:b/>
                <w:noProof/>
              </w:rPr>
              <w:t>Pirmais gads</w:t>
            </w:r>
          </w:p>
        </w:tc>
        <w:tc>
          <w:tcPr>
            <w:tcW w:w="5103" w:type="dxa"/>
            <w:shd w:val="clear" w:color="auto" w:fill="auto"/>
          </w:tcPr>
          <w:p w14:paraId="31BF5A56" w14:textId="77777777" w:rsidR="00D00CCB" w:rsidRPr="000D5DBF" w:rsidRDefault="00D00CCB" w:rsidP="00641840">
            <w:pPr>
              <w:spacing w:before="0" w:after="0"/>
              <w:rPr>
                <w:noProof/>
                <w:szCs w:val="24"/>
              </w:rPr>
            </w:pPr>
            <w:r w:rsidRPr="000D5DBF">
              <w:rPr>
                <w:noProof/>
                <w:szCs w:val="24"/>
              </w:rPr>
              <w:t>2021. gads</w:t>
            </w:r>
          </w:p>
        </w:tc>
      </w:tr>
      <w:tr w:rsidR="00F0703E" w:rsidRPr="000D5DBF" w14:paraId="5EF4B2A4" w14:textId="77777777" w:rsidTr="00F837F9">
        <w:trPr>
          <w:jc w:val="center"/>
        </w:trPr>
        <w:tc>
          <w:tcPr>
            <w:tcW w:w="3315" w:type="dxa"/>
            <w:shd w:val="clear" w:color="auto" w:fill="auto"/>
          </w:tcPr>
          <w:p w14:paraId="3F77F231" w14:textId="77777777" w:rsidR="00D00CCB" w:rsidRPr="000D5DBF" w:rsidRDefault="00D00CCB" w:rsidP="00641840">
            <w:pPr>
              <w:spacing w:before="0" w:after="0"/>
              <w:rPr>
                <w:b/>
                <w:noProof/>
              </w:rPr>
            </w:pPr>
            <w:r w:rsidRPr="000D5DBF">
              <w:rPr>
                <w:b/>
                <w:noProof/>
              </w:rPr>
              <w:t>Pēdējais gads</w:t>
            </w:r>
          </w:p>
        </w:tc>
        <w:tc>
          <w:tcPr>
            <w:tcW w:w="5103" w:type="dxa"/>
            <w:shd w:val="clear" w:color="auto" w:fill="auto"/>
          </w:tcPr>
          <w:p w14:paraId="77930A07" w14:textId="77777777" w:rsidR="00D00CCB" w:rsidRPr="000D5DBF" w:rsidRDefault="00D00CCB" w:rsidP="00641840">
            <w:pPr>
              <w:spacing w:before="0" w:after="0"/>
              <w:rPr>
                <w:noProof/>
                <w:szCs w:val="24"/>
              </w:rPr>
            </w:pPr>
            <w:r w:rsidRPr="000D5DBF">
              <w:rPr>
                <w:noProof/>
                <w:szCs w:val="24"/>
              </w:rPr>
              <w:t>2029. gads</w:t>
            </w:r>
          </w:p>
        </w:tc>
      </w:tr>
      <w:tr w:rsidR="00F0703E" w:rsidRPr="000D5DBF" w14:paraId="6EAD91EA" w14:textId="77777777" w:rsidTr="00F837F9">
        <w:trPr>
          <w:jc w:val="center"/>
        </w:trPr>
        <w:tc>
          <w:tcPr>
            <w:tcW w:w="3315" w:type="dxa"/>
            <w:shd w:val="clear" w:color="auto" w:fill="auto"/>
          </w:tcPr>
          <w:p w14:paraId="6C762068" w14:textId="77777777" w:rsidR="00D00CCB" w:rsidRPr="000D5DBF" w:rsidRDefault="00D00CCB" w:rsidP="00641840">
            <w:pPr>
              <w:spacing w:before="0" w:after="0"/>
              <w:rPr>
                <w:b/>
                <w:noProof/>
              </w:rPr>
            </w:pPr>
            <w:r w:rsidRPr="000D5DBF">
              <w:rPr>
                <w:b/>
                <w:noProof/>
              </w:rPr>
              <w:t>Atbalsttiesīgums no</w:t>
            </w:r>
          </w:p>
        </w:tc>
        <w:tc>
          <w:tcPr>
            <w:tcW w:w="5103" w:type="dxa"/>
            <w:shd w:val="clear" w:color="auto" w:fill="auto"/>
          </w:tcPr>
          <w:p w14:paraId="0AC62607" w14:textId="77777777" w:rsidR="00D00CCB" w:rsidRPr="000D5DBF" w:rsidRDefault="00D00CCB" w:rsidP="00641840">
            <w:pPr>
              <w:spacing w:before="0" w:after="0"/>
              <w:rPr>
                <w:noProof/>
                <w:szCs w:val="24"/>
              </w:rPr>
            </w:pPr>
            <w:r w:rsidRPr="000D5DBF">
              <w:rPr>
                <w:noProof/>
                <w:szCs w:val="24"/>
              </w:rPr>
              <w:t>01.01.2021.</w:t>
            </w:r>
          </w:p>
        </w:tc>
      </w:tr>
      <w:tr w:rsidR="00F0703E" w:rsidRPr="000D5DBF" w14:paraId="0C29F3FD" w14:textId="77777777" w:rsidTr="00F837F9">
        <w:trPr>
          <w:jc w:val="center"/>
        </w:trPr>
        <w:tc>
          <w:tcPr>
            <w:tcW w:w="3315" w:type="dxa"/>
            <w:shd w:val="clear" w:color="auto" w:fill="auto"/>
          </w:tcPr>
          <w:p w14:paraId="13C3A0C4" w14:textId="77777777" w:rsidR="00D00CCB" w:rsidRPr="000D5DBF" w:rsidRDefault="00D00CCB" w:rsidP="00641840">
            <w:pPr>
              <w:spacing w:before="0" w:after="0"/>
              <w:rPr>
                <w:b/>
                <w:noProof/>
              </w:rPr>
            </w:pPr>
            <w:r w:rsidRPr="000D5DBF">
              <w:rPr>
                <w:b/>
                <w:noProof/>
              </w:rPr>
              <w:t>Atbalsttiesīgums līdz</w:t>
            </w:r>
          </w:p>
        </w:tc>
        <w:tc>
          <w:tcPr>
            <w:tcW w:w="5103" w:type="dxa"/>
            <w:shd w:val="clear" w:color="auto" w:fill="auto"/>
          </w:tcPr>
          <w:p w14:paraId="52FB4243" w14:textId="77777777" w:rsidR="00D00CCB" w:rsidRPr="000D5DBF" w:rsidRDefault="00D00CCB" w:rsidP="00641840">
            <w:pPr>
              <w:spacing w:before="0" w:after="0"/>
              <w:rPr>
                <w:noProof/>
                <w:szCs w:val="24"/>
              </w:rPr>
            </w:pPr>
            <w:r w:rsidRPr="000D5DBF">
              <w:rPr>
                <w:noProof/>
                <w:szCs w:val="24"/>
              </w:rPr>
              <w:t>31.12.2029.</w:t>
            </w:r>
          </w:p>
        </w:tc>
      </w:tr>
      <w:tr w:rsidR="00F0703E" w:rsidRPr="000D5DBF" w14:paraId="503BAD81" w14:textId="77777777" w:rsidTr="00F837F9">
        <w:trPr>
          <w:jc w:val="center"/>
        </w:trPr>
        <w:tc>
          <w:tcPr>
            <w:tcW w:w="3315" w:type="dxa"/>
            <w:shd w:val="clear" w:color="auto" w:fill="auto"/>
          </w:tcPr>
          <w:p w14:paraId="4081D6C0" w14:textId="77777777" w:rsidR="00D00CCB" w:rsidRPr="000D5DBF" w:rsidRDefault="00D00CCB" w:rsidP="00641840">
            <w:pPr>
              <w:spacing w:before="0" w:after="0"/>
              <w:rPr>
                <w:b/>
                <w:noProof/>
              </w:rPr>
            </w:pPr>
            <w:r w:rsidRPr="000D5DBF">
              <w:rPr>
                <w:b/>
                <w:noProof/>
              </w:rPr>
              <w:t>Komisijas lēmuma numurs</w:t>
            </w:r>
          </w:p>
        </w:tc>
        <w:tc>
          <w:tcPr>
            <w:tcW w:w="5103" w:type="dxa"/>
            <w:shd w:val="clear" w:color="auto" w:fill="auto"/>
          </w:tcPr>
          <w:p w14:paraId="5018532C" w14:textId="77777777" w:rsidR="00D00CCB" w:rsidRPr="000D5DBF" w:rsidRDefault="00D00CCB" w:rsidP="00641840">
            <w:pPr>
              <w:spacing w:before="0" w:after="0"/>
              <w:rPr>
                <w:noProof/>
                <w:szCs w:val="24"/>
              </w:rPr>
            </w:pPr>
          </w:p>
        </w:tc>
      </w:tr>
      <w:tr w:rsidR="00F0703E" w:rsidRPr="000D5DBF" w14:paraId="5EEB87AF" w14:textId="77777777" w:rsidTr="00F837F9">
        <w:trPr>
          <w:jc w:val="center"/>
        </w:trPr>
        <w:tc>
          <w:tcPr>
            <w:tcW w:w="3315" w:type="dxa"/>
            <w:shd w:val="clear" w:color="auto" w:fill="auto"/>
          </w:tcPr>
          <w:p w14:paraId="1C7C04A2" w14:textId="77777777" w:rsidR="00D00CCB" w:rsidRPr="000D5DBF" w:rsidRDefault="00D00CCB" w:rsidP="00641840">
            <w:pPr>
              <w:spacing w:before="0" w:after="0"/>
              <w:rPr>
                <w:b/>
                <w:noProof/>
              </w:rPr>
            </w:pPr>
            <w:r w:rsidRPr="000D5DBF">
              <w:rPr>
                <w:b/>
                <w:noProof/>
              </w:rPr>
              <w:t>Komisijas lēmuma datums</w:t>
            </w:r>
          </w:p>
        </w:tc>
        <w:tc>
          <w:tcPr>
            <w:tcW w:w="5103" w:type="dxa"/>
            <w:shd w:val="clear" w:color="auto" w:fill="auto"/>
          </w:tcPr>
          <w:p w14:paraId="5CCA7B5D" w14:textId="77777777" w:rsidR="00D00CCB" w:rsidRPr="000D5DBF" w:rsidRDefault="00D00CCB" w:rsidP="00641840">
            <w:pPr>
              <w:spacing w:before="0" w:after="0"/>
              <w:rPr>
                <w:noProof/>
                <w:szCs w:val="24"/>
              </w:rPr>
            </w:pPr>
          </w:p>
        </w:tc>
      </w:tr>
      <w:tr w:rsidR="00F0703E" w:rsidRPr="000D5DBF" w14:paraId="29CE8F7C" w14:textId="77777777" w:rsidTr="00F837F9">
        <w:trPr>
          <w:trHeight w:val="163"/>
          <w:jc w:val="center"/>
        </w:trPr>
        <w:tc>
          <w:tcPr>
            <w:tcW w:w="3315" w:type="dxa"/>
            <w:shd w:val="clear" w:color="auto" w:fill="auto"/>
          </w:tcPr>
          <w:p w14:paraId="0CC129CE" w14:textId="77777777" w:rsidR="00D00CCB" w:rsidRPr="000D5DBF" w:rsidRDefault="00D00CCB" w:rsidP="00641840">
            <w:pPr>
              <w:spacing w:before="0" w:after="0"/>
              <w:rPr>
                <w:b/>
                <w:noProof/>
              </w:rPr>
            </w:pPr>
            <w:r w:rsidRPr="000D5DBF">
              <w:rPr>
                <w:b/>
                <w:noProof/>
              </w:rPr>
              <w:t>Dalībvalsts grozošā lēmuma numurs</w:t>
            </w:r>
          </w:p>
        </w:tc>
        <w:tc>
          <w:tcPr>
            <w:tcW w:w="5103" w:type="dxa"/>
            <w:shd w:val="clear" w:color="auto" w:fill="auto"/>
          </w:tcPr>
          <w:p w14:paraId="696D8685" w14:textId="77777777" w:rsidR="00D00CCB" w:rsidRPr="000D5DBF" w:rsidRDefault="00D00CCB" w:rsidP="00641840">
            <w:pPr>
              <w:spacing w:before="0" w:after="0"/>
              <w:rPr>
                <w:noProof/>
                <w:szCs w:val="24"/>
              </w:rPr>
            </w:pPr>
            <w:r w:rsidRPr="000D5DBF">
              <w:rPr>
                <w:noProof/>
                <w:szCs w:val="24"/>
              </w:rPr>
              <w:t>N/A</w:t>
            </w:r>
          </w:p>
        </w:tc>
      </w:tr>
      <w:tr w:rsidR="00F0703E" w:rsidRPr="000D5DBF" w14:paraId="113EAEFF" w14:textId="77777777" w:rsidTr="00F837F9">
        <w:trPr>
          <w:trHeight w:val="163"/>
          <w:jc w:val="center"/>
        </w:trPr>
        <w:tc>
          <w:tcPr>
            <w:tcW w:w="3315" w:type="dxa"/>
            <w:shd w:val="clear" w:color="auto" w:fill="auto"/>
          </w:tcPr>
          <w:p w14:paraId="7463427D" w14:textId="77777777" w:rsidR="00D00CCB" w:rsidRPr="000D5DBF" w:rsidRDefault="00D00CCB" w:rsidP="00641840">
            <w:pPr>
              <w:spacing w:before="0" w:after="0"/>
              <w:rPr>
                <w:b/>
                <w:noProof/>
              </w:rPr>
            </w:pPr>
            <w:r w:rsidRPr="000D5DBF">
              <w:rPr>
                <w:b/>
                <w:noProof/>
              </w:rPr>
              <w:t>Dalībvalsts grozošā lēmuma spēkā stāšanās datums</w:t>
            </w:r>
          </w:p>
        </w:tc>
        <w:tc>
          <w:tcPr>
            <w:tcW w:w="5103" w:type="dxa"/>
            <w:shd w:val="clear" w:color="auto" w:fill="auto"/>
          </w:tcPr>
          <w:p w14:paraId="1EFAA954" w14:textId="77777777" w:rsidR="00D00CCB" w:rsidRPr="000D5DBF" w:rsidRDefault="00D00CCB" w:rsidP="00641840">
            <w:pPr>
              <w:spacing w:before="0" w:after="0"/>
              <w:rPr>
                <w:noProof/>
                <w:szCs w:val="24"/>
              </w:rPr>
            </w:pPr>
            <w:r w:rsidRPr="000D5DBF">
              <w:rPr>
                <w:noProof/>
                <w:szCs w:val="24"/>
              </w:rPr>
              <w:t>N/A</w:t>
            </w:r>
          </w:p>
        </w:tc>
      </w:tr>
      <w:tr w:rsidR="00F0703E" w:rsidRPr="000D5DBF" w14:paraId="48771690" w14:textId="77777777" w:rsidTr="00F837F9">
        <w:trPr>
          <w:trHeight w:val="163"/>
          <w:jc w:val="center"/>
        </w:trPr>
        <w:tc>
          <w:tcPr>
            <w:tcW w:w="3315" w:type="dxa"/>
            <w:shd w:val="clear" w:color="auto" w:fill="auto"/>
          </w:tcPr>
          <w:p w14:paraId="2CCC17F2" w14:textId="77777777" w:rsidR="00D00CCB" w:rsidRPr="000D5DBF" w:rsidRDefault="00D00CCB" w:rsidP="00641840">
            <w:pPr>
              <w:spacing w:before="0" w:after="0"/>
              <w:rPr>
                <w:b/>
                <w:noProof/>
              </w:rPr>
            </w:pPr>
            <w:r w:rsidRPr="000D5DBF">
              <w:rPr>
                <w:b/>
                <w:noProof/>
              </w:rPr>
              <w:t>Nebūtiski pārvietojumi (19. panta 5. punkts)</w:t>
            </w:r>
          </w:p>
        </w:tc>
        <w:tc>
          <w:tcPr>
            <w:tcW w:w="5103" w:type="dxa"/>
            <w:shd w:val="clear" w:color="auto" w:fill="auto"/>
          </w:tcPr>
          <w:p w14:paraId="2CBF784E" w14:textId="77777777" w:rsidR="00D00CCB" w:rsidRPr="000D5DBF" w:rsidRDefault="00D00CCB" w:rsidP="00641840">
            <w:pPr>
              <w:spacing w:before="0" w:after="0"/>
              <w:rPr>
                <w:i/>
                <w:noProof/>
                <w:szCs w:val="24"/>
              </w:rPr>
            </w:pPr>
            <w:r w:rsidRPr="000D5DBF">
              <w:rPr>
                <w:noProof/>
                <w:szCs w:val="24"/>
              </w:rPr>
              <w:t>Nē</w:t>
            </w:r>
          </w:p>
        </w:tc>
      </w:tr>
      <w:tr w:rsidR="00F0703E" w:rsidRPr="000D5DBF" w14:paraId="1B167F0E" w14:textId="77777777" w:rsidTr="00F837F9">
        <w:trPr>
          <w:trHeight w:val="163"/>
          <w:jc w:val="center"/>
        </w:trPr>
        <w:tc>
          <w:tcPr>
            <w:tcW w:w="3315" w:type="dxa"/>
            <w:shd w:val="clear" w:color="auto" w:fill="auto"/>
          </w:tcPr>
          <w:p w14:paraId="1BA95E11" w14:textId="77777777" w:rsidR="00D00CCB" w:rsidRPr="000D5DBF" w:rsidRDefault="00D00CCB" w:rsidP="00641840">
            <w:pPr>
              <w:spacing w:before="0" w:after="0"/>
              <w:rPr>
                <w:b/>
                <w:noProof/>
              </w:rPr>
            </w:pPr>
            <w:r w:rsidRPr="000D5DBF">
              <w:rPr>
                <w:b/>
                <w:i/>
                <w:noProof/>
              </w:rPr>
              <w:t>NUTS</w:t>
            </w:r>
            <w:r w:rsidRPr="000D5DBF">
              <w:rPr>
                <w:b/>
                <w:noProof/>
              </w:rPr>
              <w:t xml:space="preserve"> reģioni, uz kuriem attiecas programma</w:t>
            </w:r>
            <w:r w:rsidRPr="000D5DBF">
              <w:rPr>
                <w:noProof/>
              </w:rPr>
              <w:t xml:space="preserve"> (neattiecas uz EJZF)</w:t>
            </w:r>
          </w:p>
        </w:tc>
        <w:tc>
          <w:tcPr>
            <w:tcW w:w="5103" w:type="dxa"/>
            <w:shd w:val="clear" w:color="auto" w:fill="auto"/>
          </w:tcPr>
          <w:p w14:paraId="4B8A7E27" w14:textId="77777777" w:rsidR="00D00CCB" w:rsidRPr="000D5DBF" w:rsidRDefault="00D00CCB" w:rsidP="00641840">
            <w:pPr>
              <w:spacing w:before="0" w:after="0"/>
              <w:rPr>
                <w:noProof/>
                <w:szCs w:val="24"/>
              </w:rPr>
            </w:pPr>
            <w:r w:rsidRPr="000D5DBF">
              <w:rPr>
                <w:noProof/>
                <w:szCs w:val="24"/>
              </w:rPr>
              <w:t>LV</w:t>
            </w:r>
          </w:p>
        </w:tc>
      </w:tr>
      <w:tr w:rsidR="00F0703E" w:rsidRPr="000D5DBF" w14:paraId="230A96B4" w14:textId="77777777" w:rsidTr="00F837F9">
        <w:trPr>
          <w:trHeight w:val="163"/>
          <w:jc w:val="center"/>
        </w:trPr>
        <w:tc>
          <w:tcPr>
            <w:tcW w:w="3315" w:type="dxa"/>
            <w:vMerge w:val="restart"/>
            <w:shd w:val="clear" w:color="auto" w:fill="auto"/>
          </w:tcPr>
          <w:p w14:paraId="4914EA3E" w14:textId="77777777" w:rsidR="00D00CCB" w:rsidRPr="000D5DBF" w:rsidRDefault="00D00CCB" w:rsidP="00641840">
            <w:pPr>
              <w:spacing w:before="0" w:after="0"/>
              <w:rPr>
                <w:b/>
                <w:noProof/>
              </w:rPr>
            </w:pPr>
            <w:r w:rsidRPr="000D5DBF">
              <w:rPr>
                <w:b/>
                <w:noProof/>
              </w:rPr>
              <w:t>Attiecīgais fonds</w:t>
            </w:r>
          </w:p>
        </w:tc>
        <w:tc>
          <w:tcPr>
            <w:tcW w:w="5103" w:type="dxa"/>
            <w:shd w:val="clear" w:color="auto" w:fill="auto"/>
          </w:tcPr>
          <w:p w14:paraId="426B222B" w14:textId="77777777" w:rsidR="00D00CCB" w:rsidRPr="000D5DBF" w:rsidRDefault="00D00CCB" w:rsidP="00641840">
            <w:pPr>
              <w:spacing w:before="0" w:after="0"/>
              <w:rPr>
                <w:noProof/>
                <w:sz w:val="18"/>
                <w:szCs w:val="18"/>
              </w:rPr>
            </w:pPr>
            <w:r w:rsidRPr="000D5DBF">
              <w:rPr>
                <w:noProof/>
                <w:sz w:val="20"/>
              </w:rPr>
              <w:fldChar w:fldCharType="begin">
                <w:ffData>
                  <w:name w:val="Check1"/>
                  <w:enabled/>
                  <w:calcOnExit w:val="0"/>
                  <w:checkBox>
                    <w:sizeAuto/>
                    <w:default w:val="0"/>
                  </w:checkBox>
                </w:ffData>
              </w:fldChar>
            </w:r>
            <w:r w:rsidRPr="000D5DBF">
              <w:rPr>
                <w:noProof/>
                <w:sz w:val="20"/>
              </w:rPr>
              <w:instrText xml:space="preserve"> FORMCHECKBOX </w:instrText>
            </w:r>
            <w:r w:rsidR="00CA77B2">
              <w:rPr>
                <w:noProof/>
                <w:sz w:val="20"/>
              </w:rPr>
            </w:r>
            <w:r w:rsidR="00CA77B2">
              <w:rPr>
                <w:noProof/>
                <w:sz w:val="20"/>
              </w:rPr>
              <w:fldChar w:fldCharType="separate"/>
            </w:r>
            <w:r w:rsidRPr="000D5DBF">
              <w:rPr>
                <w:noProof/>
                <w:sz w:val="20"/>
              </w:rPr>
              <w:fldChar w:fldCharType="end"/>
            </w:r>
            <w:r w:rsidRPr="000D5DBF">
              <w:rPr>
                <w:noProof/>
              </w:rPr>
              <w:t xml:space="preserve"> ERAF</w:t>
            </w:r>
          </w:p>
        </w:tc>
      </w:tr>
      <w:tr w:rsidR="00F0703E" w:rsidRPr="000D5DBF" w14:paraId="352EEEF6" w14:textId="77777777" w:rsidTr="00996BD4">
        <w:trPr>
          <w:trHeight w:val="163"/>
          <w:jc w:val="center"/>
        </w:trPr>
        <w:tc>
          <w:tcPr>
            <w:tcW w:w="3315" w:type="dxa"/>
            <w:vMerge/>
            <w:shd w:val="clear" w:color="auto" w:fill="auto"/>
          </w:tcPr>
          <w:p w14:paraId="68442B04" w14:textId="77777777" w:rsidR="00D00CCB" w:rsidRPr="000D5DBF" w:rsidRDefault="00D00CCB" w:rsidP="00641840">
            <w:pPr>
              <w:spacing w:before="0" w:after="0"/>
              <w:rPr>
                <w:b/>
                <w:noProof/>
              </w:rPr>
            </w:pPr>
          </w:p>
        </w:tc>
        <w:tc>
          <w:tcPr>
            <w:tcW w:w="5103" w:type="dxa"/>
            <w:tcBorders>
              <w:bottom w:val="single" w:sz="4" w:space="0" w:color="auto"/>
            </w:tcBorders>
            <w:shd w:val="clear" w:color="auto" w:fill="auto"/>
          </w:tcPr>
          <w:p w14:paraId="1A331810" w14:textId="77777777" w:rsidR="00D00CCB" w:rsidRPr="000D5DBF" w:rsidRDefault="00D00CCB" w:rsidP="00641840">
            <w:pPr>
              <w:spacing w:before="0" w:after="0"/>
              <w:rPr>
                <w:noProof/>
                <w:sz w:val="18"/>
                <w:szCs w:val="18"/>
              </w:rPr>
            </w:pPr>
            <w:r w:rsidRPr="000D5DBF">
              <w:rPr>
                <w:noProof/>
                <w:sz w:val="20"/>
              </w:rPr>
              <w:fldChar w:fldCharType="begin">
                <w:ffData>
                  <w:name w:val="Check1"/>
                  <w:enabled/>
                  <w:calcOnExit w:val="0"/>
                  <w:checkBox>
                    <w:sizeAuto/>
                    <w:default w:val="0"/>
                  </w:checkBox>
                </w:ffData>
              </w:fldChar>
            </w:r>
            <w:r w:rsidRPr="000D5DBF">
              <w:rPr>
                <w:noProof/>
                <w:sz w:val="20"/>
              </w:rPr>
              <w:instrText xml:space="preserve"> FORMCHECKBOX </w:instrText>
            </w:r>
            <w:r w:rsidR="00CA77B2">
              <w:rPr>
                <w:noProof/>
                <w:sz w:val="20"/>
              </w:rPr>
            </w:r>
            <w:r w:rsidR="00CA77B2">
              <w:rPr>
                <w:noProof/>
                <w:sz w:val="20"/>
              </w:rPr>
              <w:fldChar w:fldCharType="separate"/>
            </w:r>
            <w:r w:rsidRPr="000D5DBF">
              <w:rPr>
                <w:noProof/>
                <w:sz w:val="20"/>
              </w:rPr>
              <w:fldChar w:fldCharType="end"/>
            </w:r>
            <w:r w:rsidRPr="000D5DBF">
              <w:rPr>
                <w:noProof/>
              </w:rPr>
              <w:t xml:space="preserve"> Kohēzijas fonds</w:t>
            </w:r>
          </w:p>
        </w:tc>
      </w:tr>
      <w:tr w:rsidR="00F0703E" w:rsidRPr="000D5DBF" w14:paraId="05A33258" w14:textId="77777777" w:rsidTr="00F837F9">
        <w:trPr>
          <w:trHeight w:val="163"/>
          <w:jc w:val="center"/>
        </w:trPr>
        <w:tc>
          <w:tcPr>
            <w:tcW w:w="3315" w:type="dxa"/>
            <w:vMerge/>
            <w:shd w:val="clear" w:color="auto" w:fill="auto"/>
          </w:tcPr>
          <w:p w14:paraId="64922257" w14:textId="77777777" w:rsidR="00D00CCB" w:rsidRPr="000D5DBF" w:rsidRDefault="00D00CCB" w:rsidP="00641840">
            <w:pPr>
              <w:spacing w:before="0" w:after="0"/>
              <w:rPr>
                <w:b/>
                <w:noProof/>
              </w:rPr>
            </w:pPr>
          </w:p>
        </w:tc>
        <w:tc>
          <w:tcPr>
            <w:tcW w:w="5103" w:type="dxa"/>
            <w:shd w:val="clear" w:color="auto" w:fill="auto"/>
          </w:tcPr>
          <w:p w14:paraId="553C4EAD" w14:textId="77777777" w:rsidR="00D00CCB" w:rsidRPr="000D5DBF" w:rsidRDefault="00996BD4" w:rsidP="00641840">
            <w:pPr>
              <w:spacing w:before="0" w:after="0"/>
              <w:rPr>
                <w:i/>
                <w:noProof/>
                <w:sz w:val="18"/>
                <w:szCs w:val="18"/>
              </w:rPr>
            </w:pPr>
            <w:r w:rsidRPr="000D5DBF">
              <w:rPr>
                <w:noProof/>
                <w:sz w:val="20"/>
              </w:rPr>
              <w:fldChar w:fldCharType="begin">
                <w:ffData>
                  <w:name w:val="Check1"/>
                  <w:enabled/>
                  <w:calcOnExit w:val="0"/>
                  <w:checkBox>
                    <w:sizeAuto/>
                    <w:default w:val="0"/>
                  </w:checkBox>
                </w:ffData>
              </w:fldChar>
            </w:r>
            <w:bookmarkStart w:id="1" w:name="Check1"/>
            <w:r w:rsidRPr="000D5DBF">
              <w:rPr>
                <w:noProof/>
                <w:sz w:val="20"/>
              </w:rPr>
              <w:instrText xml:space="preserve"> FORMCHECKBOX </w:instrText>
            </w:r>
            <w:r w:rsidR="00CA77B2">
              <w:rPr>
                <w:noProof/>
                <w:sz w:val="20"/>
              </w:rPr>
            </w:r>
            <w:r w:rsidR="00CA77B2">
              <w:rPr>
                <w:noProof/>
                <w:sz w:val="20"/>
              </w:rPr>
              <w:fldChar w:fldCharType="separate"/>
            </w:r>
            <w:r w:rsidRPr="000D5DBF">
              <w:rPr>
                <w:noProof/>
                <w:sz w:val="20"/>
              </w:rPr>
              <w:fldChar w:fldCharType="end"/>
            </w:r>
            <w:bookmarkEnd w:id="1"/>
            <w:r w:rsidR="00D00CCB" w:rsidRPr="000D5DBF">
              <w:rPr>
                <w:noProof/>
              </w:rPr>
              <w:t xml:space="preserve"> </w:t>
            </w:r>
            <w:r w:rsidR="00D00CCB" w:rsidRPr="000D5DBF">
              <w:rPr>
                <w:b/>
                <w:noProof/>
              </w:rPr>
              <w:t>ESF+</w:t>
            </w:r>
          </w:p>
        </w:tc>
      </w:tr>
      <w:tr w:rsidR="00F0703E" w:rsidRPr="000D5DBF" w14:paraId="7EFCD5A2" w14:textId="77777777" w:rsidTr="00F837F9">
        <w:trPr>
          <w:trHeight w:val="163"/>
          <w:jc w:val="center"/>
        </w:trPr>
        <w:tc>
          <w:tcPr>
            <w:tcW w:w="3315" w:type="dxa"/>
            <w:vMerge/>
            <w:shd w:val="clear" w:color="auto" w:fill="auto"/>
          </w:tcPr>
          <w:p w14:paraId="60CF183C" w14:textId="77777777" w:rsidR="00D00CCB" w:rsidRPr="000D5DBF" w:rsidRDefault="00D00CCB" w:rsidP="00641840">
            <w:pPr>
              <w:spacing w:before="0" w:after="0"/>
              <w:rPr>
                <w:b/>
                <w:noProof/>
              </w:rPr>
            </w:pPr>
          </w:p>
        </w:tc>
        <w:tc>
          <w:tcPr>
            <w:tcW w:w="5103" w:type="dxa"/>
            <w:shd w:val="clear" w:color="auto" w:fill="auto"/>
          </w:tcPr>
          <w:p w14:paraId="03E18D78" w14:textId="77777777" w:rsidR="00D00CCB" w:rsidRPr="000D5DBF" w:rsidRDefault="00D00CCB" w:rsidP="00641840">
            <w:pPr>
              <w:spacing w:before="0" w:after="0"/>
              <w:rPr>
                <w:i/>
                <w:noProof/>
                <w:sz w:val="18"/>
                <w:szCs w:val="18"/>
              </w:rPr>
            </w:pPr>
            <w:r w:rsidRPr="000D5DBF">
              <w:rPr>
                <w:noProof/>
                <w:sz w:val="20"/>
              </w:rPr>
              <w:fldChar w:fldCharType="begin">
                <w:ffData>
                  <w:name w:val="Check1"/>
                  <w:enabled/>
                  <w:calcOnExit w:val="0"/>
                  <w:checkBox>
                    <w:sizeAuto/>
                    <w:default w:val="0"/>
                  </w:checkBox>
                </w:ffData>
              </w:fldChar>
            </w:r>
            <w:r w:rsidRPr="000D5DBF">
              <w:rPr>
                <w:noProof/>
                <w:sz w:val="20"/>
              </w:rPr>
              <w:instrText xml:space="preserve"> FORMCHECKBOX </w:instrText>
            </w:r>
            <w:r w:rsidR="00CA77B2">
              <w:rPr>
                <w:noProof/>
                <w:sz w:val="20"/>
              </w:rPr>
            </w:r>
            <w:r w:rsidR="00CA77B2">
              <w:rPr>
                <w:noProof/>
                <w:sz w:val="20"/>
              </w:rPr>
              <w:fldChar w:fldCharType="separate"/>
            </w:r>
            <w:r w:rsidRPr="000D5DBF">
              <w:rPr>
                <w:noProof/>
                <w:sz w:val="20"/>
              </w:rPr>
              <w:fldChar w:fldCharType="end"/>
            </w:r>
            <w:r w:rsidRPr="000D5DBF">
              <w:rPr>
                <w:noProof/>
              </w:rPr>
              <w:t xml:space="preserve"> EJZF</w:t>
            </w:r>
          </w:p>
        </w:tc>
      </w:tr>
    </w:tbl>
    <w:p w14:paraId="449CAC06" w14:textId="77777777" w:rsidR="00D00CCB" w:rsidRPr="000D5DBF" w:rsidRDefault="00D00CCB" w:rsidP="00641840">
      <w:pPr>
        <w:spacing w:before="0" w:after="0"/>
        <w:jc w:val="left"/>
        <w:rPr>
          <w:b/>
          <w:sz w:val="32"/>
        </w:rPr>
      </w:pPr>
    </w:p>
    <w:p w14:paraId="49804BE7" w14:textId="77777777" w:rsidR="00D00CCB" w:rsidRPr="000D5DBF" w:rsidRDefault="00D00CCB" w:rsidP="00641840">
      <w:pPr>
        <w:spacing w:before="0" w:after="0"/>
        <w:jc w:val="left"/>
        <w:rPr>
          <w:b/>
          <w:sz w:val="32"/>
        </w:rPr>
      </w:pPr>
    </w:p>
    <w:p w14:paraId="59ECC212" w14:textId="77777777" w:rsidR="00D00CCB" w:rsidRPr="000D5DBF" w:rsidRDefault="00D00CCB" w:rsidP="00641840">
      <w:pPr>
        <w:spacing w:before="0" w:after="0"/>
        <w:jc w:val="left"/>
        <w:rPr>
          <w:b/>
          <w:sz w:val="32"/>
        </w:rPr>
      </w:pPr>
    </w:p>
    <w:p w14:paraId="6ADE0E9E" w14:textId="77777777" w:rsidR="00D00CCB" w:rsidRPr="000D5DBF" w:rsidRDefault="00D00CCB" w:rsidP="00641840">
      <w:pPr>
        <w:spacing w:before="0" w:after="0"/>
        <w:jc w:val="left"/>
        <w:rPr>
          <w:b/>
          <w:sz w:val="32"/>
        </w:rPr>
      </w:pPr>
      <w:r w:rsidRPr="000D5DBF">
        <w:rPr>
          <w:b/>
          <w:sz w:val="32"/>
        </w:rPr>
        <w:br w:type="page"/>
      </w:r>
    </w:p>
    <w:p w14:paraId="63E3BAAF" w14:textId="77777777" w:rsidR="00D00CCB" w:rsidRPr="000D5DBF" w:rsidRDefault="00D00CCB" w:rsidP="00641840">
      <w:pPr>
        <w:spacing w:before="0" w:after="0"/>
        <w:jc w:val="center"/>
        <w:rPr>
          <w:b/>
          <w:sz w:val="28"/>
          <w:szCs w:val="28"/>
        </w:rPr>
      </w:pPr>
      <w:r w:rsidRPr="000D5DBF">
        <w:rPr>
          <w:b/>
          <w:sz w:val="28"/>
          <w:szCs w:val="28"/>
        </w:rPr>
        <w:lastRenderedPageBreak/>
        <w:t>Saturs</w:t>
      </w:r>
    </w:p>
    <w:p w14:paraId="327DAC02" w14:textId="77777777" w:rsidR="00D00CCB" w:rsidRPr="000D5DBF" w:rsidRDefault="00D00CCB" w:rsidP="00641840">
      <w:pPr>
        <w:spacing w:before="0" w:after="0"/>
        <w:jc w:val="left"/>
        <w:rPr>
          <w:szCs w:val="24"/>
        </w:rPr>
      </w:pPr>
    </w:p>
    <w:sdt>
      <w:sdtPr>
        <w:rPr>
          <w:rFonts w:ascii="Times New Roman" w:eastAsia="Calibri" w:hAnsi="Times New Roman" w:cs="Times New Roman"/>
          <w:color w:val="auto"/>
          <w:sz w:val="24"/>
          <w:szCs w:val="20"/>
          <w:lang w:val="lv-LV" w:eastAsia="lv-LV" w:bidi="lv-LV"/>
        </w:rPr>
        <w:id w:val="-3288254"/>
        <w:docPartObj>
          <w:docPartGallery w:val="Table of Contents"/>
          <w:docPartUnique/>
        </w:docPartObj>
      </w:sdtPr>
      <w:sdtEndPr>
        <w:rPr>
          <w:b/>
          <w:bCs/>
          <w:noProof/>
        </w:rPr>
      </w:sdtEndPr>
      <w:sdtContent>
        <w:p w14:paraId="1A3C99CD" w14:textId="77777777" w:rsidR="00593A98" w:rsidRPr="000D5DBF" w:rsidRDefault="00593A98" w:rsidP="00641840">
          <w:pPr>
            <w:pStyle w:val="TOCHeading"/>
            <w:spacing w:before="0" w:line="240" w:lineRule="auto"/>
            <w:rPr>
              <w:color w:val="auto"/>
              <w:lang w:val="lv-LV"/>
            </w:rPr>
          </w:pPr>
        </w:p>
        <w:p w14:paraId="60A84795" w14:textId="77777777" w:rsidR="00955942" w:rsidRDefault="00593A98">
          <w:pPr>
            <w:pStyle w:val="TOC1"/>
            <w:rPr>
              <w:rFonts w:asciiTheme="minorHAnsi" w:eastAsiaTheme="minorEastAsia" w:hAnsiTheme="minorHAnsi" w:cstheme="minorBidi"/>
              <w:noProof/>
              <w:sz w:val="22"/>
              <w:szCs w:val="22"/>
              <w:lang w:bidi="ar-SA"/>
            </w:rPr>
          </w:pPr>
          <w:r w:rsidRPr="000D5DBF">
            <w:rPr>
              <w:b/>
              <w:bCs/>
              <w:noProof/>
            </w:rPr>
            <w:fldChar w:fldCharType="begin"/>
          </w:r>
          <w:r w:rsidRPr="000D5DBF">
            <w:rPr>
              <w:b/>
              <w:bCs/>
              <w:noProof/>
            </w:rPr>
            <w:instrText xml:space="preserve"> TOC \o "1-3" \h \z \u </w:instrText>
          </w:r>
          <w:r w:rsidRPr="000D5DBF">
            <w:rPr>
              <w:b/>
              <w:bCs/>
              <w:noProof/>
            </w:rPr>
            <w:fldChar w:fldCharType="separate"/>
          </w:r>
          <w:hyperlink w:anchor="_Toc70410830" w:history="1">
            <w:r w:rsidR="00955942" w:rsidRPr="006200B8">
              <w:rPr>
                <w:rStyle w:val="Hyperlink"/>
                <w:rFonts w:eastAsia="SimSun"/>
                <w:b/>
                <w:noProof/>
                <w:lang w:eastAsia="ja-JP"/>
              </w:rPr>
              <w:t>Izmantotie saīsinājumi un termini</w:t>
            </w:r>
            <w:r w:rsidR="00955942">
              <w:rPr>
                <w:noProof/>
                <w:webHidden/>
              </w:rPr>
              <w:tab/>
            </w:r>
            <w:r w:rsidR="00955942">
              <w:rPr>
                <w:noProof/>
                <w:webHidden/>
              </w:rPr>
              <w:fldChar w:fldCharType="begin"/>
            </w:r>
            <w:r w:rsidR="00955942">
              <w:rPr>
                <w:noProof/>
                <w:webHidden/>
              </w:rPr>
              <w:instrText xml:space="preserve"> PAGEREF _Toc70410830 \h </w:instrText>
            </w:r>
            <w:r w:rsidR="00955942">
              <w:rPr>
                <w:noProof/>
                <w:webHidden/>
              </w:rPr>
            </w:r>
            <w:r w:rsidR="00955942">
              <w:rPr>
                <w:noProof/>
                <w:webHidden/>
              </w:rPr>
              <w:fldChar w:fldCharType="separate"/>
            </w:r>
            <w:r w:rsidR="00955942">
              <w:rPr>
                <w:noProof/>
                <w:webHidden/>
              </w:rPr>
              <w:t>4</w:t>
            </w:r>
            <w:r w:rsidR="00955942">
              <w:rPr>
                <w:noProof/>
                <w:webHidden/>
              </w:rPr>
              <w:fldChar w:fldCharType="end"/>
            </w:r>
          </w:hyperlink>
        </w:p>
        <w:p w14:paraId="32CEFCCA" w14:textId="77777777" w:rsidR="00955942" w:rsidRDefault="00CA77B2">
          <w:pPr>
            <w:pStyle w:val="TOC1"/>
            <w:rPr>
              <w:rFonts w:asciiTheme="minorHAnsi" w:eastAsiaTheme="minorEastAsia" w:hAnsiTheme="minorHAnsi" w:cstheme="minorBidi"/>
              <w:noProof/>
              <w:sz w:val="22"/>
              <w:szCs w:val="22"/>
              <w:lang w:bidi="ar-SA"/>
            </w:rPr>
          </w:pPr>
          <w:hyperlink w:anchor="_Toc70410831" w:history="1">
            <w:r w:rsidR="00955942" w:rsidRPr="006200B8">
              <w:rPr>
                <w:rStyle w:val="Hyperlink"/>
                <w:b/>
                <w:iCs/>
                <w:noProof/>
              </w:rPr>
              <w:t>1.</w:t>
            </w:r>
            <w:r w:rsidR="00955942">
              <w:rPr>
                <w:rFonts w:asciiTheme="minorHAnsi" w:eastAsiaTheme="minorEastAsia" w:hAnsiTheme="minorHAnsi" w:cstheme="minorBidi"/>
                <w:noProof/>
                <w:sz w:val="22"/>
                <w:szCs w:val="22"/>
                <w:lang w:bidi="ar-SA"/>
              </w:rPr>
              <w:tab/>
            </w:r>
            <w:r w:rsidR="00955942" w:rsidRPr="006200B8">
              <w:rPr>
                <w:rStyle w:val="Hyperlink"/>
                <w:b/>
                <w:noProof/>
              </w:rPr>
              <w:t>Programmas stratēģija: galvenie attīstības politikas uzdevumi un politikas risinājumi</w:t>
            </w:r>
            <w:r w:rsidR="00955942">
              <w:rPr>
                <w:noProof/>
                <w:webHidden/>
              </w:rPr>
              <w:tab/>
            </w:r>
            <w:r w:rsidR="00955942">
              <w:rPr>
                <w:noProof/>
                <w:webHidden/>
              </w:rPr>
              <w:fldChar w:fldCharType="begin"/>
            </w:r>
            <w:r w:rsidR="00955942">
              <w:rPr>
                <w:noProof/>
                <w:webHidden/>
              </w:rPr>
              <w:instrText xml:space="preserve"> PAGEREF _Toc70410831 \h </w:instrText>
            </w:r>
            <w:r w:rsidR="00955942">
              <w:rPr>
                <w:noProof/>
                <w:webHidden/>
              </w:rPr>
            </w:r>
            <w:r w:rsidR="00955942">
              <w:rPr>
                <w:noProof/>
                <w:webHidden/>
              </w:rPr>
              <w:fldChar w:fldCharType="separate"/>
            </w:r>
            <w:r w:rsidR="00955942">
              <w:rPr>
                <w:noProof/>
                <w:webHidden/>
              </w:rPr>
              <w:t>5</w:t>
            </w:r>
            <w:r w:rsidR="00955942">
              <w:rPr>
                <w:noProof/>
                <w:webHidden/>
              </w:rPr>
              <w:fldChar w:fldCharType="end"/>
            </w:r>
          </w:hyperlink>
        </w:p>
        <w:p w14:paraId="49C4AD2B" w14:textId="77777777" w:rsidR="00955942" w:rsidRDefault="00CA77B2">
          <w:pPr>
            <w:pStyle w:val="TOC2"/>
            <w:tabs>
              <w:tab w:val="left" w:pos="851"/>
              <w:tab w:val="right" w:leader="dot" w:pos="8919"/>
            </w:tabs>
            <w:rPr>
              <w:rFonts w:asciiTheme="minorHAnsi" w:eastAsiaTheme="minorEastAsia" w:hAnsiTheme="minorHAnsi" w:cstheme="minorBidi"/>
              <w:noProof/>
              <w:sz w:val="22"/>
              <w:szCs w:val="22"/>
              <w:lang w:bidi="ar-SA"/>
            </w:rPr>
          </w:pPr>
          <w:hyperlink w:anchor="_Toc70410832" w:history="1">
            <w:r w:rsidR="00955942" w:rsidRPr="006200B8">
              <w:rPr>
                <w:rStyle w:val="Hyperlink"/>
                <w:b/>
                <w:noProof/>
              </w:rPr>
              <w:t>1.1.</w:t>
            </w:r>
            <w:r w:rsidR="00955942">
              <w:rPr>
                <w:rFonts w:asciiTheme="minorHAnsi" w:eastAsiaTheme="minorEastAsia" w:hAnsiTheme="minorHAnsi" w:cstheme="minorBidi"/>
                <w:noProof/>
                <w:sz w:val="22"/>
                <w:szCs w:val="22"/>
                <w:lang w:bidi="ar-SA"/>
              </w:rPr>
              <w:tab/>
            </w:r>
            <w:r w:rsidR="00955942" w:rsidRPr="006200B8">
              <w:rPr>
                <w:rStyle w:val="Hyperlink"/>
                <w:b/>
                <w:noProof/>
              </w:rPr>
              <w:t>Situācijas apraksts</w:t>
            </w:r>
            <w:r w:rsidR="00955942">
              <w:rPr>
                <w:noProof/>
                <w:webHidden/>
              </w:rPr>
              <w:tab/>
            </w:r>
            <w:r w:rsidR="00955942">
              <w:rPr>
                <w:noProof/>
                <w:webHidden/>
              </w:rPr>
              <w:fldChar w:fldCharType="begin"/>
            </w:r>
            <w:r w:rsidR="00955942">
              <w:rPr>
                <w:noProof/>
                <w:webHidden/>
              </w:rPr>
              <w:instrText xml:space="preserve"> PAGEREF _Toc70410832 \h </w:instrText>
            </w:r>
            <w:r w:rsidR="00955942">
              <w:rPr>
                <w:noProof/>
                <w:webHidden/>
              </w:rPr>
            </w:r>
            <w:r w:rsidR="00955942">
              <w:rPr>
                <w:noProof/>
                <w:webHidden/>
              </w:rPr>
              <w:fldChar w:fldCharType="separate"/>
            </w:r>
            <w:r w:rsidR="00955942">
              <w:rPr>
                <w:noProof/>
                <w:webHidden/>
              </w:rPr>
              <w:t>5</w:t>
            </w:r>
            <w:r w:rsidR="00955942">
              <w:rPr>
                <w:noProof/>
                <w:webHidden/>
              </w:rPr>
              <w:fldChar w:fldCharType="end"/>
            </w:r>
          </w:hyperlink>
        </w:p>
        <w:p w14:paraId="19343805" w14:textId="77777777" w:rsidR="00955942" w:rsidRDefault="00CA77B2">
          <w:pPr>
            <w:pStyle w:val="TOC2"/>
            <w:tabs>
              <w:tab w:val="left" w:pos="851"/>
              <w:tab w:val="right" w:leader="dot" w:pos="8919"/>
            </w:tabs>
            <w:rPr>
              <w:rFonts w:asciiTheme="minorHAnsi" w:eastAsiaTheme="minorEastAsia" w:hAnsiTheme="minorHAnsi" w:cstheme="minorBidi"/>
              <w:noProof/>
              <w:sz w:val="22"/>
              <w:szCs w:val="22"/>
              <w:lang w:bidi="ar-SA"/>
            </w:rPr>
          </w:pPr>
          <w:hyperlink w:anchor="_Toc70410833" w:history="1">
            <w:r w:rsidR="00955942" w:rsidRPr="006200B8">
              <w:rPr>
                <w:rStyle w:val="Hyperlink"/>
                <w:b/>
                <w:noProof/>
              </w:rPr>
              <w:t>1.2.</w:t>
            </w:r>
            <w:r w:rsidR="00955942">
              <w:rPr>
                <w:rFonts w:asciiTheme="minorHAnsi" w:eastAsiaTheme="minorEastAsia" w:hAnsiTheme="minorHAnsi" w:cstheme="minorBidi"/>
                <w:noProof/>
                <w:sz w:val="22"/>
                <w:szCs w:val="22"/>
                <w:lang w:bidi="ar-SA"/>
              </w:rPr>
              <w:tab/>
            </w:r>
            <w:r w:rsidR="00955942" w:rsidRPr="006200B8">
              <w:rPr>
                <w:rStyle w:val="Hyperlink"/>
                <w:b/>
                <w:noProof/>
              </w:rPr>
              <w:t>Ieguldījumu nepieciešamības pamatojums</w:t>
            </w:r>
            <w:r w:rsidR="00955942">
              <w:rPr>
                <w:noProof/>
                <w:webHidden/>
              </w:rPr>
              <w:tab/>
            </w:r>
            <w:r w:rsidR="00955942">
              <w:rPr>
                <w:noProof/>
                <w:webHidden/>
              </w:rPr>
              <w:fldChar w:fldCharType="begin"/>
            </w:r>
            <w:r w:rsidR="00955942">
              <w:rPr>
                <w:noProof/>
                <w:webHidden/>
              </w:rPr>
              <w:instrText xml:space="preserve"> PAGEREF _Toc70410833 \h </w:instrText>
            </w:r>
            <w:r w:rsidR="00955942">
              <w:rPr>
                <w:noProof/>
                <w:webHidden/>
              </w:rPr>
            </w:r>
            <w:r w:rsidR="00955942">
              <w:rPr>
                <w:noProof/>
                <w:webHidden/>
              </w:rPr>
              <w:fldChar w:fldCharType="separate"/>
            </w:r>
            <w:r w:rsidR="00955942">
              <w:rPr>
                <w:noProof/>
                <w:webHidden/>
              </w:rPr>
              <w:t>6</w:t>
            </w:r>
            <w:r w:rsidR="00955942">
              <w:rPr>
                <w:noProof/>
                <w:webHidden/>
              </w:rPr>
              <w:fldChar w:fldCharType="end"/>
            </w:r>
          </w:hyperlink>
        </w:p>
        <w:p w14:paraId="0355D2CA" w14:textId="77777777" w:rsidR="00955942" w:rsidRDefault="00CA77B2">
          <w:pPr>
            <w:pStyle w:val="TOC2"/>
            <w:tabs>
              <w:tab w:val="left" w:pos="851"/>
              <w:tab w:val="right" w:leader="dot" w:pos="8919"/>
            </w:tabs>
            <w:rPr>
              <w:rFonts w:asciiTheme="minorHAnsi" w:eastAsiaTheme="minorEastAsia" w:hAnsiTheme="minorHAnsi" w:cstheme="minorBidi"/>
              <w:noProof/>
              <w:sz w:val="22"/>
              <w:szCs w:val="22"/>
              <w:lang w:bidi="ar-SA"/>
            </w:rPr>
          </w:pPr>
          <w:hyperlink w:anchor="_Toc70410834" w:history="1">
            <w:r w:rsidR="00955942" w:rsidRPr="006200B8">
              <w:rPr>
                <w:rStyle w:val="Hyperlink"/>
                <w:b/>
                <w:noProof/>
              </w:rPr>
              <w:t>1.3.</w:t>
            </w:r>
            <w:r w:rsidR="00955942">
              <w:rPr>
                <w:rFonts w:asciiTheme="minorHAnsi" w:eastAsiaTheme="minorEastAsia" w:hAnsiTheme="minorHAnsi" w:cstheme="minorBidi"/>
                <w:noProof/>
                <w:sz w:val="22"/>
                <w:szCs w:val="22"/>
                <w:lang w:bidi="ar-SA"/>
              </w:rPr>
              <w:tab/>
            </w:r>
            <w:r w:rsidR="00955942" w:rsidRPr="006200B8">
              <w:rPr>
                <w:rStyle w:val="Hyperlink"/>
                <w:b/>
                <w:noProof/>
              </w:rPr>
              <w:t>Iepriekšējo gadu pieredze</w:t>
            </w:r>
            <w:r w:rsidR="00955942">
              <w:rPr>
                <w:noProof/>
                <w:webHidden/>
              </w:rPr>
              <w:tab/>
            </w:r>
            <w:r w:rsidR="00955942">
              <w:rPr>
                <w:noProof/>
                <w:webHidden/>
              </w:rPr>
              <w:fldChar w:fldCharType="begin"/>
            </w:r>
            <w:r w:rsidR="00955942">
              <w:rPr>
                <w:noProof/>
                <w:webHidden/>
              </w:rPr>
              <w:instrText xml:space="preserve"> PAGEREF _Toc70410834 \h </w:instrText>
            </w:r>
            <w:r w:rsidR="00955942">
              <w:rPr>
                <w:noProof/>
                <w:webHidden/>
              </w:rPr>
            </w:r>
            <w:r w:rsidR="00955942">
              <w:rPr>
                <w:noProof/>
                <w:webHidden/>
              </w:rPr>
              <w:fldChar w:fldCharType="separate"/>
            </w:r>
            <w:r w:rsidR="00955942">
              <w:rPr>
                <w:noProof/>
                <w:webHidden/>
              </w:rPr>
              <w:t>7</w:t>
            </w:r>
            <w:r w:rsidR="00955942">
              <w:rPr>
                <w:noProof/>
                <w:webHidden/>
              </w:rPr>
              <w:fldChar w:fldCharType="end"/>
            </w:r>
          </w:hyperlink>
        </w:p>
        <w:p w14:paraId="0E8440FD" w14:textId="77777777" w:rsidR="00955942" w:rsidRDefault="00CA77B2">
          <w:pPr>
            <w:pStyle w:val="TOC2"/>
            <w:tabs>
              <w:tab w:val="left" w:pos="851"/>
              <w:tab w:val="right" w:leader="dot" w:pos="8919"/>
            </w:tabs>
            <w:rPr>
              <w:rFonts w:asciiTheme="minorHAnsi" w:eastAsiaTheme="minorEastAsia" w:hAnsiTheme="minorHAnsi" w:cstheme="minorBidi"/>
              <w:noProof/>
              <w:sz w:val="22"/>
              <w:szCs w:val="22"/>
              <w:lang w:bidi="ar-SA"/>
            </w:rPr>
          </w:pPr>
          <w:hyperlink w:anchor="_Toc70410835" w:history="1">
            <w:r w:rsidR="00955942" w:rsidRPr="006200B8">
              <w:rPr>
                <w:rStyle w:val="Hyperlink"/>
                <w:b/>
                <w:noProof/>
              </w:rPr>
              <w:t>1.4.</w:t>
            </w:r>
            <w:r w:rsidR="00955942">
              <w:rPr>
                <w:rFonts w:asciiTheme="minorHAnsi" w:eastAsiaTheme="minorEastAsia" w:hAnsiTheme="minorHAnsi" w:cstheme="minorBidi"/>
                <w:noProof/>
                <w:sz w:val="22"/>
                <w:szCs w:val="22"/>
                <w:lang w:bidi="ar-SA"/>
              </w:rPr>
              <w:tab/>
            </w:r>
            <w:r w:rsidR="00955942" w:rsidRPr="006200B8">
              <w:rPr>
                <w:rStyle w:val="Hyperlink"/>
                <w:b/>
                <w:noProof/>
              </w:rPr>
              <w:t>Plānotie risinājumi, plānotā atbalsta pamatojums</w:t>
            </w:r>
            <w:r w:rsidR="00955942">
              <w:rPr>
                <w:noProof/>
                <w:webHidden/>
              </w:rPr>
              <w:tab/>
            </w:r>
            <w:r w:rsidR="00955942">
              <w:rPr>
                <w:noProof/>
                <w:webHidden/>
              </w:rPr>
              <w:fldChar w:fldCharType="begin"/>
            </w:r>
            <w:r w:rsidR="00955942">
              <w:rPr>
                <w:noProof/>
                <w:webHidden/>
              </w:rPr>
              <w:instrText xml:space="preserve"> PAGEREF _Toc70410835 \h </w:instrText>
            </w:r>
            <w:r w:rsidR="00955942">
              <w:rPr>
                <w:noProof/>
                <w:webHidden/>
              </w:rPr>
            </w:r>
            <w:r w:rsidR="00955942">
              <w:rPr>
                <w:noProof/>
                <w:webHidden/>
              </w:rPr>
              <w:fldChar w:fldCharType="separate"/>
            </w:r>
            <w:r w:rsidR="00955942">
              <w:rPr>
                <w:noProof/>
                <w:webHidden/>
              </w:rPr>
              <w:t>7</w:t>
            </w:r>
            <w:r w:rsidR="00955942">
              <w:rPr>
                <w:noProof/>
                <w:webHidden/>
              </w:rPr>
              <w:fldChar w:fldCharType="end"/>
            </w:r>
          </w:hyperlink>
        </w:p>
        <w:p w14:paraId="02BDE6D5" w14:textId="77777777" w:rsidR="00955942" w:rsidRDefault="00CA77B2">
          <w:pPr>
            <w:pStyle w:val="TOC2"/>
            <w:tabs>
              <w:tab w:val="left" w:pos="851"/>
              <w:tab w:val="right" w:leader="dot" w:pos="8919"/>
            </w:tabs>
            <w:rPr>
              <w:rFonts w:asciiTheme="minorHAnsi" w:eastAsiaTheme="minorEastAsia" w:hAnsiTheme="minorHAnsi" w:cstheme="minorBidi"/>
              <w:noProof/>
              <w:sz w:val="22"/>
              <w:szCs w:val="22"/>
              <w:lang w:bidi="ar-SA"/>
            </w:rPr>
          </w:pPr>
          <w:hyperlink w:anchor="_Toc70410836" w:history="1">
            <w:r w:rsidR="00955942" w:rsidRPr="006200B8">
              <w:rPr>
                <w:rStyle w:val="Hyperlink"/>
                <w:b/>
                <w:noProof/>
              </w:rPr>
              <w:t>1.5.</w:t>
            </w:r>
            <w:r w:rsidR="00955942">
              <w:rPr>
                <w:rFonts w:asciiTheme="minorHAnsi" w:eastAsiaTheme="minorEastAsia" w:hAnsiTheme="minorHAnsi" w:cstheme="minorBidi"/>
                <w:noProof/>
                <w:sz w:val="22"/>
                <w:szCs w:val="22"/>
                <w:lang w:bidi="ar-SA"/>
              </w:rPr>
              <w:tab/>
            </w:r>
            <w:r w:rsidR="00955942" w:rsidRPr="006200B8">
              <w:rPr>
                <w:rStyle w:val="Hyperlink"/>
                <w:b/>
                <w:noProof/>
              </w:rPr>
              <w:t>Programmas īstenošanas pamatprincipi</w:t>
            </w:r>
            <w:r w:rsidR="00955942">
              <w:rPr>
                <w:noProof/>
                <w:webHidden/>
              </w:rPr>
              <w:tab/>
            </w:r>
            <w:r w:rsidR="00955942">
              <w:rPr>
                <w:noProof/>
                <w:webHidden/>
              </w:rPr>
              <w:fldChar w:fldCharType="begin"/>
            </w:r>
            <w:r w:rsidR="00955942">
              <w:rPr>
                <w:noProof/>
                <w:webHidden/>
              </w:rPr>
              <w:instrText xml:space="preserve"> PAGEREF _Toc70410836 \h </w:instrText>
            </w:r>
            <w:r w:rsidR="00955942">
              <w:rPr>
                <w:noProof/>
                <w:webHidden/>
              </w:rPr>
            </w:r>
            <w:r w:rsidR="00955942">
              <w:rPr>
                <w:noProof/>
                <w:webHidden/>
              </w:rPr>
              <w:fldChar w:fldCharType="separate"/>
            </w:r>
            <w:r w:rsidR="00955942">
              <w:rPr>
                <w:noProof/>
                <w:webHidden/>
              </w:rPr>
              <w:t>9</w:t>
            </w:r>
            <w:r w:rsidR="00955942">
              <w:rPr>
                <w:noProof/>
                <w:webHidden/>
              </w:rPr>
              <w:fldChar w:fldCharType="end"/>
            </w:r>
          </w:hyperlink>
        </w:p>
        <w:p w14:paraId="4A4D2057" w14:textId="77777777" w:rsidR="00955942" w:rsidRDefault="00CA77B2">
          <w:pPr>
            <w:pStyle w:val="TOC2"/>
            <w:tabs>
              <w:tab w:val="left" w:pos="851"/>
              <w:tab w:val="right" w:leader="dot" w:pos="8919"/>
            </w:tabs>
            <w:rPr>
              <w:rFonts w:asciiTheme="minorHAnsi" w:eastAsiaTheme="minorEastAsia" w:hAnsiTheme="minorHAnsi" w:cstheme="minorBidi"/>
              <w:noProof/>
              <w:sz w:val="22"/>
              <w:szCs w:val="22"/>
              <w:lang w:bidi="ar-SA"/>
            </w:rPr>
          </w:pPr>
          <w:hyperlink w:anchor="_Toc70410837" w:history="1">
            <w:r w:rsidR="00955942" w:rsidRPr="006200B8">
              <w:rPr>
                <w:rStyle w:val="Hyperlink"/>
                <w:rFonts w:eastAsia="Times New Roman"/>
                <w:b/>
                <w:noProof/>
              </w:rPr>
              <w:t>1.6.</w:t>
            </w:r>
            <w:r w:rsidR="00955942">
              <w:rPr>
                <w:rFonts w:asciiTheme="minorHAnsi" w:eastAsiaTheme="minorEastAsia" w:hAnsiTheme="minorHAnsi" w:cstheme="minorBidi"/>
                <w:noProof/>
                <w:sz w:val="22"/>
                <w:szCs w:val="22"/>
                <w:lang w:bidi="ar-SA"/>
              </w:rPr>
              <w:tab/>
            </w:r>
            <w:r w:rsidR="00955942" w:rsidRPr="006200B8">
              <w:rPr>
                <w:rStyle w:val="Hyperlink"/>
                <w:rFonts w:eastAsia="Times New Roman"/>
                <w:b/>
                <w:noProof/>
              </w:rPr>
              <w:t>Programmas nosacījumu elastība</w:t>
            </w:r>
            <w:r w:rsidR="00955942">
              <w:rPr>
                <w:noProof/>
                <w:webHidden/>
              </w:rPr>
              <w:tab/>
            </w:r>
            <w:r w:rsidR="00955942">
              <w:rPr>
                <w:noProof/>
                <w:webHidden/>
              </w:rPr>
              <w:fldChar w:fldCharType="begin"/>
            </w:r>
            <w:r w:rsidR="00955942">
              <w:rPr>
                <w:noProof/>
                <w:webHidden/>
              </w:rPr>
              <w:instrText xml:space="preserve"> PAGEREF _Toc70410837 \h </w:instrText>
            </w:r>
            <w:r w:rsidR="00955942">
              <w:rPr>
                <w:noProof/>
                <w:webHidden/>
              </w:rPr>
            </w:r>
            <w:r w:rsidR="00955942">
              <w:rPr>
                <w:noProof/>
                <w:webHidden/>
              </w:rPr>
              <w:fldChar w:fldCharType="separate"/>
            </w:r>
            <w:r w:rsidR="00955942">
              <w:rPr>
                <w:noProof/>
                <w:webHidden/>
              </w:rPr>
              <w:t>9</w:t>
            </w:r>
            <w:r w:rsidR="00955942">
              <w:rPr>
                <w:noProof/>
                <w:webHidden/>
              </w:rPr>
              <w:fldChar w:fldCharType="end"/>
            </w:r>
          </w:hyperlink>
        </w:p>
        <w:p w14:paraId="0BDE94D5" w14:textId="77777777" w:rsidR="00955942" w:rsidRDefault="00CA77B2">
          <w:pPr>
            <w:pStyle w:val="TOC2"/>
            <w:tabs>
              <w:tab w:val="left" w:pos="851"/>
              <w:tab w:val="right" w:leader="dot" w:pos="8919"/>
            </w:tabs>
            <w:rPr>
              <w:rFonts w:asciiTheme="minorHAnsi" w:eastAsiaTheme="minorEastAsia" w:hAnsiTheme="minorHAnsi" w:cstheme="minorBidi"/>
              <w:noProof/>
              <w:sz w:val="22"/>
              <w:szCs w:val="22"/>
              <w:lang w:bidi="ar-SA"/>
            </w:rPr>
          </w:pPr>
          <w:hyperlink w:anchor="_Toc70410838" w:history="1">
            <w:r w:rsidR="00955942" w:rsidRPr="006200B8">
              <w:rPr>
                <w:rStyle w:val="Hyperlink"/>
                <w:rFonts w:eastAsiaTheme="minorHAnsi"/>
                <w:b/>
                <w:noProof/>
              </w:rPr>
              <w:t>1.7.</w:t>
            </w:r>
            <w:r w:rsidR="00955942">
              <w:rPr>
                <w:rFonts w:asciiTheme="minorHAnsi" w:eastAsiaTheme="minorEastAsia" w:hAnsiTheme="minorHAnsi" w:cstheme="minorBidi"/>
                <w:noProof/>
                <w:sz w:val="22"/>
                <w:szCs w:val="22"/>
                <w:lang w:bidi="ar-SA"/>
              </w:rPr>
              <w:tab/>
            </w:r>
            <w:r w:rsidR="00955942" w:rsidRPr="006200B8">
              <w:rPr>
                <w:rStyle w:val="Hyperlink"/>
                <w:b/>
                <w:noProof/>
              </w:rPr>
              <w:t>Papildināmība ar citām aktivitātēm</w:t>
            </w:r>
            <w:r w:rsidR="00955942">
              <w:rPr>
                <w:noProof/>
                <w:webHidden/>
              </w:rPr>
              <w:tab/>
            </w:r>
            <w:r w:rsidR="00955942">
              <w:rPr>
                <w:noProof/>
                <w:webHidden/>
              </w:rPr>
              <w:fldChar w:fldCharType="begin"/>
            </w:r>
            <w:r w:rsidR="00955942">
              <w:rPr>
                <w:noProof/>
                <w:webHidden/>
              </w:rPr>
              <w:instrText xml:space="preserve"> PAGEREF _Toc70410838 \h </w:instrText>
            </w:r>
            <w:r w:rsidR="00955942">
              <w:rPr>
                <w:noProof/>
                <w:webHidden/>
              </w:rPr>
            </w:r>
            <w:r w:rsidR="00955942">
              <w:rPr>
                <w:noProof/>
                <w:webHidden/>
              </w:rPr>
              <w:fldChar w:fldCharType="separate"/>
            </w:r>
            <w:r w:rsidR="00955942">
              <w:rPr>
                <w:noProof/>
                <w:webHidden/>
              </w:rPr>
              <w:t>9</w:t>
            </w:r>
            <w:r w:rsidR="00955942">
              <w:rPr>
                <w:noProof/>
                <w:webHidden/>
              </w:rPr>
              <w:fldChar w:fldCharType="end"/>
            </w:r>
          </w:hyperlink>
        </w:p>
        <w:p w14:paraId="75007715" w14:textId="77777777" w:rsidR="00955942" w:rsidRDefault="00CA77B2">
          <w:pPr>
            <w:pStyle w:val="TOC2"/>
            <w:tabs>
              <w:tab w:val="left" w:pos="851"/>
              <w:tab w:val="right" w:leader="dot" w:pos="8919"/>
            </w:tabs>
            <w:rPr>
              <w:rFonts w:asciiTheme="minorHAnsi" w:eastAsiaTheme="minorEastAsia" w:hAnsiTheme="minorHAnsi" w:cstheme="minorBidi"/>
              <w:noProof/>
              <w:sz w:val="22"/>
              <w:szCs w:val="22"/>
              <w:lang w:bidi="ar-SA"/>
            </w:rPr>
          </w:pPr>
          <w:hyperlink w:anchor="_Toc70410839" w:history="1">
            <w:r w:rsidR="00955942" w:rsidRPr="006200B8">
              <w:rPr>
                <w:rStyle w:val="Hyperlink"/>
                <w:b/>
                <w:noProof/>
              </w:rPr>
              <w:t>1.8.</w:t>
            </w:r>
            <w:r w:rsidR="00955942">
              <w:rPr>
                <w:rFonts w:asciiTheme="minorHAnsi" w:eastAsiaTheme="minorEastAsia" w:hAnsiTheme="minorHAnsi" w:cstheme="minorBidi"/>
                <w:noProof/>
                <w:sz w:val="22"/>
                <w:szCs w:val="22"/>
                <w:lang w:bidi="ar-SA"/>
              </w:rPr>
              <w:tab/>
            </w:r>
            <w:r w:rsidR="00955942" w:rsidRPr="006200B8">
              <w:rPr>
                <w:rStyle w:val="Hyperlink"/>
                <w:b/>
                <w:noProof/>
              </w:rPr>
              <w:t>Cita informācija</w:t>
            </w:r>
            <w:r w:rsidR="00955942">
              <w:rPr>
                <w:noProof/>
                <w:webHidden/>
              </w:rPr>
              <w:tab/>
            </w:r>
            <w:r w:rsidR="00955942">
              <w:rPr>
                <w:noProof/>
                <w:webHidden/>
              </w:rPr>
              <w:fldChar w:fldCharType="begin"/>
            </w:r>
            <w:r w:rsidR="00955942">
              <w:rPr>
                <w:noProof/>
                <w:webHidden/>
              </w:rPr>
              <w:instrText xml:space="preserve"> PAGEREF _Toc70410839 \h </w:instrText>
            </w:r>
            <w:r w:rsidR="00955942">
              <w:rPr>
                <w:noProof/>
                <w:webHidden/>
              </w:rPr>
            </w:r>
            <w:r w:rsidR="00955942">
              <w:rPr>
                <w:noProof/>
                <w:webHidden/>
              </w:rPr>
              <w:fldChar w:fldCharType="separate"/>
            </w:r>
            <w:r w:rsidR="00955942">
              <w:rPr>
                <w:noProof/>
                <w:webHidden/>
              </w:rPr>
              <w:t>10</w:t>
            </w:r>
            <w:r w:rsidR="00955942">
              <w:rPr>
                <w:noProof/>
                <w:webHidden/>
              </w:rPr>
              <w:fldChar w:fldCharType="end"/>
            </w:r>
          </w:hyperlink>
        </w:p>
        <w:p w14:paraId="2DE55A50" w14:textId="77777777" w:rsidR="00955942" w:rsidRDefault="00CA77B2">
          <w:pPr>
            <w:pStyle w:val="TOC1"/>
            <w:rPr>
              <w:rFonts w:asciiTheme="minorHAnsi" w:eastAsiaTheme="minorEastAsia" w:hAnsiTheme="minorHAnsi" w:cstheme="minorBidi"/>
              <w:noProof/>
              <w:sz w:val="22"/>
              <w:szCs w:val="22"/>
              <w:lang w:bidi="ar-SA"/>
            </w:rPr>
          </w:pPr>
          <w:hyperlink w:anchor="_Toc70410840" w:history="1">
            <w:r w:rsidR="00955942" w:rsidRPr="006200B8">
              <w:rPr>
                <w:rStyle w:val="Hyperlink"/>
                <w:b/>
                <w:noProof/>
              </w:rPr>
              <w:t>2.</w:t>
            </w:r>
            <w:r w:rsidR="00955942">
              <w:rPr>
                <w:rFonts w:asciiTheme="minorHAnsi" w:eastAsiaTheme="minorEastAsia" w:hAnsiTheme="minorHAnsi" w:cstheme="minorBidi"/>
                <w:noProof/>
                <w:sz w:val="22"/>
                <w:szCs w:val="22"/>
                <w:lang w:bidi="ar-SA"/>
              </w:rPr>
              <w:tab/>
            </w:r>
            <w:r w:rsidR="00955942" w:rsidRPr="006200B8">
              <w:rPr>
                <w:rStyle w:val="Hyperlink"/>
                <w:b/>
                <w:noProof/>
              </w:rPr>
              <w:t>Programmas mērķis</w:t>
            </w:r>
            <w:r w:rsidR="00955942">
              <w:rPr>
                <w:noProof/>
                <w:webHidden/>
              </w:rPr>
              <w:tab/>
            </w:r>
            <w:r w:rsidR="00955942">
              <w:rPr>
                <w:noProof/>
                <w:webHidden/>
              </w:rPr>
              <w:fldChar w:fldCharType="begin"/>
            </w:r>
            <w:r w:rsidR="00955942">
              <w:rPr>
                <w:noProof/>
                <w:webHidden/>
              </w:rPr>
              <w:instrText xml:space="preserve"> PAGEREF _Toc70410840 \h </w:instrText>
            </w:r>
            <w:r w:rsidR="00955942">
              <w:rPr>
                <w:noProof/>
                <w:webHidden/>
              </w:rPr>
            </w:r>
            <w:r w:rsidR="00955942">
              <w:rPr>
                <w:noProof/>
                <w:webHidden/>
              </w:rPr>
              <w:fldChar w:fldCharType="separate"/>
            </w:r>
            <w:r w:rsidR="00955942">
              <w:rPr>
                <w:noProof/>
                <w:webHidden/>
              </w:rPr>
              <w:t>10</w:t>
            </w:r>
            <w:r w:rsidR="00955942">
              <w:rPr>
                <w:noProof/>
                <w:webHidden/>
              </w:rPr>
              <w:fldChar w:fldCharType="end"/>
            </w:r>
          </w:hyperlink>
        </w:p>
        <w:p w14:paraId="52C6884D" w14:textId="77777777" w:rsidR="00955942" w:rsidRDefault="00CA77B2">
          <w:pPr>
            <w:pStyle w:val="TOC1"/>
            <w:rPr>
              <w:rFonts w:asciiTheme="minorHAnsi" w:eastAsiaTheme="minorEastAsia" w:hAnsiTheme="minorHAnsi" w:cstheme="minorBidi"/>
              <w:noProof/>
              <w:sz w:val="22"/>
              <w:szCs w:val="22"/>
              <w:lang w:bidi="ar-SA"/>
            </w:rPr>
          </w:pPr>
          <w:hyperlink w:anchor="_Toc70410841" w:history="1">
            <w:r w:rsidR="00955942" w:rsidRPr="006200B8">
              <w:rPr>
                <w:rStyle w:val="Hyperlink"/>
                <w:b/>
                <w:noProof/>
              </w:rPr>
              <w:t>3.</w:t>
            </w:r>
            <w:r w:rsidR="00955942">
              <w:rPr>
                <w:rFonts w:asciiTheme="minorHAnsi" w:eastAsiaTheme="minorEastAsia" w:hAnsiTheme="minorHAnsi" w:cstheme="minorBidi"/>
                <w:noProof/>
                <w:sz w:val="22"/>
                <w:szCs w:val="22"/>
                <w:lang w:bidi="ar-SA"/>
              </w:rPr>
              <w:tab/>
            </w:r>
            <w:r w:rsidR="00955942" w:rsidRPr="006200B8">
              <w:rPr>
                <w:rStyle w:val="Hyperlink"/>
                <w:rFonts w:eastAsia="Times New Roman"/>
                <w:b/>
                <w:noProof/>
              </w:rPr>
              <w:t>Atbalsta veidi</w:t>
            </w:r>
            <w:r w:rsidR="00955942">
              <w:rPr>
                <w:noProof/>
                <w:webHidden/>
              </w:rPr>
              <w:tab/>
            </w:r>
            <w:r w:rsidR="00955942">
              <w:rPr>
                <w:noProof/>
                <w:webHidden/>
              </w:rPr>
              <w:fldChar w:fldCharType="begin"/>
            </w:r>
            <w:r w:rsidR="00955942">
              <w:rPr>
                <w:noProof/>
                <w:webHidden/>
              </w:rPr>
              <w:instrText xml:space="preserve"> PAGEREF _Toc70410841 \h </w:instrText>
            </w:r>
            <w:r w:rsidR="00955942">
              <w:rPr>
                <w:noProof/>
                <w:webHidden/>
              </w:rPr>
            </w:r>
            <w:r w:rsidR="00955942">
              <w:rPr>
                <w:noProof/>
                <w:webHidden/>
              </w:rPr>
              <w:fldChar w:fldCharType="separate"/>
            </w:r>
            <w:r w:rsidR="00955942">
              <w:rPr>
                <w:noProof/>
                <w:webHidden/>
              </w:rPr>
              <w:t>11</w:t>
            </w:r>
            <w:r w:rsidR="00955942">
              <w:rPr>
                <w:noProof/>
                <w:webHidden/>
              </w:rPr>
              <w:fldChar w:fldCharType="end"/>
            </w:r>
          </w:hyperlink>
        </w:p>
        <w:p w14:paraId="2567D8A0" w14:textId="77777777" w:rsidR="00955942" w:rsidRDefault="00CA77B2">
          <w:pPr>
            <w:pStyle w:val="TOC1"/>
            <w:rPr>
              <w:rFonts w:asciiTheme="minorHAnsi" w:eastAsiaTheme="minorEastAsia" w:hAnsiTheme="minorHAnsi" w:cstheme="minorBidi"/>
              <w:noProof/>
              <w:sz w:val="22"/>
              <w:szCs w:val="22"/>
              <w:lang w:bidi="ar-SA"/>
            </w:rPr>
          </w:pPr>
          <w:hyperlink w:anchor="_Toc70410842" w:history="1">
            <w:r w:rsidR="00955942" w:rsidRPr="006200B8">
              <w:rPr>
                <w:rStyle w:val="Hyperlink"/>
                <w:b/>
                <w:noProof/>
              </w:rPr>
              <w:t>4.</w:t>
            </w:r>
            <w:r w:rsidR="00955942">
              <w:rPr>
                <w:rFonts w:asciiTheme="minorHAnsi" w:eastAsiaTheme="minorEastAsia" w:hAnsiTheme="minorHAnsi" w:cstheme="minorBidi"/>
                <w:noProof/>
                <w:sz w:val="22"/>
                <w:szCs w:val="22"/>
                <w:lang w:bidi="ar-SA"/>
              </w:rPr>
              <w:tab/>
            </w:r>
            <w:r w:rsidR="00955942" w:rsidRPr="006200B8">
              <w:rPr>
                <w:rStyle w:val="Hyperlink"/>
                <w:b/>
                <w:noProof/>
              </w:rPr>
              <w:t>Galvenās mērķgrupas</w:t>
            </w:r>
            <w:r w:rsidR="00955942">
              <w:rPr>
                <w:noProof/>
                <w:webHidden/>
              </w:rPr>
              <w:tab/>
            </w:r>
            <w:r w:rsidR="00955942">
              <w:rPr>
                <w:noProof/>
                <w:webHidden/>
              </w:rPr>
              <w:fldChar w:fldCharType="begin"/>
            </w:r>
            <w:r w:rsidR="00955942">
              <w:rPr>
                <w:noProof/>
                <w:webHidden/>
              </w:rPr>
              <w:instrText xml:space="preserve"> PAGEREF _Toc70410842 \h </w:instrText>
            </w:r>
            <w:r w:rsidR="00955942">
              <w:rPr>
                <w:noProof/>
                <w:webHidden/>
              </w:rPr>
            </w:r>
            <w:r w:rsidR="00955942">
              <w:rPr>
                <w:noProof/>
                <w:webHidden/>
              </w:rPr>
              <w:fldChar w:fldCharType="separate"/>
            </w:r>
            <w:r w:rsidR="00955942">
              <w:rPr>
                <w:noProof/>
                <w:webHidden/>
              </w:rPr>
              <w:t>11</w:t>
            </w:r>
            <w:r w:rsidR="00955942">
              <w:rPr>
                <w:noProof/>
                <w:webHidden/>
              </w:rPr>
              <w:fldChar w:fldCharType="end"/>
            </w:r>
          </w:hyperlink>
        </w:p>
        <w:p w14:paraId="1BEE461F" w14:textId="77777777" w:rsidR="00955942" w:rsidRDefault="00CA77B2">
          <w:pPr>
            <w:pStyle w:val="TOC1"/>
            <w:rPr>
              <w:rFonts w:asciiTheme="minorHAnsi" w:eastAsiaTheme="minorEastAsia" w:hAnsiTheme="minorHAnsi" w:cstheme="minorBidi"/>
              <w:noProof/>
              <w:sz w:val="22"/>
              <w:szCs w:val="22"/>
              <w:lang w:bidi="ar-SA"/>
            </w:rPr>
          </w:pPr>
          <w:hyperlink w:anchor="_Toc70410843" w:history="1">
            <w:r w:rsidR="00955942" w:rsidRPr="006200B8">
              <w:rPr>
                <w:rStyle w:val="Hyperlink"/>
                <w:b/>
                <w:noProof/>
              </w:rPr>
              <w:t>5.</w:t>
            </w:r>
            <w:r w:rsidR="00955942">
              <w:rPr>
                <w:rFonts w:asciiTheme="minorHAnsi" w:eastAsiaTheme="minorEastAsia" w:hAnsiTheme="minorHAnsi" w:cstheme="minorBidi"/>
                <w:noProof/>
                <w:sz w:val="22"/>
                <w:szCs w:val="22"/>
                <w:lang w:bidi="ar-SA"/>
              </w:rPr>
              <w:tab/>
            </w:r>
            <w:r w:rsidR="00955942" w:rsidRPr="006200B8">
              <w:rPr>
                <w:rStyle w:val="Hyperlink"/>
                <w:rFonts w:eastAsia="Times New Roman"/>
                <w:b/>
                <w:noProof/>
              </w:rPr>
              <w:t>Valsts un reģionālo atbalsta shēmu atšifrējums</w:t>
            </w:r>
            <w:r w:rsidR="00955942">
              <w:rPr>
                <w:noProof/>
                <w:webHidden/>
              </w:rPr>
              <w:tab/>
            </w:r>
            <w:r w:rsidR="00955942">
              <w:rPr>
                <w:noProof/>
                <w:webHidden/>
              </w:rPr>
              <w:fldChar w:fldCharType="begin"/>
            </w:r>
            <w:r w:rsidR="00955942">
              <w:rPr>
                <w:noProof/>
                <w:webHidden/>
              </w:rPr>
              <w:instrText xml:space="preserve"> PAGEREF _Toc70410843 \h </w:instrText>
            </w:r>
            <w:r w:rsidR="00955942">
              <w:rPr>
                <w:noProof/>
                <w:webHidden/>
              </w:rPr>
            </w:r>
            <w:r w:rsidR="00955942">
              <w:rPr>
                <w:noProof/>
                <w:webHidden/>
              </w:rPr>
              <w:fldChar w:fldCharType="separate"/>
            </w:r>
            <w:r w:rsidR="00955942">
              <w:rPr>
                <w:noProof/>
                <w:webHidden/>
              </w:rPr>
              <w:t>12</w:t>
            </w:r>
            <w:r w:rsidR="00955942">
              <w:rPr>
                <w:noProof/>
                <w:webHidden/>
              </w:rPr>
              <w:fldChar w:fldCharType="end"/>
            </w:r>
          </w:hyperlink>
        </w:p>
        <w:p w14:paraId="1F04DE7E" w14:textId="77777777" w:rsidR="00955942" w:rsidRDefault="00CA77B2">
          <w:pPr>
            <w:pStyle w:val="TOC1"/>
            <w:rPr>
              <w:rFonts w:asciiTheme="minorHAnsi" w:eastAsiaTheme="minorEastAsia" w:hAnsiTheme="minorHAnsi" w:cstheme="minorBidi"/>
              <w:noProof/>
              <w:sz w:val="22"/>
              <w:szCs w:val="22"/>
              <w:lang w:bidi="ar-SA"/>
            </w:rPr>
          </w:pPr>
          <w:hyperlink w:anchor="_Toc70410844" w:history="1">
            <w:r w:rsidR="00955942" w:rsidRPr="006200B8">
              <w:rPr>
                <w:rStyle w:val="Hyperlink"/>
                <w:b/>
                <w:noProof/>
              </w:rPr>
              <w:t>6.</w:t>
            </w:r>
            <w:r w:rsidR="00955942">
              <w:rPr>
                <w:rFonts w:asciiTheme="minorHAnsi" w:eastAsiaTheme="minorEastAsia" w:hAnsiTheme="minorHAnsi" w:cstheme="minorBidi"/>
                <w:noProof/>
                <w:sz w:val="22"/>
                <w:szCs w:val="22"/>
                <w:lang w:bidi="ar-SA"/>
              </w:rPr>
              <w:tab/>
            </w:r>
            <w:r w:rsidR="00955942" w:rsidRPr="006200B8">
              <w:rPr>
                <w:rStyle w:val="Hyperlink"/>
                <w:b/>
                <w:noProof/>
              </w:rPr>
              <w:t>Darbību atlases kritēriji</w:t>
            </w:r>
            <w:r w:rsidR="00955942">
              <w:rPr>
                <w:noProof/>
                <w:webHidden/>
              </w:rPr>
              <w:tab/>
            </w:r>
            <w:r w:rsidR="00955942">
              <w:rPr>
                <w:noProof/>
                <w:webHidden/>
              </w:rPr>
              <w:fldChar w:fldCharType="begin"/>
            </w:r>
            <w:r w:rsidR="00955942">
              <w:rPr>
                <w:noProof/>
                <w:webHidden/>
              </w:rPr>
              <w:instrText xml:space="preserve"> PAGEREF _Toc70410844 \h </w:instrText>
            </w:r>
            <w:r w:rsidR="00955942">
              <w:rPr>
                <w:noProof/>
                <w:webHidden/>
              </w:rPr>
            </w:r>
            <w:r w:rsidR="00955942">
              <w:rPr>
                <w:noProof/>
                <w:webHidden/>
              </w:rPr>
              <w:fldChar w:fldCharType="separate"/>
            </w:r>
            <w:r w:rsidR="00955942">
              <w:rPr>
                <w:noProof/>
                <w:webHidden/>
              </w:rPr>
              <w:t>13</w:t>
            </w:r>
            <w:r w:rsidR="00955942">
              <w:rPr>
                <w:noProof/>
                <w:webHidden/>
              </w:rPr>
              <w:fldChar w:fldCharType="end"/>
            </w:r>
          </w:hyperlink>
        </w:p>
        <w:p w14:paraId="18D84957" w14:textId="77777777" w:rsidR="00955942" w:rsidRDefault="00CA77B2">
          <w:pPr>
            <w:pStyle w:val="TOC1"/>
            <w:rPr>
              <w:rFonts w:asciiTheme="minorHAnsi" w:eastAsiaTheme="minorEastAsia" w:hAnsiTheme="minorHAnsi" w:cstheme="minorBidi"/>
              <w:noProof/>
              <w:sz w:val="22"/>
              <w:szCs w:val="22"/>
              <w:lang w:bidi="ar-SA"/>
            </w:rPr>
          </w:pPr>
          <w:hyperlink w:anchor="_Toc70410845" w:history="1">
            <w:r w:rsidR="00955942" w:rsidRPr="006200B8">
              <w:rPr>
                <w:rStyle w:val="Hyperlink"/>
                <w:b/>
                <w:noProof/>
              </w:rPr>
              <w:t>7.</w:t>
            </w:r>
            <w:r w:rsidR="00955942">
              <w:rPr>
                <w:rFonts w:asciiTheme="minorHAnsi" w:eastAsiaTheme="minorEastAsia" w:hAnsiTheme="minorHAnsi" w:cstheme="minorBidi"/>
                <w:noProof/>
                <w:sz w:val="22"/>
                <w:szCs w:val="22"/>
                <w:lang w:bidi="ar-SA"/>
              </w:rPr>
              <w:tab/>
            </w:r>
            <w:r w:rsidR="00955942" w:rsidRPr="006200B8">
              <w:rPr>
                <w:rStyle w:val="Hyperlink"/>
                <w:b/>
                <w:noProof/>
              </w:rPr>
              <w:t>Tehniskā palīdzība</w:t>
            </w:r>
            <w:r w:rsidR="00955942">
              <w:rPr>
                <w:noProof/>
                <w:webHidden/>
              </w:rPr>
              <w:tab/>
            </w:r>
            <w:r w:rsidR="00955942">
              <w:rPr>
                <w:noProof/>
                <w:webHidden/>
              </w:rPr>
              <w:fldChar w:fldCharType="begin"/>
            </w:r>
            <w:r w:rsidR="00955942">
              <w:rPr>
                <w:noProof/>
                <w:webHidden/>
              </w:rPr>
              <w:instrText xml:space="preserve"> PAGEREF _Toc70410845 \h </w:instrText>
            </w:r>
            <w:r w:rsidR="00955942">
              <w:rPr>
                <w:noProof/>
                <w:webHidden/>
              </w:rPr>
            </w:r>
            <w:r w:rsidR="00955942">
              <w:rPr>
                <w:noProof/>
                <w:webHidden/>
              </w:rPr>
              <w:fldChar w:fldCharType="separate"/>
            </w:r>
            <w:r w:rsidR="00955942">
              <w:rPr>
                <w:noProof/>
                <w:webHidden/>
              </w:rPr>
              <w:t>14</w:t>
            </w:r>
            <w:r w:rsidR="00955942">
              <w:rPr>
                <w:noProof/>
                <w:webHidden/>
              </w:rPr>
              <w:fldChar w:fldCharType="end"/>
            </w:r>
          </w:hyperlink>
        </w:p>
        <w:p w14:paraId="3C823F9C" w14:textId="77777777" w:rsidR="00955942" w:rsidRDefault="00CA77B2">
          <w:pPr>
            <w:pStyle w:val="TOC1"/>
            <w:rPr>
              <w:rFonts w:asciiTheme="minorHAnsi" w:eastAsiaTheme="minorEastAsia" w:hAnsiTheme="minorHAnsi" w:cstheme="minorBidi"/>
              <w:noProof/>
              <w:sz w:val="22"/>
              <w:szCs w:val="22"/>
              <w:lang w:bidi="ar-SA"/>
            </w:rPr>
          </w:pPr>
          <w:hyperlink w:anchor="_Toc70410846" w:history="1">
            <w:r w:rsidR="00955942" w:rsidRPr="006200B8">
              <w:rPr>
                <w:rStyle w:val="Hyperlink"/>
                <w:b/>
                <w:noProof/>
              </w:rPr>
              <w:t>8.</w:t>
            </w:r>
            <w:r w:rsidR="00955942">
              <w:rPr>
                <w:rFonts w:asciiTheme="minorHAnsi" w:eastAsiaTheme="minorEastAsia" w:hAnsiTheme="minorHAnsi" w:cstheme="minorBidi"/>
                <w:noProof/>
                <w:sz w:val="22"/>
                <w:szCs w:val="22"/>
                <w:lang w:bidi="ar-SA"/>
              </w:rPr>
              <w:tab/>
            </w:r>
            <w:r w:rsidR="00955942" w:rsidRPr="006200B8">
              <w:rPr>
                <w:rStyle w:val="Hyperlink"/>
                <w:b/>
                <w:noProof/>
              </w:rPr>
              <w:t>Partnerība</w:t>
            </w:r>
            <w:r w:rsidR="00955942">
              <w:rPr>
                <w:noProof/>
                <w:webHidden/>
              </w:rPr>
              <w:tab/>
            </w:r>
            <w:r w:rsidR="00955942">
              <w:rPr>
                <w:noProof/>
                <w:webHidden/>
              </w:rPr>
              <w:fldChar w:fldCharType="begin"/>
            </w:r>
            <w:r w:rsidR="00955942">
              <w:rPr>
                <w:noProof/>
                <w:webHidden/>
              </w:rPr>
              <w:instrText xml:space="preserve"> PAGEREF _Toc70410846 \h </w:instrText>
            </w:r>
            <w:r w:rsidR="00955942">
              <w:rPr>
                <w:noProof/>
                <w:webHidden/>
              </w:rPr>
            </w:r>
            <w:r w:rsidR="00955942">
              <w:rPr>
                <w:noProof/>
                <w:webHidden/>
              </w:rPr>
              <w:fldChar w:fldCharType="separate"/>
            </w:r>
            <w:r w:rsidR="00955942">
              <w:rPr>
                <w:noProof/>
                <w:webHidden/>
              </w:rPr>
              <w:t>15</w:t>
            </w:r>
            <w:r w:rsidR="00955942">
              <w:rPr>
                <w:noProof/>
                <w:webHidden/>
              </w:rPr>
              <w:fldChar w:fldCharType="end"/>
            </w:r>
          </w:hyperlink>
        </w:p>
        <w:p w14:paraId="6BCF1591" w14:textId="77777777" w:rsidR="00955942" w:rsidRDefault="00CA77B2">
          <w:pPr>
            <w:pStyle w:val="TOC1"/>
            <w:rPr>
              <w:rFonts w:asciiTheme="minorHAnsi" w:eastAsiaTheme="minorEastAsia" w:hAnsiTheme="minorHAnsi" w:cstheme="minorBidi"/>
              <w:noProof/>
              <w:sz w:val="22"/>
              <w:szCs w:val="22"/>
              <w:lang w:bidi="ar-SA"/>
            </w:rPr>
          </w:pPr>
          <w:hyperlink w:anchor="_Toc70410847" w:history="1">
            <w:r w:rsidR="00955942" w:rsidRPr="006200B8">
              <w:rPr>
                <w:rStyle w:val="Hyperlink"/>
                <w:b/>
                <w:noProof/>
              </w:rPr>
              <w:t>9.</w:t>
            </w:r>
            <w:r w:rsidR="00955942">
              <w:rPr>
                <w:rFonts w:asciiTheme="minorHAnsi" w:eastAsiaTheme="minorEastAsia" w:hAnsiTheme="minorHAnsi" w:cstheme="minorBidi"/>
                <w:noProof/>
                <w:sz w:val="22"/>
                <w:szCs w:val="22"/>
                <w:lang w:bidi="ar-SA"/>
              </w:rPr>
              <w:tab/>
            </w:r>
            <w:r w:rsidR="00955942" w:rsidRPr="006200B8">
              <w:rPr>
                <w:rStyle w:val="Hyperlink"/>
                <w:b/>
                <w:noProof/>
              </w:rPr>
              <w:t>Komunikācija un redzamība</w:t>
            </w:r>
            <w:r w:rsidR="00955942">
              <w:rPr>
                <w:noProof/>
                <w:webHidden/>
              </w:rPr>
              <w:tab/>
            </w:r>
            <w:r w:rsidR="00955942">
              <w:rPr>
                <w:noProof/>
                <w:webHidden/>
              </w:rPr>
              <w:fldChar w:fldCharType="begin"/>
            </w:r>
            <w:r w:rsidR="00955942">
              <w:rPr>
                <w:noProof/>
                <w:webHidden/>
              </w:rPr>
              <w:instrText xml:space="preserve"> PAGEREF _Toc70410847 \h </w:instrText>
            </w:r>
            <w:r w:rsidR="00955942">
              <w:rPr>
                <w:noProof/>
                <w:webHidden/>
              </w:rPr>
            </w:r>
            <w:r w:rsidR="00955942">
              <w:rPr>
                <w:noProof/>
                <w:webHidden/>
              </w:rPr>
              <w:fldChar w:fldCharType="separate"/>
            </w:r>
            <w:r w:rsidR="00955942">
              <w:rPr>
                <w:noProof/>
                <w:webHidden/>
              </w:rPr>
              <w:t>16</w:t>
            </w:r>
            <w:r w:rsidR="00955942">
              <w:rPr>
                <w:noProof/>
                <w:webHidden/>
              </w:rPr>
              <w:fldChar w:fldCharType="end"/>
            </w:r>
          </w:hyperlink>
        </w:p>
        <w:p w14:paraId="027B49F9" w14:textId="77777777" w:rsidR="00955942" w:rsidRDefault="00CA77B2">
          <w:pPr>
            <w:pStyle w:val="TOC1"/>
            <w:rPr>
              <w:rFonts w:asciiTheme="minorHAnsi" w:eastAsiaTheme="minorEastAsia" w:hAnsiTheme="minorHAnsi" w:cstheme="minorBidi"/>
              <w:noProof/>
              <w:sz w:val="22"/>
              <w:szCs w:val="22"/>
              <w:lang w:bidi="ar-SA"/>
            </w:rPr>
          </w:pPr>
          <w:hyperlink w:anchor="_Toc70410848" w:history="1">
            <w:r w:rsidR="00955942" w:rsidRPr="006200B8">
              <w:rPr>
                <w:rStyle w:val="Hyperlink"/>
                <w:b/>
                <w:noProof/>
              </w:rPr>
              <w:t>10.</w:t>
            </w:r>
            <w:r w:rsidR="00955942">
              <w:rPr>
                <w:rFonts w:asciiTheme="minorHAnsi" w:eastAsiaTheme="minorEastAsia" w:hAnsiTheme="minorHAnsi" w:cstheme="minorBidi"/>
                <w:noProof/>
                <w:sz w:val="22"/>
                <w:szCs w:val="22"/>
                <w:lang w:bidi="ar-SA"/>
              </w:rPr>
              <w:tab/>
            </w:r>
            <w:r w:rsidR="00955942" w:rsidRPr="006200B8">
              <w:rPr>
                <w:rStyle w:val="Hyperlink"/>
                <w:b/>
                <w:noProof/>
              </w:rPr>
              <w:t>Finanšu plāns</w:t>
            </w:r>
            <w:r w:rsidR="00955942">
              <w:rPr>
                <w:noProof/>
                <w:webHidden/>
              </w:rPr>
              <w:tab/>
            </w:r>
            <w:r w:rsidR="00955942">
              <w:rPr>
                <w:noProof/>
                <w:webHidden/>
              </w:rPr>
              <w:fldChar w:fldCharType="begin"/>
            </w:r>
            <w:r w:rsidR="00955942">
              <w:rPr>
                <w:noProof/>
                <w:webHidden/>
              </w:rPr>
              <w:instrText xml:space="preserve"> PAGEREF _Toc70410848 \h </w:instrText>
            </w:r>
            <w:r w:rsidR="00955942">
              <w:rPr>
                <w:noProof/>
                <w:webHidden/>
              </w:rPr>
            </w:r>
            <w:r w:rsidR="00955942">
              <w:rPr>
                <w:noProof/>
                <w:webHidden/>
              </w:rPr>
              <w:fldChar w:fldCharType="separate"/>
            </w:r>
            <w:r w:rsidR="00955942">
              <w:rPr>
                <w:noProof/>
                <w:webHidden/>
              </w:rPr>
              <w:t>18</w:t>
            </w:r>
            <w:r w:rsidR="00955942">
              <w:rPr>
                <w:noProof/>
                <w:webHidden/>
              </w:rPr>
              <w:fldChar w:fldCharType="end"/>
            </w:r>
          </w:hyperlink>
        </w:p>
        <w:p w14:paraId="4ED19752" w14:textId="77777777" w:rsidR="00955942" w:rsidRDefault="00CA77B2">
          <w:pPr>
            <w:pStyle w:val="TOC2"/>
            <w:tabs>
              <w:tab w:val="left" w:pos="1100"/>
              <w:tab w:val="right" w:leader="dot" w:pos="8919"/>
            </w:tabs>
            <w:rPr>
              <w:rFonts w:asciiTheme="minorHAnsi" w:eastAsiaTheme="minorEastAsia" w:hAnsiTheme="minorHAnsi" w:cstheme="minorBidi"/>
              <w:noProof/>
              <w:sz w:val="22"/>
              <w:szCs w:val="22"/>
              <w:lang w:bidi="ar-SA"/>
            </w:rPr>
          </w:pPr>
          <w:hyperlink w:anchor="_Toc70410849" w:history="1">
            <w:r w:rsidR="00955942" w:rsidRPr="006200B8">
              <w:rPr>
                <w:rStyle w:val="Hyperlink"/>
                <w:rFonts w:eastAsia="Times New Roman"/>
                <w:b/>
                <w:noProof/>
              </w:rPr>
              <w:t>10.1.</w:t>
            </w:r>
            <w:r w:rsidR="00955942">
              <w:rPr>
                <w:rFonts w:asciiTheme="minorHAnsi" w:eastAsiaTheme="minorEastAsia" w:hAnsiTheme="minorHAnsi" w:cstheme="minorBidi"/>
                <w:noProof/>
                <w:sz w:val="22"/>
                <w:szCs w:val="22"/>
                <w:lang w:bidi="ar-SA"/>
              </w:rPr>
              <w:tab/>
            </w:r>
            <w:r w:rsidR="00955942" w:rsidRPr="006200B8">
              <w:rPr>
                <w:rStyle w:val="Hyperlink"/>
                <w:rFonts w:eastAsia="Times New Roman"/>
                <w:b/>
                <w:noProof/>
              </w:rPr>
              <w:t>Finanšu apropriācijas pa gadiem</w:t>
            </w:r>
            <w:r w:rsidR="00955942">
              <w:rPr>
                <w:noProof/>
                <w:webHidden/>
              </w:rPr>
              <w:tab/>
            </w:r>
            <w:r w:rsidR="00955942">
              <w:rPr>
                <w:noProof/>
                <w:webHidden/>
              </w:rPr>
              <w:fldChar w:fldCharType="begin"/>
            </w:r>
            <w:r w:rsidR="00955942">
              <w:rPr>
                <w:noProof/>
                <w:webHidden/>
              </w:rPr>
              <w:instrText xml:space="preserve"> PAGEREF _Toc70410849 \h </w:instrText>
            </w:r>
            <w:r w:rsidR="00955942">
              <w:rPr>
                <w:noProof/>
                <w:webHidden/>
              </w:rPr>
            </w:r>
            <w:r w:rsidR="00955942">
              <w:rPr>
                <w:noProof/>
                <w:webHidden/>
              </w:rPr>
              <w:fldChar w:fldCharType="separate"/>
            </w:r>
            <w:r w:rsidR="00955942">
              <w:rPr>
                <w:noProof/>
                <w:webHidden/>
              </w:rPr>
              <w:t>18</w:t>
            </w:r>
            <w:r w:rsidR="00955942">
              <w:rPr>
                <w:noProof/>
                <w:webHidden/>
              </w:rPr>
              <w:fldChar w:fldCharType="end"/>
            </w:r>
          </w:hyperlink>
        </w:p>
        <w:p w14:paraId="59A6F1AB" w14:textId="77777777" w:rsidR="00955942" w:rsidRDefault="00CA77B2">
          <w:pPr>
            <w:pStyle w:val="TOC2"/>
            <w:tabs>
              <w:tab w:val="left" w:pos="1100"/>
              <w:tab w:val="right" w:leader="dot" w:pos="8919"/>
            </w:tabs>
            <w:rPr>
              <w:rFonts w:asciiTheme="minorHAnsi" w:eastAsiaTheme="minorEastAsia" w:hAnsiTheme="minorHAnsi" w:cstheme="minorBidi"/>
              <w:noProof/>
              <w:sz w:val="22"/>
              <w:szCs w:val="22"/>
              <w:lang w:bidi="ar-SA"/>
            </w:rPr>
          </w:pPr>
          <w:hyperlink w:anchor="_Toc70410850" w:history="1">
            <w:r w:rsidR="00955942" w:rsidRPr="006200B8">
              <w:rPr>
                <w:rStyle w:val="Hyperlink"/>
                <w:rFonts w:eastAsia="Times New Roman"/>
                <w:b/>
                <w:noProof/>
              </w:rPr>
              <w:t>10.2.</w:t>
            </w:r>
            <w:r w:rsidR="00955942">
              <w:rPr>
                <w:rFonts w:asciiTheme="minorHAnsi" w:eastAsiaTheme="minorEastAsia" w:hAnsiTheme="minorHAnsi" w:cstheme="minorBidi"/>
                <w:noProof/>
                <w:sz w:val="22"/>
                <w:szCs w:val="22"/>
                <w:lang w:bidi="ar-SA"/>
              </w:rPr>
              <w:tab/>
            </w:r>
            <w:r w:rsidR="00955942" w:rsidRPr="006200B8">
              <w:rPr>
                <w:rStyle w:val="Hyperlink"/>
                <w:rFonts w:eastAsia="Times New Roman"/>
                <w:b/>
                <w:noProof/>
              </w:rPr>
              <w:t>Kopējā finanšu apropriācija pa fondiem un valsts līdzfinansējumu</w:t>
            </w:r>
            <w:r w:rsidR="00955942">
              <w:rPr>
                <w:noProof/>
                <w:webHidden/>
              </w:rPr>
              <w:tab/>
            </w:r>
            <w:r w:rsidR="00955942">
              <w:rPr>
                <w:noProof/>
                <w:webHidden/>
              </w:rPr>
              <w:fldChar w:fldCharType="begin"/>
            </w:r>
            <w:r w:rsidR="00955942">
              <w:rPr>
                <w:noProof/>
                <w:webHidden/>
              </w:rPr>
              <w:instrText xml:space="preserve"> PAGEREF _Toc70410850 \h </w:instrText>
            </w:r>
            <w:r w:rsidR="00955942">
              <w:rPr>
                <w:noProof/>
                <w:webHidden/>
              </w:rPr>
            </w:r>
            <w:r w:rsidR="00955942">
              <w:rPr>
                <w:noProof/>
                <w:webHidden/>
              </w:rPr>
              <w:fldChar w:fldCharType="separate"/>
            </w:r>
            <w:r w:rsidR="00955942">
              <w:rPr>
                <w:noProof/>
                <w:webHidden/>
              </w:rPr>
              <w:t>18</w:t>
            </w:r>
            <w:r w:rsidR="00955942">
              <w:rPr>
                <w:noProof/>
                <w:webHidden/>
              </w:rPr>
              <w:fldChar w:fldCharType="end"/>
            </w:r>
          </w:hyperlink>
        </w:p>
        <w:p w14:paraId="74920589" w14:textId="77777777" w:rsidR="00955942" w:rsidRDefault="00CA77B2">
          <w:pPr>
            <w:pStyle w:val="TOC1"/>
            <w:rPr>
              <w:rFonts w:asciiTheme="minorHAnsi" w:eastAsiaTheme="minorEastAsia" w:hAnsiTheme="minorHAnsi" w:cstheme="minorBidi"/>
              <w:noProof/>
              <w:sz w:val="22"/>
              <w:szCs w:val="22"/>
              <w:lang w:bidi="ar-SA"/>
            </w:rPr>
          </w:pPr>
          <w:hyperlink w:anchor="_Toc70410851" w:history="1">
            <w:r w:rsidR="00955942" w:rsidRPr="006200B8">
              <w:rPr>
                <w:rStyle w:val="Hyperlink"/>
                <w:b/>
                <w:noProof/>
              </w:rPr>
              <w:t>11.</w:t>
            </w:r>
            <w:r w:rsidR="00955942">
              <w:rPr>
                <w:rFonts w:asciiTheme="minorHAnsi" w:eastAsiaTheme="minorEastAsia" w:hAnsiTheme="minorHAnsi" w:cstheme="minorBidi"/>
                <w:noProof/>
                <w:sz w:val="22"/>
                <w:szCs w:val="22"/>
                <w:lang w:bidi="ar-SA"/>
              </w:rPr>
              <w:tab/>
            </w:r>
            <w:r w:rsidR="00955942" w:rsidRPr="006200B8">
              <w:rPr>
                <w:rStyle w:val="Hyperlink"/>
                <w:b/>
                <w:noProof/>
              </w:rPr>
              <w:t>Programmā iesaistītās iestādes</w:t>
            </w:r>
            <w:r w:rsidR="00955942">
              <w:rPr>
                <w:noProof/>
                <w:webHidden/>
              </w:rPr>
              <w:tab/>
            </w:r>
            <w:r w:rsidR="00955942">
              <w:rPr>
                <w:noProof/>
                <w:webHidden/>
              </w:rPr>
              <w:fldChar w:fldCharType="begin"/>
            </w:r>
            <w:r w:rsidR="00955942">
              <w:rPr>
                <w:noProof/>
                <w:webHidden/>
              </w:rPr>
              <w:instrText xml:space="preserve"> PAGEREF _Toc70410851 \h </w:instrText>
            </w:r>
            <w:r w:rsidR="00955942">
              <w:rPr>
                <w:noProof/>
                <w:webHidden/>
              </w:rPr>
            </w:r>
            <w:r w:rsidR="00955942">
              <w:rPr>
                <w:noProof/>
                <w:webHidden/>
              </w:rPr>
              <w:fldChar w:fldCharType="separate"/>
            </w:r>
            <w:r w:rsidR="00955942">
              <w:rPr>
                <w:noProof/>
                <w:webHidden/>
              </w:rPr>
              <w:t>19</w:t>
            </w:r>
            <w:r w:rsidR="00955942">
              <w:rPr>
                <w:noProof/>
                <w:webHidden/>
              </w:rPr>
              <w:fldChar w:fldCharType="end"/>
            </w:r>
          </w:hyperlink>
        </w:p>
        <w:p w14:paraId="20EB3F80" w14:textId="77777777" w:rsidR="00955942" w:rsidRDefault="00CA77B2">
          <w:pPr>
            <w:pStyle w:val="TOC1"/>
            <w:rPr>
              <w:rFonts w:asciiTheme="minorHAnsi" w:eastAsiaTheme="minorEastAsia" w:hAnsiTheme="minorHAnsi" w:cstheme="minorBidi"/>
              <w:noProof/>
              <w:sz w:val="22"/>
              <w:szCs w:val="22"/>
              <w:lang w:bidi="ar-SA"/>
            </w:rPr>
          </w:pPr>
          <w:hyperlink w:anchor="_Toc70410852" w:history="1">
            <w:r w:rsidR="00955942" w:rsidRPr="006200B8">
              <w:rPr>
                <w:rStyle w:val="Hyperlink"/>
                <w:b/>
                <w:noProof/>
              </w:rPr>
              <w:t>12.</w:t>
            </w:r>
            <w:r w:rsidR="00955942">
              <w:rPr>
                <w:rFonts w:asciiTheme="minorHAnsi" w:eastAsiaTheme="minorEastAsia" w:hAnsiTheme="minorHAnsi" w:cstheme="minorBidi"/>
                <w:noProof/>
                <w:sz w:val="22"/>
                <w:szCs w:val="22"/>
                <w:lang w:bidi="ar-SA"/>
              </w:rPr>
              <w:tab/>
            </w:r>
            <w:r w:rsidR="00955942" w:rsidRPr="006200B8">
              <w:rPr>
                <w:rStyle w:val="Hyperlink"/>
                <w:b/>
                <w:noProof/>
              </w:rPr>
              <w:t>Sabiedrības līdzdalība</w:t>
            </w:r>
            <w:r w:rsidR="00955942">
              <w:rPr>
                <w:noProof/>
                <w:webHidden/>
              </w:rPr>
              <w:tab/>
            </w:r>
            <w:r w:rsidR="00955942">
              <w:rPr>
                <w:noProof/>
                <w:webHidden/>
              </w:rPr>
              <w:fldChar w:fldCharType="begin"/>
            </w:r>
            <w:r w:rsidR="00955942">
              <w:rPr>
                <w:noProof/>
                <w:webHidden/>
              </w:rPr>
              <w:instrText xml:space="preserve"> PAGEREF _Toc70410852 \h </w:instrText>
            </w:r>
            <w:r w:rsidR="00955942">
              <w:rPr>
                <w:noProof/>
                <w:webHidden/>
              </w:rPr>
            </w:r>
            <w:r w:rsidR="00955942">
              <w:rPr>
                <w:noProof/>
                <w:webHidden/>
              </w:rPr>
              <w:fldChar w:fldCharType="separate"/>
            </w:r>
            <w:r w:rsidR="00955942">
              <w:rPr>
                <w:noProof/>
                <w:webHidden/>
              </w:rPr>
              <w:t>19</w:t>
            </w:r>
            <w:r w:rsidR="00955942">
              <w:rPr>
                <w:noProof/>
                <w:webHidden/>
              </w:rPr>
              <w:fldChar w:fldCharType="end"/>
            </w:r>
          </w:hyperlink>
        </w:p>
        <w:p w14:paraId="4DEB7986" w14:textId="77777777" w:rsidR="00593A98" w:rsidRPr="000D5DBF" w:rsidRDefault="00593A98" w:rsidP="00641840">
          <w:pPr>
            <w:spacing w:before="0" w:after="0"/>
          </w:pPr>
          <w:r w:rsidRPr="000D5DBF">
            <w:rPr>
              <w:b/>
              <w:bCs/>
              <w:noProof/>
            </w:rPr>
            <w:fldChar w:fldCharType="end"/>
          </w:r>
        </w:p>
      </w:sdtContent>
    </w:sdt>
    <w:p w14:paraId="5DA1D821" w14:textId="77777777" w:rsidR="00D00CCB" w:rsidRPr="000D5DBF" w:rsidRDefault="00D00CCB" w:rsidP="00641840">
      <w:pPr>
        <w:spacing w:before="0" w:after="0"/>
        <w:jc w:val="left"/>
        <w:rPr>
          <w:szCs w:val="24"/>
        </w:rPr>
      </w:pPr>
    </w:p>
    <w:p w14:paraId="24ED4AA6" w14:textId="77777777" w:rsidR="00D00CCB" w:rsidRPr="000D5DBF" w:rsidRDefault="00D00CCB" w:rsidP="00641840">
      <w:pPr>
        <w:spacing w:before="0" w:after="0"/>
        <w:jc w:val="left"/>
        <w:rPr>
          <w:szCs w:val="24"/>
        </w:rPr>
      </w:pPr>
    </w:p>
    <w:p w14:paraId="3E5581EB" w14:textId="77777777" w:rsidR="00240259" w:rsidRPr="000D5DBF" w:rsidRDefault="00240259" w:rsidP="00641840">
      <w:pPr>
        <w:spacing w:before="0" w:after="0"/>
        <w:jc w:val="left"/>
        <w:rPr>
          <w:szCs w:val="24"/>
        </w:rPr>
      </w:pPr>
    </w:p>
    <w:p w14:paraId="7165F660" w14:textId="77777777" w:rsidR="00240259" w:rsidRPr="000D5DBF" w:rsidRDefault="00240259" w:rsidP="00641840">
      <w:pPr>
        <w:spacing w:before="0" w:after="0"/>
        <w:jc w:val="left"/>
        <w:rPr>
          <w:szCs w:val="24"/>
        </w:rPr>
      </w:pPr>
    </w:p>
    <w:p w14:paraId="6FA9B131" w14:textId="77777777" w:rsidR="006B0944" w:rsidRPr="000D5DBF" w:rsidRDefault="006B0944" w:rsidP="00641840">
      <w:pPr>
        <w:spacing w:before="0" w:after="0"/>
        <w:jc w:val="left"/>
        <w:rPr>
          <w:b/>
          <w:sz w:val="32"/>
        </w:rPr>
      </w:pPr>
      <w:r w:rsidRPr="000D5DBF">
        <w:rPr>
          <w:b/>
          <w:sz w:val="32"/>
        </w:rPr>
        <w:br w:type="page"/>
      </w:r>
    </w:p>
    <w:p w14:paraId="5BFF896E" w14:textId="77777777" w:rsidR="006B0944" w:rsidRPr="000D5DBF" w:rsidRDefault="006B0944" w:rsidP="00641840">
      <w:pPr>
        <w:pStyle w:val="Heading1"/>
        <w:spacing w:before="0"/>
        <w:jc w:val="center"/>
        <w:rPr>
          <w:rFonts w:ascii="Times New Roman" w:eastAsia="SimSun" w:hAnsi="Times New Roman" w:cs="Times New Roman"/>
          <w:b/>
          <w:color w:val="auto"/>
          <w:sz w:val="28"/>
          <w:szCs w:val="28"/>
          <w:lang w:eastAsia="ja-JP" w:bidi="ar-SA"/>
        </w:rPr>
      </w:pPr>
      <w:bookmarkStart w:id="2" w:name="_Toc70410830"/>
      <w:r w:rsidRPr="000D5DBF">
        <w:rPr>
          <w:rFonts w:ascii="Times New Roman" w:eastAsia="SimSun" w:hAnsi="Times New Roman" w:cs="Times New Roman"/>
          <w:b/>
          <w:color w:val="auto"/>
          <w:sz w:val="28"/>
          <w:szCs w:val="28"/>
          <w:lang w:eastAsia="ja-JP" w:bidi="ar-SA"/>
        </w:rPr>
        <w:lastRenderedPageBreak/>
        <w:t>Izmantotie saīsinājumi un termini</w:t>
      </w:r>
      <w:bookmarkEnd w:id="2"/>
    </w:p>
    <w:tbl>
      <w:tblPr>
        <w:tblW w:w="0" w:type="auto"/>
        <w:tblInd w:w="611" w:type="dxa"/>
        <w:tblLook w:val="04A0" w:firstRow="1" w:lastRow="0" w:firstColumn="1" w:lastColumn="0" w:noHBand="0" w:noVBand="1"/>
      </w:tblPr>
      <w:tblGrid>
        <w:gridCol w:w="2399"/>
        <w:gridCol w:w="5919"/>
      </w:tblGrid>
      <w:tr w:rsidR="00F0703E" w:rsidRPr="000D5DBF" w14:paraId="7E0FF082" w14:textId="77777777" w:rsidTr="00F837F9">
        <w:trPr>
          <w:trHeight w:val="325"/>
        </w:trPr>
        <w:tc>
          <w:tcPr>
            <w:tcW w:w="2430" w:type="dxa"/>
            <w:shd w:val="clear" w:color="auto" w:fill="auto"/>
          </w:tcPr>
          <w:p w14:paraId="754818B3" w14:textId="77777777" w:rsidR="00571295" w:rsidRPr="000D5DBF" w:rsidRDefault="00571295" w:rsidP="00641840">
            <w:pPr>
              <w:tabs>
                <w:tab w:val="left" w:pos="1418"/>
                <w:tab w:val="left" w:pos="1985"/>
              </w:tabs>
              <w:spacing w:before="0" w:after="0"/>
              <w:rPr>
                <w:szCs w:val="24"/>
              </w:rPr>
            </w:pPr>
          </w:p>
          <w:p w14:paraId="69E87FC3" w14:textId="77777777" w:rsidR="006B0944" w:rsidRPr="000D5DBF" w:rsidRDefault="006B0944" w:rsidP="00641840">
            <w:pPr>
              <w:tabs>
                <w:tab w:val="left" w:pos="1418"/>
                <w:tab w:val="left" w:pos="1985"/>
              </w:tabs>
              <w:spacing w:before="0" w:after="0"/>
              <w:rPr>
                <w:szCs w:val="24"/>
              </w:rPr>
            </w:pPr>
            <w:r w:rsidRPr="000D5DBF">
              <w:rPr>
                <w:szCs w:val="24"/>
              </w:rPr>
              <w:t>CSP</w:t>
            </w:r>
          </w:p>
        </w:tc>
        <w:tc>
          <w:tcPr>
            <w:tcW w:w="6029" w:type="dxa"/>
            <w:shd w:val="clear" w:color="auto" w:fill="auto"/>
          </w:tcPr>
          <w:p w14:paraId="177A5C0C" w14:textId="77777777" w:rsidR="00571295" w:rsidRPr="000D5DBF" w:rsidRDefault="00571295" w:rsidP="00641840">
            <w:pPr>
              <w:tabs>
                <w:tab w:val="left" w:pos="1418"/>
                <w:tab w:val="left" w:pos="1985"/>
              </w:tabs>
              <w:spacing w:before="0" w:after="0"/>
              <w:rPr>
                <w:szCs w:val="24"/>
              </w:rPr>
            </w:pPr>
          </w:p>
          <w:p w14:paraId="4C29E3AB" w14:textId="77777777" w:rsidR="006B0944" w:rsidRPr="000D5DBF" w:rsidRDefault="006B0944" w:rsidP="00641840">
            <w:pPr>
              <w:tabs>
                <w:tab w:val="left" w:pos="1418"/>
                <w:tab w:val="left" w:pos="1985"/>
              </w:tabs>
              <w:spacing w:before="0" w:after="0"/>
              <w:rPr>
                <w:szCs w:val="24"/>
              </w:rPr>
            </w:pPr>
            <w:r w:rsidRPr="000D5DBF">
              <w:rPr>
                <w:szCs w:val="24"/>
              </w:rPr>
              <w:t>Centrālā statistikas pārvalde</w:t>
            </w:r>
          </w:p>
        </w:tc>
      </w:tr>
      <w:tr w:rsidR="00F0703E" w:rsidRPr="000D5DBF" w14:paraId="51E11F4F" w14:textId="77777777" w:rsidTr="00F837F9">
        <w:tc>
          <w:tcPr>
            <w:tcW w:w="2430" w:type="dxa"/>
            <w:shd w:val="clear" w:color="auto" w:fill="auto"/>
          </w:tcPr>
          <w:p w14:paraId="448A9FD1" w14:textId="77777777" w:rsidR="006B0944" w:rsidRPr="000D5DBF" w:rsidRDefault="006B0944" w:rsidP="00641840">
            <w:pPr>
              <w:tabs>
                <w:tab w:val="left" w:pos="1418"/>
                <w:tab w:val="left" w:pos="1985"/>
              </w:tabs>
              <w:spacing w:before="0" w:after="0"/>
              <w:rPr>
                <w:szCs w:val="24"/>
              </w:rPr>
            </w:pPr>
            <w:r w:rsidRPr="000D5DBF">
              <w:rPr>
                <w:szCs w:val="24"/>
              </w:rPr>
              <w:t>EAFVP</w:t>
            </w:r>
          </w:p>
          <w:p w14:paraId="1521E0AE" w14:textId="77777777" w:rsidR="006B0944" w:rsidRPr="000D5DBF" w:rsidRDefault="006B0944" w:rsidP="00641840">
            <w:pPr>
              <w:tabs>
                <w:tab w:val="left" w:pos="1418"/>
                <w:tab w:val="left" w:pos="1985"/>
              </w:tabs>
              <w:spacing w:before="0" w:after="0"/>
              <w:rPr>
                <w:szCs w:val="24"/>
              </w:rPr>
            </w:pPr>
            <w:r w:rsidRPr="000D5DBF">
              <w:rPr>
                <w:szCs w:val="24"/>
              </w:rPr>
              <w:t>EK</w:t>
            </w:r>
          </w:p>
        </w:tc>
        <w:tc>
          <w:tcPr>
            <w:tcW w:w="6029" w:type="dxa"/>
            <w:shd w:val="clear" w:color="auto" w:fill="auto"/>
          </w:tcPr>
          <w:p w14:paraId="4FB53F30" w14:textId="77777777" w:rsidR="006B0944" w:rsidRPr="000D5DBF" w:rsidRDefault="006B0944" w:rsidP="00641840">
            <w:pPr>
              <w:tabs>
                <w:tab w:val="left" w:pos="1418"/>
                <w:tab w:val="left" w:pos="1985"/>
              </w:tabs>
              <w:spacing w:before="0" w:after="0"/>
              <w:rPr>
                <w:szCs w:val="24"/>
              </w:rPr>
            </w:pPr>
            <w:r w:rsidRPr="000D5DBF">
              <w:rPr>
                <w:szCs w:val="24"/>
              </w:rPr>
              <w:t>Eiropas Atbalsta fonds vistrūcīgākajām personām</w:t>
            </w:r>
          </w:p>
          <w:p w14:paraId="7745F551" w14:textId="77777777" w:rsidR="006B0944" w:rsidRPr="000D5DBF" w:rsidRDefault="006B0944" w:rsidP="00641840">
            <w:pPr>
              <w:tabs>
                <w:tab w:val="left" w:pos="1418"/>
                <w:tab w:val="left" w:pos="1985"/>
              </w:tabs>
              <w:spacing w:before="0" w:after="0"/>
              <w:rPr>
                <w:szCs w:val="24"/>
              </w:rPr>
            </w:pPr>
            <w:r w:rsidRPr="000D5DBF">
              <w:rPr>
                <w:szCs w:val="24"/>
              </w:rPr>
              <w:t>Eiropas Komisija</w:t>
            </w:r>
          </w:p>
        </w:tc>
      </w:tr>
      <w:tr w:rsidR="00F0703E" w:rsidRPr="000D5DBF" w14:paraId="26B97C5A" w14:textId="77777777" w:rsidTr="00F837F9">
        <w:tc>
          <w:tcPr>
            <w:tcW w:w="2430" w:type="dxa"/>
            <w:shd w:val="clear" w:color="auto" w:fill="auto"/>
          </w:tcPr>
          <w:p w14:paraId="447AEF58" w14:textId="77777777" w:rsidR="006B0944" w:rsidRPr="000D5DBF" w:rsidRDefault="006B0944" w:rsidP="00641840">
            <w:pPr>
              <w:tabs>
                <w:tab w:val="left" w:pos="1418"/>
                <w:tab w:val="left" w:pos="1985"/>
              </w:tabs>
              <w:spacing w:before="0" w:after="0"/>
              <w:rPr>
                <w:szCs w:val="24"/>
              </w:rPr>
            </w:pPr>
            <w:r w:rsidRPr="000D5DBF">
              <w:rPr>
                <w:szCs w:val="24"/>
              </w:rPr>
              <w:t>ES</w:t>
            </w:r>
          </w:p>
        </w:tc>
        <w:tc>
          <w:tcPr>
            <w:tcW w:w="6029" w:type="dxa"/>
            <w:shd w:val="clear" w:color="auto" w:fill="auto"/>
          </w:tcPr>
          <w:p w14:paraId="3B3CCE0C" w14:textId="77777777" w:rsidR="006B0944" w:rsidRPr="000D5DBF" w:rsidRDefault="006B0944" w:rsidP="00641840">
            <w:pPr>
              <w:tabs>
                <w:tab w:val="left" w:pos="1418"/>
                <w:tab w:val="left" w:pos="1985"/>
              </w:tabs>
              <w:spacing w:before="0" w:after="0"/>
              <w:rPr>
                <w:szCs w:val="24"/>
              </w:rPr>
            </w:pPr>
            <w:r w:rsidRPr="000D5DBF">
              <w:rPr>
                <w:szCs w:val="24"/>
              </w:rPr>
              <w:t>Eiropas Savienība</w:t>
            </w:r>
          </w:p>
        </w:tc>
      </w:tr>
      <w:tr w:rsidR="00F0703E" w:rsidRPr="000D5DBF" w14:paraId="49762100" w14:textId="77777777" w:rsidTr="00F837F9">
        <w:tc>
          <w:tcPr>
            <w:tcW w:w="2430" w:type="dxa"/>
            <w:shd w:val="clear" w:color="auto" w:fill="auto"/>
          </w:tcPr>
          <w:p w14:paraId="34E441F1" w14:textId="77777777" w:rsidR="006B0944" w:rsidRPr="000D5DBF" w:rsidRDefault="006B0944" w:rsidP="00641840">
            <w:pPr>
              <w:tabs>
                <w:tab w:val="left" w:pos="1418"/>
                <w:tab w:val="left" w:pos="1985"/>
              </w:tabs>
              <w:spacing w:before="0" w:after="0"/>
              <w:rPr>
                <w:szCs w:val="24"/>
              </w:rPr>
            </w:pPr>
            <w:r w:rsidRPr="000D5DBF">
              <w:rPr>
                <w:szCs w:val="24"/>
              </w:rPr>
              <w:t>ESF+</w:t>
            </w:r>
          </w:p>
        </w:tc>
        <w:tc>
          <w:tcPr>
            <w:tcW w:w="6029" w:type="dxa"/>
            <w:shd w:val="clear" w:color="auto" w:fill="auto"/>
          </w:tcPr>
          <w:p w14:paraId="33C28BB3" w14:textId="77777777" w:rsidR="006B0944" w:rsidRPr="000D5DBF" w:rsidRDefault="006B0944" w:rsidP="00641840">
            <w:pPr>
              <w:tabs>
                <w:tab w:val="left" w:pos="1418"/>
                <w:tab w:val="left" w:pos="1985"/>
              </w:tabs>
              <w:spacing w:before="0" w:after="0"/>
              <w:rPr>
                <w:szCs w:val="24"/>
              </w:rPr>
            </w:pPr>
            <w:r w:rsidRPr="000D5DBF">
              <w:rPr>
                <w:szCs w:val="24"/>
              </w:rPr>
              <w:t>Eiropas Sociālais fonds</w:t>
            </w:r>
          </w:p>
        </w:tc>
      </w:tr>
      <w:tr w:rsidR="00F0703E" w:rsidRPr="000D5DBF" w14:paraId="49821989" w14:textId="77777777" w:rsidTr="00F837F9">
        <w:tc>
          <w:tcPr>
            <w:tcW w:w="2430" w:type="dxa"/>
            <w:shd w:val="clear" w:color="auto" w:fill="auto"/>
          </w:tcPr>
          <w:p w14:paraId="53DCE812" w14:textId="77777777" w:rsidR="006B0944" w:rsidRPr="000D5DBF" w:rsidRDefault="006B0944" w:rsidP="00641840">
            <w:pPr>
              <w:tabs>
                <w:tab w:val="left" w:pos="1418"/>
                <w:tab w:val="left" w:pos="1985"/>
              </w:tabs>
              <w:spacing w:before="0" w:after="0"/>
              <w:rPr>
                <w:szCs w:val="24"/>
              </w:rPr>
            </w:pPr>
            <w:r w:rsidRPr="000D5DBF">
              <w:rPr>
                <w:szCs w:val="24"/>
              </w:rPr>
              <w:t>ESF+ regula</w:t>
            </w:r>
          </w:p>
        </w:tc>
        <w:tc>
          <w:tcPr>
            <w:tcW w:w="6029" w:type="dxa"/>
            <w:shd w:val="clear" w:color="auto" w:fill="auto"/>
          </w:tcPr>
          <w:p w14:paraId="5CBFEA08" w14:textId="77777777" w:rsidR="006B0944" w:rsidRPr="000D5DBF" w:rsidRDefault="006B0944" w:rsidP="00641840">
            <w:pPr>
              <w:tabs>
                <w:tab w:val="left" w:pos="1418"/>
                <w:tab w:val="left" w:pos="1985"/>
              </w:tabs>
              <w:spacing w:before="0" w:after="0"/>
              <w:rPr>
                <w:szCs w:val="24"/>
              </w:rPr>
            </w:pPr>
            <w:r w:rsidRPr="000D5DBF">
              <w:rPr>
                <w:szCs w:val="24"/>
              </w:rPr>
              <w:t>Eiropas Parlamenta un Padomes Regulas (ES) priekšlikums par Eiropas Sociālo fondu Plus</w:t>
            </w:r>
          </w:p>
        </w:tc>
      </w:tr>
      <w:tr w:rsidR="00F0703E" w:rsidRPr="000D5DBF" w14:paraId="1E68BF24" w14:textId="77777777" w:rsidTr="00F837F9">
        <w:tc>
          <w:tcPr>
            <w:tcW w:w="2430" w:type="dxa"/>
            <w:shd w:val="clear" w:color="auto" w:fill="auto"/>
          </w:tcPr>
          <w:p w14:paraId="1F1A7470" w14:textId="77777777" w:rsidR="006B0944" w:rsidRPr="000D5DBF" w:rsidRDefault="006B0944" w:rsidP="00641840">
            <w:pPr>
              <w:tabs>
                <w:tab w:val="left" w:pos="1418"/>
                <w:tab w:val="left" w:pos="1985"/>
              </w:tabs>
              <w:spacing w:before="0" w:after="0"/>
              <w:rPr>
                <w:szCs w:val="24"/>
              </w:rPr>
            </w:pPr>
            <w:r w:rsidRPr="000D5DBF">
              <w:rPr>
                <w:szCs w:val="24"/>
              </w:rPr>
              <w:t>EU-SILC</w:t>
            </w:r>
          </w:p>
          <w:p w14:paraId="54F1B418" w14:textId="77777777" w:rsidR="006B0944" w:rsidRPr="000D5DBF" w:rsidRDefault="006B0944" w:rsidP="00641840">
            <w:pPr>
              <w:tabs>
                <w:tab w:val="left" w:pos="1418"/>
                <w:tab w:val="left" w:pos="1985"/>
              </w:tabs>
              <w:spacing w:before="0" w:after="0"/>
              <w:rPr>
                <w:szCs w:val="24"/>
              </w:rPr>
            </w:pPr>
          </w:p>
          <w:p w14:paraId="47C07043" w14:textId="77777777" w:rsidR="002B2A02" w:rsidRDefault="002B2A02" w:rsidP="00641840">
            <w:pPr>
              <w:tabs>
                <w:tab w:val="left" w:pos="1418"/>
                <w:tab w:val="left" w:pos="1985"/>
              </w:tabs>
              <w:spacing w:before="0" w:after="0"/>
              <w:rPr>
                <w:szCs w:val="24"/>
              </w:rPr>
            </w:pPr>
          </w:p>
          <w:p w14:paraId="5796DA87" w14:textId="77777777" w:rsidR="006B0944" w:rsidRPr="000D5DBF" w:rsidRDefault="006B0944" w:rsidP="00641840">
            <w:pPr>
              <w:tabs>
                <w:tab w:val="left" w:pos="1418"/>
                <w:tab w:val="left" w:pos="1985"/>
              </w:tabs>
              <w:spacing w:before="0" w:after="0"/>
              <w:rPr>
                <w:szCs w:val="24"/>
              </w:rPr>
            </w:pPr>
            <w:r w:rsidRPr="000D5DBF">
              <w:rPr>
                <w:szCs w:val="24"/>
              </w:rPr>
              <w:t>FM</w:t>
            </w:r>
          </w:p>
        </w:tc>
        <w:tc>
          <w:tcPr>
            <w:tcW w:w="6029" w:type="dxa"/>
            <w:shd w:val="clear" w:color="auto" w:fill="auto"/>
          </w:tcPr>
          <w:p w14:paraId="514A56C4" w14:textId="55D6E52A" w:rsidR="006B0944" w:rsidRPr="000D5DBF" w:rsidRDefault="00617C95" w:rsidP="00641840">
            <w:pPr>
              <w:tabs>
                <w:tab w:val="left" w:pos="1418"/>
                <w:tab w:val="left" w:pos="1985"/>
              </w:tabs>
              <w:spacing w:before="0" w:after="0"/>
              <w:rPr>
                <w:szCs w:val="24"/>
              </w:rPr>
            </w:pPr>
            <w:r w:rsidRPr="0049114A">
              <w:rPr>
                <w:color w:val="000000"/>
                <w:szCs w:val="24"/>
              </w:rPr>
              <w:t xml:space="preserve">Eiropas Savienības statistika par </w:t>
            </w:r>
            <w:r>
              <w:rPr>
                <w:color w:val="000000"/>
              </w:rPr>
              <w:t xml:space="preserve">ienākumiem un dzīves apstākļiem </w:t>
            </w:r>
            <w:r w:rsidRPr="00617C95">
              <w:rPr>
                <w:i/>
                <w:color w:val="000000"/>
              </w:rPr>
              <w:t xml:space="preserve">(angļu valodā </w:t>
            </w:r>
            <w:proofErr w:type="spellStart"/>
            <w:r w:rsidR="006B0944" w:rsidRPr="00617C95">
              <w:rPr>
                <w:i/>
                <w:szCs w:val="24"/>
              </w:rPr>
              <w:t>The</w:t>
            </w:r>
            <w:proofErr w:type="spellEnd"/>
            <w:r w:rsidR="006B0944" w:rsidRPr="00617C95">
              <w:rPr>
                <w:i/>
                <w:szCs w:val="24"/>
              </w:rPr>
              <w:t xml:space="preserve"> </w:t>
            </w:r>
            <w:proofErr w:type="spellStart"/>
            <w:r w:rsidR="006B0944" w:rsidRPr="00617C95">
              <w:rPr>
                <w:i/>
                <w:szCs w:val="24"/>
              </w:rPr>
              <w:t>European</w:t>
            </w:r>
            <w:proofErr w:type="spellEnd"/>
            <w:r w:rsidR="006B0944" w:rsidRPr="00617C95">
              <w:rPr>
                <w:i/>
                <w:szCs w:val="24"/>
              </w:rPr>
              <w:t xml:space="preserve"> </w:t>
            </w:r>
            <w:proofErr w:type="spellStart"/>
            <w:r w:rsidR="006B0944" w:rsidRPr="00617C95">
              <w:rPr>
                <w:i/>
                <w:szCs w:val="24"/>
              </w:rPr>
              <w:t>Union</w:t>
            </w:r>
            <w:proofErr w:type="spellEnd"/>
            <w:r w:rsidR="006B0944" w:rsidRPr="00617C95">
              <w:rPr>
                <w:i/>
                <w:szCs w:val="24"/>
              </w:rPr>
              <w:t xml:space="preserve"> </w:t>
            </w:r>
            <w:proofErr w:type="spellStart"/>
            <w:r w:rsidR="006B0944" w:rsidRPr="00617C95">
              <w:rPr>
                <w:i/>
                <w:szCs w:val="24"/>
              </w:rPr>
              <w:t>Statistics</w:t>
            </w:r>
            <w:proofErr w:type="spellEnd"/>
            <w:r w:rsidR="006B0944" w:rsidRPr="00617C95">
              <w:rPr>
                <w:i/>
                <w:szCs w:val="24"/>
              </w:rPr>
              <w:t xml:space="preserve"> </w:t>
            </w:r>
            <w:proofErr w:type="spellStart"/>
            <w:r w:rsidR="006B0944" w:rsidRPr="00617C95">
              <w:rPr>
                <w:i/>
                <w:szCs w:val="24"/>
              </w:rPr>
              <w:t>on</w:t>
            </w:r>
            <w:proofErr w:type="spellEnd"/>
            <w:r w:rsidR="006B0944" w:rsidRPr="00617C95">
              <w:rPr>
                <w:i/>
                <w:szCs w:val="24"/>
              </w:rPr>
              <w:t xml:space="preserve"> </w:t>
            </w:r>
            <w:proofErr w:type="spellStart"/>
            <w:r w:rsidR="006B0944" w:rsidRPr="00617C95">
              <w:rPr>
                <w:i/>
                <w:szCs w:val="24"/>
              </w:rPr>
              <w:t>Income</w:t>
            </w:r>
            <w:proofErr w:type="spellEnd"/>
            <w:r w:rsidR="006B0944" w:rsidRPr="00617C95">
              <w:rPr>
                <w:i/>
                <w:szCs w:val="24"/>
              </w:rPr>
              <w:t xml:space="preserve"> </w:t>
            </w:r>
            <w:proofErr w:type="spellStart"/>
            <w:r w:rsidR="006B0944" w:rsidRPr="00617C95">
              <w:rPr>
                <w:i/>
                <w:szCs w:val="24"/>
              </w:rPr>
              <w:t>and</w:t>
            </w:r>
            <w:proofErr w:type="spellEnd"/>
            <w:r w:rsidR="006B0944" w:rsidRPr="00617C95">
              <w:rPr>
                <w:i/>
                <w:szCs w:val="24"/>
              </w:rPr>
              <w:t xml:space="preserve"> </w:t>
            </w:r>
            <w:proofErr w:type="spellStart"/>
            <w:r w:rsidR="006B0944" w:rsidRPr="00617C95">
              <w:rPr>
                <w:i/>
                <w:szCs w:val="24"/>
              </w:rPr>
              <w:t>Living</w:t>
            </w:r>
            <w:proofErr w:type="spellEnd"/>
            <w:r w:rsidR="006B0944" w:rsidRPr="00617C95">
              <w:rPr>
                <w:i/>
                <w:szCs w:val="24"/>
              </w:rPr>
              <w:t xml:space="preserve"> </w:t>
            </w:r>
            <w:proofErr w:type="spellStart"/>
            <w:r w:rsidR="006B0944" w:rsidRPr="00617C95">
              <w:rPr>
                <w:i/>
                <w:szCs w:val="24"/>
              </w:rPr>
              <w:t>Conditions</w:t>
            </w:r>
            <w:proofErr w:type="spellEnd"/>
            <w:r w:rsidRPr="00617C95">
              <w:rPr>
                <w:i/>
                <w:szCs w:val="24"/>
              </w:rPr>
              <w:t>)</w:t>
            </w:r>
          </w:p>
          <w:p w14:paraId="2BEF825C" w14:textId="77777777" w:rsidR="006B0944" w:rsidRPr="000D5DBF" w:rsidRDefault="006B0944" w:rsidP="00641840">
            <w:pPr>
              <w:tabs>
                <w:tab w:val="left" w:pos="1418"/>
                <w:tab w:val="left" w:pos="1985"/>
              </w:tabs>
              <w:spacing w:before="0" w:after="0"/>
              <w:rPr>
                <w:szCs w:val="24"/>
              </w:rPr>
            </w:pPr>
            <w:r w:rsidRPr="000D5DBF">
              <w:rPr>
                <w:szCs w:val="24"/>
              </w:rPr>
              <w:t>Finanšu ministrija</w:t>
            </w:r>
          </w:p>
        </w:tc>
      </w:tr>
      <w:tr w:rsidR="00F0703E" w:rsidRPr="000D5DBF" w14:paraId="3CE2EFA5" w14:textId="77777777" w:rsidTr="00F837F9">
        <w:tc>
          <w:tcPr>
            <w:tcW w:w="2430" w:type="dxa"/>
            <w:shd w:val="clear" w:color="auto" w:fill="auto"/>
          </w:tcPr>
          <w:p w14:paraId="33799900" w14:textId="77777777" w:rsidR="006B0944" w:rsidRPr="000D5DBF" w:rsidRDefault="006B0944" w:rsidP="00641840">
            <w:pPr>
              <w:tabs>
                <w:tab w:val="left" w:pos="1418"/>
                <w:tab w:val="left" w:pos="1985"/>
              </w:tabs>
              <w:spacing w:before="0" w:after="0"/>
              <w:rPr>
                <w:szCs w:val="24"/>
              </w:rPr>
            </w:pPr>
            <w:r w:rsidRPr="000D5DBF">
              <w:rPr>
                <w:szCs w:val="24"/>
              </w:rPr>
              <w:t>IZM</w:t>
            </w:r>
          </w:p>
          <w:p w14:paraId="5AEF756E" w14:textId="77777777" w:rsidR="006B0944" w:rsidRPr="000D5DBF" w:rsidRDefault="006B0944" w:rsidP="00641840">
            <w:pPr>
              <w:tabs>
                <w:tab w:val="left" w:pos="1418"/>
                <w:tab w:val="left" w:pos="1985"/>
              </w:tabs>
              <w:spacing w:before="0" w:after="0"/>
              <w:rPr>
                <w:szCs w:val="24"/>
              </w:rPr>
            </w:pPr>
            <w:r w:rsidRPr="000D5DBF">
              <w:rPr>
                <w:szCs w:val="24"/>
              </w:rPr>
              <w:t>IS</w:t>
            </w:r>
          </w:p>
        </w:tc>
        <w:tc>
          <w:tcPr>
            <w:tcW w:w="6029" w:type="dxa"/>
            <w:shd w:val="clear" w:color="auto" w:fill="auto"/>
          </w:tcPr>
          <w:p w14:paraId="2F78F466" w14:textId="77777777" w:rsidR="006B0944" w:rsidRPr="000D5DBF" w:rsidRDefault="006B0944" w:rsidP="00641840">
            <w:pPr>
              <w:tabs>
                <w:tab w:val="left" w:pos="1418"/>
                <w:tab w:val="left" w:pos="1985"/>
              </w:tabs>
              <w:spacing w:before="0" w:after="0"/>
              <w:rPr>
                <w:szCs w:val="24"/>
              </w:rPr>
            </w:pPr>
            <w:r w:rsidRPr="000D5DBF">
              <w:rPr>
                <w:szCs w:val="24"/>
              </w:rPr>
              <w:t>Izglītības un zinātnes ministrija</w:t>
            </w:r>
          </w:p>
          <w:p w14:paraId="4E44B50F" w14:textId="77777777" w:rsidR="006B0944" w:rsidRPr="000D5DBF" w:rsidRDefault="006B0944" w:rsidP="00641840">
            <w:pPr>
              <w:tabs>
                <w:tab w:val="left" w:pos="1418"/>
                <w:tab w:val="left" w:pos="1985"/>
              </w:tabs>
              <w:spacing w:before="0" w:after="0"/>
              <w:rPr>
                <w:szCs w:val="24"/>
              </w:rPr>
            </w:pPr>
            <w:r w:rsidRPr="000D5DBF">
              <w:rPr>
                <w:szCs w:val="24"/>
              </w:rPr>
              <w:t>Informācijas sistēma</w:t>
            </w:r>
          </w:p>
        </w:tc>
      </w:tr>
      <w:tr w:rsidR="00F0703E" w:rsidRPr="000D5DBF" w14:paraId="501898D5" w14:textId="77777777" w:rsidTr="00F837F9">
        <w:tc>
          <w:tcPr>
            <w:tcW w:w="2430" w:type="dxa"/>
            <w:shd w:val="clear" w:color="auto" w:fill="auto"/>
          </w:tcPr>
          <w:p w14:paraId="691055B2" w14:textId="77777777" w:rsidR="006B0944" w:rsidRPr="000D5DBF" w:rsidRDefault="006B0944" w:rsidP="00641840">
            <w:pPr>
              <w:tabs>
                <w:tab w:val="left" w:pos="1418"/>
                <w:tab w:val="left" w:pos="1985"/>
              </w:tabs>
              <w:spacing w:before="0" w:after="0"/>
              <w:rPr>
                <w:szCs w:val="24"/>
              </w:rPr>
            </w:pPr>
            <w:r w:rsidRPr="000D5DBF">
              <w:rPr>
                <w:szCs w:val="24"/>
              </w:rPr>
              <w:t>KDG</w:t>
            </w:r>
          </w:p>
        </w:tc>
        <w:tc>
          <w:tcPr>
            <w:tcW w:w="6029" w:type="dxa"/>
            <w:shd w:val="clear" w:color="auto" w:fill="auto"/>
          </w:tcPr>
          <w:p w14:paraId="32B475D1" w14:textId="77777777" w:rsidR="006B0944" w:rsidRPr="000D5DBF" w:rsidRDefault="006B0944" w:rsidP="00641840">
            <w:pPr>
              <w:tabs>
                <w:tab w:val="left" w:pos="1418"/>
                <w:tab w:val="left" w:pos="1985"/>
              </w:tabs>
              <w:spacing w:before="0" w:after="0"/>
              <w:rPr>
                <w:szCs w:val="24"/>
              </w:rPr>
            </w:pPr>
            <w:r w:rsidRPr="000D5DBF">
              <w:rPr>
                <w:szCs w:val="24"/>
              </w:rPr>
              <w:t>Konsultatīvā darba grupa</w:t>
            </w:r>
          </w:p>
        </w:tc>
      </w:tr>
      <w:tr w:rsidR="00F0703E" w:rsidRPr="000D5DBF" w14:paraId="55E2657E" w14:textId="77777777" w:rsidTr="00F837F9">
        <w:tc>
          <w:tcPr>
            <w:tcW w:w="2430" w:type="dxa"/>
            <w:shd w:val="clear" w:color="auto" w:fill="auto"/>
          </w:tcPr>
          <w:p w14:paraId="5AAC0F46" w14:textId="77777777" w:rsidR="006B0944" w:rsidRPr="000D5DBF" w:rsidRDefault="006B0944" w:rsidP="00641840">
            <w:pPr>
              <w:tabs>
                <w:tab w:val="left" w:pos="1418"/>
                <w:tab w:val="left" w:pos="1985"/>
              </w:tabs>
              <w:spacing w:before="0" w:after="0"/>
              <w:rPr>
                <w:szCs w:val="24"/>
              </w:rPr>
            </w:pPr>
            <w:r w:rsidRPr="000D5DBF">
              <w:rPr>
                <w:szCs w:val="24"/>
              </w:rPr>
              <w:t>KNR</w:t>
            </w:r>
          </w:p>
        </w:tc>
        <w:tc>
          <w:tcPr>
            <w:tcW w:w="6029" w:type="dxa"/>
            <w:shd w:val="clear" w:color="auto" w:fill="auto"/>
          </w:tcPr>
          <w:p w14:paraId="15D2DFDA" w14:textId="77777777" w:rsidR="006B0944" w:rsidRPr="000D5DBF" w:rsidRDefault="006B0944" w:rsidP="00641840">
            <w:pPr>
              <w:tabs>
                <w:tab w:val="left" w:pos="1418"/>
                <w:tab w:val="left" w:pos="1985"/>
              </w:tabs>
              <w:spacing w:before="0" w:after="0"/>
              <w:rPr>
                <w:szCs w:val="24"/>
              </w:rPr>
            </w:pPr>
            <w:r w:rsidRPr="000D5DBF">
              <w:rPr>
                <w:szCs w:val="24"/>
              </w:rPr>
              <w:t>Eiropas Parlamenta un Padomes Regulas (ES) priekšlikums,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tc>
      </w:tr>
      <w:tr w:rsidR="00F0703E" w:rsidRPr="000D5DBF" w14:paraId="18DF7E4E" w14:textId="77777777" w:rsidTr="00F837F9">
        <w:tc>
          <w:tcPr>
            <w:tcW w:w="2430" w:type="dxa"/>
            <w:shd w:val="clear" w:color="auto" w:fill="auto"/>
          </w:tcPr>
          <w:p w14:paraId="695C6E8F" w14:textId="77777777" w:rsidR="006B0944" w:rsidRPr="000D5DBF" w:rsidRDefault="006B0944" w:rsidP="00641840">
            <w:pPr>
              <w:tabs>
                <w:tab w:val="left" w:pos="1418"/>
                <w:tab w:val="left" w:pos="1985"/>
              </w:tabs>
              <w:spacing w:before="0" w:after="0"/>
              <w:rPr>
                <w:szCs w:val="24"/>
              </w:rPr>
            </w:pPr>
            <w:r w:rsidRPr="000D5DBF">
              <w:rPr>
                <w:szCs w:val="24"/>
              </w:rPr>
              <w:t>LM</w:t>
            </w:r>
          </w:p>
        </w:tc>
        <w:tc>
          <w:tcPr>
            <w:tcW w:w="6029" w:type="dxa"/>
            <w:shd w:val="clear" w:color="auto" w:fill="auto"/>
          </w:tcPr>
          <w:p w14:paraId="1A0A5159" w14:textId="77777777" w:rsidR="006B0944" w:rsidRPr="000D5DBF" w:rsidRDefault="006B0944" w:rsidP="00641840">
            <w:pPr>
              <w:tabs>
                <w:tab w:val="left" w:pos="1418"/>
                <w:tab w:val="left" w:pos="1985"/>
              </w:tabs>
              <w:spacing w:before="0" w:after="0"/>
              <w:rPr>
                <w:szCs w:val="24"/>
              </w:rPr>
            </w:pPr>
            <w:r w:rsidRPr="000D5DBF">
              <w:rPr>
                <w:szCs w:val="24"/>
              </w:rPr>
              <w:t>Labklājības ministrija</w:t>
            </w:r>
          </w:p>
        </w:tc>
      </w:tr>
      <w:tr w:rsidR="00F0703E" w:rsidRPr="000D5DBF" w14:paraId="51C899EB" w14:textId="77777777" w:rsidTr="00F837F9">
        <w:tc>
          <w:tcPr>
            <w:tcW w:w="2430" w:type="dxa"/>
            <w:shd w:val="clear" w:color="auto" w:fill="auto"/>
          </w:tcPr>
          <w:p w14:paraId="50FD27F0" w14:textId="77777777" w:rsidR="006B0944" w:rsidRPr="000D5DBF" w:rsidRDefault="006B0944" w:rsidP="00641840">
            <w:pPr>
              <w:tabs>
                <w:tab w:val="left" w:pos="1418"/>
                <w:tab w:val="left" w:pos="1985"/>
              </w:tabs>
              <w:spacing w:before="0" w:after="0"/>
              <w:rPr>
                <w:szCs w:val="24"/>
              </w:rPr>
            </w:pPr>
            <w:r w:rsidRPr="000D5DBF">
              <w:rPr>
                <w:szCs w:val="24"/>
              </w:rPr>
              <w:t>MK</w:t>
            </w:r>
          </w:p>
        </w:tc>
        <w:tc>
          <w:tcPr>
            <w:tcW w:w="6029" w:type="dxa"/>
            <w:shd w:val="clear" w:color="auto" w:fill="auto"/>
          </w:tcPr>
          <w:p w14:paraId="1AF20578" w14:textId="77777777" w:rsidR="006B0944" w:rsidRPr="000D5DBF" w:rsidRDefault="006B0944" w:rsidP="00641840">
            <w:pPr>
              <w:tabs>
                <w:tab w:val="left" w:pos="1418"/>
                <w:tab w:val="left" w:pos="1985"/>
              </w:tabs>
              <w:spacing w:before="0" w:after="0"/>
              <w:rPr>
                <w:szCs w:val="24"/>
              </w:rPr>
            </w:pPr>
            <w:r w:rsidRPr="000D5DBF">
              <w:rPr>
                <w:szCs w:val="24"/>
              </w:rPr>
              <w:t>Ministru kabinets</w:t>
            </w:r>
          </w:p>
        </w:tc>
      </w:tr>
      <w:tr w:rsidR="00F0703E" w:rsidRPr="000D5DBF" w14:paraId="6BD3E1E7" w14:textId="77777777" w:rsidTr="00F837F9">
        <w:tc>
          <w:tcPr>
            <w:tcW w:w="2430" w:type="dxa"/>
            <w:shd w:val="clear" w:color="auto" w:fill="auto"/>
          </w:tcPr>
          <w:p w14:paraId="17C5B799" w14:textId="77777777" w:rsidR="006B0944" w:rsidRPr="000D5DBF" w:rsidRDefault="006B0944" w:rsidP="00641840">
            <w:pPr>
              <w:tabs>
                <w:tab w:val="left" w:pos="1418"/>
                <w:tab w:val="left" w:pos="1985"/>
              </w:tabs>
              <w:spacing w:before="0" w:after="0"/>
              <w:rPr>
                <w:szCs w:val="24"/>
              </w:rPr>
            </w:pPr>
            <w:r w:rsidRPr="000D5DBF">
              <w:rPr>
                <w:szCs w:val="24"/>
              </w:rPr>
              <w:t>NAP 2027</w:t>
            </w:r>
          </w:p>
        </w:tc>
        <w:tc>
          <w:tcPr>
            <w:tcW w:w="6029" w:type="dxa"/>
            <w:shd w:val="clear" w:color="auto" w:fill="auto"/>
          </w:tcPr>
          <w:p w14:paraId="1721194A" w14:textId="77777777" w:rsidR="006B0944" w:rsidRPr="000D5DBF" w:rsidRDefault="006B0944" w:rsidP="00641840">
            <w:pPr>
              <w:tabs>
                <w:tab w:val="left" w:pos="1418"/>
                <w:tab w:val="left" w:pos="1985"/>
              </w:tabs>
              <w:spacing w:before="0" w:after="0"/>
              <w:rPr>
                <w:szCs w:val="24"/>
              </w:rPr>
            </w:pPr>
            <w:r w:rsidRPr="000D5DBF">
              <w:rPr>
                <w:szCs w:val="24"/>
              </w:rPr>
              <w:t>Nacionālais attīstības plāns 2021. - 2027. gadam</w:t>
            </w:r>
          </w:p>
        </w:tc>
      </w:tr>
      <w:tr w:rsidR="00F0703E" w:rsidRPr="000D5DBF" w14:paraId="2FA96F7A" w14:textId="77777777" w:rsidTr="00F837F9">
        <w:tc>
          <w:tcPr>
            <w:tcW w:w="2430" w:type="dxa"/>
            <w:shd w:val="clear" w:color="auto" w:fill="auto"/>
          </w:tcPr>
          <w:p w14:paraId="3A8E59B3" w14:textId="77777777" w:rsidR="006B0944" w:rsidRPr="000D5DBF" w:rsidRDefault="006B0944" w:rsidP="00641840">
            <w:pPr>
              <w:tabs>
                <w:tab w:val="left" w:pos="1418"/>
                <w:tab w:val="left" w:pos="1985"/>
              </w:tabs>
              <w:spacing w:before="0" w:after="0"/>
              <w:rPr>
                <w:szCs w:val="24"/>
              </w:rPr>
            </w:pPr>
            <w:r w:rsidRPr="000D5DBF">
              <w:rPr>
                <w:szCs w:val="24"/>
              </w:rPr>
              <w:t>NVO</w:t>
            </w:r>
          </w:p>
          <w:p w14:paraId="0213E865" w14:textId="77777777" w:rsidR="006B0944" w:rsidRDefault="006B0944" w:rsidP="00641840">
            <w:pPr>
              <w:tabs>
                <w:tab w:val="left" w:pos="1418"/>
                <w:tab w:val="left" w:pos="1985"/>
              </w:tabs>
              <w:spacing w:before="0" w:after="0"/>
              <w:rPr>
                <w:szCs w:val="24"/>
              </w:rPr>
            </w:pPr>
            <w:r w:rsidRPr="000D5DBF">
              <w:rPr>
                <w:szCs w:val="24"/>
              </w:rPr>
              <w:t>PO</w:t>
            </w:r>
          </w:p>
          <w:p w14:paraId="5FF5FB1A" w14:textId="35159919" w:rsidR="007D2B7D" w:rsidRDefault="007D2B7D" w:rsidP="00641840">
            <w:pPr>
              <w:tabs>
                <w:tab w:val="left" w:pos="1418"/>
                <w:tab w:val="left" w:pos="1985"/>
              </w:tabs>
              <w:spacing w:before="0" w:after="0"/>
              <w:rPr>
                <w:szCs w:val="24"/>
              </w:rPr>
            </w:pPr>
            <w:r>
              <w:rPr>
                <w:szCs w:val="24"/>
              </w:rPr>
              <w:t>Programma</w:t>
            </w:r>
          </w:p>
          <w:p w14:paraId="35EE4CB9" w14:textId="74DFDE8D" w:rsidR="00EB452F" w:rsidRPr="000D5DBF" w:rsidRDefault="00EB452F" w:rsidP="00641840">
            <w:pPr>
              <w:tabs>
                <w:tab w:val="left" w:pos="1418"/>
                <w:tab w:val="left" w:pos="1985"/>
              </w:tabs>
              <w:spacing w:before="0" w:after="0"/>
              <w:rPr>
                <w:szCs w:val="24"/>
              </w:rPr>
            </w:pPr>
            <w:r>
              <w:rPr>
                <w:szCs w:val="24"/>
              </w:rPr>
              <w:t>SAM</w:t>
            </w:r>
          </w:p>
          <w:p w14:paraId="50C71F4A" w14:textId="77777777" w:rsidR="006B0944" w:rsidRPr="000D5DBF" w:rsidRDefault="006B0944" w:rsidP="00641840">
            <w:pPr>
              <w:tabs>
                <w:tab w:val="left" w:pos="1418"/>
                <w:tab w:val="left" w:pos="1985"/>
              </w:tabs>
              <w:spacing w:before="0" w:after="0"/>
              <w:rPr>
                <w:szCs w:val="24"/>
              </w:rPr>
            </w:pPr>
            <w:r w:rsidRPr="000D5DBF">
              <w:rPr>
                <w:szCs w:val="24"/>
              </w:rPr>
              <w:t>SIF</w:t>
            </w:r>
          </w:p>
          <w:p w14:paraId="0208475C" w14:textId="77777777" w:rsidR="006B0944" w:rsidRPr="000D5DBF" w:rsidRDefault="006B0944" w:rsidP="00641840">
            <w:pPr>
              <w:tabs>
                <w:tab w:val="left" w:pos="1418"/>
                <w:tab w:val="left" w:pos="1985"/>
              </w:tabs>
              <w:spacing w:before="0" w:after="0"/>
              <w:rPr>
                <w:szCs w:val="24"/>
              </w:rPr>
            </w:pPr>
            <w:r w:rsidRPr="000D5DBF">
              <w:rPr>
                <w:szCs w:val="24"/>
              </w:rPr>
              <w:t>OECD</w:t>
            </w:r>
          </w:p>
        </w:tc>
        <w:tc>
          <w:tcPr>
            <w:tcW w:w="6029" w:type="dxa"/>
            <w:shd w:val="clear" w:color="auto" w:fill="auto"/>
          </w:tcPr>
          <w:p w14:paraId="12A64700" w14:textId="77777777" w:rsidR="006B0944" w:rsidRPr="000D5DBF" w:rsidRDefault="006B0944" w:rsidP="00641840">
            <w:pPr>
              <w:tabs>
                <w:tab w:val="left" w:pos="1418"/>
                <w:tab w:val="left" w:pos="1985"/>
              </w:tabs>
              <w:spacing w:before="0" w:after="0"/>
              <w:rPr>
                <w:szCs w:val="24"/>
              </w:rPr>
            </w:pPr>
            <w:r w:rsidRPr="000D5DBF">
              <w:rPr>
                <w:szCs w:val="24"/>
              </w:rPr>
              <w:t>Nevalstiskā organizācija</w:t>
            </w:r>
          </w:p>
          <w:p w14:paraId="0FFE95C9" w14:textId="77777777" w:rsidR="006B0944" w:rsidRDefault="006B0944" w:rsidP="00641840">
            <w:pPr>
              <w:tabs>
                <w:tab w:val="left" w:pos="1418"/>
                <w:tab w:val="left" w:pos="1985"/>
              </w:tabs>
              <w:spacing w:before="0" w:after="0"/>
              <w:rPr>
                <w:szCs w:val="24"/>
              </w:rPr>
            </w:pPr>
            <w:r w:rsidRPr="000D5DBF">
              <w:rPr>
                <w:szCs w:val="24"/>
              </w:rPr>
              <w:t>Partnerorganizācija</w:t>
            </w:r>
          </w:p>
          <w:p w14:paraId="141AB748" w14:textId="5FE7EC26" w:rsidR="007D2B7D" w:rsidRPr="000D5DBF" w:rsidRDefault="007D2B7D" w:rsidP="00641840">
            <w:pPr>
              <w:tabs>
                <w:tab w:val="left" w:pos="1418"/>
                <w:tab w:val="left" w:pos="1985"/>
              </w:tabs>
              <w:spacing w:before="0" w:after="0"/>
              <w:rPr>
                <w:szCs w:val="24"/>
              </w:rPr>
            </w:pPr>
            <w:r w:rsidRPr="007D2B7D">
              <w:rPr>
                <w:szCs w:val="24"/>
              </w:rPr>
              <w:t>ESF+ programma materiālās nenodrošinātības mazināšanai</w:t>
            </w:r>
          </w:p>
          <w:p w14:paraId="120214AD" w14:textId="0BC0BDF1" w:rsidR="00EB452F" w:rsidRDefault="00EB452F" w:rsidP="00641840">
            <w:pPr>
              <w:tabs>
                <w:tab w:val="left" w:pos="1418"/>
                <w:tab w:val="left" w:pos="1985"/>
              </w:tabs>
              <w:spacing w:before="0" w:after="0"/>
              <w:rPr>
                <w:szCs w:val="24"/>
              </w:rPr>
            </w:pPr>
            <w:r>
              <w:rPr>
                <w:szCs w:val="24"/>
              </w:rPr>
              <w:t>Specifiskais atbalsta mērķis</w:t>
            </w:r>
          </w:p>
          <w:p w14:paraId="34C4EEC7" w14:textId="77777777" w:rsidR="006B0944" w:rsidRPr="000D5DBF" w:rsidRDefault="006B0944" w:rsidP="00641840">
            <w:pPr>
              <w:tabs>
                <w:tab w:val="left" w:pos="1418"/>
                <w:tab w:val="left" w:pos="1985"/>
              </w:tabs>
              <w:spacing w:before="0" w:after="0"/>
              <w:rPr>
                <w:szCs w:val="24"/>
              </w:rPr>
            </w:pPr>
            <w:r w:rsidRPr="000D5DBF">
              <w:rPr>
                <w:szCs w:val="24"/>
              </w:rPr>
              <w:t>Sabiedrības integrācijas fonds</w:t>
            </w:r>
          </w:p>
          <w:p w14:paraId="020908F6" w14:textId="77777777" w:rsidR="006B0944" w:rsidRPr="000D5DBF" w:rsidRDefault="006B0944" w:rsidP="00641840">
            <w:pPr>
              <w:tabs>
                <w:tab w:val="left" w:pos="1418"/>
                <w:tab w:val="left" w:pos="1985"/>
              </w:tabs>
              <w:spacing w:before="0" w:after="0"/>
              <w:rPr>
                <w:szCs w:val="24"/>
              </w:rPr>
            </w:pPr>
            <w:r w:rsidRPr="000D5DBF">
              <w:rPr>
                <w:szCs w:val="24"/>
              </w:rPr>
              <w:t>Ekonomiskās sadarbības un attīstības organizācijas</w:t>
            </w:r>
          </w:p>
        </w:tc>
      </w:tr>
      <w:tr w:rsidR="00F0703E" w:rsidRPr="000D5DBF" w14:paraId="4C1CA6C5" w14:textId="77777777" w:rsidTr="00F837F9">
        <w:tc>
          <w:tcPr>
            <w:tcW w:w="2430" w:type="dxa"/>
            <w:shd w:val="clear" w:color="auto" w:fill="auto"/>
          </w:tcPr>
          <w:p w14:paraId="12267850" w14:textId="77777777" w:rsidR="006B0944" w:rsidRPr="000D5DBF" w:rsidRDefault="006B0944" w:rsidP="00641840">
            <w:pPr>
              <w:tabs>
                <w:tab w:val="left" w:pos="1418"/>
                <w:tab w:val="left" w:pos="1985"/>
              </w:tabs>
              <w:spacing w:before="0" w:after="0"/>
              <w:rPr>
                <w:szCs w:val="24"/>
              </w:rPr>
            </w:pPr>
            <w:r w:rsidRPr="000D5DBF">
              <w:rPr>
                <w:szCs w:val="24"/>
              </w:rPr>
              <w:t>UK</w:t>
            </w:r>
          </w:p>
        </w:tc>
        <w:tc>
          <w:tcPr>
            <w:tcW w:w="6029" w:type="dxa"/>
            <w:shd w:val="clear" w:color="auto" w:fill="auto"/>
          </w:tcPr>
          <w:p w14:paraId="68E24923" w14:textId="77777777" w:rsidR="006B0944" w:rsidRPr="000D5DBF" w:rsidRDefault="006B0944" w:rsidP="00641840">
            <w:pPr>
              <w:tabs>
                <w:tab w:val="left" w:pos="1418"/>
                <w:tab w:val="left" w:pos="1985"/>
              </w:tabs>
              <w:spacing w:before="0" w:after="0"/>
              <w:rPr>
                <w:szCs w:val="24"/>
              </w:rPr>
            </w:pPr>
            <w:r w:rsidRPr="000D5DBF">
              <w:rPr>
                <w:szCs w:val="24"/>
              </w:rPr>
              <w:t>Kohēzijas politikas fondu uzraudzības komiteja</w:t>
            </w:r>
          </w:p>
        </w:tc>
      </w:tr>
      <w:tr w:rsidR="00F0703E" w:rsidRPr="000D5DBF" w14:paraId="4787C851" w14:textId="77777777" w:rsidTr="00F837F9">
        <w:tc>
          <w:tcPr>
            <w:tcW w:w="2430" w:type="dxa"/>
            <w:shd w:val="clear" w:color="auto" w:fill="auto"/>
          </w:tcPr>
          <w:p w14:paraId="0236B25B" w14:textId="77777777" w:rsidR="006B0944" w:rsidRPr="000D5DBF" w:rsidRDefault="006B0944" w:rsidP="00641840">
            <w:pPr>
              <w:tabs>
                <w:tab w:val="left" w:pos="1418"/>
                <w:tab w:val="left" w:pos="1985"/>
              </w:tabs>
              <w:spacing w:before="0" w:after="0"/>
              <w:rPr>
                <w:szCs w:val="24"/>
              </w:rPr>
            </w:pPr>
            <w:r w:rsidRPr="000D5DBF">
              <w:rPr>
                <w:szCs w:val="24"/>
              </w:rPr>
              <w:t>VM</w:t>
            </w:r>
          </w:p>
        </w:tc>
        <w:tc>
          <w:tcPr>
            <w:tcW w:w="6029" w:type="dxa"/>
            <w:shd w:val="clear" w:color="auto" w:fill="auto"/>
          </w:tcPr>
          <w:p w14:paraId="0764F7EC" w14:textId="77777777" w:rsidR="006B0944" w:rsidRPr="000D5DBF" w:rsidRDefault="006B0944" w:rsidP="00641840">
            <w:pPr>
              <w:tabs>
                <w:tab w:val="left" w:pos="1418"/>
                <w:tab w:val="left" w:pos="1985"/>
              </w:tabs>
              <w:spacing w:before="0" w:after="0"/>
              <w:rPr>
                <w:szCs w:val="24"/>
              </w:rPr>
            </w:pPr>
            <w:r w:rsidRPr="000D5DBF">
              <w:rPr>
                <w:szCs w:val="24"/>
              </w:rPr>
              <w:t>Veselības ministrija</w:t>
            </w:r>
          </w:p>
        </w:tc>
      </w:tr>
      <w:tr w:rsidR="00F0703E" w:rsidRPr="000D5DBF" w14:paraId="3107395C" w14:textId="77777777" w:rsidTr="00F837F9">
        <w:tc>
          <w:tcPr>
            <w:tcW w:w="2430" w:type="dxa"/>
            <w:shd w:val="clear" w:color="auto" w:fill="auto"/>
          </w:tcPr>
          <w:p w14:paraId="3F1CA302" w14:textId="77777777" w:rsidR="006B0944" w:rsidRPr="000D5DBF" w:rsidRDefault="006B0944" w:rsidP="00641840">
            <w:pPr>
              <w:tabs>
                <w:tab w:val="left" w:pos="1418"/>
                <w:tab w:val="left" w:pos="1985"/>
              </w:tabs>
              <w:spacing w:before="0" w:after="0"/>
              <w:rPr>
                <w:szCs w:val="24"/>
              </w:rPr>
            </w:pPr>
            <w:r w:rsidRPr="000D5DBF">
              <w:rPr>
                <w:szCs w:val="24"/>
              </w:rPr>
              <w:t>ZM</w:t>
            </w:r>
          </w:p>
        </w:tc>
        <w:tc>
          <w:tcPr>
            <w:tcW w:w="6029" w:type="dxa"/>
            <w:shd w:val="clear" w:color="auto" w:fill="auto"/>
          </w:tcPr>
          <w:p w14:paraId="48A65B3E" w14:textId="77777777" w:rsidR="006B0944" w:rsidRPr="000D5DBF" w:rsidRDefault="006B0944" w:rsidP="00641840">
            <w:pPr>
              <w:tabs>
                <w:tab w:val="left" w:pos="1418"/>
                <w:tab w:val="left" w:pos="1985"/>
              </w:tabs>
              <w:spacing w:before="0" w:after="0"/>
              <w:rPr>
                <w:szCs w:val="24"/>
              </w:rPr>
            </w:pPr>
            <w:r w:rsidRPr="000D5DBF">
              <w:rPr>
                <w:szCs w:val="24"/>
              </w:rPr>
              <w:t>Zemkopības ministrija</w:t>
            </w:r>
          </w:p>
        </w:tc>
      </w:tr>
    </w:tbl>
    <w:p w14:paraId="7D303E1C" w14:textId="77777777" w:rsidR="00DB30CD" w:rsidRPr="000D5DBF" w:rsidRDefault="00DB30CD" w:rsidP="00641840">
      <w:pPr>
        <w:spacing w:before="0" w:after="0"/>
      </w:pPr>
    </w:p>
    <w:p w14:paraId="3ECBA126" w14:textId="77777777" w:rsidR="006B0944" w:rsidRPr="000D5DBF" w:rsidRDefault="006B0944" w:rsidP="00641840">
      <w:pPr>
        <w:spacing w:before="0" w:after="0"/>
      </w:pPr>
    </w:p>
    <w:p w14:paraId="24F1F4B7" w14:textId="77777777" w:rsidR="006B0944" w:rsidRPr="000D5DBF" w:rsidRDefault="006B0944" w:rsidP="00641840">
      <w:pPr>
        <w:spacing w:before="0" w:after="0"/>
      </w:pPr>
    </w:p>
    <w:p w14:paraId="7145D603" w14:textId="77777777" w:rsidR="006B0944" w:rsidRPr="000D5DBF" w:rsidRDefault="006B0944" w:rsidP="00641840">
      <w:pPr>
        <w:spacing w:before="0" w:after="0"/>
      </w:pPr>
    </w:p>
    <w:p w14:paraId="1F302083" w14:textId="77777777" w:rsidR="006B0944" w:rsidRPr="000D5DBF" w:rsidRDefault="006B0944" w:rsidP="00641840">
      <w:pPr>
        <w:spacing w:before="0" w:after="0"/>
      </w:pPr>
    </w:p>
    <w:p w14:paraId="145BF8F7" w14:textId="77777777" w:rsidR="006B0944" w:rsidRPr="000D5DBF" w:rsidRDefault="006B0944" w:rsidP="00641840">
      <w:pPr>
        <w:spacing w:before="0" w:after="0"/>
        <w:jc w:val="left"/>
      </w:pPr>
      <w:r w:rsidRPr="000D5DBF">
        <w:br w:type="page"/>
      </w:r>
    </w:p>
    <w:p w14:paraId="276AD820" w14:textId="77777777" w:rsidR="00D27AF9" w:rsidRPr="000D5DBF" w:rsidRDefault="00D27AF9" w:rsidP="00641840">
      <w:pPr>
        <w:pStyle w:val="Heading1"/>
        <w:numPr>
          <w:ilvl w:val="0"/>
          <w:numId w:val="30"/>
        </w:numPr>
        <w:spacing w:before="0"/>
        <w:rPr>
          <w:rFonts w:ascii="Times New Roman" w:eastAsia="Times New Roman" w:hAnsi="Times New Roman" w:cs="Times New Roman"/>
          <w:b/>
          <w:iCs/>
          <w:noProof/>
          <w:color w:val="auto"/>
          <w:sz w:val="28"/>
          <w:szCs w:val="28"/>
        </w:rPr>
      </w:pPr>
      <w:bookmarkStart w:id="3" w:name="_Toc70410831"/>
      <w:r w:rsidRPr="000D5DBF">
        <w:rPr>
          <w:rFonts w:ascii="Times New Roman" w:hAnsi="Times New Roman" w:cs="Times New Roman"/>
          <w:b/>
          <w:noProof/>
          <w:color w:val="auto"/>
          <w:sz w:val="28"/>
          <w:szCs w:val="28"/>
        </w:rPr>
        <w:lastRenderedPageBreak/>
        <w:t>Programmas stratēģija: galvenie attīstības politikas uzdevumi un politikas risinājumi</w:t>
      </w:r>
      <w:bookmarkEnd w:id="3"/>
    </w:p>
    <w:p w14:paraId="07F1977B" w14:textId="77777777" w:rsidR="00D27AF9" w:rsidRPr="000D5DBF" w:rsidRDefault="00D27AF9" w:rsidP="00641840">
      <w:pPr>
        <w:pStyle w:val="Heading2"/>
        <w:numPr>
          <w:ilvl w:val="1"/>
          <w:numId w:val="30"/>
        </w:numPr>
        <w:spacing w:before="0"/>
        <w:rPr>
          <w:rFonts w:ascii="Times New Roman" w:hAnsi="Times New Roman" w:cs="Times New Roman"/>
          <w:b/>
          <w:color w:val="auto"/>
          <w:sz w:val="24"/>
          <w:szCs w:val="24"/>
        </w:rPr>
      </w:pPr>
      <w:bookmarkStart w:id="4" w:name="_Toc70410832"/>
      <w:r w:rsidRPr="000D5DBF">
        <w:rPr>
          <w:rFonts w:ascii="Times New Roman" w:hAnsi="Times New Roman" w:cs="Times New Roman"/>
          <w:b/>
          <w:color w:val="auto"/>
          <w:sz w:val="24"/>
          <w:szCs w:val="24"/>
        </w:rPr>
        <w:t>Situācijas apraksts</w:t>
      </w:r>
      <w:bookmarkEnd w:id="4"/>
    </w:p>
    <w:p w14:paraId="5A4CF7C3" w14:textId="17FF3015" w:rsidR="00D27AF9" w:rsidRPr="002A6C37" w:rsidRDefault="00D27AF9"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bCs/>
          <w:sz w:val="24"/>
          <w:szCs w:val="24"/>
        </w:rPr>
        <w:t xml:space="preserve">Augsta ienākumu nevienlīdzība, sabiedrības novecošanās, nodarbinātības iespēju un bezdarba reģionālās atšķirības, reģionālās atšķirības sociālās palīdzības un atbalsta pieejamībā – ir tie faktori, kuriem ir būtiska ietekme uz iedzīvotāju labklājības un dzīves kvalitātes līmeni. </w:t>
      </w:r>
      <w:r w:rsidRPr="000D5DBF">
        <w:rPr>
          <w:rFonts w:ascii="Times New Roman" w:hAnsi="Times New Roman" w:cs="Times New Roman"/>
          <w:sz w:val="24"/>
          <w:szCs w:val="24"/>
        </w:rPr>
        <w:t>Latvijā ienākumu sadalījums ir viens no nevienlīdzīgākajiem ES – 2018. gadā turīgāko 20 % ienākumi 6,8 reizes pārsniedza trūcīgāko 20 % ienākumus. Tāpat arī nabadzības riskam pakļauto iedzīvotāju īpatsvars ir viens no augstākajiem ES</w:t>
      </w:r>
      <w:r w:rsidR="00275886">
        <w:rPr>
          <w:rFonts w:ascii="Times New Roman" w:hAnsi="Times New Roman" w:cs="Times New Roman"/>
          <w:sz w:val="24"/>
          <w:szCs w:val="24"/>
        </w:rPr>
        <w:t>:</w:t>
      </w:r>
      <w:r w:rsidR="0067192D">
        <w:rPr>
          <w:rFonts w:ascii="Times New Roman" w:hAnsi="Times New Roman" w:cs="Times New Roman"/>
          <w:sz w:val="24"/>
          <w:szCs w:val="24"/>
        </w:rPr>
        <w:t xml:space="preserve"> </w:t>
      </w:r>
      <w:r w:rsidR="00275886">
        <w:rPr>
          <w:rFonts w:ascii="Times New Roman" w:hAnsi="Times New Roman" w:cs="Times New Roman"/>
          <w:sz w:val="24"/>
          <w:szCs w:val="24"/>
        </w:rPr>
        <w:t xml:space="preserve">2019. gadā </w:t>
      </w:r>
      <w:r w:rsidR="00275886" w:rsidRPr="00275886">
        <w:rPr>
          <w:rFonts w:ascii="Times New Roman" w:hAnsi="Times New Roman" w:cs="Times New Roman"/>
          <w:sz w:val="24"/>
          <w:szCs w:val="24"/>
        </w:rPr>
        <w:t xml:space="preserve">Latvijā bija trešais augstākais </w:t>
      </w:r>
      <w:r w:rsidR="00275886">
        <w:rPr>
          <w:rFonts w:ascii="Times New Roman" w:hAnsi="Times New Roman" w:cs="Times New Roman"/>
          <w:sz w:val="24"/>
          <w:szCs w:val="24"/>
        </w:rPr>
        <w:t xml:space="preserve">rādītājs (21,6 %) uzreiz aiz Rumānijas (23,8 %) un Bulgārijas (22,7 %). Salīdzinot datus ar iepriekšējiem gadiem, atzīmējams, ka situācija Latvijā </w:t>
      </w:r>
      <w:r w:rsidR="005322C1">
        <w:rPr>
          <w:rFonts w:ascii="Times New Roman" w:hAnsi="Times New Roman" w:cs="Times New Roman"/>
          <w:sz w:val="24"/>
          <w:szCs w:val="24"/>
        </w:rPr>
        <w:t xml:space="preserve">pēdējos trīs gados </w:t>
      </w:r>
      <w:r w:rsidR="00275886">
        <w:rPr>
          <w:rFonts w:ascii="Times New Roman" w:hAnsi="Times New Roman" w:cs="Times New Roman"/>
          <w:sz w:val="24"/>
          <w:szCs w:val="24"/>
        </w:rPr>
        <w:t xml:space="preserve">nedaudz uzlabojas: </w:t>
      </w:r>
      <w:r w:rsidRPr="000D5DBF">
        <w:rPr>
          <w:rFonts w:ascii="Times New Roman" w:hAnsi="Times New Roman" w:cs="Times New Roman"/>
          <w:bCs/>
          <w:sz w:val="24"/>
          <w:szCs w:val="24"/>
        </w:rPr>
        <w:t>201</w:t>
      </w:r>
      <w:r w:rsidR="00275886">
        <w:rPr>
          <w:rFonts w:ascii="Times New Roman" w:hAnsi="Times New Roman" w:cs="Times New Roman"/>
          <w:bCs/>
          <w:sz w:val="24"/>
          <w:szCs w:val="24"/>
        </w:rPr>
        <w:t>8</w:t>
      </w:r>
      <w:r w:rsidRPr="000D5DBF">
        <w:rPr>
          <w:rFonts w:ascii="Times New Roman" w:hAnsi="Times New Roman" w:cs="Times New Roman"/>
          <w:bCs/>
          <w:sz w:val="24"/>
          <w:szCs w:val="24"/>
        </w:rPr>
        <w:t>. gadā nabadzības riskam bija pakļauti 2</w:t>
      </w:r>
      <w:r w:rsidR="00275886">
        <w:rPr>
          <w:rFonts w:ascii="Times New Roman" w:hAnsi="Times New Roman" w:cs="Times New Roman"/>
          <w:bCs/>
          <w:sz w:val="24"/>
          <w:szCs w:val="24"/>
        </w:rPr>
        <w:t>2</w:t>
      </w:r>
      <w:r w:rsidRPr="000D5DBF">
        <w:rPr>
          <w:rFonts w:ascii="Times New Roman" w:hAnsi="Times New Roman" w:cs="Times New Roman"/>
          <w:bCs/>
          <w:sz w:val="24"/>
          <w:szCs w:val="24"/>
        </w:rPr>
        <w:t>,</w:t>
      </w:r>
      <w:r w:rsidR="00275886">
        <w:rPr>
          <w:rFonts w:ascii="Times New Roman" w:hAnsi="Times New Roman" w:cs="Times New Roman"/>
          <w:bCs/>
          <w:sz w:val="24"/>
          <w:szCs w:val="24"/>
        </w:rPr>
        <w:t>9</w:t>
      </w:r>
      <w:r w:rsidRPr="000D5DBF">
        <w:rPr>
          <w:rFonts w:ascii="Times New Roman" w:hAnsi="Times New Roman" w:cs="Times New Roman"/>
          <w:bCs/>
          <w:sz w:val="24"/>
          <w:szCs w:val="24"/>
        </w:rPr>
        <w:t xml:space="preserve"> % iedzīvotāju, </w:t>
      </w:r>
      <w:r w:rsidR="005E7E33">
        <w:rPr>
          <w:rFonts w:ascii="Times New Roman" w:hAnsi="Times New Roman" w:cs="Times New Roman"/>
          <w:bCs/>
          <w:sz w:val="24"/>
          <w:szCs w:val="24"/>
        </w:rPr>
        <w:t xml:space="preserve">bet </w:t>
      </w:r>
      <w:r w:rsidR="00E33363">
        <w:rPr>
          <w:rFonts w:ascii="Times New Roman" w:hAnsi="Times New Roman" w:cs="Times New Roman"/>
          <w:bCs/>
          <w:sz w:val="24"/>
          <w:szCs w:val="24"/>
        </w:rPr>
        <w:t>2017. gadā</w:t>
      </w:r>
      <w:r w:rsidR="005E7E33">
        <w:rPr>
          <w:rFonts w:ascii="Times New Roman" w:hAnsi="Times New Roman" w:cs="Times New Roman"/>
          <w:bCs/>
          <w:sz w:val="24"/>
          <w:szCs w:val="24"/>
        </w:rPr>
        <w:t xml:space="preserve"> – 23,3 %</w:t>
      </w:r>
      <w:r w:rsidRPr="000D5DBF">
        <w:rPr>
          <w:rStyle w:val="FootnoteReference"/>
          <w:rFonts w:ascii="Times New Roman" w:hAnsi="Times New Roman" w:cs="Times New Roman"/>
          <w:bCs/>
          <w:sz w:val="24"/>
          <w:szCs w:val="24"/>
        </w:rPr>
        <w:footnoteReference w:id="1"/>
      </w:r>
      <w:r w:rsidRPr="000D5DBF">
        <w:rPr>
          <w:rFonts w:ascii="Times New Roman" w:hAnsi="Times New Roman" w:cs="Times New Roman"/>
          <w:bCs/>
          <w:sz w:val="24"/>
          <w:szCs w:val="24"/>
        </w:rPr>
        <w:t>. Vislielākais nabadzības riskam pakļauto iedzīvotāju īpatsvars bija Latgalē</w:t>
      </w:r>
      <w:r w:rsidR="00017839">
        <w:rPr>
          <w:rFonts w:ascii="Times New Roman" w:hAnsi="Times New Roman" w:cs="Times New Roman"/>
          <w:bCs/>
          <w:sz w:val="24"/>
          <w:szCs w:val="24"/>
        </w:rPr>
        <w:t xml:space="preserve">: 2019. gadā – 35,9 %, </w:t>
      </w:r>
      <w:r w:rsidR="00017839" w:rsidRPr="000D5DBF">
        <w:rPr>
          <w:rFonts w:ascii="Times New Roman" w:hAnsi="Times New Roman" w:cs="Times New Roman"/>
          <w:bCs/>
          <w:sz w:val="24"/>
          <w:szCs w:val="24"/>
        </w:rPr>
        <w:t xml:space="preserve">2018. gadā </w:t>
      </w:r>
      <w:r w:rsidR="00017839">
        <w:rPr>
          <w:rFonts w:ascii="Times New Roman" w:hAnsi="Times New Roman" w:cs="Times New Roman"/>
          <w:bCs/>
          <w:sz w:val="24"/>
          <w:szCs w:val="24"/>
        </w:rPr>
        <w:t xml:space="preserve">– </w:t>
      </w:r>
      <w:r w:rsidRPr="000D5DBF">
        <w:rPr>
          <w:rFonts w:ascii="Times New Roman" w:hAnsi="Times New Roman" w:cs="Times New Roman"/>
          <w:bCs/>
          <w:sz w:val="24"/>
          <w:szCs w:val="24"/>
        </w:rPr>
        <w:t>40,4 %</w:t>
      </w:r>
      <w:r w:rsidR="00017839">
        <w:rPr>
          <w:rFonts w:ascii="Times New Roman" w:hAnsi="Times New Roman" w:cs="Times New Roman"/>
          <w:bCs/>
          <w:sz w:val="24"/>
          <w:szCs w:val="24"/>
        </w:rPr>
        <w:t xml:space="preserve">, 2017. gadā – 44,2 %, </w:t>
      </w:r>
      <w:r w:rsidR="0067192D">
        <w:rPr>
          <w:rFonts w:ascii="Times New Roman" w:hAnsi="Times New Roman" w:cs="Times New Roman"/>
          <w:bCs/>
          <w:sz w:val="24"/>
          <w:szCs w:val="24"/>
        </w:rPr>
        <w:t>bet</w:t>
      </w:r>
      <w:r w:rsidRPr="002A6C37">
        <w:rPr>
          <w:rFonts w:ascii="Times New Roman" w:hAnsi="Times New Roman" w:cs="Times New Roman"/>
          <w:bCs/>
          <w:sz w:val="24"/>
          <w:szCs w:val="24"/>
        </w:rPr>
        <w:t xml:space="preserve"> vismazākais – </w:t>
      </w:r>
      <w:r w:rsidR="00017839" w:rsidRPr="00DE2978">
        <w:rPr>
          <w:rFonts w:ascii="Times New Roman" w:hAnsi="Times New Roman" w:cs="Times New Roman"/>
          <w:bCs/>
          <w:sz w:val="24"/>
          <w:szCs w:val="24"/>
        </w:rPr>
        <w:t>Rīgā (</w:t>
      </w:r>
      <w:r w:rsidR="00CD12CC">
        <w:rPr>
          <w:rFonts w:ascii="Times New Roman" w:hAnsi="Times New Roman" w:cs="Times New Roman"/>
          <w:bCs/>
          <w:sz w:val="24"/>
          <w:szCs w:val="24"/>
        </w:rPr>
        <w:t>2019. gadā – 15,9 %, 2018. gad</w:t>
      </w:r>
      <w:r w:rsidR="00903D4E">
        <w:rPr>
          <w:rFonts w:ascii="Times New Roman" w:hAnsi="Times New Roman" w:cs="Times New Roman"/>
          <w:bCs/>
          <w:sz w:val="24"/>
          <w:szCs w:val="24"/>
        </w:rPr>
        <w:t>ā </w:t>
      </w:r>
      <w:r w:rsidR="00CD12CC">
        <w:rPr>
          <w:rFonts w:ascii="Times New Roman" w:hAnsi="Times New Roman" w:cs="Times New Roman"/>
          <w:bCs/>
          <w:sz w:val="24"/>
          <w:szCs w:val="24"/>
        </w:rPr>
        <w:t>– 16,1 % un 2017. gadā – 15,6 %</w:t>
      </w:r>
      <w:r w:rsidR="00017839" w:rsidRPr="00DE2978">
        <w:rPr>
          <w:rFonts w:ascii="Times New Roman" w:hAnsi="Times New Roman" w:cs="Times New Roman"/>
          <w:bCs/>
          <w:sz w:val="24"/>
          <w:szCs w:val="24"/>
        </w:rPr>
        <w:t>)</w:t>
      </w:r>
      <w:r w:rsidR="00017839">
        <w:rPr>
          <w:rFonts w:ascii="Times New Roman" w:hAnsi="Times New Roman" w:cs="Times New Roman"/>
          <w:bCs/>
          <w:sz w:val="24"/>
          <w:szCs w:val="24"/>
        </w:rPr>
        <w:t xml:space="preserve"> un </w:t>
      </w:r>
      <w:r w:rsidRPr="002A6C37">
        <w:rPr>
          <w:rFonts w:ascii="Times New Roman" w:hAnsi="Times New Roman" w:cs="Times New Roman"/>
          <w:bCs/>
          <w:sz w:val="24"/>
          <w:szCs w:val="24"/>
        </w:rPr>
        <w:t>Pierīgā (</w:t>
      </w:r>
      <w:r w:rsidR="00903D4E">
        <w:rPr>
          <w:rFonts w:ascii="Times New Roman" w:hAnsi="Times New Roman" w:cs="Times New Roman"/>
          <w:bCs/>
          <w:sz w:val="24"/>
          <w:szCs w:val="24"/>
        </w:rPr>
        <w:t xml:space="preserve">2019. gadā – 16,1 %, 2018. gadā – </w:t>
      </w:r>
      <w:r w:rsidRPr="002A6C37">
        <w:rPr>
          <w:rFonts w:ascii="Times New Roman" w:hAnsi="Times New Roman" w:cs="Times New Roman"/>
          <w:bCs/>
          <w:sz w:val="24"/>
          <w:szCs w:val="24"/>
        </w:rPr>
        <w:t>14,4 %</w:t>
      </w:r>
      <w:r w:rsidR="00903D4E">
        <w:rPr>
          <w:rFonts w:ascii="Times New Roman" w:hAnsi="Times New Roman" w:cs="Times New Roman"/>
          <w:bCs/>
          <w:sz w:val="24"/>
          <w:szCs w:val="24"/>
        </w:rPr>
        <w:t>, 2017. gadā – 16,9 %</w:t>
      </w:r>
      <w:r w:rsidRPr="002A6C37">
        <w:rPr>
          <w:rFonts w:ascii="Times New Roman" w:hAnsi="Times New Roman" w:cs="Times New Roman"/>
          <w:bCs/>
          <w:sz w:val="24"/>
          <w:szCs w:val="24"/>
        </w:rPr>
        <w:t>).</w:t>
      </w:r>
      <w:r w:rsidRPr="000D5DBF">
        <w:rPr>
          <w:rStyle w:val="FootnoteReference"/>
          <w:rFonts w:ascii="Times New Roman" w:hAnsi="Times New Roman" w:cs="Times New Roman"/>
          <w:bCs/>
          <w:sz w:val="24"/>
          <w:szCs w:val="24"/>
        </w:rPr>
        <w:footnoteReference w:id="2"/>
      </w:r>
    </w:p>
    <w:p w14:paraId="5E6B58D8" w14:textId="7C5DBAFB" w:rsidR="009926F1" w:rsidRPr="009926F1" w:rsidRDefault="00D27AF9" w:rsidP="00641840">
      <w:pPr>
        <w:pStyle w:val="ListParagraph"/>
        <w:numPr>
          <w:ilvl w:val="0"/>
          <w:numId w:val="2"/>
        </w:numPr>
        <w:spacing w:line="240" w:lineRule="auto"/>
        <w:ind w:left="567" w:hanging="567"/>
        <w:jc w:val="both"/>
        <w:rPr>
          <w:rFonts w:ascii="Times New Roman" w:hAnsi="Times New Roman" w:cs="Times New Roman"/>
          <w:bCs/>
          <w:sz w:val="24"/>
          <w:szCs w:val="24"/>
        </w:rPr>
      </w:pPr>
      <w:r w:rsidRPr="009926F1">
        <w:rPr>
          <w:rFonts w:ascii="Times New Roman" w:eastAsia="Times New Roman" w:hAnsi="Times New Roman" w:cs="Times New Roman"/>
          <w:bCs/>
          <w:sz w:val="24"/>
          <w:szCs w:val="24"/>
        </w:rPr>
        <w:t>Salīdzinot ar citām grupām, visvairāk nabadzības riskam ir pakļauti seniori</w:t>
      </w:r>
      <w:r w:rsidRPr="009926F1" w:rsidDel="00E90B61">
        <w:rPr>
          <w:rFonts w:ascii="Times New Roman" w:eastAsia="Times New Roman" w:hAnsi="Times New Roman" w:cs="Times New Roman"/>
          <w:bCs/>
          <w:sz w:val="24"/>
          <w:szCs w:val="24"/>
        </w:rPr>
        <w:t xml:space="preserve"> </w:t>
      </w:r>
      <w:r w:rsidRPr="009926F1">
        <w:rPr>
          <w:rFonts w:ascii="Times New Roman" w:eastAsia="Times New Roman" w:hAnsi="Times New Roman" w:cs="Times New Roman"/>
          <w:iCs/>
          <w:sz w:val="24"/>
          <w:szCs w:val="24"/>
        </w:rPr>
        <w:t>vecumā virs 65 gadiem</w:t>
      </w:r>
      <w:r w:rsidRPr="009926F1">
        <w:rPr>
          <w:rFonts w:ascii="Times New Roman" w:eastAsia="Times New Roman" w:hAnsi="Times New Roman" w:cs="Times New Roman"/>
          <w:bCs/>
          <w:sz w:val="24"/>
          <w:szCs w:val="24"/>
        </w:rPr>
        <w:t xml:space="preserve"> </w:t>
      </w:r>
      <w:r w:rsidRPr="009926F1">
        <w:rPr>
          <w:rFonts w:ascii="Times New Roman" w:eastAsia="Times New Roman" w:hAnsi="Times New Roman" w:cs="Times New Roman"/>
          <w:iCs/>
          <w:sz w:val="24"/>
          <w:szCs w:val="24"/>
        </w:rPr>
        <w:t>vienas personas mājsaimniecībā</w:t>
      </w:r>
      <w:r w:rsidRPr="009926F1">
        <w:rPr>
          <w:rFonts w:ascii="Times New Roman" w:eastAsia="Times New Roman" w:hAnsi="Times New Roman" w:cs="Times New Roman"/>
          <w:bCs/>
          <w:sz w:val="24"/>
          <w:szCs w:val="24"/>
        </w:rPr>
        <w:t xml:space="preserve">. </w:t>
      </w:r>
      <w:r w:rsidR="00D2524F">
        <w:rPr>
          <w:rFonts w:ascii="Times New Roman" w:eastAsia="Times New Roman" w:hAnsi="Times New Roman" w:cs="Times New Roman"/>
          <w:bCs/>
          <w:sz w:val="24"/>
          <w:szCs w:val="24"/>
        </w:rPr>
        <w:t xml:space="preserve">2019. gadā tādu bija 71,7 %, </w:t>
      </w:r>
      <w:r w:rsidRPr="009926F1">
        <w:rPr>
          <w:rFonts w:ascii="Times New Roman" w:eastAsia="Times New Roman" w:hAnsi="Times New Roman" w:cs="Times New Roman"/>
          <w:bCs/>
          <w:sz w:val="24"/>
          <w:szCs w:val="24"/>
        </w:rPr>
        <w:t xml:space="preserve">2018. gadā </w:t>
      </w:r>
      <w:r w:rsidR="00D2524F">
        <w:rPr>
          <w:rFonts w:ascii="Times New Roman" w:eastAsia="Times New Roman" w:hAnsi="Times New Roman" w:cs="Times New Roman"/>
          <w:bCs/>
          <w:sz w:val="24"/>
          <w:szCs w:val="24"/>
        </w:rPr>
        <w:t xml:space="preserve">– </w:t>
      </w:r>
      <w:r w:rsidRPr="009926F1">
        <w:rPr>
          <w:rFonts w:ascii="Times New Roman" w:eastAsia="Times New Roman" w:hAnsi="Times New Roman" w:cs="Times New Roman"/>
          <w:bCs/>
          <w:sz w:val="24"/>
          <w:szCs w:val="24"/>
        </w:rPr>
        <w:t>74,9 %</w:t>
      </w:r>
      <w:r w:rsidR="00D2524F">
        <w:rPr>
          <w:rFonts w:ascii="Times New Roman" w:eastAsia="Times New Roman" w:hAnsi="Times New Roman" w:cs="Times New Roman"/>
          <w:bCs/>
          <w:sz w:val="24"/>
          <w:szCs w:val="24"/>
        </w:rPr>
        <w:t xml:space="preserve">, bet </w:t>
      </w:r>
      <w:r w:rsidRPr="009926F1">
        <w:rPr>
          <w:rFonts w:ascii="Times New Roman" w:eastAsia="Times New Roman" w:hAnsi="Times New Roman" w:cs="Times New Roman"/>
          <w:bCs/>
          <w:sz w:val="24"/>
          <w:szCs w:val="24"/>
        </w:rPr>
        <w:t>2017. gadā – 74,0 %. Otra lielākā nabadzības riskam pakļautā sabiedrības grupa ir šādās mājsaimniecībās dzīvojošas personas vecumā līdz 64 gadiem (</w:t>
      </w:r>
      <w:r w:rsidR="00D10383">
        <w:rPr>
          <w:rFonts w:ascii="Times New Roman" w:eastAsia="Times New Roman" w:hAnsi="Times New Roman" w:cs="Times New Roman"/>
          <w:bCs/>
          <w:sz w:val="24"/>
          <w:szCs w:val="24"/>
        </w:rPr>
        <w:t xml:space="preserve">2019. gadā to bija 30 %, </w:t>
      </w:r>
      <w:r w:rsidRPr="009926F1">
        <w:rPr>
          <w:rFonts w:ascii="Times New Roman" w:eastAsia="Times New Roman" w:hAnsi="Times New Roman" w:cs="Times New Roman"/>
          <w:bCs/>
          <w:sz w:val="24"/>
          <w:szCs w:val="24"/>
        </w:rPr>
        <w:t>2018.</w:t>
      </w:r>
      <w:r w:rsidR="00EA324E" w:rsidRPr="009926F1">
        <w:rPr>
          <w:rFonts w:ascii="Times New Roman" w:eastAsia="Times New Roman" w:hAnsi="Times New Roman" w:cs="Times New Roman"/>
          <w:bCs/>
          <w:sz w:val="24"/>
          <w:szCs w:val="24"/>
        </w:rPr>
        <w:t> </w:t>
      </w:r>
      <w:r w:rsidRPr="009926F1">
        <w:rPr>
          <w:rFonts w:ascii="Times New Roman" w:hAnsi="Times New Roman" w:cs="Times New Roman"/>
          <w:sz w:val="24"/>
          <w:szCs w:val="24"/>
        </w:rPr>
        <w:t>gadā – 31,7 %,</w:t>
      </w:r>
      <w:r w:rsidR="00D10383">
        <w:rPr>
          <w:rFonts w:ascii="Times New Roman" w:hAnsi="Times New Roman" w:cs="Times New Roman"/>
          <w:sz w:val="24"/>
          <w:szCs w:val="24"/>
        </w:rPr>
        <w:t xml:space="preserve"> bet</w:t>
      </w:r>
      <w:r w:rsidRPr="009926F1">
        <w:rPr>
          <w:rFonts w:ascii="Times New Roman" w:hAnsi="Times New Roman" w:cs="Times New Roman"/>
          <w:sz w:val="24"/>
          <w:szCs w:val="24"/>
        </w:rPr>
        <w:t xml:space="preserve"> </w:t>
      </w:r>
      <w:r w:rsidRPr="009926F1">
        <w:rPr>
          <w:rFonts w:ascii="Times New Roman" w:eastAsia="Times New Roman" w:hAnsi="Times New Roman" w:cs="Times New Roman"/>
          <w:bCs/>
          <w:sz w:val="24"/>
          <w:szCs w:val="24"/>
        </w:rPr>
        <w:t>2017. gadā – 31 %). Vismazāk nabadzības riskam pakļauto bija strādājošo iedzīvotāju vidū (</w:t>
      </w:r>
      <w:r w:rsidR="00D10383">
        <w:rPr>
          <w:rFonts w:ascii="Times New Roman" w:eastAsia="Times New Roman" w:hAnsi="Times New Roman" w:cs="Times New Roman"/>
          <w:bCs/>
          <w:sz w:val="24"/>
          <w:szCs w:val="24"/>
        </w:rPr>
        <w:t xml:space="preserve">8,2 % 2019. gadā, </w:t>
      </w:r>
      <w:r w:rsidRPr="009926F1">
        <w:rPr>
          <w:rFonts w:ascii="Times New Roman" w:eastAsia="Times New Roman" w:hAnsi="Times New Roman" w:cs="Times New Roman"/>
          <w:bCs/>
          <w:sz w:val="24"/>
          <w:szCs w:val="24"/>
        </w:rPr>
        <w:t>8,5 % 2018. gadā un 8,1 % 2017. gadā). Savukārt ievērojami vairāk nabadzības riskam bija pakļauti bezdarbnieki (</w:t>
      </w:r>
      <w:r w:rsidR="00D10383">
        <w:rPr>
          <w:rFonts w:ascii="Times New Roman" w:eastAsia="Times New Roman" w:hAnsi="Times New Roman" w:cs="Times New Roman"/>
          <w:bCs/>
          <w:sz w:val="24"/>
          <w:szCs w:val="24"/>
        </w:rPr>
        <w:t xml:space="preserve">52,1 % 2019. gadā, </w:t>
      </w:r>
      <w:r w:rsidRPr="009926F1">
        <w:rPr>
          <w:rFonts w:ascii="Times New Roman" w:eastAsia="Times New Roman" w:hAnsi="Times New Roman" w:cs="Times New Roman"/>
          <w:bCs/>
          <w:sz w:val="24"/>
          <w:szCs w:val="24"/>
        </w:rPr>
        <w:t>57,7 % 2018. gadā un 59,5 % 2017. gadā) un pensionāri (</w:t>
      </w:r>
      <w:r w:rsidR="00D10383">
        <w:rPr>
          <w:rFonts w:ascii="Times New Roman" w:eastAsia="Times New Roman" w:hAnsi="Times New Roman" w:cs="Times New Roman"/>
          <w:bCs/>
          <w:sz w:val="24"/>
          <w:szCs w:val="24"/>
        </w:rPr>
        <w:t xml:space="preserve">46,5 % 2019. gadā, </w:t>
      </w:r>
      <w:r w:rsidRPr="009926F1">
        <w:rPr>
          <w:rFonts w:ascii="Times New Roman" w:eastAsia="Times New Roman" w:hAnsi="Times New Roman" w:cs="Times New Roman"/>
          <w:bCs/>
          <w:sz w:val="24"/>
          <w:szCs w:val="24"/>
        </w:rPr>
        <w:t>52,5 % 2018. gadā un 48,9 % 2017. gadā)</w:t>
      </w:r>
      <w:r w:rsidRPr="009926F1">
        <w:rPr>
          <w:rFonts w:ascii="Times New Roman" w:eastAsia="Times New Roman" w:hAnsi="Times New Roman" w:cs="Times New Roman"/>
          <w:bCs/>
          <w:sz w:val="24"/>
          <w:szCs w:val="24"/>
          <w:vertAlign w:val="superscript"/>
        </w:rPr>
        <w:t>2</w:t>
      </w:r>
      <w:r w:rsidRPr="009926F1">
        <w:rPr>
          <w:rFonts w:ascii="Times New Roman" w:eastAsia="Times New Roman" w:hAnsi="Times New Roman" w:cs="Times New Roman"/>
          <w:bCs/>
          <w:sz w:val="24"/>
          <w:szCs w:val="24"/>
        </w:rPr>
        <w:t>.</w:t>
      </w:r>
      <w:r w:rsidR="00BA04E4" w:rsidRPr="009926F1">
        <w:rPr>
          <w:rFonts w:ascii="Times New Roman" w:eastAsia="Times New Roman" w:hAnsi="Times New Roman" w:cs="Times New Roman"/>
          <w:bCs/>
          <w:sz w:val="24"/>
          <w:szCs w:val="24"/>
        </w:rPr>
        <w:t xml:space="preserve"> </w:t>
      </w:r>
      <w:r w:rsidR="008E6280">
        <w:rPr>
          <w:rFonts w:ascii="Times New Roman" w:eastAsia="Times New Roman" w:hAnsi="Times New Roman" w:cs="Times New Roman"/>
          <w:bCs/>
          <w:sz w:val="24"/>
          <w:szCs w:val="24"/>
        </w:rPr>
        <w:t xml:space="preserve">Atzīmējams, ka pēdējos trīs gados vērojama pakāpeniska uzlabošanās visos iepriekš minētajos rādītājos. Turpretim </w:t>
      </w:r>
      <w:r w:rsidRPr="009926F1">
        <w:rPr>
          <w:rFonts w:ascii="Times New Roman" w:hAnsi="Times New Roman" w:cs="Times New Roman"/>
          <w:bCs/>
          <w:sz w:val="24"/>
          <w:szCs w:val="24"/>
        </w:rPr>
        <w:t>nepilno un daudzbērnu ģimeņu nabadzības risk</w:t>
      </w:r>
      <w:r w:rsidR="008E6280">
        <w:rPr>
          <w:rFonts w:ascii="Times New Roman" w:hAnsi="Times New Roman" w:cs="Times New Roman"/>
          <w:bCs/>
          <w:sz w:val="24"/>
          <w:szCs w:val="24"/>
        </w:rPr>
        <w:t xml:space="preserve">a rādītājs no 2018. gadā </w:t>
      </w:r>
      <w:r w:rsidR="0055226D">
        <w:rPr>
          <w:rFonts w:ascii="Times New Roman" w:hAnsi="Times New Roman" w:cs="Times New Roman"/>
          <w:bCs/>
          <w:sz w:val="24"/>
          <w:szCs w:val="24"/>
        </w:rPr>
        <w:t xml:space="preserve">samazinājuma </w:t>
      </w:r>
      <w:r w:rsidR="008E6280">
        <w:rPr>
          <w:rFonts w:ascii="Times New Roman" w:hAnsi="Times New Roman" w:cs="Times New Roman"/>
          <w:bCs/>
          <w:sz w:val="24"/>
          <w:szCs w:val="24"/>
        </w:rPr>
        <w:t>atkal pakāpās 2019. gadā</w:t>
      </w:r>
      <w:r w:rsidRPr="009926F1">
        <w:rPr>
          <w:rFonts w:ascii="Times New Roman" w:hAnsi="Times New Roman" w:cs="Times New Roman"/>
          <w:bCs/>
          <w:sz w:val="24"/>
          <w:szCs w:val="24"/>
        </w:rPr>
        <w:t>. Nabadzības riska</w:t>
      </w:r>
      <w:r w:rsidR="00EA324E" w:rsidRPr="009926F1">
        <w:rPr>
          <w:rFonts w:ascii="Times New Roman" w:hAnsi="Times New Roman" w:cs="Times New Roman"/>
          <w:bCs/>
          <w:sz w:val="24"/>
          <w:szCs w:val="24"/>
        </w:rPr>
        <w:t>m</w:t>
      </w:r>
      <w:r w:rsidR="00440D17">
        <w:rPr>
          <w:rFonts w:ascii="Times New Roman" w:hAnsi="Times New Roman" w:cs="Times New Roman"/>
          <w:bCs/>
          <w:sz w:val="24"/>
          <w:szCs w:val="24"/>
        </w:rPr>
        <w:t xml:space="preserve"> 2017. gadā </w:t>
      </w:r>
      <w:r w:rsidR="00440D17" w:rsidRPr="009926F1">
        <w:rPr>
          <w:rFonts w:ascii="Times New Roman" w:hAnsi="Times New Roman" w:cs="Times New Roman"/>
          <w:bCs/>
          <w:sz w:val="24"/>
          <w:szCs w:val="24"/>
        </w:rPr>
        <w:t xml:space="preserve">bija pakļauti </w:t>
      </w:r>
      <w:r w:rsidR="00440D17">
        <w:rPr>
          <w:rFonts w:ascii="Times New Roman" w:hAnsi="Times New Roman" w:cs="Times New Roman"/>
          <w:bCs/>
          <w:sz w:val="24"/>
          <w:szCs w:val="24"/>
        </w:rPr>
        <w:t xml:space="preserve">32,6 % </w:t>
      </w:r>
      <w:r w:rsidR="00440D17" w:rsidRPr="009926F1">
        <w:rPr>
          <w:rFonts w:ascii="Times New Roman" w:hAnsi="Times New Roman" w:cs="Times New Roman"/>
          <w:bCs/>
          <w:sz w:val="24"/>
          <w:szCs w:val="24"/>
        </w:rPr>
        <w:t>ģimeņu ar vienu pieaugušo un bērniem</w:t>
      </w:r>
      <w:r w:rsidR="00440D17">
        <w:rPr>
          <w:rFonts w:ascii="Times New Roman" w:hAnsi="Times New Roman" w:cs="Times New Roman"/>
          <w:bCs/>
          <w:sz w:val="24"/>
          <w:szCs w:val="24"/>
        </w:rPr>
        <w:t>,</w:t>
      </w:r>
      <w:r w:rsidR="00440D17" w:rsidRPr="009926F1">
        <w:rPr>
          <w:rFonts w:ascii="Times New Roman" w:hAnsi="Times New Roman" w:cs="Times New Roman"/>
          <w:bCs/>
          <w:sz w:val="24"/>
          <w:szCs w:val="24"/>
        </w:rPr>
        <w:t xml:space="preserve"> </w:t>
      </w:r>
      <w:r w:rsidR="00EA324E" w:rsidRPr="009926F1">
        <w:rPr>
          <w:rFonts w:ascii="Times New Roman" w:hAnsi="Times New Roman" w:cs="Times New Roman"/>
          <w:bCs/>
          <w:sz w:val="24"/>
          <w:szCs w:val="24"/>
        </w:rPr>
        <w:t>2018. gadā</w:t>
      </w:r>
      <w:r w:rsidR="00DC3E8B">
        <w:rPr>
          <w:rFonts w:ascii="Times New Roman" w:hAnsi="Times New Roman" w:cs="Times New Roman"/>
          <w:bCs/>
          <w:sz w:val="24"/>
          <w:szCs w:val="24"/>
        </w:rPr>
        <w:t xml:space="preserve"> to īpatsvars</w:t>
      </w:r>
      <w:r w:rsidR="00440D17">
        <w:rPr>
          <w:rFonts w:ascii="Times New Roman" w:hAnsi="Times New Roman" w:cs="Times New Roman"/>
          <w:bCs/>
          <w:sz w:val="24"/>
          <w:szCs w:val="24"/>
        </w:rPr>
        <w:t xml:space="preserve"> </w:t>
      </w:r>
      <w:r w:rsidR="00DC3E8B">
        <w:rPr>
          <w:rFonts w:ascii="Times New Roman" w:hAnsi="Times New Roman" w:cs="Times New Roman"/>
          <w:bCs/>
          <w:sz w:val="24"/>
          <w:szCs w:val="24"/>
        </w:rPr>
        <w:t xml:space="preserve">samazinājās līdz </w:t>
      </w:r>
      <w:r w:rsidR="00440D17">
        <w:rPr>
          <w:rFonts w:ascii="Times New Roman" w:hAnsi="Times New Roman" w:cs="Times New Roman"/>
          <w:bCs/>
          <w:sz w:val="24"/>
          <w:szCs w:val="24"/>
        </w:rPr>
        <w:t>26,2 %, bet</w:t>
      </w:r>
      <w:r w:rsidR="00EA324E" w:rsidRPr="009926F1">
        <w:rPr>
          <w:rFonts w:ascii="Times New Roman" w:hAnsi="Times New Roman" w:cs="Times New Roman"/>
          <w:bCs/>
          <w:sz w:val="24"/>
          <w:szCs w:val="24"/>
        </w:rPr>
        <w:t xml:space="preserve"> </w:t>
      </w:r>
      <w:r w:rsidRPr="009926F1">
        <w:rPr>
          <w:rFonts w:ascii="Times New Roman" w:hAnsi="Times New Roman" w:cs="Times New Roman"/>
          <w:bCs/>
          <w:sz w:val="24"/>
          <w:szCs w:val="24"/>
        </w:rPr>
        <w:t>201</w:t>
      </w:r>
      <w:r w:rsidR="00440D17">
        <w:rPr>
          <w:rFonts w:ascii="Times New Roman" w:hAnsi="Times New Roman" w:cs="Times New Roman"/>
          <w:bCs/>
          <w:sz w:val="24"/>
          <w:szCs w:val="24"/>
        </w:rPr>
        <w:t>9</w:t>
      </w:r>
      <w:r w:rsidRPr="009926F1">
        <w:rPr>
          <w:rFonts w:ascii="Times New Roman" w:hAnsi="Times New Roman" w:cs="Times New Roman"/>
          <w:bCs/>
          <w:sz w:val="24"/>
          <w:szCs w:val="24"/>
        </w:rPr>
        <w:t xml:space="preserve">. gadā </w:t>
      </w:r>
      <w:r w:rsidR="00DC3E8B">
        <w:rPr>
          <w:rFonts w:ascii="Times New Roman" w:hAnsi="Times New Roman" w:cs="Times New Roman"/>
          <w:bCs/>
          <w:sz w:val="24"/>
          <w:szCs w:val="24"/>
        </w:rPr>
        <w:t>tas atkal pieauga (</w:t>
      </w:r>
      <w:r w:rsidR="00440D17">
        <w:rPr>
          <w:rFonts w:ascii="Times New Roman" w:hAnsi="Times New Roman" w:cs="Times New Roman"/>
          <w:bCs/>
          <w:sz w:val="24"/>
          <w:szCs w:val="24"/>
        </w:rPr>
        <w:t>30,6 %</w:t>
      </w:r>
      <w:r w:rsidR="00DC3E8B">
        <w:rPr>
          <w:rFonts w:ascii="Times New Roman" w:hAnsi="Times New Roman" w:cs="Times New Roman"/>
          <w:bCs/>
          <w:sz w:val="24"/>
          <w:szCs w:val="24"/>
        </w:rPr>
        <w:t>)</w:t>
      </w:r>
      <w:r w:rsidR="00440D17">
        <w:rPr>
          <w:rFonts w:ascii="Times New Roman" w:hAnsi="Times New Roman" w:cs="Times New Roman"/>
          <w:bCs/>
          <w:sz w:val="24"/>
          <w:szCs w:val="24"/>
        </w:rPr>
        <w:t xml:space="preserve">. </w:t>
      </w:r>
      <w:r w:rsidRPr="009926F1">
        <w:rPr>
          <w:rFonts w:ascii="Times New Roman" w:hAnsi="Times New Roman" w:cs="Times New Roman"/>
          <w:bCs/>
          <w:sz w:val="24"/>
          <w:szCs w:val="24"/>
        </w:rPr>
        <w:t xml:space="preserve"> </w:t>
      </w:r>
      <w:r w:rsidR="00996D9B">
        <w:rPr>
          <w:rFonts w:ascii="Times New Roman" w:hAnsi="Times New Roman" w:cs="Times New Roman"/>
          <w:bCs/>
          <w:sz w:val="24"/>
          <w:szCs w:val="24"/>
        </w:rPr>
        <w:t>Līdzīga tendence ir vērojama</w:t>
      </w:r>
      <w:r w:rsidRPr="009926F1">
        <w:rPr>
          <w:rFonts w:ascii="Times New Roman" w:hAnsi="Times New Roman" w:cs="Times New Roman"/>
          <w:bCs/>
          <w:sz w:val="24"/>
          <w:szCs w:val="24"/>
        </w:rPr>
        <w:t xml:space="preserve"> </w:t>
      </w:r>
      <w:r w:rsidR="00996D9B">
        <w:rPr>
          <w:rFonts w:ascii="Times New Roman" w:hAnsi="Times New Roman" w:cs="Times New Roman"/>
          <w:bCs/>
          <w:sz w:val="24"/>
          <w:szCs w:val="24"/>
        </w:rPr>
        <w:t xml:space="preserve">arī </w:t>
      </w:r>
      <w:r w:rsidRPr="009926F1">
        <w:rPr>
          <w:rFonts w:ascii="Times New Roman" w:hAnsi="Times New Roman" w:cs="Times New Roman"/>
          <w:bCs/>
          <w:sz w:val="24"/>
          <w:szCs w:val="24"/>
        </w:rPr>
        <w:t>daudzbērnu ģimen</w:t>
      </w:r>
      <w:r w:rsidR="00996D9B">
        <w:rPr>
          <w:rFonts w:ascii="Times New Roman" w:hAnsi="Times New Roman" w:cs="Times New Roman"/>
          <w:bCs/>
          <w:sz w:val="24"/>
          <w:szCs w:val="24"/>
        </w:rPr>
        <w:t>ēm</w:t>
      </w:r>
      <w:r w:rsidRPr="009926F1">
        <w:rPr>
          <w:rFonts w:ascii="Times New Roman" w:hAnsi="Times New Roman" w:cs="Times New Roman"/>
          <w:bCs/>
          <w:sz w:val="24"/>
          <w:szCs w:val="24"/>
        </w:rPr>
        <w:t xml:space="preserve"> ar diviem pieaugušajiem un trim vai vairāk bērniem</w:t>
      </w:r>
      <w:r w:rsidR="00996D9B">
        <w:rPr>
          <w:rFonts w:ascii="Times New Roman" w:hAnsi="Times New Roman" w:cs="Times New Roman"/>
          <w:bCs/>
          <w:sz w:val="24"/>
          <w:szCs w:val="24"/>
        </w:rPr>
        <w:t>:</w:t>
      </w:r>
      <w:r w:rsidRPr="009926F1">
        <w:rPr>
          <w:rFonts w:ascii="Times New Roman" w:hAnsi="Times New Roman" w:cs="Times New Roman"/>
          <w:bCs/>
          <w:sz w:val="24"/>
          <w:szCs w:val="24"/>
        </w:rPr>
        <w:t xml:space="preserve"> 2017. gadā – 20,7 %</w:t>
      </w:r>
      <w:r w:rsidR="00996D9B">
        <w:rPr>
          <w:rFonts w:ascii="Times New Roman" w:hAnsi="Times New Roman" w:cs="Times New Roman"/>
          <w:bCs/>
          <w:sz w:val="24"/>
          <w:szCs w:val="24"/>
        </w:rPr>
        <w:t>, 2018. gadā – 16,7 %, 2019. gadā – 17,7 %</w:t>
      </w:r>
      <w:r w:rsidRPr="009926F1">
        <w:rPr>
          <w:rFonts w:ascii="Times New Roman" w:hAnsi="Times New Roman" w:cs="Times New Roman"/>
          <w:bCs/>
          <w:sz w:val="24"/>
          <w:szCs w:val="24"/>
        </w:rPr>
        <w:t xml:space="preserve">. </w:t>
      </w:r>
      <w:r w:rsidRPr="009926F1">
        <w:rPr>
          <w:rStyle w:val="FootnoteReference"/>
          <w:rFonts w:ascii="Times New Roman" w:hAnsi="Times New Roman" w:cs="Times New Roman"/>
          <w:bCs/>
          <w:sz w:val="24"/>
          <w:szCs w:val="24"/>
        </w:rPr>
        <w:footnoteReference w:id="3"/>
      </w:r>
      <w:r w:rsidRPr="009926F1">
        <w:rPr>
          <w:rFonts w:ascii="Times New Roman" w:hAnsi="Times New Roman" w:cs="Times New Roman"/>
          <w:bCs/>
          <w:sz w:val="24"/>
          <w:szCs w:val="24"/>
        </w:rPr>
        <w:t xml:space="preserve"> </w:t>
      </w:r>
    </w:p>
    <w:p w14:paraId="66CAA6CD" w14:textId="4D223FC1" w:rsidR="00D27AF9" w:rsidRPr="000D5DBF" w:rsidRDefault="00D27AF9"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sz w:val="24"/>
          <w:szCs w:val="24"/>
        </w:rPr>
        <w:t>Latvijā ir arī viens no visaugstākajiem dziļas materiālās nenodrošinātības rādītājiem ES. Lai gan iedzīvotāju dziļas materiālās nenodrošinātības rādītāja izmaiņas Latvijā liecina par situācijas uzlabošanos (no 16,4 % 2015. gadā uz 7,</w:t>
      </w:r>
      <w:r w:rsidR="00E0684A">
        <w:rPr>
          <w:rFonts w:ascii="Times New Roman" w:hAnsi="Times New Roman" w:cs="Times New Roman"/>
          <w:sz w:val="24"/>
          <w:szCs w:val="24"/>
        </w:rPr>
        <w:t>3</w:t>
      </w:r>
      <w:r w:rsidRPr="000D5DBF">
        <w:rPr>
          <w:rFonts w:ascii="Times New Roman" w:hAnsi="Times New Roman" w:cs="Times New Roman"/>
          <w:sz w:val="24"/>
          <w:szCs w:val="24"/>
        </w:rPr>
        <w:t> % 2019. gadā</w:t>
      </w:r>
      <w:r w:rsidR="00E0684A">
        <w:rPr>
          <w:rFonts w:ascii="Times New Roman" w:hAnsi="Times New Roman" w:cs="Times New Roman"/>
          <w:sz w:val="24"/>
          <w:szCs w:val="24"/>
        </w:rPr>
        <w:t>),</w:t>
      </w:r>
      <w:r w:rsidR="00E0684A" w:rsidRPr="00E0684A">
        <w:rPr>
          <w:rFonts w:ascii="Times New Roman" w:hAnsi="Times New Roman" w:cs="Times New Roman"/>
          <w:sz w:val="24"/>
          <w:szCs w:val="24"/>
        </w:rPr>
        <w:t xml:space="preserve"> </w:t>
      </w:r>
      <w:r w:rsidR="00E0684A" w:rsidRPr="000D5DBF">
        <w:rPr>
          <w:rFonts w:ascii="Times New Roman" w:hAnsi="Times New Roman" w:cs="Times New Roman"/>
          <w:sz w:val="24"/>
          <w:szCs w:val="24"/>
        </w:rPr>
        <w:t>tas joprojām pārsniedz ES vidējos rādītājus (5,</w:t>
      </w:r>
      <w:r w:rsidR="00E0684A">
        <w:rPr>
          <w:rFonts w:ascii="Times New Roman" w:hAnsi="Times New Roman" w:cs="Times New Roman"/>
          <w:sz w:val="24"/>
          <w:szCs w:val="24"/>
        </w:rPr>
        <w:t>4</w:t>
      </w:r>
      <w:r w:rsidR="00E0684A" w:rsidRPr="000D5DBF">
        <w:rPr>
          <w:rFonts w:ascii="Times New Roman" w:hAnsi="Times New Roman" w:cs="Times New Roman"/>
          <w:sz w:val="24"/>
          <w:szCs w:val="24"/>
        </w:rPr>
        <w:t> %).</w:t>
      </w:r>
      <w:r w:rsidRPr="000D5DBF">
        <w:rPr>
          <w:rStyle w:val="FootnoteReference"/>
          <w:rFonts w:ascii="Times New Roman" w:hAnsi="Times New Roman" w:cs="Times New Roman"/>
          <w:sz w:val="24"/>
          <w:szCs w:val="24"/>
        </w:rPr>
        <w:footnoteReference w:id="4"/>
      </w:r>
      <w:r w:rsidRPr="000D5DBF">
        <w:rPr>
          <w:rFonts w:ascii="Times New Roman" w:hAnsi="Times New Roman" w:cs="Times New Roman"/>
          <w:sz w:val="24"/>
          <w:szCs w:val="24"/>
        </w:rPr>
        <w:t xml:space="preserve"> Turklāt, vērtējot šo rādītāju par mājsaimniecību tipiem, secināts, ka grupā “</w:t>
      </w:r>
      <w:r w:rsidRPr="000D5DBF">
        <w:rPr>
          <w:rFonts w:ascii="Times New Roman" w:hAnsi="Times New Roman" w:cs="Times New Roman"/>
          <w:bCs/>
          <w:sz w:val="24"/>
          <w:szCs w:val="24"/>
        </w:rPr>
        <w:t>Viens pieaugušais ar bērniem”</w:t>
      </w:r>
      <w:r w:rsidRPr="000D5DBF">
        <w:rPr>
          <w:rFonts w:ascii="Times New Roman" w:hAnsi="Times New Roman" w:cs="Times New Roman"/>
          <w:sz w:val="24"/>
          <w:szCs w:val="24"/>
        </w:rPr>
        <w:t xml:space="preserve"> nenodrošinātības īpatsvars 2019. gadā bija tāds pats kā grupai “Viena persona 65+” (abām grupām 15,3 %)</w:t>
      </w:r>
      <w:r w:rsidRPr="000D5DBF">
        <w:rPr>
          <w:rStyle w:val="FootnoteReference"/>
          <w:rFonts w:ascii="Times New Roman" w:hAnsi="Times New Roman" w:cs="Times New Roman"/>
          <w:sz w:val="24"/>
          <w:szCs w:val="24"/>
        </w:rPr>
        <w:footnoteReference w:id="5"/>
      </w:r>
      <w:r w:rsidRPr="000D5DBF">
        <w:rPr>
          <w:rFonts w:ascii="Times New Roman" w:hAnsi="Times New Roman" w:cs="Times New Roman"/>
          <w:sz w:val="24"/>
          <w:szCs w:val="24"/>
        </w:rPr>
        <w:t xml:space="preserve">. </w:t>
      </w:r>
      <w:r w:rsidR="004F723A">
        <w:rPr>
          <w:rFonts w:ascii="Times New Roman" w:hAnsi="Times New Roman" w:cs="Times New Roman"/>
          <w:bCs/>
          <w:sz w:val="24"/>
          <w:szCs w:val="24"/>
        </w:rPr>
        <w:t>Savukārt</w:t>
      </w:r>
      <w:r w:rsidR="009D7B5E">
        <w:rPr>
          <w:rFonts w:ascii="Times New Roman" w:hAnsi="Times New Roman" w:cs="Times New Roman"/>
          <w:bCs/>
          <w:sz w:val="24"/>
          <w:szCs w:val="24"/>
        </w:rPr>
        <w:t xml:space="preserve"> vērtējot situāciju</w:t>
      </w:r>
      <w:r w:rsidR="004F723A">
        <w:rPr>
          <w:rFonts w:ascii="Times New Roman" w:hAnsi="Times New Roman" w:cs="Times New Roman"/>
          <w:bCs/>
          <w:sz w:val="24"/>
          <w:szCs w:val="24"/>
        </w:rPr>
        <w:t xml:space="preserve"> grupā </w:t>
      </w:r>
      <w:r w:rsidR="00D51354" w:rsidRPr="009926F1">
        <w:rPr>
          <w:rFonts w:ascii="Times New Roman" w:hAnsi="Times New Roman" w:cs="Times New Roman"/>
          <w:bCs/>
          <w:sz w:val="24"/>
          <w:szCs w:val="24"/>
        </w:rPr>
        <w:t>“Mājsaimniecību īpatsvars zem minimālā ienākuma līmeņa pēc mājsaimniecības tipa un darba intensitātes”</w:t>
      </w:r>
      <w:r w:rsidR="00D51354" w:rsidRPr="009926F1">
        <w:rPr>
          <w:rFonts w:ascii="Times New Roman" w:hAnsi="Times New Roman" w:cs="Times New Roman"/>
          <w:bCs/>
          <w:sz w:val="24"/>
          <w:szCs w:val="24"/>
          <w:vertAlign w:val="superscript"/>
        </w:rPr>
        <w:footnoteReference w:id="6"/>
      </w:r>
      <w:r w:rsidR="004F723A">
        <w:rPr>
          <w:rFonts w:ascii="Times New Roman" w:hAnsi="Times New Roman" w:cs="Times New Roman"/>
          <w:bCs/>
          <w:sz w:val="24"/>
          <w:szCs w:val="24"/>
        </w:rPr>
        <w:t xml:space="preserve"> </w:t>
      </w:r>
      <w:r w:rsidR="009D7B5E">
        <w:rPr>
          <w:rFonts w:ascii="Times New Roman" w:hAnsi="Times New Roman" w:cs="Times New Roman"/>
          <w:bCs/>
          <w:sz w:val="24"/>
          <w:szCs w:val="24"/>
        </w:rPr>
        <w:t>secināts</w:t>
      </w:r>
      <w:r w:rsidR="00D51354" w:rsidRPr="009926F1">
        <w:rPr>
          <w:rFonts w:ascii="Times New Roman" w:hAnsi="Times New Roman" w:cs="Times New Roman"/>
          <w:bCs/>
          <w:sz w:val="24"/>
          <w:szCs w:val="24"/>
        </w:rPr>
        <w:t xml:space="preserve">, ka  vienas personas </w:t>
      </w:r>
      <w:r w:rsidR="00D51354" w:rsidRPr="009926F1">
        <w:rPr>
          <w:rFonts w:ascii="Times New Roman" w:hAnsi="Times New Roman" w:cs="Times New Roman"/>
          <w:bCs/>
          <w:sz w:val="24"/>
          <w:szCs w:val="24"/>
        </w:rPr>
        <w:lastRenderedPageBreak/>
        <w:t xml:space="preserve">mājsaimniecībām </w:t>
      </w:r>
      <w:r w:rsidR="009D7B5E">
        <w:rPr>
          <w:rFonts w:ascii="Times New Roman" w:hAnsi="Times New Roman" w:cs="Times New Roman"/>
          <w:bCs/>
          <w:sz w:val="24"/>
          <w:szCs w:val="24"/>
        </w:rPr>
        <w:t xml:space="preserve">vecumā </w:t>
      </w:r>
      <w:r w:rsidR="003A1F2A">
        <w:rPr>
          <w:rFonts w:ascii="Times New Roman" w:hAnsi="Times New Roman" w:cs="Times New Roman"/>
          <w:bCs/>
          <w:sz w:val="24"/>
          <w:szCs w:val="24"/>
        </w:rPr>
        <w:t>65 </w:t>
      </w:r>
      <w:r w:rsidR="00D51354" w:rsidRPr="009926F1">
        <w:rPr>
          <w:rFonts w:ascii="Times New Roman" w:hAnsi="Times New Roman" w:cs="Times New Roman"/>
          <w:bCs/>
          <w:sz w:val="24"/>
          <w:szCs w:val="24"/>
        </w:rPr>
        <w:t>gadi un vecākas ienākumu īpatsvars zem minimālā ienākuma līmeņa 2019.</w:t>
      </w:r>
      <w:r w:rsidR="009D7B5E">
        <w:rPr>
          <w:rFonts w:ascii="Times New Roman" w:hAnsi="Times New Roman" w:cs="Times New Roman"/>
          <w:bCs/>
          <w:sz w:val="24"/>
          <w:szCs w:val="24"/>
        </w:rPr>
        <w:t> </w:t>
      </w:r>
      <w:r w:rsidR="00D51354" w:rsidRPr="009926F1">
        <w:rPr>
          <w:rFonts w:ascii="Times New Roman" w:hAnsi="Times New Roman" w:cs="Times New Roman"/>
          <w:bCs/>
          <w:sz w:val="24"/>
          <w:szCs w:val="24"/>
        </w:rPr>
        <w:t>gadā ir bijis 7,1</w:t>
      </w:r>
      <w:r w:rsidR="009D7B5E">
        <w:rPr>
          <w:rFonts w:ascii="Times New Roman" w:hAnsi="Times New Roman" w:cs="Times New Roman"/>
          <w:bCs/>
          <w:sz w:val="24"/>
          <w:szCs w:val="24"/>
        </w:rPr>
        <w:t xml:space="preserve"> % gadījumu, bet </w:t>
      </w:r>
      <w:r w:rsidR="00D51354" w:rsidRPr="009926F1">
        <w:rPr>
          <w:rFonts w:ascii="Times New Roman" w:hAnsi="Times New Roman" w:cs="Times New Roman"/>
          <w:bCs/>
          <w:sz w:val="24"/>
          <w:szCs w:val="24"/>
        </w:rPr>
        <w:t>mājsaimniecībām ar diviem pieaugušajiem un diviem apgādībā esoši bērniem</w:t>
      </w:r>
      <w:r w:rsidR="009D7B5E">
        <w:rPr>
          <w:rFonts w:ascii="Times New Roman" w:hAnsi="Times New Roman" w:cs="Times New Roman"/>
          <w:bCs/>
          <w:sz w:val="24"/>
          <w:szCs w:val="24"/>
        </w:rPr>
        <w:t xml:space="preserve"> šis lielums bija</w:t>
      </w:r>
      <w:r w:rsidR="00D51354" w:rsidRPr="009926F1">
        <w:rPr>
          <w:rFonts w:ascii="Times New Roman" w:hAnsi="Times New Roman" w:cs="Times New Roman"/>
          <w:bCs/>
          <w:sz w:val="24"/>
          <w:szCs w:val="24"/>
        </w:rPr>
        <w:t xml:space="preserve"> 8,5</w:t>
      </w:r>
      <w:r w:rsidR="009D7B5E">
        <w:rPr>
          <w:rFonts w:ascii="Times New Roman" w:hAnsi="Times New Roman" w:cs="Times New Roman"/>
          <w:bCs/>
          <w:sz w:val="24"/>
          <w:szCs w:val="24"/>
        </w:rPr>
        <w:t> </w:t>
      </w:r>
      <w:r w:rsidR="00D51354" w:rsidRPr="009926F1">
        <w:rPr>
          <w:rFonts w:ascii="Times New Roman" w:hAnsi="Times New Roman" w:cs="Times New Roman"/>
          <w:bCs/>
          <w:sz w:val="24"/>
          <w:szCs w:val="24"/>
        </w:rPr>
        <w:t>%, mājsaimniecībām ar diviem pieaugušajiem un trijiem apgādībā esoši bērniem – 10,1</w:t>
      </w:r>
      <w:r w:rsidR="009D7B5E">
        <w:rPr>
          <w:rFonts w:ascii="Times New Roman" w:hAnsi="Times New Roman" w:cs="Times New Roman"/>
          <w:bCs/>
          <w:sz w:val="24"/>
          <w:szCs w:val="24"/>
        </w:rPr>
        <w:t> </w:t>
      </w:r>
      <w:r w:rsidR="00D51354" w:rsidRPr="009926F1">
        <w:rPr>
          <w:rFonts w:ascii="Times New Roman" w:hAnsi="Times New Roman" w:cs="Times New Roman"/>
          <w:bCs/>
          <w:sz w:val="24"/>
          <w:szCs w:val="24"/>
        </w:rPr>
        <w:t>% un viena pieaugušā mājsaimniecībām ar</w:t>
      </w:r>
      <w:r w:rsidR="009D7B5E">
        <w:rPr>
          <w:rFonts w:ascii="Times New Roman" w:hAnsi="Times New Roman" w:cs="Times New Roman"/>
          <w:bCs/>
          <w:sz w:val="24"/>
          <w:szCs w:val="24"/>
        </w:rPr>
        <w:t xml:space="preserve"> bērniem – </w:t>
      </w:r>
      <w:r w:rsidR="00D51354" w:rsidRPr="009926F1">
        <w:rPr>
          <w:rFonts w:ascii="Times New Roman" w:hAnsi="Times New Roman" w:cs="Times New Roman"/>
          <w:bCs/>
          <w:sz w:val="24"/>
          <w:szCs w:val="24"/>
        </w:rPr>
        <w:t>17,3</w:t>
      </w:r>
      <w:r w:rsidR="009D7B5E">
        <w:rPr>
          <w:rFonts w:ascii="Times New Roman" w:hAnsi="Times New Roman" w:cs="Times New Roman"/>
          <w:bCs/>
          <w:sz w:val="24"/>
          <w:szCs w:val="24"/>
        </w:rPr>
        <w:t> </w:t>
      </w:r>
      <w:r w:rsidR="00D51354" w:rsidRPr="009926F1">
        <w:rPr>
          <w:rFonts w:ascii="Times New Roman" w:hAnsi="Times New Roman" w:cs="Times New Roman"/>
          <w:bCs/>
          <w:sz w:val="24"/>
          <w:szCs w:val="24"/>
        </w:rPr>
        <w:t>%. Viena pieaugušā mājsaimniecībām ar bērniem ir arī augstākais risks naudas trūkuma dēļ nespēt segt komunālo pakalpojumu rēķinus, īri vai atmaksāt kredītu</w:t>
      </w:r>
      <w:r w:rsidR="00D51354" w:rsidRPr="009926F1">
        <w:rPr>
          <w:rFonts w:ascii="Times New Roman" w:hAnsi="Times New Roman" w:cs="Times New Roman"/>
          <w:bCs/>
          <w:sz w:val="24"/>
          <w:szCs w:val="24"/>
          <w:vertAlign w:val="superscript"/>
        </w:rPr>
        <w:footnoteReference w:id="7"/>
      </w:r>
      <w:r w:rsidR="00D51354" w:rsidRPr="009926F1">
        <w:rPr>
          <w:rFonts w:ascii="Times New Roman" w:hAnsi="Times New Roman" w:cs="Times New Roman"/>
          <w:bCs/>
          <w:sz w:val="24"/>
          <w:szCs w:val="24"/>
        </w:rPr>
        <w:t>.</w:t>
      </w:r>
    </w:p>
    <w:p w14:paraId="076DE99B" w14:textId="77777777" w:rsidR="00B310FD" w:rsidRDefault="00D27AF9"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bCs/>
          <w:sz w:val="24"/>
          <w:szCs w:val="24"/>
        </w:rPr>
        <w:t>LM apkopotie dati par vistrūcīgākajām personām un pašvaldību sociālo pabalstu saņēmējiem norāda uz iedzīvotāju skaitu, kam ir īpaši apgrūtināta pamatvajadzību apmierināšana. 2019.</w:t>
      </w:r>
      <w:r w:rsidR="00EA324E" w:rsidRPr="000D5DBF">
        <w:rPr>
          <w:rFonts w:ascii="Times New Roman" w:hAnsi="Times New Roman" w:cs="Times New Roman"/>
          <w:bCs/>
          <w:sz w:val="24"/>
          <w:szCs w:val="24"/>
        </w:rPr>
        <w:t> </w:t>
      </w:r>
      <w:r w:rsidRPr="000D5DBF">
        <w:rPr>
          <w:rFonts w:ascii="Times New Roman" w:hAnsi="Times New Roman" w:cs="Times New Roman"/>
          <w:bCs/>
          <w:sz w:val="24"/>
          <w:szCs w:val="24"/>
        </w:rPr>
        <w:t>gada laikā trūcīgas persona</w:t>
      </w:r>
      <w:r w:rsidR="00EA324E" w:rsidRPr="000D5DBF">
        <w:rPr>
          <w:rFonts w:ascii="Times New Roman" w:hAnsi="Times New Roman" w:cs="Times New Roman"/>
          <w:bCs/>
          <w:sz w:val="24"/>
          <w:szCs w:val="24"/>
        </w:rPr>
        <w:t>s statuss tika piešķirts 41 522 </w:t>
      </w:r>
      <w:r w:rsidRPr="000D5DBF">
        <w:rPr>
          <w:rFonts w:ascii="Times New Roman" w:hAnsi="Times New Roman" w:cs="Times New Roman"/>
          <w:bCs/>
          <w:sz w:val="24"/>
          <w:szCs w:val="24"/>
        </w:rPr>
        <w:t>personām, t.sk. 10 349 bērniem (24,9</w:t>
      </w:r>
      <w:r w:rsidR="00EA324E" w:rsidRPr="000D5DBF">
        <w:rPr>
          <w:rFonts w:ascii="Times New Roman" w:hAnsi="Times New Roman" w:cs="Times New Roman"/>
          <w:bCs/>
          <w:sz w:val="24"/>
          <w:szCs w:val="24"/>
        </w:rPr>
        <w:t> </w:t>
      </w:r>
      <w:r w:rsidRPr="000D5DBF">
        <w:rPr>
          <w:rFonts w:ascii="Times New Roman" w:hAnsi="Times New Roman" w:cs="Times New Roman"/>
          <w:bCs/>
          <w:sz w:val="24"/>
          <w:szCs w:val="24"/>
        </w:rPr>
        <w:t xml:space="preserve">%) un maznodrošinātas personas statuss piešķirts 45 564 personām, t.sk. </w:t>
      </w:r>
      <w:r w:rsidR="00EA324E" w:rsidRPr="000D5DBF">
        <w:rPr>
          <w:rFonts w:ascii="Times New Roman" w:hAnsi="Times New Roman" w:cs="Times New Roman"/>
          <w:bCs/>
          <w:sz w:val="24"/>
          <w:szCs w:val="24"/>
        </w:rPr>
        <w:t>6512 </w:t>
      </w:r>
      <w:r w:rsidRPr="000D5DBF">
        <w:rPr>
          <w:rFonts w:ascii="Times New Roman" w:hAnsi="Times New Roman" w:cs="Times New Roman"/>
          <w:bCs/>
          <w:sz w:val="24"/>
          <w:szCs w:val="24"/>
        </w:rPr>
        <w:t>bērniem (14,29</w:t>
      </w:r>
      <w:r w:rsidR="00EA324E" w:rsidRPr="000D5DBF">
        <w:rPr>
          <w:rFonts w:ascii="Times New Roman" w:hAnsi="Times New Roman" w:cs="Times New Roman"/>
          <w:bCs/>
          <w:sz w:val="24"/>
          <w:szCs w:val="24"/>
        </w:rPr>
        <w:t> </w:t>
      </w:r>
      <w:r w:rsidRPr="000D5DBF">
        <w:rPr>
          <w:rFonts w:ascii="Times New Roman" w:hAnsi="Times New Roman" w:cs="Times New Roman"/>
          <w:bCs/>
          <w:sz w:val="24"/>
          <w:szCs w:val="24"/>
        </w:rPr>
        <w:t>%). Savukārt dažādus pašvaldības sociālās palīdzības pabalstus pēc ienākumu testēšanas 2019.</w:t>
      </w:r>
      <w:r w:rsidR="00EA324E" w:rsidRPr="000D5DBF">
        <w:rPr>
          <w:rFonts w:ascii="Times New Roman" w:hAnsi="Times New Roman" w:cs="Times New Roman"/>
          <w:bCs/>
          <w:sz w:val="24"/>
          <w:szCs w:val="24"/>
        </w:rPr>
        <w:t> gadā saņēma 64 010 </w:t>
      </w:r>
      <w:r w:rsidRPr="000D5DBF">
        <w:rPr>
          <w:rFonts w:ascii="Times New Roman" w:hAnsi="Times New Roman" w:cs="Times New Roman"/>
          <w:bCs/>
          <w:sz w:val="24"/>
          <w:szCs w:val="24"/>
        </w:rPr>
        <w:t>ģimene</w:t>
      </w:r>
      <w:r w:rsidR="00EA324E" w:rsidRPr="000D5DBF">
        <w:rPr>
          <w:rFonts w:ascii="Times New Roman" w:hAnsi="Times New Roman" w:cs="Times New Roman"/>
          <w:bCs/>
          <w:sz w:val="24"/>
          <w:szCs w:val="24"/>
        </w:rPr>
        <w:t>s</w:t>
      </w:r>
      <w:r w:rsidRPr="000D5DBF">
        <w:rPr>
          <w:rFonts w:ascii="Times New Roman" w:hAnsi="Times New Roman" w:cs="Times New Roman"/>
          <w:bCs/>
          <w:sz w:val="24"/>
          <w:szCs w:val="24"/>
        </w:rPr>
        <w:t xml:space="preserve"> ar kopējo personu skaitu tajās 109 357</w:t>
      </w:r>
      <w:r w:rsidRPr="000D5DBF">
        <w:rPr>
          <w:rStyle w:val="FootnoteReference"/>
          <w:rFonts w:ascii="Times New Roman" w:hAnsi="Times New Roman" w:cs="Times New Roman"/>
          <w:bCs/>
          <w:sz w:val="24"/>
          <w:szCs w:val="24"/>
        </w:rPr>
        <w:footnoteReference w:id="8"/>
      </w:r>
      <w:r w:rsidRPr="000D5DBF">
        <w:rPr>
          <w:rFonts w:ascii="Times New Roman" w:hAnsi="Times New Roman" w:cs="Times New Roman"/>
          <w:bCs/>
          <w:sz w:val="24"/>
          <w:szCs w:val="24"/>
        </w:rPr>
        <w:t>.</w:t>
      </w:r>
    </w:p>
    <w:p w14:paraId="329581C9" w14:textId="77777777" w:rsidR="004F723A" w:rsidRPr="004F723A" w:rsidRDefault="004F723A" w:rsidP="00641840">
      <w:pPr>
        <w:spacing w:after="0"/>
        <w:rPr>
          <w:bCs/>
          <w:szCs w:val="24"/>
        </w:rPr>
      </w:pPr>
    </w:p>
    <w:p w14:paraId="1EA79EB3" w14:textId="77777777" w:rsidR="00D27AF9" w:rsidRPr="000D5DBF" w:rsidRDefault="00D27AF9" w:rsidP="00641840">
      <w:pPr>
        <w:pStyle w:val="Heading2"/>
        <w:numPr>
          <w:ilvl w:val="1"/>
          <w:numId w:val="30"/>
        </w:numPr>
        <w:spacing w:before="0"/>
        <w:rPr>
          <w:rFonts w:ascii="Times New Roman" w:hAnsi="Times New Roman" w:cs="Times New Roman"/>
          <w:b/>
          <w:color w:val="auto"/>
          <w:sz w:val="24"/>
          <w:szCs w:val="24"/>
        </w:rPr>
      </w:pPr>
      <w:bookmarkStart w:id="5" w:name="_Toc70410833"/>
      <w:r w:rsidRPr="000D5DBF">
        <w:rPr>
          <w:rFonts w:ascii="Times New Roman" w:hAnsi="Times New Roman" w:cs="Times New Roman"/>
          <w:b/>
          <w:color w:val="auto"/>
          <w:sz w:val="24"/>
          <w:szCs w:val="24"/>
        </w:rPr>
        <w:t>Ieguldījumu nepieciešamības pamatojums</w:t>
      </w:r>
      <w:bookmarkEnd w:id="5"/>
    </w:p>
    <w:p w14:paraId="1F800622" w14:textId="77777777" w:rsidR="00D27AF9" w:rsidRPr="000D5DBF" w:rsidRDefault="00D27AF9"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sz w:val="24"/>
          <w:szCs w:val="24"/>
        </w:rPr>
        <w:t>EK savā 27.02.2019. publicētajā ikgadējā ziņojumā par Latviju</w:t>
      </w:r>
      <w:r w:rsidRPr="000D5DBF">
        <w:rPr>
          <w:rStyle w:val="FootnoteReference"/>
          <w:rFonts w:ascii="Times New Roman" w:hAnsi="Times New Roman" w:cs="Times New Roman"/>
          <w:sz w:val="24"/>
          <w:szCs w:val="24"/>
        </w:rPr>
        <w:footnoteReference w:id="9"/>
      </w:r>
      <w:r w:rsidRPr="000D5DBF">
        <w:rPr>
          <w:rFonts w:ascii="Times New Roman" w:hAnsi="Times New Roman" w:cs="Times New Roman"/>
          <w:sz w:val="24"/>
          <w:szCs w:val="24"/>
        </w:rPr>
        <w:t xml:space="preserve"> (</w:t>
      </w:r>
      <w:r w:rsidRPr="000D5DBF">
        <w:rPr>
          <w:rFonts w:ascii="Times New Roman" w:hAnsi="Times New Roman" w:cs="Times New Roman"/>
          <w:i/>
          <w:sz w:val="24"/>
          <w:szCs w:val="24"/>
        </w:rPr>
        <w:t xml:space="preserve">2019 </w:t>
      </w:r>
      <w:proofErr w:type="spellStart"/>
      <w:r w:rsidRPr="000D5DBF">
        <w:rPr>
          <w:rFonts w:ascii="Times New Roman" w:hAnsi="Times New Roman" w:cs="Times New Roman"/>
          <w:i/>
          <w:sz w:val="24"/>
          <w:szCs w:val="24"/>
        </w:rPr>
        <w:t>Country</w:t>
      </w:r>
      <w:proofErr w:type="spellEnd"/>
      <w:r w:rsidRPr="000D5DBF">
        <w:rPr>
          <w:rFonts w:ascii="Times New Roman" w:hAnsi="Times New Roman" w:cs="Times New Roman"/>
          <w:i/>
          <w:sz w:val="24"/>
          <w:szCs w:val="24"/>
        </w:rPr>
        <w:t xml:space="preserve"> </w:t>
      </w:r>
      <w:proofErr w:type="spellStart"/>
      <w:r w:rsidRPr="000D5DBF">
        <w:rPr>
          <w:rFonts w:ascii="Times New Roman" w:hAnsi="Times New Roman" w:cs="Times New Roman"/>
          <w:i/>
          <w:sz w:val="24"/>
          <w:szCs w:val="24"/>
        </w:rPr>
        <w:t>Report</w:t>
      </w:r>
      <w:proofErr w:type="spellEnd"/>
      <w:r w:rsidRPr="000D5DBF">
        <w:rPr>
          <w:rFonts w:ascii="Times New Roman" w:hAnsi="Times New Roman" w:cs="Times New Roman"/>
          <w:i/>
          <w:sz w:val="24"/>
          <w:szCs w:val="24"/>
        </w:rPr>
        <w:t xml:space="preserve"> – </w:t>
      </w:r>
      <w:proofErr w:type="spellStart"/>
      <w:r w:rsidRPr="000D5DBF">
        <w:rPr>
          <w:rFonts w:ascii="Times New Roman" w:hAnsi="Times New Roman" w:cs="Times New Roman"/>
          <w:i/>
          <w:sz w:val="24"/>
          <w:szCs w:val="24"/>
        </w:rPr>
        <w:t>Latvia</w:t>
      </w:r>
      <w:proofErr w:type="spellEnd"/>
      <w:r w:rsidRPr="000D5DBF">
        <w:rPr>
          <w:rFonts w:ascii="Times New Roman" w:hAnsi="Times New Roman" w:cs="Times New Roman"/>
          <w:sz w:val="24"/>
          <w:szCs w:val="24"/>
        </w:rPr>
        <w:t>) secina, ka Latvijā saglabājas augsts nabadzības un sociālās atstumtības līmenis, īpaši vecāka gadagājuma personām, personām ar invaliditāti, bezdarbniekiem. Ienākumu nevienlīdzība norādīta kā galvenais izaicinājums. EK ieskatā augstas prioritātes ieguldījumi plānojami sociālās iekļaušanas sekmēšanai, nodarbinātības uzlabošanai, kā arī materiālās nenodrošinātības problēmas risināšanai, sniedzot pārtikas un pamata materiālo palīdzību, apvienojot to ar papildpasākumiem.</w:t>
      </w:r>
    </w:p>
    <w:p w14:paraId="0D77F64F" w14:textId="77777777" w:rsidR="00D27AF9" w:rsidRPr="000D5DBF" w:rsidRDefault="00D27AF9"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sz w:val="24"/>
          <w:szCs w:val="24"/>
        </w:rPr>
        <w:t xml:space="preserve">Valsts </w:t>
      </w:r>
      <w:r w:rsidRPr="000D5DBF">
        <w:rPr>
          <w:rFonts w:ascii="Times New Roman" w:hAnsi="Times New Roman" w:cs="Times New Roman"/>
          <w:bCs/>
          <w:sz w:val="24"/>
          <w:szCs w:val="24"/>
        </w:rPr>
        <w:t>uzdevums ir u</w:t>
      </w:r>
      <w:r w:rsidR="003732AF" w:rsidRPr="000D5DBF">
        <w:rPr>
          <w:rFonts w:ascii="Times New Roman" w:hAnsi="Times New Roman" w:cs="Times New Roman"/>
          <w:bCs/>
          <w:sz w:val="24"/>
          <w:szCs w:val="24"/>
        </w:rPr>
        <w:t>zņemties rūpes par</w:t>
      </w:r>
      <w:r w:rsidRPr="000D5DBF">
        <w:rPr>
          <w:rFonts w:ascii="Times New Roman" w:hAnsi="Times New Roman" w:cs="Times New Roman"/>
          <w:bCs/>
          <w:sz w:val="24"/>
          <w:szCs w:val="24"/>
        </w:rPr>
        <w:t xml:space="preserve"> grūtībās nonākušām personām, palīdzot nodrošināt tām pamatvajadzības un veicinot to iekļaušanos sabiedrībā, </w:t>
      </w:r>
      <w:r w:rsidR="0043369F" w:rsidRPr="000D5DBF">
        <w:rPr>
          <w:rFonts w:ascii="Times New Roman" w:hAnsi="Times New Roman" w:cs="Times New Roman"/>
          <w:bCs/>
          <w:sz w:val="24"/>
          <w:szCs w:val="24"/>
        </w:rPr>
        <w:t>ja</w:t>
      </w:r>
      <w:r w:rsidRPr="000D5DBF">
        <w:rPr>
          <w:rFonts w:ascii="Times New Roman" w:hAnsi="Times New Roman" w:cs="Times New Roman"/>
          <w:bCs/>
          <w:sz w:val="24"/>
          <w:szCs w:val="24"/>
        </w:rPr>
        <w:t xml:space="preserve"> tās </w:t>
      </w:r>
      <w:r w:rsidR="0043369F" w:rsidRPr="000D5DBF">
        <w:rPr>
          <w:rFonts w:ascii="Times New Roman" w:hAnsi="Times New Roman" w:cs="Times New Roman"/>
          <w:bCs/>
          <w:sz w:val="24"/>
          <w:szCs w:val="24"/>
        </w:rPr>
        <w:t>nespēj</w:t>
      </w:r>
      <w:r w:rsidRPr="000D5DBF">
        <w:rPr>
          <w:rFonts w:ascii="Times New Roman" w:hAnsi="Times New Roman" w:cs="Times New Roman"/>
          <w:bCs/>
          <w:sz w:val="24"/>
          <w:szCs w:val="24"/>
        </w:rPr>
        <w:t xml:space="preserve"> </w:t>
      </w:r>
      <w:r w:rsidR="0043369F" w:rsidRPr="000D5DBF">
        <w:rPr>
          <w:rFonts w:ascii="Times New Roman" w:hAnsi="Times New Roman" w:cs="Times New Roman"/>
          <w:bCs/>
          <w:sz w:val="24"/>
          <w:szCs w:val="24"/>
        </w:rPr>
        <w:t xml:space="preserve">vai tām ir ierobežotas iespējas </w:t>
      </w:r>
      <w:r w:rsidR="003732AF" w:rsidRPr="000D5DBF">
        <w:rPr>
          <w:rFonts w:ascii="Times New Roman" w:hAnsi="Times New Roman" w:cs="Times New Roman"/>
          <w:bCs/>
          <w:sz w:val="24"/>
          <w:szCs w:val="24"/>
        </w:rPr>
        <w:t>pašām to nodrošināt</w:t>
      </w:r>
      <w:r w:rsidRPr="000D5DBF">
        <w:rPr>
          <w:rFonts w:ascii="Times New Roman" w:hAnsi="Times New Roman" w:cs="Times New Roman"/>
          <w:bCs/>
          <w:sz w:val="24"/>
          <w:szCs w:val="24"/>
        </w:rPr>
        <w:t xml:space="preserve">. </w:t>
      </w:r>
      <w:r w:rsidR="0017055F" w:rsidRPr="000D5DBF">
        <w:rPr>
          <w:rFonts w:ascii="Times New Roman" w:hAnsi="Times New Roman" w:cs="Times New Roman"/>
          <w:bCs/>
          <w:sz w:val="24"/>
          <w:szCs w:val="24"/>
        </w:rPr>
        <w:t>Valsts normatīvajā regulējumā sociālās aizs</w:t>
      </w:r>
      <w:r w:rsidR="00C27E07" w:rsidRPr="000D5DBF">
        <w:rPr>
          <w:rFonts w:ascii="Times New Roman" w:hAnsi="Times New Roman" w:cs="Times New Roman"/>
          <w:bCs/>
          <w:sz w:val="24"/>
          <w:szCs w:val="24"/>
        </w:rPr>
        <w:t>ardzības jomā noteikti s</w:t>
      </w:r>
      <w:r w:rsidR="00D04DD4" w:rsidRPr="000D5DBF">
        <w:rPr>
          <w:rFonts w:ascii="Times New Roman" w:hAnsi="Times New Roman" w:cs="Times New Roman"/>
          <w:bCs/>
          <w:sz w:val="24"/>
          <w:szCs w:val="24"/>
        </w:rPr>
        <w:t>ociālās palīdzības pabalstu veidi:</w:t>
      </w:r>
      <w:r w:rsidR="00C27E07" w:rsidRPr="000D5DBF">
        <w:rPr>
          <w:rFonts w:ascii="Times New Roman" w:hAnsi="Times New Roman" w:cs="Times New Roman"/>
          <w:bCs/>
          <w:sz w:val="24"/>
          <w:szCs w:val="24"/>
        </w:rPr>
        <w:t xml:space="preserve"> p</w:t>
      </w:r>
      <w:r w:rsidR="00D04DD4" w:rsidRPr="000D5DBF">
        <w:rPr>
          <w:rFonts w:ascii="Times New Roman" w:hAnsi="Times New Roman" w:cs="Times New Roman"/>
          <w:bCs/>
          <w:sz w:val="24"/>
          <w:szCs w:val="24"/>
        </w:rPr>
        <w:t xml:space="preserve">amata sociālās palīdzības pabalsti </w:t>
      </w:r>
      <w:r w:rsidR="00C27E07" w:rsidRPr="000D5DBF">
        <w:rPr>
          <w:rFonts w:ascii="Times New Roman" w:hAnsi="Times New Roman" w:cs="Times New Roman"/>
          <w:bCs/>
          <w:sz w:val="24"/>
          <w:szCs w:val="24"/>
        </w:rPr>
        <w:t>un p</w:t>
      </w:r>
      <w:r w:rsidR="00D04DD4" w:rsidRPr="000D5DBF">
        <w:rPr>
          <w:rFonts w:ascii="Times New Roman" w:hAnsi="Times New Roman" w:cs="Times New Roman"/>
          <w:bCs/>
          <w:sz w:val="24"/>
          <w:szCs w:val="24"/>
        </w:rPr>
        <w:t>apildu sociālās palīdzības pabalsti</w:t>
      </w:r>
      <w:r w:rsidR="00C27E07" w:rsidRPr="000D5DBF">
        <w:rPr>
          <w:rFonts w:ascii="Times New Roman" w:hAnsi="Times New Roman" w:cs="Times New Roman"/>
          <w:bCs/>
          <w:sz w:val="24"/>
          <w:szCs w:val="24"/>
        </w:rPr>
        <w:t>. Papil</w:t>
      </w:r>
      <w:r w:rsidR="009E1894" w:rsidRPr="000D5DBF">
        <w:rPr>
          <w:rFonts w:ascii="Times New Roman" w:hAnsi="Times New Roman" w:cs="Times New Roman"/>
          <w:bCs/>
          <w:sz w:val="24"/>
          <w:szCs w:val="24"/>
        </w:rPr>
        <w:t>du sociālās palīdzības pabalsti, ko p</w:t>
      </w:r>
      <w:r w:rsidR="00202795" w:rsidRPr="000D5DBF">
        <w:rPr>
          <w:rFonts w:ascii="Times New Roman" w:hAnsi="Times New Roman" w:cs="Times New Roman"/>
          <w:bCs/>
          <w:sz w:val="24"/>
          <w:szCs w:val="24"/>
        </w:rPr>
        <w:t>iešķir pašvaldības, ir atkarīgi</w:t>
      </w:r>
      <w:r w:rsidRPr="000D5DBF">
        <w:rPr>
          <w:rFonts w:ascii="Times New Roman" w:hAnsi="Times New Roman" w:cs="Times New Roman"/>
          <w:bCs/>
          <w:sz w:val="24"/>
          <w:szCs w:val="24"/>
        </w:rPr>
        <w:t xml:space="preserve"> no </w:t>
      </w:r>
      <w:r w:rsidR="009E1894" w:rsidRPr="000D5DBF">
        <w:rPr>
          <w:rFonts w:ascii="Times New Roman" w:hAnsi="Times New Roman" w:cs="Times New Roman"/>
          <w:bCs/>
          <w:sz w:val="24"/>
          <w:szCs w:val="24"/>
        </w:rPr>
        <w:t>to</w:t>
      </w:r>
      <w:r w:rsidRPr="000D5DBF">
        <w:rPr>
          <w:rFonts w:ascii="Times New Roman" w:hAnsi="Times New Roman" w:cs="Times New Roman"/>
          <w:bCs/>
          <w:sz w:val="24"/>
          <w:szCs w:val="24"/>
        </w:rPr>
        <w:t xml:space="preserve"> sociālās politikas un finansiālajām iespējām.</w:t>
      </w:r>
    </w:p>
    <w:p w14:paraId="511A6EB5" w14:textId="77777777" w:rsidR="0076764F" w:rsidRPr="0076764F" w:rsidRDefault="0076764F"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76764F">
        <w:rPr>
          <w:rFonts w:ascii="Times New Roman" w:hAnsi="Times New Roman" w:cs="Times New Roman"/>
          <w:bCs/>
          <w:sz w:val="24"/>
          <w:szCs w:val="24"/>
        </w:rPr>
        <w:t>Ar mērķi sekmēt iedzīvotāju sociālo iekļaušanu, mazinot ienākumu nevienlīdzību un nabadzību, attīstot pieejamu un individuālajām vajadzībām atbilstošu sociālo pakalpojumu un juridiskā atbalsta sistēmu, kā arī veicinot augstu un iekļaujošu nodarbinātību un kvalitatīvu darba vidi, Latvijas valsts ir izstrādājusi plānošanas dokumenta projektu “</w:t>
      </w:r>
      <w:r w:rsidRPr="0076764F">
        <w:rPr>
          <w:rFonts w:ascii="Times New Roman" w:hAnsi="Times New Roman" w:cs="Times New Roman"/>
          <w:sz w:val="24"/>
          <w:szCs w:val="24"/>
        </w:rPr>
        <w:t>Sociālās aizsardzības un darba tirgus politikas pamatnostādnes 2021. - 2027. gadam”. Tajā, balstoties uz pastāvošiem izaicinājumiem – pieaugošs nabadzības risks pensijas vecuma iedzīvotājiem, ko ietekmē sabiedrības novecošanās; dažādi sociālie pabalsti būtiski nemazina nabadzības risku sakarā ar finanšu krīzes un neparedzētas politikas izmaiņu ietekmi uz sociālās aizsardzības sistēmas stabilitāti; augsts iedzīvotāju skaits, kuri nav tiesīgi saņem pabalstus vai arī tos saņem mazā apmērā, jo izdevumi sociālai aizsardzībai valstī ir v</w:t>
      </w:r>
      <w:r w:rsidRPr="0076764F">
        <w:rPr>
          <w:rFonts w:ascii="Times New Roman" w:hAnsi="Times New Roman" w:cs="Times New Roman"/>
          <w:bCs/>
          <w:sz w:val="24"/>
          <w:szCs w:val="24"/>
        </w:rPr>
        <w:t>ieni no zemākajiem starp ES dalībvalstīm</w:t>
      </w:r>
      <w:r w:rsidRPr="0076764F">
        <w:rPr>
          <w:rFonts w:ascii="Times New Roman" w:hAnsi="Times New Roman" w:cs="Times New Roman"/>
          <w:sz w:val="24"/>
          <w:szCs w:val="24"/>
        </w:rPr>
        <w:t>, noteikts rīcības virziens “Ilgtspējīga, stabila un adekvāta sociālā aizsardzība” ar šādiem uzdevumiem:</w:t>
      </w:r>
    </w:p>
    <w:p w14:paraId="7E15F1B0" w14:textId="77777777" w:rsidR="0076764F" w:rsidRPr="0076764F" w:rsidRDefault="0076764F" w:rsidP="00641840">
      <w:pPr>
        <w:pStyle w:val="ListParagraph"/>
        <w:numPr>
          <w:ilvl w:val="0"/>
          <w:numId w:val="32"/>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vidējā termiņā mērķtiecīgi pārskatīt pabalstus, kuru apmēri un nosacījumi nav ilgstoši mainīti;</w:t>
      </w:r>
    </w:p>
    <w:p w14:paraId="2AE5E845" w14:textId="77777777" w:rsidR="0076764F" w:rsidRPr="0076764F" w:rsidRDefault="0076764F" w:rsidP="00641840">
      <w:pPr>
        <w:pStyle w:val="ListParagraph"/>
        <w:numPr>
          <w:ilvl w:val="0"/>
          <w:numId w:val="32"/>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 xml:space="preserve">ilgtermiņā turpināt paaugstināt finansiālo atbalstu iedzīvotājiem sociālās aizsardzības sistēmas ietvaros; sekmēt sociālās apdrošināšanas sistēmas </w:t>
      </w:r>
      <w:r w:rsidRPr="0076764F">
        <w:rPr>
          <w:rFonts w:ascii="Times New Roman" w:hAnsi="Times New Roman" w:cs="Times New Roman"/>
          <w:bCs/>
          <w:sz w:val="24"/>
          <w:szCs w:val="24"/>
        </w:rPr>
        <w:lastRenderedPageBreak/>
        <w:t>noturīgumu un finansiāli ilgtspējību, nodrošināt, ka universālā un ienākumu testētā sociālo pabalstu sistēma ir sabalansēta un savstarpēji papildinoša.</w:t>
      </w:r>
    </w:p>
    <w:p w14:paraId="510C784E" w14:textId="77777777" w:rsidR="0076764F" w:rsidRPr="0076764F" w:rsidRDefault="0076764F"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76764F">
        <w:rPr>
          <w:rFonts w:ascii="Times New Roman" w:hAnsi="Times New Roman" w:cs="Times New Roman"/>
          <w:bCs/>
          <w:sz w:val="24"/>
          <w:szCs w:val="24"/>
        </w:rPr>
        <w:t>Dokumenta projektā “</w:t>
      </w:r>
      <w:r w:rsidRPr="0076764F">
        <w:rPr>
          <w:rFonts w:ascii="Times New Roman" w:hAnsi="Times New Roman" w:cs="Times New Roman"/>
          <w:sz w:val="24"/>
          <w:szCs w:val="24"/>
        </w:rPr>
        <w:t xml:space="preserve">Sociālās aizsardzības un darba tirgus politikas pamatnostādnes 2021. - 2027. gadam” </w:t>
      </w:r>
      <w:r w:rsidRPr="0076764F">
        <w:rPr>
          <w:rFonts w:ascii="Times New Roman" w:hAnsi="Times New Roman" w:cs="Times New Roman"/>
          <w:bCs/>
          <w:sz w:val="24"/>
          <w:szCs w:val="24"/>
        </w:rPr>
        <w:t>noteikto pasākumu izpildes rezultātā ir plānots sasniegt šādus rādītājus:</w:t>
      </w:r>
    </w:p>
    <w:p w14:paraId="66702EFC" w14:textId="77777777" w:rsidR="0076764F" w:rsidRPr="0076764F" w:rsidRDefault="0076764F" w:rsidP="00641840">
      <w:pPr>
        <w:pStyle w:val="ListParagraph"/>
        <w:numPr>
          <w:ilvl w:val="0"/>
          <w:numId w:val="33"/>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valsts sniegtais materiālais atbalsts mazina nabadzības risku vismaz par 20 %;</w:t>
      </w:r>
    </w:p>
    <w:p w14:paraId="78C773E7" w14:textId="77777777" w:rsidR="0076764F" w:rsidRPr="0076764F" w:rsidRDefault="0076764F" w:rsidP="00641840">
      <w:pPr>
        <w:pStyle w:val="ListParagraph"/>
        <w:numPr>
          <w:ilvl w:val="0"/>
          <w:numId w:val="33"/>
        </w:numPr>
        <w:spacing w:after="0" w:line="240" w:lineRule="auto"/>
        <w:ind w:left="993" w:hanging="284"/>
        <w:jc w:val="both"/>
        <w:rPr>
          <w:rFonts w:ascii="Times New Roman" w:hAnsi="Times New Roman" w:cs="Times New Roman"/>
          <w:bCs/>
          <w:sz w:val="24"/>
          <w:szCs w:val="24"/>
        </w:rPr>
      </w:pPr>
      <w:r w:rsidRPr="0076764F">
        <w:rPr>
          <w:rFonts w:ascii="Times New Roman" w:hAnsi="Times New Roman" w:cs="Times New Roman"/>
          <w:bCs/>
          <w:sz w:val="24"/>
          <w:szCs w:val="24"/>
        </w:rPr>
        <w:t>līdz 11 % samazinās personu īpatsvars, kuru ienākumi ir zem trūcīgas mājsaimniecības ienākumu sliekšņa;</w:t>
      </w:r>
    </w:p>
    <w:p w14:paraId="16B65683" w14:textId="77777777" w:rsidR="0076764F" w:rsidRPr="0076764F" w:rsidRDefault="0076764F" w:rsidP="00641840">
      <w:pPr>
        <w:pStyle w:val="ListParagraph"/>
        <w:numPr>
          <w:ilvl w:val="0"/>
          <w:numId w:val="33"/>
        </w:numPr>
        <w:spacing w:after="0" w:line="240" w:lineRule="auto"/>
        <w:ind w:left="993" w:hanging="284"/>
        <w:jc w:val="both"/>
        <w:rPr>
          <w:rFonts w:ascii="Times New Roman" w:hAnsi="Times New Roman" w:cs="Times New Roman"/>
          <w:bCs/>
          <w:sz w:val="24"/>
          <w:szCs w:val="24"/>
        </w:rPr>
      </w:pPr>
      <w:proofErr w:type="spellStart"/>
      <w:r w:rsidRPr="0076764F">
        <w:rPr>
          <w:rFonts w:ascii="Times New Roman" w:hAnsi="Times New Roman" w:cs="Times New Roman"/>
          <w:bCs/>
          <w:sz w:val="24"/>
          <w:szCs w:val="24"/>
        </w:rPr>
        <w:t>jaunpiešķirto</w:t>
      </w:r>
      <w:proofErr w:type="spellEnd"/>
      <w:r w:rsidRPr="0076764F">
        <w:rPr>
          <w:rFonts w:ascii="Times New Roman" w:hAnsi="Times New Roman" w:cs="Times New Roman"/>
          <w:bCs/>
          <w:sz w:val="24"/>
          <w:szCs w:val="24"/>
        </w:rPr>
        <w:t xml:space="preserve"> pensiju atvietojuma līmenis 2027. gadā nav mazāks kā 40 %.</w:t>
      </w:r>
    </w:p>
    <w:p w14:paraId="6C21A126" w14:textId="77777777" w:rsidR="0076764F" w:rsidRPr="0076764F" w:rsidRDefault="0076764F" w:rsidP="00641840">
      <w:pPr>
        <w:pStyle w:val="ListParagraph"/>
        <w:numPr>
          <w:ilvl w:val="0"/>
          <w:numId w:val="2"/>
        </w:numPr>
        <w:spacing w:after="0" w:line="240" w:lineRule="auto"/>
        <w:ind w:left="567" w:hanging="567"/>
        <w:jc w:val="both"/>
        <w:rPr>
          <w:rFonts w:ascii="Times New Roman" w:eastAsia="Calibri" w:hAnsi="Times New Roman" w:cs="Times New Roman"/>
          <w:noProof/>
          <w:sz w:val="24"/>
          <w:szCs w:val="24"/>
        </w:rPr>
      </w:pPr>
      <w:r w:rsidRPr="0076764F">
        <w:rPr>
          <w:rFonts w:ascii="Times New Roman" w:hAnsi="Times New Roman" w:cs="Times New Roman"/>
          <w:noProof/>
          <w:sz w:val="24"/>
          <w:szCs w:val="24"/>
        </w:rPr>
        <w:t>Jau 2020. gada nogalē, valstī pieņemot likumu “Grozījumi Sociālo pakalpojumu un sociālās palīdzības likumā”, kurā noteikts garantēto minimālo ienākumu un trūcīgas mājsaimniecības ienākumu slieksnis, ir veikti pirmie soļi “Sociālās aizsardzības un darba tirgus politikas pamatnostādnēs 2021. - 2027. gadam” noteikto uzdevumu izpildē (skat. vairāk informācijas sadaļā “</w:t>
      </w:r>
      <w:r w:rsidRPr="0076764F">
        <w:rPr>
          <w:rFonts w:ascii="Times New Roman" w:eastAsia="Calibri" w:hAnsi="Times New Roman" w:cs="Times New Roman"/>
          <w:noProof/>
          <w:sz w:val="24"/>
          <w:szCs w:val="24"/>
        </w:rPr>
        <w:t>Valsts un reģionālo atbalsta shēmu atšifrējums”).</w:t>
      </w:r>
    </w:p>
    <w:p w14:paraId="61302C88" w14:textId="77777777" w:rsidR="0076764F" w:rsidRPr="0076764F" w:rsidRDefault="0076764F" w:rsidP="00641840">
      <w:pPr>
        <w:pStyle w:val="ListParagraph"/>
        <w:numPr>
          <w:ilvl w:val="0"/>
          <w:numId w:val="2"/>
        </w:numPr>
        <w:spacing w:after="0" w:line="240" w:lineRule="auto"/>
        <w:ind w:left="567" w:hanging="567"/>
        <w:jc w:val="both"/>
        <w:rPr>
          <w:rFonts w:ascii="Times New Roman" w:eastAsia="Calibri" w:hAnsi="Times New Roman" w:cs="Times New Roman"/>
          <w:noProof/>
          <w:sz w:val="24"/>
          <w:szCs w:val="24"/>
        </w:rPr>
      </w:pPr>
      <w:r w:rsidRPr="0076764F">
        <w:rPr>
          <w:rFonts w:ascii="Times New Roman" w:eastAsia="Calibri" w:hAnsi="Times New Roman" w:cs="Times New Roman"/>
          <w:noProof/>
          <w:sz w:val="24"/>
          <w:szCs w:val="24"/>
        </w:rPr>
        <w:t>Vienlaikus atzīmējams, ka nabadzības riskam visvairāk pakļauto mājsaimniecību ienākumu stabilizēšanā ir būtiska nozīme sociālajiem transfertiem un citai sociālajai palīdzībai.</w:t>
      </w:r>
    </w:p>
    <w:p w14:paraId="102955D2" w14:textId="211EE4EA" w:rsidR="0076764F" w:rsidRPr="00BB0C2C" w:rsidRDefault="006F276E" w:rsidP="00641840">
      <w:pPr>
        <w:pStyle w:val="ListParagraph"/>
        <w:numPr>
          <w:ilvl w:val="0"/>
          <w:numId w:val="2"/>
        </w:numPr>
        <w:spacing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 xml:space="preserve">Programma vērsta uz </w:t>
      </w:r>
      <w:r w:rsidR="001714EB" w:rsidRPr="001714EB">
        <w:rPr>
          <w:rFonts w:ascii="Times New Roman" w:hAnsi="Times New Roman" w:cs="Times New Roman"/>
          <w:bCs/>
          <w:sz w:val="24"/>
          <w:szCs w:val="24"/>
        </w:rPr>
        <w:t>Saeimā 2020. gada 2. jūlijā apstiprināt</w:t>
      </w:r>
      <w:r>
        <w:rPr>
          <w:rFonts w:ascii="Times New Roman" w:hAnsi="Times New Roman" w:cs="Times New Roman"/>
          <w:bCs/>
          <w:sz w:val="24"/>
          <w:szCs w:val="24"/>
        </w:rPr>
        <w:t>aj</w:t>
      </w:r>
      <w:r w:rsidR="001714EB" w:rsidRPr="001714EB">
        <w:rPr>
          <w:rFonts w:ascii="Times New Roman" w:hAnsi="Times New Roman" w:cs="Times New Roman"/>
          <w:bCs/>
          <w:sz w:val="24"/>
          <w:szCs w:val="24"/>
        </w:rPr>
        <w:t xml:space="preserve">ā NAP2027 </w:t>
      </w:r>
      <w:r>
        <w:rPr>
          <w:rFonts w:ascii="Times New Roman" w:hAnsi="Times New Roman" w:cs="Times New Roman"/>
          <w:bCs/>
          <w:sz w:val="24"/>
          <w:szCs w:val="24"/>
        </w:rPr>
        <w:t>iekļauto rīcības virziena</w:t>
      </w:r>
      <w:r w:rsidR="001714EB" w:rsidRPr="001714EB">
        <w:rPr>
          <w:rFonts w:ascii="Times New Roman" w:hAnsi="Times New Roman" w:cs="Times New Roman"/>
          <w:bCs/>
          <w:sz w:val="24"/>
          <w:szCs w:val="24"/>
        </w:rPr>
        <w:t xml:space="preserve"> “Stipras ģimene</w:t>
      </w:r>
      <w:r>
        <w:rPr>
          <w:rFonts w:ascii="Times New Roman" w:hAnsi="Times New Roman" w:cs="Times New Roman"/>
          <w:bCs/>
          <w:sz w:val="24"/>
          <w:szCs w:val="24"/>
        </w:rPr>
        <w:t>s paaudzēs” [101] </w:t>
      </w:r>
      <w:r w:rsidR="00430BEE">
        <w:rPr>
          <w:rFonts w:ascii="Times New Roman" w:hAnsi="Times New Roman" w:cs="Times New Roman"/>
          <w:bCs/>
          <w:sz w:val="24"/>
          <w:szCs w:val="24"/>
        </w:rPr>
        <w:t>uzdevumu</w:t>
      </w:r>
      <w:r w:rsidR="001714EB" w:rsidRPr="001714EB">
        <w:rPr>
          <w:rFonts w:ascii="Times New Roman" w:hAnsi="Times New Roman" w:cs="Times New Roman"/>
          <w:bCs/>
          <w:sz w:val="24"/>
          <w:szCs w:val="24"/>
        </w:rPr>
        <w:t xml:space="preserve"> </w:t>
      </w:r>
      <w:r>
        <w:rPr>
          <w:rFonts w:ascii="Times New Roman" w:hAnsi="Times New Roman" w:cs="Times New Roman"/>
          <w:bCs/>
          <w:sz w:val="24"/>
          <w:szCs w:val="24"/>
        </w:rPr>
        <w:t>un rīcības virziena</w:t>
      </w:r>
      <w:r w:rsidR="001714EB" w:rsidRPr="001714EB">
        <w:rPr>
          <w:rFonts w:ascii="Times New Roman" w:hAnsi="Times New Roman" w:cs="Times New Roman"/>
          <w:bCs/>
          <w:sz w:val="24"/>
          <w:szCs w:val="24"/>
        </w:rPr>
        <w:t xml:space="preserve"> “Sociālā iekļ</w:t>
      </w:r>
      <w:r>
        <w:rPr>
          <w:rFonts w:ascii="Times New Roman" w:hAnsi="Times New Roman" w:cs="Times New Roman"/>
          <w:bCs/>
          <w:sz w:val="24"/>
          <w:szCs w:val="24"/>
        </w:rPr>
        <w:t>aušana” [121] </w:t>
      </w:r>
      <w:r w:rsidR="001714EB" w:rsidRPr="001714EB">
        <w:rPr>
          <w:rFonts w:ascii="Times New Roman" w:hAnsi="Times New Roman" w:cs="Times New Roman"/>
          <w:bCs/>
          <w:sz w:val="24"/>
          <w:szCs w:val="24"/>
        </w:rPr>
        <w:t>u</w:t>
      </w:r>
      <w:r>
        <w:rPr>
          <w:rFonts w:ascii="Times New Roman" w:hAnsi="Times New Roman" w:cs="Times New Roman"/>
          <w:bCs/>
          <w:sz w:val="24"/>
          <w:szCs w:val="24"/>
        </w:rPr>
        <w:t>zdevumu</w:t>
      </w:r>
      <w:r w:rsidR="001714EB" w:rsidRPr="001714EB">
        <w:rPr>
          <w:rFonts w:ascii="Times New Roman" w:hAnsi="Times New Roman" w:cs="Times New Roman"/>
          <w:bCs/>
          <w:sz w:val="24"/>
          <w:szCs w:val="24"/>
        </w:rPr>
        <w:t>.</w:t>
      </w:r>
      <w:r w:rsidR="00430BEE">
        <w:rPr>
          <w:rStyle w:val="FootnoteReference"/>
          <w:rFonts w:ascii="Times New Roman" w:hAnsi="Times New Roman" w:cs="Times New Roman"/>
          <w:bCs/>
          <w:sz w:val="28"/>
          <w:szCs w:val="28"/>
        </w:rPr>
        <w:footnoteReference w:id="10"/>
      </w:r>
      <w:r w:rsidR="001714EB">
        <w:rPr>
          <w:rFonts w:ascii="Times New Roman" w:hAnsi="Times New Roman" w:cs="Times New Roman"/>
          <w:bCs/>
          <w:sz w:val="28"/>
          <w:szCs w:val="28"/>
        </w:rPr>
        <w:t xml:space="preserve"> </w:t>
      </w:r>
      <w:r w:rsidR="0076764F" w:rsidRPr="00BB0C2C">
        <w:rPr>
          <w:rFonts w:ascii="Times New Roman" w:hAnsi="Times New Roman" w:cs="Times New Roman"/>
          <w:sz w:val="24"/>
          <w:szCs w:val="24"/>
        </w:rPr>
        <w:t xml:space="preserve">Pārtikas atbalsta un pamata materiālās palīdzības saņemšana ļauj zemu ienākumu mājsaimniecībām uzlabot materiālo situāciju, </w:t>
      </w:r>
      <w:r w:rsidR="00AB09E9" w:rsidRPr="00BB0C2C">
        <w:rPr>
          <w:rFonts w:ascii="Times New Roman" w:hAnsi="Times New Roman" w:cs="Times New Roman"/>
          <w:sz w:val="24"/>
          <w:szCs w:val="24"/>
        </w:rPr>
        <w:t>atslogojot budžetu,</w:t>
      </w:r>
      <w:r w:rsidR="0076764F" w:rsidRPr="00BB0C2C">
        <w:rPr>
          <w:rFonts w:ascii="Times New Roman" w:hAnsi="Times New Roman" w:cs="Times New Roman"/>
          <w:sz w:val="24"/>
          <w:szCs w:val="24"/>
        </w:rPr>
        <w:t xml:space="preserve"> un ietaupīt līdzekļus, ko novirzīt papildu pārtikas iegādei, citām pamatvajadzībām un bērnu ārpusskolas izglītības pasākumiem. Sniegtais atbalsts kopā ar dalību neformāli izglītojošajos un socializēšanās papildpasākumos sniedz iespēju cilvēkiem uzsākt risināt viņu sociāli ekonomiskās problēmas, kas ir pirmais solis viņu sociālās iekļaušanas procesā un priekšnoteikums cieņpilnai dzīvei.</w:t>
      </w:r>
    </w:p>
    <w:p w14:paraId="66348CFF" w14:textId="25B16946" w:rsidR="004E6D38" w:rsidRPr="004E6D38" w:rsidRDefault="0060434A" w:rsidP="00641840">
      <w:pPr>
        <w:pStyle w:val="Heading2"/>
        <w:numPr>
          <w:ilvl w:val="1"/>
          <w:numId w:val="30"/>
        </w:numPr>
        <w:spacing w:before="0"/>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bookmarkStart w:id="6" w:name="_Toc70410834"/>
      <w:r w:rsidR="004E6D38" w:rsidRPr="004E6D38">
        <w:rPr>
          <w:rFonts w:ascii="Times New Roman" w:hAnsi="Times New Roman" w:cs="Times New Roman"/>
          <w:b/>
          <w:color w:val="auto"/>
          <w:sz w:val="24"/>
          <w:szCs w:val="24"/>
        </w:rPr>
        <w:t>Iepriekšējo gadu pieredze</w:t>
      </w:r>
      <w:bookmarkEnd w:id="6"/>
    </w:p>
    <w:p w14:paraId="0911F6E5" w14:textId="77777777" w:rsidR="004E6D38" w:rsidRPr="004E6D38" w:rsidRDefault="004E6D38" w:rsidP="00641840">
      <w:pPr>
        <w:pStyle w:val="ListParagraph"/>
        <w:numPr>
          <w:ilvl w:val="0"/>
          <w:numId w:val="2"/>
        </w:numPr>
        <w:spacing w:line="240" w:lineRule="auto"/>
        <w:ind w:left="567" w:hanging="567"/>
        <w:jc w:val="both"/>
        <w:rPr>
          <w:rFonts w:ascii="Times New Roman" w:hAnsi="Times New Roman" w:cs="Times New Roman"/>
          <w:sz w:val="24"/>
          <w:szCs w:val="24"/>
        </w:rPr>
      </w:pPr>
      <w:r w:rsidRPr="004E6D38">
        <w:rPr>
          <w:rFonts w:ascii="Times New Roman" w:hAnsi="Times New Roman" w:cs="Times New Roman"/>
          <w:sz w:val="24"/>
          <w:szCs w:val="24"/>
        </w:rPr>
        <w:t>2014.–2020. gada plānošanas periodā īstenotās EAFVP darbības programmas “Pārtikas un pamata materiālās palīdzības sniegšana vistrūcīgākajām personām 2014. - 2020. gada plānošanas periodā” ietvaros veiktā strukturētā apsekojuma rezultāti liecina, ka:</w:t>
      </w:r>
    </w:p>
    <w:p w14:paraId="11396405" w14:textId="77777777" w:rsidR="004E6D38" w:rsidRPr="004E6D38" w:rsidRDefault="004E6D38" w:rsidP="00641840">
      <w:pPr>
        <w:pStyle w:val="ListParagraph"/>
        <w:numPr>
          <w:ilvl w:val="0"/>
          <w:numId w:val="34"/>
        </w:numPr>
        <w:spacing w:line="240" w:lineRule="auto"/>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pārtikas un pamata materiālās palīdzības atbalsts ir sasniedzis ģimenes, kuras ir trūcīgas vai nonākušas krīzes situācijā;</w:t>
      </w:r>
    </w:p>
    <w:p w14:paraId="61BEC977" w14:textId="77777777" w:rsidR="004E6D38" w:rsidRPr="004E6D38" w:rsidRDefault="004E6D38" w:rsidP="00641840">
      <w:pPr>
        <w:pStyle w:val="ListParagraph"/>
        <w:numPr>
          <w:ilvl w:val="0"/>
          <w:numId w:val="34"/>
        </w:numPr>
        <w:spacing w:line="240" w:lineRule="auto"/>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pārtikas un pamata materiālās palīdzības atbalsts ir atvieglojis vistrūcīgāko iedzīvotāju un mājsaimniecību budžeta slogu;</w:t>
      </w:r>
    </w:p>
    <w:p w14:paraId="6F43B62A" w14:textId="77777777" w:rsidR="004E6D38" w:rsidRPr="004E6D38" w:rsidRDefault="004E6D38" w:rsidP="00641840">
      <w:pPr>
        <w:pStyle w:val="ListParagraph"/>
        <w:numPr>
          <w:ilvl w:val="0"/>
          <w:numId w:val="34"/>
        </w:numPr>
        <w:spacing w:line="240" w:lineRule="auto"/>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ietvaros organizēto papildpasākumu veidi un iesaiste tajos ir pamatā apmierinoša;</w:t>
      </w:r>
    </w:p>
    <w:p w14:paraId="13B06498" w14:textId="77777777" w:rsidR="004E6D38" w:rsidRPr="004E6D38" w:rsidRDefault="004E6D38" w:rsidP="00641840">
      <w:pPr>
        <w:pStyle w:val="ListParagraph"/>
        <w:numPr>
          <w:ilvl w:val="0"/>
          <w:numId w:val="34"/>
        </w:numPr>
        <w:spacing w:line="240" w:lineRule="auto"/>
        <w:ind w:left="993" w:hanging="426"/>
        <w:jc w:val="both"/>
        <w:rPr>
          <w:rFonts w:ascii="Times New Roman" w:hAnsi="Times New Roman" w:cs="Times New Roman"/>
          <w:sz w:val="24"/>
          <w:szCs w:val="24"/>
        </w:rPr>
      </w:pPr>
      <w:r w:rsidRPr="004E6D38">
        <w:rPr>
          <w:rFonts w:ascii="Times New Roman" w:hAnsi="Times New Roman" w:cs="Times New Roman"/>
          <w:sz w:val="24"/>
          <w:szCs w:val="24"/>
        </w:rPr>
        <w:t>Pārtikas un pamata materiālās palīdzības atbalsts sasniedzis augstu apmierinātības vērtējumu un atbilstību atbalsta saņēmēju vajadzībām;</w:t>
      </w:r>
    </w:p>
    <w:p w14:paraId="710FCE18" w14:textId="77777777" w:rsidR="004E6D38" w:rsidRPr="004E6D38" w:rsidRDefault="004E6D38" w:rsidP="00641840">
      <w:pPr>
        <w:pStyle w:val="ListParagraph"/>
        <w:numPr>
          <w:ilvl w:val="0"/>
          <w:numId w:val="34"/>
        </w:numPr>
        <w:spacing w:line="240" w:lineRule="auto"/>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atbalsta pieejamība ir nodrošināta;</w:t>
      </w:r>
    </w:p>
    <w:p w14:paraId="06625560" w14:textId="77777777" w:rsidR="004E6D38" w:rsidRPr="004E6D38" w:rsidRDefault="004E6D38" w:rsidP="00641840">
      <w:pPr>
        <w:pStyle w:val="ListParagraph"/>
        <w:numPr>
          <w:ilvl w:val="0"/>
          <w:numId w:val="34"/>
        </w:numPr>
        <w:spacing w:line="240" w:lineRule="auto"/>
        <w:ind w:left="993" w:hanging="426"/>
        <w:jc w:val="both"/>
        <w:rPr>
          <w:rFonts w:ascii="Times New Roman" w:hAnsi="Times New Roman" w:cs="Times New Roman"/>
          <w:sz w:val="24"/>
          <w:szCs w:val="24"/>
        </w:rPr>
      </w:pPr>
      <w:r w:rsidRPr="004E6D38">
        <w:rPr>
          <w:rFonts w:ascii="Times New Roman" w:hAnsi="Times New Roman" w:cs="Times New Roman"/>
          <w:sz w:val="24"/>
          <w:szCs w:val="24"/>
        </w:rPr>
        <w:t>EAFVP darbības programmā izvēlētie atbalsta veidi un mērķa grupas ir pamatā atbilstošas situācijai.</w:t>
      </w:r>
    </w:p>
    <w:p w14:paraId="31C4066F" w14:textId="77777777" w:rsidR="00A24883" w:rsidRPr="000D5DBF" w:rsidRDefault="00A24883" w:rsidP="00641840">
      <w:pPr>
        <w:spacing w:before="0" w:after="0"/>
        <w:rPr>
          <w:bCs/>
          <w:szCs w:val="24"/>
        </w:rPr>
      </w:pPr>
    </w:p>
    <w:p w14:paraId="4837A5AB" w14:textId="77777777" w:rsidR="00D27AF9" w:rsidRPr="000D5DBF" w:rsidRDefault="00D27AF9" w:rsidP="00641840">
      <w:pPr>
        <w:pStyle w:val="Heading2"/>
        <w:numPr>
          <w:ilvl w:val="1"/>
          <w:numId w:val="30"/>
        </w:numPr>
        <w:spacing w:before="0"/>
        <w:rPr>
          <w:rFonts w:ascii="Times New Roman" w:hAnsi="Times New Roman" w:cs="Times New Roman"/>
          <w:b/>
          <w:color w:val="auto"/>
          <w:sz w:val="24"/>
          <w:szCs w:val="24"/>
        </w:rPr>
      </w:pPr>
      <w:bookmarkStart w:id="7" w:name="_Toc70410835"/>
      <w:r w:rsidRPr="000D5DBF">
        <w:rPr>
          <w:rFonts w:ascii="Times New Roman" w:hAnsi="Times New Roman" w:cs="Times New Roman"/>
          <w:b/>
          <w:color w:val="auto"/>
          <w:sz w:val="24"/>
          <w:szCs w:val="24"/>
        </w:rPr>
        <w:t>Plānotie risinājumi, plānotā atbalsta pamatojums</w:t>
      </w:r>
      <w:bookmarkEnd w:id="7"/>
    </w:p>
    <w:p w14:paraId="19DB66B1" w14:textId="1810CC19" w:rsidR="00D27AF9" w:rsidRPr="000D5DBF" w:rsidRDefault="0014187C"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P</w:t>
      </w:r>
      <w:r w:rsidR="00D27AF9" w:rsidRPr="000D5DBF">
        <w:rPr>
          <w:rFonts w:ascii="Times New Roman" w:hAnsi="Times New Roman" w:cs="Times New Roman"/>
          <w:bCs/>
          <w:sz w:val="24"/>
          <w:szCs w:val="24"/>
        </w:rPr>
        <w:t>rogramma</w:t>
      </w:r>
      <w:r>
        <w:rPr>
          <w:rFonts w:ascii="Times New Roman" w:hAnsi="Times New Roman" w:cs="Times New Roman"/>
          <w:bCs/>
          <w:sz w:val="24"/>
          <w:szCs w:val="24"/>
        </w:rPr>
        <w:t>s</w:t>
      </w:r>
      <w:r w:rsidR="00D27AF9" w:rsidRPr="000D5DBF">
        <w:rPr>
          <w:rFonts w:ascii="Times New Roman" w:hAnsi="Times New Roman" w:cs="Times New Roman"/>
          <w:bCs/>
          <w:sz w:val="24"/>
          <w:szCs w:val="24"/>
        </w:rPr>
        <w:t xml:space="preserve"> 2021. – 2027. gadam ietvaros </w:t>
      </w:r>
      <w:r w:rsidR="00D27AF9" w:rsidRPr="000D5DBF">
        <w:rPr>
          <w:rFonts w:ascii="Times New Roman" w:hAnsi="Times New Roman" w:cs="Times New Roman"/>
          <w:noProof/>
          <w:sz w:val="24"/>
          <w:szCs w:val="24"/>
        </w:rPr>
        <w:t>paredz atbalstīt šādu materiālās nenodrošinātības veidu risināšanu:</w:t>
      </w:r>
    </w:p>
    <w:p w14:paraId="10FF586A" w14:textId="540C7D41" w:rsidR="00D27AF9" w:rsidRPr="000D5DBF" w:rsidRDefault="00AB09E9" w:rsidP="00641840">
      <w:pPr>
        <w:pStyle w:val="ListParagraph"/>
        <w:numPr>
          <w:ilvl w:val="0"/>
          <w:numId w:val="3"/>
        </w:numPr>
        <w:spacing w:after="0" w:line="24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t>nenodrošinātība ar pārtiku;</w:t>
      </w:r>
    </w:p>
    <w:p w14:paraId="2EEF9241" w14:textId="197F93B8" w:rsidR="00D27AF9" w:rsidRPr="000D5DBF" w:rsidRDefault="00AB09E9" w:rsidP="00641840">
      <w:pPr>
        <w:pStyle w:val="ListParagraph"/>
        <w:numPr>
          <w:ilvl w:val="0"/>
          <w:numId w:val="3"/>
        </w:numPr>
        <w:spacing w:after="0" w:line="240" w:lineRule="auto"/>
        <w:ind w:left="993" w:hanging="426"/>
        <w:jc w:val="both"/>
        <w:rPr>
          <w:rFonts w:ascii="Times New Roman" w:hAnsi="Times New Roman" w:cs="Times New Roman"/>
          <w:noProof/>
          <w:sz w:val="24"/>
          <w:szCs w:val="24"/>
        </w:rPr>
      </w:pPr>
      <w:r>
        <w:rPr>
          <w:rFonts w:ascii="Times New Roman" w:hAnsi="Times New Roman" w:cs="Times New Roman"/>
          <w:noProof/>
          <w:sz w:val="24"/>
          <w:szCs w:val="24"/>
        </w:rPr>
        <w:lastRenderedPageBreak/>
        <w:t>p</w:t>
      </w:r>
      <w:r w:rsidR="00D27AF9" w:rsidRPr="000D5DBF">
        <w:rPr>
          <w:rFonts w:ascii="Times New Roman" w:hAnsi="Times New Roman" w:cs="Times New Roman"/>
          <w:noProof/>
          <w:sz w:val="24"/>
          <w:szCs w:val="24"/>
        </w:rPr>
        <w:t>amata materiālā nenodrošinātība.</w:t>
      </w:r>
    </w:p>
    <w:p w14:paraId="37CAA6D9" w14:textId="77777777" w:rsidR="00D27AF9" w:rsidRPr="000D5DBF" w:rsidRDefault="00D27AF9" w:rsidP="00641840">
      <w:pPr>
        <w:spacing w:before="0" w:after="0"/>
        <w:ind w:left="567"/>
        <w:rPr>
          <w:noProof/>
          <w:szCs w:val="24"/>
        </w:rPr>
      </w:pPr>
      <w:r w:rsidRPr="000D5DBF">
        <w:rPr>
          <w:noProof/>
          <w:szCs w:val="24"/>
        </w:rPr>
        <w:t>Materiālās nenodrošinātības mazināšanas aktivitātes tiks apvienotas ar papildpasākumu sociālās atstumtības mazināšanai organizēšanu.</w:t>
      </w:r>
    </w:p>
    <w:p w14:paraId="746FA780" w14:textId="77777777" w:rsidR="00D27AF9" w:rsidRPr="000D5DBF" w:rsidRDefault="00F55AF4"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Atzīmējams, ka personām līdz ar pārtiku</w:t>
      </w:r>
      <w:r w:rsidR="00D27AF9" w:rsidRPr="000D5DBF">
        <w:rPr>
          <w:rFonts w:ascii="Times New Roman" w:hAnsi="Times New Roman" w:cs="Times New Roman"/>
          <w:noProof/>
          <w:sz w:val="24"/>
          <w:szCs w:val="24"/>
        </w:rPr>
        <w:t xml:space="preserve"> kā </w:t>
      </w:r>
      <w:r w:rsidRPr="000D5DBF">
        <w:rPr>
          <w:rFonts w:ascii="Times New Roman" w:hAnsi="Times New Roman" w:cs="Times New Roman"/>
          <w:noProof/>
          <w:sz w:val="24"/>
          <w:szCs w:val="24"/>
        </w:rPr>
        <w:t>primāro</w:t>
      </w:r>
      <w:r w:rsidR="00D27AF9" w:rsidRPr="000D5DBF">
        <w:rPr>
          <w:rFonts w:ascii="Times New Roman" w:hAnsi="Times New Roman" w:cs="Times New Roman"/>
          <w:noProof/>
          <w:sz w:val="24"/>
          <w:szCs w:val="24"/>
        </w:rPr>
        <w:t xml:space="preserve"> pamatvajadzīb</w:t>
      </w:r>
      <w:r w:rsidRPr="000D5DBF">
        <w:rPr>
          <w:rFonts w:ascii="Times New Roman" w:hAnsi="Times New Roman" w:cs="Times New Roman"/>
          <w:noProof/>
          <w:sz w:val="24"/>
          <w:szCs w:val="24"/>
        </w:rPr>
        <w:t>u vienlīdz svarīgs ir</w:t>
      </w:r>
      <w:r w:rsidR="00DC67EB" w:rsidRPr="000D5DBF">
        <w:rPr>
          <w:rFonts w:ascii="Times New Roman" w:hAnsi="Times New Roman" w:cs="Times New Roman"/>
          <w:noProof/>
          <w:sz w:val="24"/>
          <w:szCs w:val="24"/>
        </w:rPr>
        <w:t xml:space="preserve"> </w:t>
      </w:r>
      <w:r w:rsidR="00D27AF9" w:rsidRPr="000D5DBF">
        <w:rPr>
          <w:rFonts w:ascii="Times New Roman" w:hAnsi="Times New Roman" w:cs="Times New Roman"/>
          <w:noProof/>
          <w:sz w:val="24"/>
          <w:szCs w:val="24"/>
        </w:rPr>
        <w:t>higiēnas vajadzību atbilstošs nodrošinājums. Personīgās higiēnas ievērošana ir aktuāla problēma tieši nabadzībai visvairāk pakļautajiem iedzīvotājiem, jo to ienākumi pamatā tiek tērēt</w:t>
      </w:r>
      <w:r w:rsidR="00516D57" w:rsidRPr="000D5DBF">
        <w:rPr>
          <w:rFonts w:ascii="Times New Roman" w:hAnsi="Times New Roman" w:cs="Times New Roman"/>
          <w:noProof/>
          <w:sz w:val="24"/>
          <w:szCs w:val="24"/>
        </w:rPr>
        <w:t>i pārtikas iegādei un ar mājokli</w:t>
      </w:r>
      <w:r w:rsidR="00D27AF9" w:rsidRPr="000D5DBF">
        <w:rPr>
          <w:rFonts w:ascii="Times New Roman" w:hAnsi="Times New Roman" w:cs="Times New Roman"/>
          <w:noProof/>
          <w:sz w:val="24"/>
          <w:szCs w:val="24"/>
        </w:rPr>
        <w:t xml:space="preserve"> </w:t>
      </w:r>
      <w:r w:rsidR="00516D57" w:rsidRPr="000D5DBF">
        <w:rPr>
          <w:rFonts w:ascii="Times New Roman" w:hAnsi="Times New Roman" w:cs="Times New Roman"/>
          <w:noProof/>
          <w:sz w:val="24"/>
          <w:szCs w:val="24"/>
        </w:rPr>
        <w:t xml:space="preserve">saistītajiem </w:t>
      </w:r>
      <w:r w:rsidR="00D27AF9" w:rsidRPr="000D5DBF">
        <w:rPr>
          <w:rFonts w:ascii="Times New Roman" w:hAnsi="Times New Roman" w:cs="Times New Roman"/>
          <w:noProof/>
          <w:sz w:val="24"/>
          <w:szCs w:val="24"/>
        </w:rPr>
        <w:t>komunālajiem maksājumiem, kā rezultātā personīgās higiēnas un saimniecības preču iegādei visbiežāk nepietiek līdzekļu. Personīgās higiēnas ievērošana veicina cilvēka veselības saglabāšanu un nostiprināšanu, un tai ir ne tikai individuāla, bet arī sociāla nozīme, jo tās neievērošana var būt par cēloni dažādām slimībām, kuras var izplatīties ģimenes un apkārtējo sabiedrības locekļu vidū. Īpaši tas ir svarīgi dažādu infekcijas slīmību plašas izpaltības situ</w:t>
      </w:r>
      <w:r w:rsidR="00DC67EB" w:rsidRPr="000D5DBF">
        <w:rPr>
          <w:rFonts w:ascii="Times New Roman" w:hAnsi="Times New Roman" w:cs="Times New Roman"/>
          <w:noProof/>
          <w:sz w:val="24"/>
          <w:szCs w:val="24"/>
        </w:rPr>
        <w:t>ācijās, kā, piemēram, 2020. </w:t>
      </w:r>
      <w:r w:rsidR="00D27AF9" w:rsidRPr="000D5DBF">
        <w:rPr>
          <w:rFonts w:ascii="Times New Roman" w:hAnsi="Times New Roman" w:cs="Times New Roman"/>
          <w:noProof/>
          <w:sz w:val="24"/>
          <w:szCs w:val="24"/>
        </w:rPr>
        <w:t>gadā Covid-19 infekcijas izplatības laikā.</w:t>
      </w:r>
    </w:p>
    <w:p w14:paraId="7A79BD14" w14:textId="266EB9B6" w:rsidR="00D27AF9" w:rsidRPr="000D5DBF" w:rsidRDefault="00D27AF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Lai gan Latvijā ģimenes ar bērniem nav skaitliski </w:t>
      </w:r>
      <w:r w:rsidR="00624881" w:rsidRPr="000D5DBF">
        <w:rPr>
          <w:rFonts w:ascii="Times New Roman" w:hAnsi="Times New Roman" w:cs="Times New Roman"/>
          <w:noProof/>
          <w:sz w:val="24"/>
          <w:szCs w:val="24"/>
        </w:rPr>
        <w:t>lielākā</w:t>
      </w:r>
      <w:r w:rsidRPr="000D5DBF">
        <w:rPr>
          <w:rFonts w:ascii="Times New Roman" w:hAnsi="Times New Roman" w:cs="Times New Roman"/>
          <w:noProof/>
          <w:sz w:val="24"/>
          <w:szCs w:val="24"/>
        </w:rPr>
        <w:t xml:space="preserve"> sociālā grupa atbalsta gala saņēmēju vidū, tām </w:t>
      </w:r>
      <w:r w:rsidR="000A0A81">
        <w:rPr>
          <w:rFonts w:ascii="Times New Roman" w:hAnsi="Times New Roman" w:cs="Times New Roman"/>
          <w:bCs/>
          <w:sz w:val="24"/>
          <w:szCs w:val="24"/>
        </w:rPr>
        <w:t>P</w:t>
      </w:r>
      <w:r w:rsidR="000A0A81" w:rsidRPr="000D5DBF">
        <w:rPr>
          <w:rFonts w:ascii="Times New Roman" w:hAnsi="Times New Roman" w:cs="Times New Roman"/>
          <w:bCs/>
          <w:sz w:val="24"/>
          <w:szCs w:val="24"/>
        </w:rPr>
        <w:t>rogramma</w:t>
      </w:r>
      <w:r w:rsidR="000A0A81">
        <w:rPr>
          <w:rFonts w:ascii="Times New Roman" w:hAnsi="Times New Roman" w:cs="Times New Roman"/>
          <w:bCs/>
          <w:sz w:val="24"/>
          <w:szCs w:val="24"/>
        </w:rPr>
        <w:t xml:space="preserve">s </w:t>
      </w:r>
      <w:r w:rsidRPr="000D5DBF">
        <w:rPr>
          <w:rFonts w:ascii="Times New Roman" w:hAnsi="Times New Roman" w:cs="Times New Roman"/>
          <w:noProof/>
          <w:sz w:val="24"/>
          <w:szCs w:val="24"/>
        </w:rPr>
        <w:t>ietvaros tiek paredzēts papildu atbalsts (</w:t>
      </w:r>
      <w:r w:rsidR="00845720" w:rsidRPr="000D5DBF">
        <w:rPr>
          <w:rFonts w:ascii="Times New Roman" w:hAnsi="Times New Roman" w:cs="Times New Roman"/>
          <w:noProof/>
          <w:sz w:val="24"/>
          <w:szCs w:val="24"/>
        </w:rPr>
        <w:t>skat. informāciju 3. sadaļā</w:t>
      </w:r>
      <w:r w:rsidR="00127002" w:rsidRPr="000D5DBF">
        <w:rPr>
          <w:rFonts w:ascii="Times New Roman" w:hAnsi="Times New Roman" w:cs="Times New Roman"/>
          <w:noProof/>
          <w:sz w:val="24"/>
          <w:szCs w:val="24"/>
        </w:rPr>
        <w:t>). Vērā ir ņemts dažādos socio</w:t>
      </w:r>
      <w:r w:rsidRPr="000D5DBF">
        <w:rPr>
          <w:rFonts w:ascii="Times New Roman" w:hAnsi="Times New Roman" w:cs="Times New Roman"/>
          <w:noProof/>
          <w:sz w:val="24"/>
          <w:szCs w:val="24"/>
        </w:rPr>
        <w:t xml:space="preserve">loģiskajos pētījumos iegūts secinājums, ka bērni, kas uzaug nabadzīgās mājsaimniecībās, arī vēlāk savā dzīvē visticamāk nespēj izkļūt no nabadzības slazda, kas rada riskus nabadzības atražošanai paaudzēs. </w:t>
      </w:r>
      <w:r w:rsidR="00637F2B" w:rsidRPr="000D5DBF">
        <w:rPr>
          <w:rFonts w:ascii="Times New Roman" w:hAnsi="Times New Roman" w:cs="Times New Roman"/>
          <w:noProof/>
          <w:sz w:val="24"/>
          <w:szCs w:val="24"/>
        </w:rPr>
        <w:t>Zemu ienākumu mājsaimniecību bērni nereti dzīvo neatbilstošos</w:t>
      </w:r>
      <w:r w:rsidRPr="000D5DBF">
        <w:rPr>
          <w:rFonts w:ascii="Times New Roman" w:hAnsi="Times New Roman" w:cs="Times New Roman"/>
          <w:noProof/>
          <w:sz w:val="24"/>
          <w:szCs w:val="24"/>
        </w:rPr>
        <w:t xml:space="preserve"> sadzīves </w:t>
      </w:r>
      <w:r w:rsidR="00637F2B" w:rsidRPr="000D5DBF">
        <w:rPr>
          <w:rFonts w:ascii="Times New Roman" w:hAnsi="Times New Roman" w:cs="Times New Roman"/>
          <w:noProof/>
          <w:sz w:val="24"/>
          <w:szCs w:val="24"/>
        </w:rPr>
        <w:t>apstākļos, kuros līdzekļu trūkuma dēļ nevar ievērot</w:t>
      </w:r>
      <w:r w:rsidR="00624881" w:rsidRPr="000D5DBF">
        <w:rPr>
          <w:rFonts w:ascii="Times New Roman" w:hAnsi="Times New Roman" w:cs="Times New Roman"/>
          <w:noProof/>
          <w:sz w:val="24"/>
          <w:szCs w:val="24"/>
        </w:rPr>
        <w:t xml:space="preserve"> </w:t>
      </w:r>
      <w:r w:rsidR="00637F2B" w:rsidRPr="000D5DBF">
        <w:rPr>
          <w:rFonts w:ascii="Times New Roman" w:hAnsi="Times New Roman" w:cs="Times New Roman"/>
          <w:noProof/>
          <w:sz w:val="24"/>
          <w:szCs w:val="24"/>
        </w:rPr>
        <w:t>personīgo higiēnu</w:t>
      </w:r>
      <w:r w:rsidR="00887B44" w:rsidRPr="000D5DBF">
        <w:rPr>
          <w:rFonts w:ascii="Times New Roman" w:hAnsi="Times New Roman" w:cs="Times New Roman"/>
          <w:noProof/>
          <w:sz w:val="24"/>
          <w:szCs w:val="24"/>
        </w:rPr>
        <w:t xml:space="preserve">, </w:t>
      </w:r>
      <w:r w:rsidRPr="000D5DBF">
        <w:rPr>
          <w:rFonts w:ascii="Times New Roman" w:hAnsi="Times New Roman" w:cs="Times New Roman"/>
          <w:noProof/>
          <w:sz w:val="24"/>
          <w:szCs w:val="24"/>
        </w:rPr>
        <w:t>kā arī</w:t>
      </w:r>
      <w:r w:rsidR="00887B44" w:rsidRPr="000D5DBF">
        <w:rPr>
          <w:rFonts w:ascii="Times New Roman" w:hAnsi="Times New Roman" w:cs="Times New Roman"/>
          <w:noProof/>
          <w:sz w:val="24"/>
          <w:szCs w:val="24"/>
        </w:rPr>
        <w:t xml:space="preserve"> nevar iegādāties</w:t>
      </w:r>
      <w:r w:rsidRPr="000D5DBF">
        <w:rPr>
          <w:rFonts w:ascii="Times New Roman" w:hAnsi="Times New Roman" w:cs="Times New Roman"/>
          <w:noProof/>
          <w:sz w:val="24"/>
          <w:szCs w:val="24"/>
        </w:rPr>
        <w:t xml:space="preserve"> mācībā</w:t>
      </w:r>
      <w:r w:rsidR="00887B44" w:rsidRPr="000D5DBF">
        <w:rPr>
          <w:rFonts w:ascii="Times New Roman" w:hAnsi="Times New Roman" w:cs="Times New Roman"/>
          <w:noProof/>
          <w:sz w:val="24"/>
          <w:szCs w:val="24"/>
        </w:rPr>
        <w:t>m nepieciešamos materiālus</w:t>
      </w:r>
      <w:r w:rsidRPr="000D5DBF">
        <w:rPr>
          <w:rFonts w:ascii="Times New Roman" w:hAnsi="Times New Roman" w:cs="Times New Roman"/>
          <w:noProof/>
          <w:sz w:val="24"/>
          <w:szCs w:val="24"/>
        </w:rPr>
        <w:t>.</w:t>
      </w:r>
    </w:p>
    <w:p w14:paraId="2B57918B" w14:textId="4DD7227C" w:rsidR="00D27AF9" w:rsidRPr="000D5DBF" w:rsidRDefault="00FA2BA2"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Pirmajos divos bērna dzīves gados ir vairākas neatliekamu izdevumu pozīcijas, kas ievērojami maina ģimenes finanšu plānošanu, īpaši gadījumos, kad ienākumi ir ierobežoti, proti, ģimene ir trūcīga vai nonākusi krīzes situācijā. Tā rezultātā ģimenē var pasliktināties zīdaiņu un mazo bērnu uzturs, kā arī </w:t>
      </w:r>
      <w:r w:rsidR="00953E4C" w:rsidRPr="000D5DBF">
        <w:rPr>
          <w:rFonts w:ascii="Times New Roman" w:hAnsi="Times New Roman" w:cs="Times New Roman"/>
          <w:noProof/>
          <w:sz w:val="24"/>
          <w:szCs w:val="24"/>
        </w:rPr>
        <w:t xml:space="preserve">trūkt higiēnas līdzekļu viņu </w:t>
      </w:r>
      <w:r w:rsidR="00D27AF9" w:rsidRPr="000D5DBF">
        <w:rPr>
          <w:rFonts w:ascii="Times New Roman" w:hAnsi="Times New Roman" w:cs="Times New Roman"/>
          <w:noProof/>
          <w:sz w:val="24"/>
          <w:szCs w:val="24"/>
        </w:rPr>
        <w:t>kopšanai un aprūpei</w:t>
      </w:r>
      <w:r w:rsidR="00953E4C" w:rsidRPr="000D5DBF">
        <w:rPr>
          <w:rFonts w:ascii="Times New Roman" w:hAnsi="Times New Roman" w:cs="Times New Roman"/>
          <w:noProof/>
          <w:sz w:val="24"/>
          <w:szCs w:val="24"/>
        </w:rPr>
        <w:t>.</w:t>
      </w:r>
      <w:r w:rsidR="000D76A5" w:rsidRPr="000D5DBF">
        <w:rPr>
          <w:rFonts w:ascii="Times New Roman" w:hAnsi="Times New Roman" w:cs="Times New Roman"/>
          <w:noProof/>
          <w:sz w:val="24"/>
          <w:szCs w:val="24"/>
        </w:rPr>
        <w:t xml:space="preserve"> </w:t>
      </w:r>
      <w:r w:rsidR="00D27AF9" w:rsidRPr="000D5DBF">
        <w:rPr>
          <w:rFonts w:ascii="Times New Roman" w:hAnsi="Times New Roman" w:cs="Times New Roman"/>
          <w:noProof/>
          <w:sz w:val="24"/>
          <w:szCs w:val="24"/>
        </w:rPr>
        <w:t>Bērnu līdz 2 gadiem ēdināšanai ir raksturīga atšķirīga ēdienkarte un nepieciešama ēdienu atsevišķa pagatavošana, nekā pārējiem pieaugušajiem ģimenes locekļiem. Tāpat zīdaiņu un mazo bērnu apkopšanai ir nepieciešamas specifiskas higiēnas preces, piemēram, autiņbiksītes.</w:t>
      </w:r>
    </w:p>
    <w:p w14:paraId="59773CEA" w14:textId="77777777" w:rsidR="00D27AF9" w:rsidRPr="000D5DBF" w:rsidRDefault="00D27AF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Vecāku ierobežotie finansiālie līdzekļi var būt iemesls, kādēļ bērni nevēlas apmeklēt skolu, regulāri kavē vai pat pamet to. Mērķēts atbalsts individuālo mācību piederumu nodrošināšanai (piemēram, kancelejas piederumi, skolas soma, materiāli, kurus izmantojot mācību procesā skolēns rada priekšmetu vai produktu savām vajadzībām, u.c.) izglītojamiem ģimenēs ar zemiem ienākumiem var sniegt būtisku ieguldījumu bērna pašvērtējuma stiprināšanai viņa turpmākai socializācijai sabiedrībā.</w:t>
      </w:r>
    </w:p>
    <w:p w14:paraId="4E68B86B" w14:textId="579739B7" w:rsidR="00D27AF9" w:rsidRPr="000D5DBF" w:rsidRDefault="00BA52E1"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J</w:t>
      </w:r>
      <w:r w:rsidR="00D27AF9" w:rsidRPr="000D5DBF">
        <w:rPr>
          <w:rFonts w:ascii="Times New Roman" w:hAnsi="Times New Roman" w:cs="Times New Roman"/>
          <w:noProof/>
          <w:sz w:val="24"/>
          <w:szCs w:val="24"/>
        </w:rPr>
        <w:t xml:space="preserve">āatzīmē, ka </w:t>
      </w:r>
      <w:r w:rsidRPr="000D5DBF">
        <w:rPr>
          <w:rFonts w:ascii="Times New Roman" w:hAnsi="Times New Roman" w:cs="Times New Roman"/>
          <w:noProof/>
          <w:sz w:val="24"/>
          <w:szCs w:val="24"/>
        </w:rPr>
        <w:t xml:space="preserve">krīzes situācijās </w:t>
      </w:r>
      <w:r w:rsidR="004568B1" w:rsidRPr="000D5DBF">
        <w:rPr>
          <w:rFonts w:ascii="Times New Roman" w:hAnsi="Times New Roman" w:cs="Times New Roman"/>
          <w:noProof/>
          <w:sz w:val="24"/>
          <w:szCs w:val="24"/>
        </w:rPr>
        <w:t xml:space="preserve">citu sociālo grupu starpā </w:t>
      </w:r>
      <w:r w:rsidRPr="000D5DBF">
        <w:rPr>
          <w:rFonts w:ascii="Times New Roman" w:hAnsi="Times New Roman" w:cs="Times New Roman"/>
          <w:noProof/>
          <w:sz w:val="24"/>
          <w:szCs w:val="24"/>
        </w:rPr>
        <w:t xml:space="preserve">visievainojamākās ir </w:t>
      </w:r>
      <w:r w:rsidR="00D27AF9" w:rsidRPr="000D5DBF">
        <w:rPr>
          <w:rFonts w:ascii="Times New Roman" w:hAnsi="Times New Roman" w:cs="Times New Roman"/>
          <w:noProof/>
          <w:sz w:val="24"/>
          <w:szCs w:val="24"/>
        </w:rPr>
        <w:t>mājsaimniecības ar bērniem. Piemēram, 2020. gada pavasarī Covid-19 infekcijas uzliesmojuma laikā, kad valstī bija izsludināta pirmā ārkārtējā situācija, no krīzes situācijā nonākušām personām bērnu skaits par 10 % palielināja trūcīgu un maznodrošinātu ģimeņu bērnu kopskaitu (turpretī personas vecumā 65+ bija tikai 2 %)</w:t>
      </w:r>
      <w:r w:rsidR="004568B1" w:rsidRPr="000D5DBF">
        <w:rPr>
          <w:rFonts w:ascii="Times New Roman" w:hAnsi="Times New Roman" w:cs="Times New Roman"/>
          <w:noProof/>
          <w:sz w:val="24"/>
          <w:szCs w:val="24"/>
        </w:rPr>
        <w:t xml:space="preserve"> Tas liecin</w:t>
      </w:r>
      <w:r w:rsidR="00D27AF9" w:rsidRPr="000D5DBF">
        <w:rPr>
          <w:rFonts w:ascii="Times New Roman" w:hAnsi="Times New Roman" w:cs="Times New Roman"/>
          <w:noProof/>
          <w:sz w:val="24"/>
          <w:szCs w:val="24"/>
        </w:rPr>
        <w:t>a, ka pēc atbalsta krīzes situācijā vēršas vairāk ģimenes ar bērniem, kuru ienākumi ir atkarīgi no darba un atalgojuma pieejamības. Dīkstāve vai bezdarbs veido īslaicīgu krīzes situāciju, kurā jebkurš atbalsts ir ļoti būtisks.</w:t>
      </w:r>
    </w:p>
    <w:p w14:paraId="2277D1CA" w14:textId="6C0B2951" w:rsidR="00A03CFE" w:rsidRPr="000D5DBF" w:rsidRDefault="000A0A81"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i </w:t>
      </w:r>
      <w:r w:rsidR="00A03CFE" w:rsidRPr="000D5DBF">
        <w:rPr>
          <w:rFonts w:ascii="Times New Roman" w:hAnsi="Times New Roman" w:cs="Times New Roman"/>
          <w:bCs/>
          <w:sz w:val="24"/>
          <w:szCs w:val="24"/>
        </w:rPr>
        <w:t>piešķirtā kop</w:t>
      </w:r>
      <w:r w:rsidR="00266617" w:rsidRPr="000D5DBF">
        <w:rPr>
          <w:rFonts w:ascii="Times New Roman" w:hAnsi="Times New Roman" w:cs="Times New Roman"/>
          <w:bCs/>
          <w:sz w:val="24"/>
          <w:szCs w:val="24"/>
        </w:rPr>
        <w:t>ējā finansējuma ietvaros plāno</w:t>
      </w:r>
      <w:r w:rsidR="00A03CFE" w:rsidRPr="000D5DBF">
        <w:rPr>
          <w:rFonts w:ascii="Times New Roman" w:hAnsi="Times New Roman" w:cs="Times New Roman"/>
          <w:bCs/>
          <w:sz w:val="24"/>
          <w:szCs w:val="24"/>
        </w:rPr>
        <w:t>ts nodrošināt atbalstu indikatīvi 59 tūkstošiem unikālo personu gadā, tajā skaitā:</w:t>
      </w:r>
    </w:p>
    <w:p w14:paraId="69B801F4" w14:textId="3C3D1AC4" w:rsidR="00A03CFE" w:rsidRPr="000D5DBF" w:rsidRDefault="00A03CFE" w:rsidP="00641840">
      <w:pPr>
        <w:pStyle w:val="ListParagraph"/>
        <w:numPr>
          <w:ilvl w:val="0"/>
          <w:numId w:val="31"/>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bCs/>
          <w:sz w:val="24"/>
          <w:szCs w:val="24"/>
        </w:rPr>
        <w:t>34 tūkstošiem unikālo personu mājsaimniecībās, kurās ir pensionāri, cilvēki ar invaliditāti, pirmspensijas vec</w:t>
      </w:r>
      <w:r w:rsidR="00266617" w:rsidRPr="000D5DBF">
        <w:rPr>
          <w:rFonts w:ascii="Times New Roman" w:hAnsi="Times New Roman" w:cs="Times New Roman"/>
          <w:bCs/>
          <w:sz w:val="24"/>
          <w:szCs w:val="24"/>
        </w:rPr>
        <w:t>uma ilgstošie bezdarbnieki u.c.</w:t>
      </w:r>
      <w:r w:rsidRPr="000D5DBF">
        <w:rPr>
          <w:rFonts w:ascii="Times New Roman" w:hAnsi="Times New Roman" w:cs="Times New Roman"/>
          <w:bCs/>
          <w:sz w:val="24"/>
          <w:szCs w:val="24"/>
        </w:rPr>
        <w:t>;</w:t>
      </w:r>
    </w:p>
    <w:p w14:paraId="532FEA18" w14:textId="59FD5CB8" w:rsidR="00706A16" w:rsidRPr="000D5DBF" w:rsidRDefault="00A03CFE" w:rsidP="00641840">
      <w:pPr>
        <w:pStyle w:val="ListParagraph"/>
        <w:numPr>
          <w:ilvl w:val="0"/>
          <w:numId w:val="31"/>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bCs/>
          <w:sz w:val="24"/>
          <w:szCs w:val="24"/>
        </w:rPr>
        <w:t>25 tūkstošiem unikālo per</w:t>
      </w:r>
      <w:r w:rsidR="00266617" w:rsidRPr="000D5DBF">
        <w:rPr>
          <w:rFonts w:ascii="Times New Roman" w:hAnsi="Times New Roman" w:cs="Times New Roman"/>
          <w:bCs/>
          <w:sz w:val="24"/>
          <w:szCs w:val="24"/>
        </w:rPr>
        <w:t>sonu mājsaimniecībās ar bērniem</w:t>
      </w:r>
      <w:r w:rsidRPr="000D5DBF">
        <w:rPr>
          <w:rFonts w:ascii="Times New Roman" w:hAnsi="Times New Roman" w:cs="Times New Roman"/>
          <w:bCs/>
          <w:sz w:val="24"/>
          <w:szCs w:val="24"/>
        </w:rPr>
        <w:t>.</w:t>
      </w:r>
    </w:p>
    <w:p w14:paraId="2D8C9CA8" w14:textId="33E41932" w:rsidR="00A41487" w:rsidRPr="000D5DBF" w:rsidRDefault="00A41487" w:rsidP="00641840">
      <w:pPr>
        <w:spacing w:before="0" w:after="0"/>
        <w:ind w:left="567"/>
        <w:rPr>
          <w:noProof/>
          <w:szCs w:val="24"/>
        </w:rPr>
      </w:pPr>
      <w:r w:rsidRPr="003139A2">
        <w:rPr>
          <w:noProof/>
          <w:szCs w:val="24"/>
        </w:rPr>
        <w:t xml:space="preserve">Kopējā </w:t>
      </w:r>
      <w:r w:rsidR="009F7587" w:rsidRPr="003139A2">
        <w:rPr>
          <w:noProof/>
          <w:szCs w:val="24"/>
        </w:rPr>
        <w:t xml:space="preserve">pieejamā </w:t>
      </w:r>
      <w:r w:rsidRPr="003139A2">
        <w:rPr>
          <w:noProof/>
          <w:szCs w:val="24"/>
        </w:rPr>
        <w:t>finansējuma ietvaros pārtikas</w:t>
      </w:r>
      <w:r w:rsidR="00A9701B">
        <w:rPr>
          <w:noProof/>
          <w:szCs w:val="24"/>
        </w:rPr>
        <w:t xml:space="preserve"> atbalstam, t.sk</w:t>
      </w:r>
      <w:r w:rsidR="00A648E3" w:rsidRPr="003139A2">
        <w:rPr>
          <w:noProof/>
          <w:szCs w:val="24"/>
        </w:rPr>
        <w:t>.</w:t>
      </w:r>
      <w:r w:rsidR="00A9701B">
        <w:rPr>
          <w:noProof/>
          <w:szCs w:val="24"/>
        </w:rPr>
        <w:t xml:space="preserve"> </w:t>
      </w:r>
      <w:r w:rsidR="00A648E3" w:rsidRPr="003139A2">
        <w:rPr>
          <w:noProof/>
          <w:szCs w:val="24"/>
        </w:rPr>
        <w:t>gatavām maltītēm,</w:t>
      </w:r>
      <w:r w:rsidRPr="003139A2">
        <w:rPr>
          <w:noProof/>
          <w:szCs w:val="24"/>
        </w:rPr>
        <w:t xml:space="preserve"> </w:t>
      </w:r>
      <w:r w:rsidR="000D5DBF" w:rsidRPr="003139A2">
        <w:rPr>
          <w:noProof/>
          <w:szCs w:val="24"/>
        </w:rPr>
        <w:t>plā</w:t>
      </w:r>
      <w:r w:rsidRPr="003139A2">
        <w:rPr>
          <w:noProof/>
          <w:szCs w:val="24"/>
        </w:rPr>
        <w:t xml:space="preserve">nots novirzīt </w:t>
      </w:r>
      <w:r w:rsidR="007E25F5">
        <w:rPr>
          <w:noProof/>
          <w:szCs w:val="24"/>
        </w:rPr>
        <w:t>indikatīvi 75 </w:t>
      </w:r>
      <w:r w:rsidRPr="003139A2">
        <w:rPr>
          <w:noProof/>
          <w:szCs w:val="24"/>
        </w:rPr>
        <w:t>%, b</w:t>
      </w:r>
      <w:r w:rsidR="00A648E3" w:rsidRPr="003139A2">
        <w:rPr>
          <w:noProof/>
          <w:szCs w:val="24"/>
        </w:rPr>
        <w:t>e</w:t>
      </w:r>
      <w:r w:rsidR="000D5DBF" w:rsidRPr="003139A2">
        <w:rPr>
          <w:noProof/>
          <w:szCs w:val="24"/>
        </w:rPr>
        <w:t>t</w:t>
      </w:r>
      <w:r w:rsidR="00A648E3" w:rsidRPr="003139A2">
        <w:rPr>
          <w:noProof/>
          <w:szCs w:val="24"/>
        </w:rPr>
        <w:t xml:space="preserve"> pamata materiālaj</w:t>
      </w:r>
      <w:r w:rsidR="003139A2" w:rsidRPr="003139A2">
        <w:rPr>
          <w:noProof/>
          <w:szCs w:val="24"/>
        </w:rPr>
        <w:t>a</w:t>
      </w:r>
      <w:r w:rsidR="00A648E3" w:rsidRPr="003139A2">
        <w:rPr>
          <w:noProof/>
          <w:szCs w:val="24"/>
        </w:rPr>
        <w:t xml:space="preserve">i palīdzībai, tostarp higiēnas un saimniecības precēm un mācību piederumiem </w:t>
      </w:r>
      <w:r w:rsidR="007E25F5">
        <w:rPr>
          <w:noProof/>
          <w:szCs w:val="24"/>
        </w:rPr>
        <w:t>– 25 </w:t>
      </w:r>
      <w:r w:rsidRPr="003139A2">
        <w:rPr>
          <w:noProof/>
          <w:szCs w:val="24"/>
        </w:rPr>
        <w:t>%.</w:t>
      </w:r>
    </w:p>
    <w:p w14:paraId="2D08A250" w14:textId="77777777" w:rsidR="00A41487" w:rsidRPr="000D5DBF" w:rsidRDefault="00A41487" w:rsidP="00641840">
      <w:pPr>
        <w:spacing w:before="0" w:after="0"/>
        <w:rPr>
          <w:noProof/>
          <w:szCs w:val="24"/>
        </w:rPr>
      </w:pPr>
    </w:p>
    <w:p w14:paraId="2B7614F0" w14:textId="37B6196E" w:rsidR="00D27AF9" w:rsidRPr="000D5DBF" w:rsidRDefault="00235CD3" w:rsidP="00641840">
      <w:pPr>
        <w:pStyle w:val="Heading2"/>
        <w:numPr>
          <w:ilvl w:val="1"/>
          <w:numId w:val="30"/>
        </w:numPr>
        <w:spacing w:before="0"/>
        <w:rPr>
          <w:rFonts w:ascii="Times New Roman" w:hAnsi="Times New Roman" w:cs="Times New Roman"/>
          <w:b/>
          <w:color w:val="auto"/>
          <w:sz w:val="24"/>
          <w:szCs w:val="24"/>
        </w:rPr>
      </w:pPr>
      <w:bookmarkStart w:id="8" w:name="_Toc70410836"/>
      <w:r w:rsidRPr="000D5DBF">
        <w:rPr>
          <w:rFonts w:ascii="Times New Roman" w:hAnsi="Times New Roman" w:cs="Times New Roman"/>
          <w:b/>
          <w:color w:val="auto"/>
          <w:sz w:val="24"/>
          <w:szCs w:val="24"/>
        </w:rPr>
        <w:t>Programmas īstenošanas pamatp</w:t>
      </w:r>
      <w:r w:rsidR="00D27AF9" w:rsidRPr="000D5DBF">
        <w:rPr>
          <w:rFonts w:ascii="Times New Roman" w:hAnsi="Times New Roman" w:cs="Times New Roman"/>
          <w:b/>
          <w:color w:val="auto"/>
          <w:sz w:val="24"/>
          <w:szCs w:val="24"/>
        </w:rPr>
        <w:t>rincipi</w:t>
      </w:r>
      <w:bookmarkEnd w:id="8"/>
    </w:p>
    <w:p w14:paraId="75CA8272" w14:textId="3554B7D4" w:rsidR="00D94AEC" w:rsidRPr="003C3761" w:rsidRDefault="000A0A81"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D27AF9" w:rsidRPr="002D5DF2">
        <w:rPr>
          <w:rFonts w:ascii="Times New Roman" w:hAnsi="Times New Roman" w:cs="Times New Roman"/>
          <w:bCs/>
          <w:sz w:val="24"/>
          <w:szCs w:val="24"/>
        </w:rPr>
        <w:t xml:space="preserve">īstenošanā tiks ievēroti šādi principi: informācijas un vides pieejamība, </w:t>
      </w:r>
      <w:r w:rsidR="00531E57" w:rsidRPr="002D5DF2">
        <w:rPr>
          <w:rFonts w:ascii="Times New Roman" w:hAnsi="Times New Roman" w:cs="Times New Roman"/>
          <w:bCs/>
          <w:sz w:val="24"/>
          <w:szCs w:val="24"/>
        </w:rPr>
        <w:t>dzimumu</w:t>
      </w:r>
      <w:r w:rsidR="00D27AF9" w:rsidRPr="002D5DF2">
        <w:rPr>
          <w:rFonts w:ascii="Times New Roman" w:hAnsi="Times New Roman" w:cs="Times New Roman"/>
          <w:bCs/>
          <w:sz w:val="24"/>
          <w:szCs w:val="24"/>
        </w:rPr>
        <w:t xml:space="preserve"> līdztiesība, vienlīdzīgu iespēju nodrošināšana, nediskriminācija vecuma, dzimuma, rases, etniskās izcelsmes, reliģijas vai pārliecības, invaliditātes,</w:t>
      </w:r>
      <w:r w:rsidR="00531E57" w:rsidRPr="002D5DF2">
        <w:rPr>
          <w:rFonts w:ascii="Times New Roman" w:hAnsi="Times New Roman" w:cs="Times New Roman"/>
          <w:bCs/>
          <w:sz w:val="24"/>
          <w:szCs w:val="24"/>
        </w:rPr>
        <w:t xml:space="preserve"> dzimumorientācijas dēļ</w:t>
      </w:r>
      <w:r w:rsidR="00D27AF9" w:rsidRPr="002D5DF2">
        <w:rPr>
          <w:rFonts w:ascii="Times New Roman" w:hAnsi="Times New Roman" w:cs="Times New Roman"/>
          <w:bCs/>
          <w:sz w:val="24"/>
          <w:szCs w:val="24"/>
        </w:rPr>
        <w:t>.</w:t>
      </w:r>
      <w:r w:rsidR="002D5DF2" w:rsidRPr="002D5DF2">
        <w:rPr>
          <w:rFonts w:ascii="Times New Roman" w:hAnsi="Times New Roman" w:cs="Times New Roman"/>
          <w:bCs/>
          <w:sz w:val="24"/>
          <w:szCs w:val="24"/>
        </w:rPr>
        <w:t xml:space="preserve"> </w:t>
      </w:r>
      <w:r w:rsidR="00D33591" w:rsidRPr="002D5DF2">
        <w:rPr>
          <w:rFonts w:ascii="Times New Roman" w:hAnsi="Times New Roman" w:cs="Times New Roman"/>
          <w:bCs/>
          <w:sz w:val="24"/>
          <w:szCs w:val="24"/>
        </w:rPr>
        <w:t>Programmas īstenošanā un uzraudzībā tiks nodrošināta pārredzamības</w:t>
      </w:r>
      <w:r w:rsidR="002D5DF2" w:rsidRPr="002D5DF2">
        <w:rPr>
          <w:rFonts w:ascii="Times New Roman" w:hAnsi="Times New Roman" w:cs="Times New Roman"/>
          <w:bCs/>
          <w:sz w:val="24"/>
          <w:szCs w:val="24"/>
        </w:rPr>
        <w:t xml:space="preserve"> </w:t>
      </w:r>
      <w:r w:rsidR="00D33591" w:rsidRPr="002D5DF2">
        <w:rPr>
          <w:rFonts w:ascii="Times New Roman" w:hAnsi="Times New Roman" w:cs="Times New Roman"/>
          <w:bCs/>
          <w:sz w:val="24"/>
          <w:szCs w:val="24"/>
        </w:rPr>
        <w:t xml:space="preserve">un pareizas finanšu pārvaldības </w:t>
      </w:r>
      <w:r w:rsidR="002D5DF2" w:rsidRPr="002D5DF2">
        <w:rPr>
          <w:rFonts w:ascii="Times New Roman" w:hAnsi="Times New Roman" w:cs="Times New Roman"/>
          <w:bCs/>
          <w:sz w:val="24"/>
          <w:szCs w:val="24"/>
        </w:rPr>
        <w:t>principa ievērošana, kā arī nevajadzīgā administratīvā sloga samazināšana.</w:t>
      </w:r>
    </w:p>
    <w:p w14:paraId="6EC03376" w14:textId="63F85CA0" w:rsidR="00D27AF9" w:rsidRPr="000D5DBF" w:rsidRDefault="00D27AF9"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bCs/>
          <w:sz w:val="24"/>
          <w:szCs w:val="24"/>
        </w:rPr>
        <w:t>Pārtikas un pamat</w:t>
      </w:r>
      <w:r w:rsidR="00A24883" w:rsidRPr="000D5DBF">
        <w:rPr>
          <w:rFonts w:ascii="Times New Roman" w:hAnsi="Times New Roman" w:cs="Times New Roman"/>
          <w:bCs/>
          <w:sz w:val="24"/>
          <w:szCs w:val="24"/>
        </w:rPr>
        <w:t xml:space="preserve">a </w:t>
      </w:r>
      <w:r w:rsidRPr="000D5DBF">
        <w:rPr>
          <w:rFonts w:ascii="Times New Roman" w:hAnsi="Times New Roman" w:cs="Times New Roman"/>
          <w:bCs/>
          <w:sz w:val="24"/>
          <w:szCs w:val="24"/>
        </w:rPr>
        <w:t xml:space="preserve">materiālās palīdzības </w:t>
      </w:r>
      <w:r w:rsidRPr="000D5DBF">
        <w:rPr>
          <w:rFonts w:ascii="Times New Roman" w:eastAsia="Times New Roman" w:hAnsi="Times New Roman" w:cs="Times New Roman"/>
          <w:noProof/>
          <w:sz w:val="24"/>
          <w:szCs w:val="24"/>
        </w:rPr>
        <w:t>izdalīšanai</w:t>
      </w:r>
      <w:r w:rsidRPr="000D5DBF">
        <w:rPr>
          <w:rFonts w:ascii="Times New Roman" w:hAnsi="Times New Roman" w:cs="Times New Roman"/>
          <w:bCs/>
          <w:sz w:val="24"/>
          <w:szCs w:val="24"/>
        </w:rPr>
        <w:t xml:space="preserve"> tiks iepirktas tikai tādas preces, kas </w:t>
      </w:r>
      <w:r w:rsidRPr="000D5DBF">
        <w:rPr>
          <w:rFonts w:ascii="Times New Roman" w:eastAsia="Times New Roman" w:hAnsi="Times New Roman" w:cs="Times New Roman"/>
          <w:noProof/>
          <w:sz w:val="24"/>
          <w:szCs w:val="24"/>
        </w:rPr>
        <w:t xml:space="preserve">atbilst ES tiesību aktiem par patēriņa preču </w:t>
      </w:r>
      <w:r w:rsidR="006B1BCE" w:rsidRPr="000D5DBF">
        <w:rPr>
          <w:rFonts w:ascii="Times New Roman" w:eastAsia="Times New Roman" w:hAnsi="Times New Roman" w:cs="Times New Roman"/>
          <w:noProof/>
          <w:sz w:val="24"/>
          <w:szCs w:val="24"/>
        </w:rPr>
        <w:t>drošu</w:t>
      </w:r>
      <w:r w:rsidRPr="000D5DBF">
        <w:rPr>
          <w:rFonts w:ascii="Times New Roman" w:eastAsia="Times New Roman" w:hAnsi="Times New Roman" w:cs="Times New Roman"/>
          <w:noProof/>
          <w:sz w:val="24"/>
          <w:szCs w:val="24"/>
        </w:rPr>
        <w:t xml:space="preserve">mu. Preču izvēlē tiks ņemti vērā klimata un vides aizsardzības aspekti, pārtikas atkritumu daudzuma samazināšanas princips, to atbilstība </w:t>
      </w:r>
      <w:r w:rsidRPr="000D5DBF">
        <w:rPr>
          <w:rFonts w:ascii="Times New Roman" w:hAnsi="Times New Roman" w:cs="Times New Roman"/>
          <w:bCs/>
          <w:sz w:val="24"/>
          <w:szCs w:val="24"/>
        </w:rPr>
        <w:t>veselīga uztura nosacījumiem.</w:t>
      </w:r>
    </w:p>
    <w:p w14:paraId="5E831EB1" w14:textId="77777777" w:rsidR="00D27AF9" w:rsidRPr="000D5DBF" w:rsidRDefault="00D27AF9"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noProof/>
          <w:sz w:val="24"/>
          <w:szCs w:val="24"/>
        </w:rPr>
        <w:t xml:space="preserve">Pārtikas un materiālās palīdzības preču klāsts pamatā ir izveidots 2014. – 2020. gada plānošanas periodā EAFVP darbības programmas īstenošanas ietvaros sadarbībā ar NVO un labdarības organizāciju pārstāvjiem, dietologiem, ekspertiem no ZM, VM un IZM. Optimālā produktu klāsta noteikšanā ievērota katra produkta uzturvērtība, tā atbilstība veselīgam uzturam un piemērotība izdalīšanai, produkta derīguma termiņa ilgums, apstāklis, ka to uzglabāšanai nav nepieciešams speciāls temperatūras režīms, kā arī iespējamais produktu pagatavošanas veids. Produktu klāsta noteikšanā un pilnveidē ņemti vērā ikgadēji EAFVP ieviešanas novērtēšanā noskaidrotie atbalsta gala saņēmēju viedokļi un ieteikumi, nodrošinot lielāku komplektā esošo produktu daudzveidību un uzturvielu sabalansētību. Vienlaikus atbalsta apjoms ir paredzēts </w:t>
      </w:r>
      <w:r w:rsidRPr="000D5DBF">
        <w:rPr>
          <w:rFonts w:ascii="Times New Roman" w:hAnsi="Times New Roman" w:cs="Times New Roman"/>
          <w:sz w:val="24"/>
          <w:szCs w:val="24"/>
          <w:lang w:eastAsia="en-US" w:bidi="ar-SA"/>
        </w:rPr>
        <w:t>ierobežotā apjomā, neveicinot atkarības no atbalsta veidošanos.</w:t>
      </w:r>
    </w:p>
    <w:p w14:paraId="673D4AA2" w14:textId="4BFB1823" w:rsidR="00D27AF9" w:rsidRPr="000D5DBF" w:rsidRDefault="00D27AF9" w:rsidP="00641840">
      <w:pPr>
        <w:pStyle w:val="ListParagraph"/>
        <w:numPr>
          <w:ilvl w:val="0"/>
          <w:numId w:val="2"/>
        </w:numPr>
        <w:spacing w:after="0" w:line="240" w:lineRule="auto"/>
        <w:ind w:left="567" w:hanging="567"/>
        <w:jc w:val="both"/>
        <w:rPr>
          <w:rFonts w:ascii="Times New Roman" w:hAnsi="Times New Roman" w:cs="Times New Roman"/>
          <w:bCs/>
          <w:sz w:val="24"/>
          <w:szCs w:val="24"/>
        </w:rPr>
      </w:pPr>
      <w:r w:rsidRPr="000D5DBF">
        <w:rPr>
          <w:rFonts w:ascii="Times New Roman" w:hAnsi="Times New Roman" w:cs="Times New Roman"/>
          <w:noProof/>
          <w:sz w:val="24"/>
          <w:szCs w:val="24"/>
        </w:rPr>
        <w:t xml:space="preserve">Atbalsta komplektos iekļaujamo preču iepirkšanā tiks </w:t>
      </w:r>
      <w:r w:rsidR="001B64DE" w:rsidRPr="000D5DBF">
        <w:rPr>
          <w:rFonts w:ascii="Times New Roman" w:hAnsi="Times New Roman" w:cs="Times New Roman"/>
          <w:noProof/>
          <w:sz w:val="24"/>
          <w:szCs w:val="24"/>
        </w:rPr>
        <w:t xml:space="preserve">piemērots vides aizsardzības </w:t>
      </w:r>
      <w:r w:rsidRPr="000D5DBF">
        <w:rPr>
          <w:rFonts w:ascii="Times New Roman" w:hAnsi="Times New Roman" w:cs="Times New Roman"/>
          <w:noProof/>
          <w:sz w:val="24"/>
          <w:szCs w:val="24"/>
        </w:rPr>
        <w:t xml:space="preserve">princips, preču iepirkumu nosacījumos </w:t>
      </w:r>
      <w:r w:rsidR="006C0BC9" w:rsidRPr="000D5DBF">
        <w:rPr>
          <w:rFonts w:ascii="Times New Roman" w:hAnsi="Times New Roman" w:cs="Times New Roman"/>
          <w:noProof/>
          <w:sz w:val="24"/>
          <w:szCs w:val="24"/>
        </w:rPr>
        <w:t>iekļaujot</w:t>
      </w:r>
      <w:r w:rsidRPr="000D5DBF">
        <w:rPr>
          <w:rFonts w:ascii="Times New Roman" w:hAnsi="Times New Roman" w:cs="Times New Roman"/>
          <w:noProof/>
          <w:sz w:val="24"/>
          <w:szCs w:val="24"/>
        </w:rPr>
        <w:t xml:space="preserve"> prasības:</w:t>
      </w:r>
    </w:p>
    <w:p w14:paraId="35651CFE" w14:textId="77777777" w:rsidR="00D27AF9" w:rsidRPr="000D5DBF" w:rsidRDefault="00D27AF9" w:rsidP="00641840">
      <w:pPr>
        <w:pStyle w:val="ListParagraph"/>
        <w:numPr>
          <w:ilvl w:val="0"/>
          <w:numId w:val="4"/>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iepakojumam, kas atbilst videi draudzīgam iepakojumam vai iepakojumam, kura lielākā daļa ir otrreizēji pārstrādājama, vai iepakojumam, ko preču piegādātājs pieņem atkārtotai izmantošanai; </w:t>
      </w:r>
    </w:p>
    <w:p w14:paraId="03160495" w14:textId="77777777" w:rsidR="00D27AF9" w:rsidRPr="000D5DBF" w:rsidRDefault="00D27AF9" w:rsidP="00641840">
      <w:pPr>
        <w:pStyle w:val="ListParagraph"/>
        <w:numPr>
          <w:ilvl w:val="0"/>
          <w:numId w:val="4"/>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preču transportēšanai, kas ir videi draudzīga, lai piegādes laikā nodrošinātu samazinātu vides piesārņojumu ar autotransporta izplūdes gāzēm un veicinātu ceļa infrastruktūras slodzes samazināšanu u.c.</w:t>
      </w:r>
    </w:p>
    <w:p w14:paraId="7EBA8677" w14:textId="3AD3579D" w:rsidR="00D27AF9" w:rsidRPr="000D5DBF" w:rsidRDefault="00336114" w:rsidP="00641840">
      <w:pPr>
        <w:pStyle w:val="ListParagraph"/>
        <w:numPr>
          <w:ilvl w:val="0"/>
          <w:numId w:val="2"/>
        </w:numPr>
        <w:spacing w:after="0" w:line="240" w:lineRule="auto"/>
        <w:ind w:left="567" w:hanging="567"/>
        <w:rPr>
          <w:rFonts w:ascii="Times New Roman" w:hAnsi="Times New Roman" w:cs="Times New Roman"/>
          <w:noProof/>
          <w:sz w:val="24"/>
          <w:szCs w:val="24"/>
        </w:rPr>
      </w:pPr>
      <w:r w:rsidRPr="000D5DBF">
        <w:rPr>
          <w:rFonts w:ascii="Times New Roman" w:hAnsi="Times New Roman" w:cs="Times New Roman"/>
          <w:noProof/>
          <w:sz w:val="24"/>
          <w:szCs w:val="24"/>
        </w:rPr>
        <w:t>Preču iepirkšanā priekšroku dodot:</w:t>
      </w:r>
    </w:p>
    <w:p w14:paraId="54C5883B" w14:textId="76AF4339" w:rsidR="00D27AF9" w:rsidRPr="000D5DBF" w:rsidRDefault="003107A0" w:rsidP="00641840">
      <w:pPr>
        <w:pStyle w:val="ListParagraph"/>
        <w:numPr>
          <w:ilvl w:val="0"/>
          <w:numId w:val="5"/>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pārtikas precēm</w:t>
      </w:r>
      <w:r w:rsidR="00D27AF9" w:rsidRPr="000D5DBF">
        <w:rPr>
          <w:rFonts w:ascii="Times New Roman" w:hAnsi="Times New Roman" w:cs="Times New Roman"/>
          <w:noProof/>
          <w:sz w:val="24"/>
          <w:szCs w:val="24"/>
        </w:rPr>
        <w:t>, kas atbilst bioloģiskās lauksaimniecības vai nacionālās pārtikas kvalitātes shēmu prasībām;</w:t>
      </w:r>
    </w:p>
    <w:p w14:paraId="390819B9" w14:textId="0598702A" w:rsidR="00D27AF9" w:rsidRPr="000D5DBF" w:rsidRDefault="003107A0" w:rsidP="00641840">
      <w:pPr>
        <w:pStyle w:val="ListParagraph"/>
        <w:numPr>
          <w:ilvl w:val="0"/>
          <w:numId w:val="5"/>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higiēnas precēm un mācību piederumiem,</w:t>
      </w:r>
      <w:r w:rsidR="00D27AF9" w:rsidRPr="000D5DBF">
        <w:rPr>
          <w:rFonts w:ascii="Times New Roman" w:hAnsi="Times New Roman" w:cs="Times New Roman"/>
          <w:noProof/>
          <w:sz w:val="24"/>
          <w:szCs w:val="24"/>
        </w:rPr>
        <w:t xml:space="preserve"> kas ir videi draudzīgas u.c.</w:t>
      </w:r>
    </w:p>
    <w:p w14:paraId="06CFA354" w14:textId="77777777" w:rsidR="00D27AF9" w:rsidRPr="000D5DBF" w:rsidRDefault="00D27AF9" w:rsidP="00641840">
      <w:pPr>
        <w:spacing w:before="0" w:after="0"/>
        <w:rPr>
          <w:noProof/>
          <w:szCs w:val="24"/>
        </w:rPr>
      </w:pPr>
    </w:p>
    <w:p w14:paraId="66B98E2D" w14:textId="276320F1" w:rsidR="00D27AF9" w:rsidRPr="000D5DBF" w:rsidRDefault="00225D19" w:rsidP="00641840">
      <w:pPr>
        <w:pStyle w:val="Heading2"/>
        <w:numPr>
          <w:ilvl w:val="1"/>
          <w:numId w:val="30"/>
        </w:numPr>
        <w:spacing w:before="0"/>
        <w:rPr>
          <w:rFonts w:ascii="Times New Roman" w:eastAsia="Times New Roman" w:hAnsi="Times New Roman" w:cs="Times New Roman"/>
          <w:b/>
          <w:noProof/>
          <w:color w:val="auto"/>
          <w:sz w:val="24"/>
          <w:szCs w:val="24"/>
        </w:rPr>
      </w:pPr>
      <w:bookmarkStart w:id="9" w:name="_Toc70410837"/>
      <w:r w:rsidRPr="000D5DBF">
        <w:rPr>
          <w:rFonts w:ascii="Times New Roman" w:eastAsia="Times New Roman" w:hAnsi="Times New Roman" w:cs="Times New Roman"/>
          <w:b/>
          <w:noProof/>
          <w:color w:val="auto"/>
          <w:sz w:val="24"/>
          <w:szCs w:val="24"/>
        </w:rPr>
        <w:t xml:space="preserve">Programmas nosacījumu </w:t>
      </w:r>
      <w:r w:rsidR="00B55B44" w:rsidRPr="000D5DBF">
        <w:rPr>
          <w:rFonts w:ascii="Times New Roman" w:eastAsia="Times New Roman" w:hAnsi="Times New Roman" w:cs="Times New Roman"/>
          <w:b/>
          <w:noProof/>
          <w:color w:val="auto"/>
          <w:sz w:val="24"/>
          <w:szCs w:val="24"/>
        </w:rPr>
        <w:t>elastība</w:t>
      </w:r>
      <w:bookmarkEnd w:id="9"/>
    </w:p>
    <w:p w14:paraId="77904B2E" w14:textId="5EB8F6FA" w:rsidR="00D27AF9" w:rsidRPr="000D5DBF" w:rsidRDefault="00D27AF9" w:rsidP="00641840">
      <w:pPr>
        <w:numPr>
          <w:ilvl w:val="0"/>
          <w:numId w:val="2"/>
        </w:numPr>
        <w:spacing w:before="0" w:after="0"/>
        <w:ind w:left="567" w:hanging="567"/>
        <w:contextualSpacing/>
        <w:rPr>
          <w:rFonts w:eastAsiaTheme="minorHAnsi"/>
          <w:noProof/>
          <w:szCs w:val="24"/>
        </w:rPr>
      </w:pPr>
      <w:r w:rsidRPr="000D5DBF">
        <w:rPr>
          <w:rFonts w:eastAsiaTheme="minorHAnsi"/>
          <w:noProof/>
          <w:szCs w:val="24"/>
        </w:rPr>
        <w:t xml:space="preserve">Plānošanas periodā, pamatojoties uz atbalsta gala saņēmēju </w:t>
      </w:r>
      <w:r w:rsidR="00386D86" w:rsidRPr="000D5DBF">
        <w:rPr>
          <w:rFonts w:eastAsiaTheme="minorHAnsi"/>
          <w:noProof/>
          <w:szCs w:val="24"/>
        </w:rPr>
        <w:t xml:space="preserve">sociāli demogrāfiskā profila, t.sk. </w:t>
      </w:r>
      <w:r w:rsidRPr="000D5DBF">
        <w:rPr>
          <w:rFonts w:eastAsiaTheme="minorHAnsi"/>
          <w:noProof/>
          <w:szCs w:val="24"/>
        </w:rPr>
        <w:t xml:space="preserve">vecumstruktūras izmaiņām, </w:t>
      </w:r>
      <w:r w:rsidR="00386D86" w:rsidRPr="000D5DBF">
        <w:rPr>
          <w:rFonts w:eastAsiaTheme="minorHAnsi"/>
          <w:noProof/>
          <w:szCs w:val="24"/>
        </w:rPr>
        <w:t>nodarbošanās un sociālās piederības izmaiņām</w:t>
      </w:r>
      <w:r w:rsidRPr="000D5DBF">
        <w:rPr>
          <w:rFonts w:eastAsiaTheme="minorHAnsi"/>
          <w:noProof/>
          <w:szCs w:val="24"/>
        </w:rPr>
        <w:t>, atbalsta veidi un to apjoms var tikt pārskatīts.</w:t>
      </w:r>
    </w:p>
    <w:p w14:paraId="36C3064B" w14:textId="3A27ADC0" w:rsidR="00B57FC3" w:rsidRPr="000D5DBF" w:rsidRDefault="007D6C7C" w:rsidP="00641840">
      <w:pPr>
        <w:numPr>
          <w:ilvl w:val="0"/>
          <w:numId w:val="2"/>
        </w:numPr>
        <w:spacing w:before="0" w:after="0"/>
        <w:ind w:left="567" w:hanging="567"/>
        <w:contextualSpacing/>
        <w:rPr>
          <w:rFonts w:eastAsiaTheme="minorHAnsi"/>
          <w:noProof/>
          <w:szCs w:val="24"/>
        </w:rPr>
      </w:pPr>
      <w:r w:rsidRPr="000D5DBF">
        <w:rPr>
          <w:rFonts w:eastAsiaTheme="minorHAnsi"/>
          <w:szCs w:val="24"/>
        </w:rPr>
        <w:t>Mainoties sociāli ekonomiskajai situācijai</w:t>
      </w:r>
      <w:r w:rsidR="00B57FC3" w:rsidRPr="000D5DBF">
        <w:rPr>
          <w:rFonts w:eastAsiaTheme="minorHAnsi"/>
          <w:szCs w:val="24"/>
        </w:rPr>
        <w:t xml:space="preserve"> i</w:t>
      </w:r>
      <w:r w:rsidR="00D27AF9" w:rsidRPr="000D5DBF">
        <w:rPr>
          <w:rFonts w:eastAsiaTheme="minorHAnsi"/>
          <w:szCs w:val="24"/>
        </w:rPr>
        <w:t>r iespējamas izmaiņas atbalsta saņemšanas nosacījumos, saturā vai at</w:t>
      </w:r>
      <w:r w:rsidR="00B57FC3" w:rsidRPr="000D5DBF">
        <w:rPr>
          <w:rFonts w:eastAsiaTheme="minorHAnsi"/>
          <w:szCs w:val="24"/>
        </w:rPr>
        <w:t>balsta sniegšanas organizācijā.</w:t>
      </w:r>
    </w:p>
    <w:p w14:paraId="688BD653" w14:textId="77777777" w:rsidR="00D27AF9" w:rsidRPr="000D5DBF" w:rsidRDefault="00D27AF9" w:rsidP="00641840">
      <w:pPr>
        <w:spacing w:before="0" w:after="0"/>
        <w:contextualSpacing/>
        <w:rPr>
          <w:rFonts w:eastAsiaTheme="minorHAnsi"/>
          <w:szCs w:val="24"/>
        </w:rPr>
      </w:pPr>
    </w:p>
    <w:p w14:paraId="57AA2E47" w14:textId="76E3A051" w:rsidR="00C36492" w:rsidRPr="000D5DBF" w:rsidRDefault="00C36492" w:rsidP="00641840">
      <w:pPr>
        <w:pStyle w:val="Heading2"/>
        <w:numPr>
          <w:ilvl w:val="1"/>
          <w:numId w:val="30"/>
        </w:numPr>
        <w:spacing w:before="0"/>
        <w:rPr>
          <w:rFonts w:ascii="Times New Roman" w:eastAsiaTheme="minorHAnsi" w:hAnsi="Times New Roman" w:cs="Times New Roman"/>
          <w:b/>
          <w:color w:val="auto"/>
          <w:sz w:val="24"/>
          <w:szCs w:val="24"/>
        </w:rPr>
      </w:pPr>
      <w:bookmarkStart w:id="10" w:name="_Toc70410838"/>
      <w:r w:rsidRPr="000D5DBF">
        <w:rPr>
          <w:rFonts w:ascii="Times New Roman" w:hAnsi="Times New Roman" w:cs="Times New Roman"/>
          <w:b/>
          <w:color w:val="auto"/>
          <w:sz w:val="24"/>
          <w:szCs w:val="24"/>
        </w:rPr>
        <w:t xml:space="preserve">Papildināmība ar citām </w:t>
      </w:r>
      <w:r w:rsidR="00970FAE" w:rsidRPr="000D5DBF">
        <w:rPr>
          <w:rFonts w:ascii="Times New Roman" w:hAnsi="Times New Roman" w:cs="Times New Roman"/>
          <w:b/>
          <w:color w:val="auto"/>
          <w:sz w:val="24"/>
          <w:szCs w:val="24"/>
        </w:rPr>
        <w:t>aktivitātēm</w:t>
      </w:r>
      <w:bookmarkEnd w:id="10"/>
    </w:p>
    <w:p w14:paraId="36BE4ADC" w14:textId="77777777" w:rsidR="00C36492" w:rsidRPr="000D5DBF" w:rsidRDefault="00C36492" w:rsidP="00641840">
      <w:pPr>
        <w:spacing w:before="0" w:after="0"/>
        <w:contextualSpacing/>
        <w:rPr>
          <w:rFonts w:eastAsiaTheme="minorHAnsi"/>
          <w:szCs w:val="24"/>
        </w:rPr>
      </w:pPr>
    </w:p>
    <w:p w14:paraId="244009F9" w14:textId="719F71A4" w:rsidR="00E04B24" w:rsidRPr="00E04B24" w:rsidRDefault="00CB056F" w:rsidP="00641840">
      <w:pPr>
        <w:pStyle w:val="ListParagraph"/>
        <w:numPr>
          <w:ilvl w:val="0"/>
          <w:numId w:val="2"/>
        </w:numPr>
        <w:spacing w:after="0" w:line="240" w:lineRule="auto"/>
        <w:ind w:left="567" w:hanging="567"/>
        <w:jc w:val="both"/>
        <w:rPr>
          <w:rFonts w:ascii="Times New Roman" w:hAnsi="Times New Roman" w:cs="Times New Roman"/>
          <w:sz w:val="24"/>
          <w:szCs w:val="24"/>
        </w:rPr>
      </w:pPr>
      <w:r w:rsidRPr="00E04B24">
        <w:rPr>
          <w:rFonts w:ascii="Times New Roman" w:hAnsi="Times New Roman" w:cs="Times New Roman"/>
          <w:sz w:val="24"/>
          <w:szCs w:val="24"/>
        </w:rPr>
        <w:t>E</w:t>
      </w:r>
      <w:r w:rsidR="00C36492" w:rsidRPr="00E04B24">
        <w:rPr>
          <w:rFonts w:ascii="Times New Roman" w:hAnsi="Times New Roman" w:cs="Times New Roman"/>
          <w:sz w:val="24"/>
          <w:szCs w:val="24"/>
        </w:rPr>
        <w:t>SF</w:t>
      </w:r>
      <w:r w:rsidRPr="00E04B24">
        <w:rPr>
          <w:rFonts w:ascii="Times New Roman" w:hAnsi="Times New Roman" w:cs="Times New Roman"/>
          <w:sz w:val="24"/>
          <w:szCs w:val="24"/>
        </w:rPr>
        <w:t>+</w:t>
      </w:r>
      <w:r w:rsidR="00C36492" w:rsidRPr="00E04B24">
        <w:rPr>
          <w:rFonts w:ascii="Times New Roman" w:hAnsi="Times New Roman" w:cs="Times New Roman"/>
          <w:sz w:val="24"/>
          <w:szCs w:val="24"/>
        </w:rPr>
        <w:t xml:space="preserve"> līdzfinansētā </w:t>
      </w:r>
      <w:r w:rsidRPr="00E04B24">
        <w:rPr>
          <w:rFonts w:ascii="Times New Roman" w:hAnsi="Times New Roman" w:cs="Times New Roman"/>
          <w:sz w:val="24"/>
          <w:szCs w:val="24"/>
        </w:rPr>
        <w:t xml:space="preserve">“Darbības programma Latvijai 2021. – 2027. gadam” </w:t>
      </w:r>
      <w:r w:rsidR="00C36492" w:rsidRPr="00E04B24">
        <w:rPr>
          <w:rFonts w:ascii="Times New Roman" w:hAnsi="Times New Roman" w:cs="Times New Roman"/>
          <w:sz w:val="24"/>
          <w:szCs w:val="24"/>
        </w:rPr>
        <w:t>izvirza atsevi</w:t>
      </w:r>
      <w:r w:rsidR="0049511F">
        <w:rPr>
          <w:rFonts w:ascii="Times New Roman" w:hAnsi="Times New Roman" w:cs="Times New Roman"/>
          <w:sz w:val="24"/>
          <w:szCs w:val="24"/>
        </w:rPr>
        <w:t>šķus SAM</w:t>
      </w:r>
      <w:r w:rsidR="00C36492" w:rsidRPr="00E04B24">
        <w:rPr>
          <w:rFonts w:ascii="Times New Roman" w:hAnsi="Times New Roman" w:cs="Times New Roman"/>
          <w:sz w:val="24"/>
          <w:szCs w:val="24"/>
        </w:rPr>
        <w:t xml:space="preserve">, kuru ietvaros paredzēts atbalsts trūcīgām un maznodrošinātām personām, kas vienlaikus var būt arī </w:t>
      </w:r>
      <w:r w:rsidR="00887902">
        <w:rPr>
          <w:rFonts w:ascii="Times New Roman" w:hAnsi="Times New Roman" w:cs="Times New Roman"/>
          <w:bCs/>
          <w:sz w:val="24"/>
          <w:szCs w:val="24"/>
        </w:rPr>
        <w:t>P</w:t>
      </w:r>
      <w:r w:rsidR="00887902" w:rsidRPr="000D5DBF">
        <w:rPr>
          <w:rFonts w:ascii="Times New Roman" w:hAnsi="Times New Roman" w:cs="Times New Roman"/>
          <w:bCs/>
          <w:sz w:val="24"/>
          <w:szCs w:val="24"/>
        </w:rPr>
        <w:t>rogramma</w:t>
      </w:r>
      <w:r w:rsidR="00887902">
        <w:rPr>
          <w:rFonts w:ascii="Times New Roman" w:hAnsi="Times New Roman" w:cs="Times New Roman"/>
          <w:bCs/>
          <w:sz w:val="24"/>
          <w:szCs w:val="24"/>
        </w:rPr>
        <w:t>s</w:t>
      </w:r>
      <w:r w:rsidR="00C36492" w:rsidRPr="00E04B24">
        <w:rPr>
          <w:rFonts w:ascii="Times New Roman" w:hAnsi="Times New Roman" w:cs="Times New Roman"/>
          <w:sz w:val="24"/>
          <w:szCs w:val="24"/>
        </w:rPr>
        <w:t xml:space="preserve"> mērķa grupa, piemēram, </w:t>
      </w:r>
      <w:r w:rsidR="00C603B2" w:rsidRPr="00E04B24">
        <w:rPr>
          <w:rFonts w:ascii="Times New Roman" w:hAnsi="Times New Roman" w:cs="Times New Roman"/>
          <w:sz w:val="24"/>
          <w:szCs w:val="24"/>
        </w:rPr>
        <w:t xml:space="preserve">4.3.1. SAM “Veicināt sociāli atstumto kopienu, migrantu un nelabvēlīgā situācijā esošo grupu sociāli ekonomisko integrāciju, izmantojot integrētus pasākumus, tostarp mājokļu un sociālo pakalpojumu jomā”, 4.3.3. SAM “Uzlabot visu darba meklētāju, jo īpaši </w:t>
      </w:r>
      <w:r w:rsidR="00C603B2" w:rsidRPr="00E04B24">
        <w:rPr>
          <w:rFonts w:ascii="Times New Roman" w:hAnsi="Times New Roman" w:cs="Times New Roman"/>
          <w:sz w:val="24"/>
          <w:szCs w:val="24"/>
        </w:rPr>
        <w:lastRenderedPageBreak/>
        <w:t>jauniešu, ilgstošo bezdarbnieku un nelabvēlīgā situācijā esošu grupu, kā arī neaktīvo personu piekļuvi nodarbinātībai, veicināt pašnodarbinātību un sociālo ekonomiku” un 4.3.6. SAM “Veicināt nabadzības vai sociālās atstumtības riskam pakļauto cilvēku, tostarp vistrūcīgāko un bērnu, sociālo integrāciju”.</w:t>
      </w:r>
    </w:p>
    <w:p w14:paraId="1CC86BEF" w14:textId="7BC86914" w:rsidR="00E04B24" w:rsidRPr="00E04B24" w:rsidRDefault="00C36492" w:rsidP="00641840">
      <w:pPr>
        <w:pStyle w:val="ListParagraph"/>
        <w:numPr>
          <w:ilvl w:val="0"/>
          <w:numId w:val="2"/>
        </w:numPr>
        <w:spacing w:after="0" w:line="240" w:lineRule="auto"/>
        <w:ind w:left="567" w:hanging="567"/>
        <w:jc w:val="both"/>
        <w:rPr>
          <w:rFonts w:ascii="Times New Roman" w:hAnsi="Times New Roman" w:cs="Times New Roman"/>
          <w:sz w:val="24"/>
          <w:szCs w:val="24"/>
        </w:rPr>
      </w:pPr>
      <w:r w:rsidRPr="00E04B24">
        <w:rPr>
          <w:rFonts w:ascii="Times New Roman" w:hAnsi="Times New Roman" w:cs="Times New Roman"/>
          <w:sz w:val="24"/>
          <w:szCs w:val="24"/>
        </w:rPr>
        <w:t xml:space="preserve">Papildus, </w:t>
      </w:r>
      <w:r w:rsidR="00CE12C9">
        <w:rPr>
          <w:rFonts w:ascii="Times New Roman" w:hAnsi="Times New Roman" w:cs="Times New Roman"/>
          <w:bCs/>
          <w:sz w:val="24"/>
          <w:szCs w:val="24"/>
        </w:rPr>
        <w:t>P</w:t>
      </w:r>
      <w:r w:rsidR="00CE12C9" w:rsidRPr="000D5DBF">
        <w:rPr>
          <w:rFonts w:ascii="Times New Roman" w:hAnsi="Times New Roman" w:cs="Times New Roman"/>
          <w:bCs/>
          <w:sz w:val="24"/>
          <w:szCs w:val="24"/>
        </w:rPr>
        <w:t>rogramma</w:t>
      </w:r>
      <w:r w:rsidR="00CE12C9">
        <w:rPr>
          <w:rFonts w:ascii="Times New Roman" w:hAnsi="Times New Roman" w:cs="Times New Roman"/>
          <w:bCs/>
          <w:sz w:val="24"/>
          <w:szCs w:val="24"/>
        </w:rPr>
        <w:t xml:space="preserve">s </w:t>
      </w:r>
      <w:r w:rsidRPr="00E04B24">
        <w:rPr>
          <w:rFonts w:ascii="Times New Roman" w:hAnsi="Times New Roman" w:cs="Times New Roman"/>
          <w:sz w:val="24"/>
          <w:szCs w:val="24"/>
        </w:rPr>
        <w:t xml:space="preserve">mērķa grupas situāciju ietekmēs arī plānotais </w:t>
      </w:r>
      <w:r w:rsidR="00EE1F73" w:rsidRPr="00E04B24">
        <w:rPr>
          <w:rFonts w:ascii="Times New Roman" w:hAnsi="Times New Roman" w:cs="Times New Roman"/>
          <w:sz w:val="24"/>
          <w:szCs w:val="24"/>
        </w:rPr>
        <w:t xml:space="preserve">“Darbības programma Latvijai 2021. – 2027. gadam” </w:t>
      </w:r>
      <w:r w:rsidRPr="00E04B24">
        <w:rPr>
          <w:rFonts w:ascii="Times New Roman" w:hAnsi="Times New Roman" w:cs="Times New Roman"/>
          <w:sz w:val="24"/>
          <w:szCs w:val="24"/>
        </w:rPr>
        <w:t>atbalsts sociālo dienestu darba efektivitātes un darbinieku profesionalitātes paaugstināšanai</w:t>
      </w:r>
      <w:r w:rsidR="00983750" w:rsidRPr="00E04B24">
        <w:rPr>
          <w:rFonts w:ascii="Times New Roman" w:hAnsi="Times New Roman" w:cs="Times New Roman"/>
          <w:sz w:val="24"/>
          <w:szCs w:val="24"/>
        </w:rPr>
        <w:t>, piemēram, izstrādājot sociālo darbinieku profesionālās kompetenc</w:t>
      </w:r>
      <w:r w:rsidR="00E04B24" w:rsidRPr="00E04B24">
        <w:rPr>
          <w:rFonts w:ascii="Times New Roman" w:hAnsi="Times New Roman" w:cs="Times New Roman"/>
          <w:sz w:val="24"/>
          <w:szCs w:val="24"/>
        </w:rPr>
        <w:t>es pilnveides mācību programmu.</w:t>
      </w:r>
    </w:p>
    <w:p w14:paraId="05EAD8CD" w14:textId="58A540B0" w:rsidR="00E04B24" w:rsidRPr="00E04B24" w:rsidRDefault="00C36492" w:rsidP="00641840">
      <w:pPr>
        <w:pStyle w:val="ListParagraph"/>
        <w:numPr>
          <w:ilvl w:val="0"/>
          <w:numId w:val="2"/>
        </w:numPr>
        <w:spacing w:after="0" w:line="240" w:lineRule="auto"/>
        <w:ind w:left="567" w:hanging="567"/>
        <w:jc w:val="both"/>
        <w:rPr>
          <w:rFonts w:ascii="Times New Roman" w:hAnsi="Times New Roman" w:cs="Times New Roman"/>
          <w:sz w:val="24"/>
          <w:szCs w:val="24"/>
        </w:rPr>
      </w:pPr>
      <w:r w:rsidRPr="00E04B24">
        <w:rPr>
          <w:rFonts w:ascii="Times New Roman" w:hAnsi="Times New Roman" w:cs="Times New Roman"/>
          <w:sz w:val="24"/>
          <w:szCs w:val="24"/>
        </w:rPr>
        <w:t xml:space="preserve">Vadošā iestāde un sadarbības iestāde īstenos pasākumus </w:t>
      </w:r>
      <w:r w:rsidR="0017231E">
        <w:rPr>
          <w:rFonts w:ascii="Times New Roman" w:hAnsi="Times New Roman" w:cs="Times New Roman"/>
          <w:bCs/>
          <w:sz w:val="24"/>
          <w:szCs w:val="24"/>
        </w:rPr>
        <w:t>P</w:t>
      </w:r>
      <w:r w:rsidR="0017231E" w:rsidRPr="000D5DBF">
        <w:rPr>
          <w:rFonts w:ascii="Times New Roman" w:hAnsi="Times New Roman" w:cs="Times New Roman"/>
          <w:bCs/>
          <w:sz w:val="24"/>
          <w:szCs w:val="24"/>
        </w:rPr>
        <w:t>rogramma</w:t>
      </w:r>
      <w:r w:rsidR="0017231E">
        <w:rPr>
          <w:rFonts w:ascii="Times New Roman" w:hAnsi="Times New Roman" w:cs="Times New Roman"/>
          <w:bCs/>
          <w:sz w:val="24"/>
          <w:szCs w:val="24"/>
        </w:rPr>
        <w:t>s</w:t>
      </w:r>
      <w:r w:rsidRPr="00E04B24">
        <w:rPr>
          <w:rFonts w:ascii="Times New Roman" w:hAnsi="Times New Roman" w:cs="Times New Roman"/>
          <w:sz w:val="24"/>
          <w:szCs w:val="24"/>
        </w:rPr>
        <w:t xml:space="preserve"> plānošanas, </w:t>
      </w:r>
      <w:r w:rsidR="00C603B2" w:rsidRPr="00E04B24">
        <w:rPr>
          <w:rFonts w:ascii="Times New Roman" w:hAnsi="Times New Roman" w:cs="Times New Roman"/>
          <w:sz w:val="24"/>
          <w:szCs w:val="24"/>
        </w:rPr>
        <w:t>īstenošanas</w:t>
      </w:r>
      <w:r w:rsidRPr="00E04B24">
        <w:rPr>
          <w:rFonts w:ascii="Times New Roman" w:hAnsi="Times New Roman" w:cs="Times New Roman"/>
          <w:sz w:val="24"/>
          <w:szCs w:val="24"/>
        </w:rPr>
        <w:t xml:space="preserve"> un uzraudzības posmos, lai novērstu darbību dubultās finansēšanas risku. Demarkācija ar </w:t>
      </w:r>
      <w:r w:rsidR="00C603B2" w:rsidRPr="00E04B24">
        <w:rPr>
          <w:rFonts w:ascii="Times New Roman" w:hAnsi="Times New Roman" w:cs="Times New Roman"/>
          <w:sz w:val="24"/>
          <w:szCs w:val="24"/>
        </w:rPr>
        <w:t>citām aktivitātēm</w:t>
      </w:r>
      <w:r w:rsidRPr="00E04B24">
        <w:rPr>
          <w:rFonts w:ascii="Times New Roman" w:hAnsi="Times New Roman" w:cs="Times New Roman"/>
          <w:sz w:val="24"/>
          <w:szCs w:val="24"/>
        </w:rPr>
        <w:t xml:space="preserve"> tiks nodrošināta pēc atbalstāmām darbībām, un </w:t>
      </w:r>
      <w:r w:rsidR="00353C27">
        <w:rPr>
          <w:rFonts w:ascii="Times New Roman" w:hAnsi="Times New Roman" w:cs="Times New Roman"/>
          <w:bCs/>
          <w:sz w:val="24"/>
          <w:szCs w:val="24"/>
        </w:rPr>
        <w:t>P</w:t>
      </w:r>
      <w:r w:rsidR="00353C27" w:rsidRPr="000D5DBF">
        <w:rPr>
          <w:rFonts w:ascii="Times New Roman" w:hAnsi="Times New Roman" w:cs="Times New Roman"/>
          <w:bCs/>
          <w:sz w:val="24"/>
          <w:szCs w:val="24"/>
        </w:rPr>
        <w:t>rogramma</w:t>
      </w:r>
      <w:r w:rsidR="00353C27">
        <w:rPr>
          <w:rFonts w:ascii="Times New Roman" w:hAnsi="Times New Roman" w:cs="Times New Roman"/>
          <w:bCs/>
          <w:sz w:val="24"/>
          <w:szCs w:val="24"/>
        </w:rPr>
        <w:t>s</w:t>
      </w:r>
      <w:r w:rsidRPr="00E04B24">
        <w:rPr>
          <w:rFonts w:ascii="Times New Roman" w:hAnsi="Times New Roman" w:cs="Times New Roman"/>
          <w:sz w:val="24"/>
          <w:szCs w:val="24"/>
        </w:rPr>
        <w:t xml:space="preserve"> finansējums netiks pie</w:t>
      </w:r>
      <w:r w:rsidR="00C603B2" w:rsidRPr="00E04B24">
        <w:rPr>
          <w:rFonts w:ascii="Times New Roman" w:hAnsi="Times New Roman" w:cs="Times New Roman"/>
          <w:sz w:val="24"/>
          <w:szCs w:val="24"/>
        </w:rPr>
        <w:t>šķirts darbībām, ko atbalsta citas darbības programmas</w:t>
      </w:r>
      <w:r w:rsidR="00144975" w:rsidRPr="00E04B24">
        <w:rPr>
          <w:rFonts w:ascii="Times New Roman" w:hAnsi="Times New Roman" w:cs="Times New Roman"/>
          <w:sz w:val="24"/>
          <w:szCs w:val="24"/>
        </w:rPr>
        <w:t>.</w:t>
      </w:r>
    </w:p>
    <w:p w14:paraId="5811DBF7" w14:textId="3B4C7EB0" w:rsidR="00C36492" w:rsidRPr="00E04B24" w:rsidRDefault="0017231E" w:rsidP="00641840">
      <w:pPr>
        <w:pStyle w:val="ListParagraph"/>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144975" w:rsidRPr="00E04B24">
        <w:rPr>
          <w:rFonts w:ascii="Times New Roman" w:hAnsi="Times New Roman" w:cs="Times New Roman"/>
          <w:sz w:val="24"/>
          <w:szCs w:val="24"/>
        </w:rPr>
        <w:t>va</w:t>
      </w:r>
      <w:r w:rsidR="00C36492" w:rsidRPr="00E04B24">
        <w:rPr>
          <w:rFonts w:ascii="Times New Roman" w:hAnsi="Times New Roman" w:cs="Times New Roman"/>
          <w:sz w:val="24"/>
          <w:szCs w:val="24"/>
        </w:rPr>
        <w:t xml:space="preserve">dībā </w:t>
      </w:r>
      <w:r w:rsidR="00144975" w:rsidRPr="00E04B24">
        <w:rPr>
          <w:rFonts w:ascii="Times New Roman" w:hAnsi="Times New Roman" w:cs="Times New Roman"/>
          <w:sz w:val="24"/>
          <w:szCs w:val="24"/>
        </w:rPr>
        <w:t xml:space="preserve">un uzraudzībā </w:t>
      </w:r>
      <w:r w:rsidR="00C36492" w:rsidRPr="00E04B24">
        <w:rPr>
          <w:rFonts w:ascii="Times New Roman" w:hAnsi="Times New Roman" w:cs="Times New Roman"/>
          <w:sz w:val="24"/>
          <w:szCs w:val="24"/>
        </w:rPr>
        <w:t xml:space="preserve">iesaistīto </w:t>
      </w:r>
      <w:r w:rsidR="00144975" w:rsidRPr="00E04B24">
        <w:rPr>
          <w:rFonts w:ascii="Times New Roman" w:hAnsi="Times New Roman" w:cs="Times New Roman"/>
          <w:sz w:val="24"/>
          <w:szCs w:val="24"/>
        </w:rPr>
        <w:t>institūciju</w:t>
      </w:r>
      <w:r w:rsidR="00C36492" w:rsidRPr="00E04B24">
        <w:rPr>
          <w:rFonts w:ascii="Times New Roman" w:hAnsi="Times New Roman" w:cs="Times New Roman"/>
          <w:sz w:val="24"/>
          <w:szCs w:val="24"/>
        </w:rPr>
        <w:t xml:space="preserve"> uzdevums būs nodrošināt PO ar aktuālu informāciju par </w:t>
      </w:r>
      <w:r w:rsidR="00144975" w:rsidRPr="00E04B24">
        <w:rPr>
          <w:rFonts w:ascii="Times New Roman" w:hAnsi="Times New Roman" w:cs="Times New Roman"/>
          <w:sz w:val="24"/>
          <w:szCs w:val="24"/>
        </w:rPr>
        <w:t>“Darbības programmas Latvijai 2021. – 2027. gadam”</w:t>
      </w:r>
      <w:r w:rsidR="00C36492" w:rsidRPr="00E04B24">
        <w:rPr>
          <w:rFonts w:ascii="Times New Roman" w:hAnsi="Times New Roman" w:cs="Times New Roman"/>
          <w:sz w:val="24"/>
          <w:szCs w:val="24"/>
        </w:rPr>
        <w:t xml:space="preserve"> līdzfinansētajiem projektiem, pasākumiem un pakalpojumiem, kas pieejami </w:t>
      </w: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s</w:t>
      </w:r>
      <w:r w:rsidR="00C36492" w:rsidRPr="00E04B24">
        <w:rPr>
          <w:rFonts w:ascii="Times New Roman" w:hAnsi="Times New Roman" w:cs="Times New Roman"/>
          <w:sz w:val="24"/>
          <w:szCs w:val="24"/>
        </w:rPr>
        <w:t xml:space="preserve"> mērķa grupai, iespējami tuvu dzīvesvietai, lai PO informētu par šīm iespējām </w:t>
      </w:r>
      <w:r w:rsidR="00144975" w:rsidRPr="00E04B24">
        <w:rPr>
          <w:rFonts w:ascii="Times New Roman" w:hAnsi="Times New Roman" w:cs="Times New Roman"/>
          <w:sz w:val="24"/>
          <w:szCs w:val="24"/>
        </w:rPr>
        <w:t>atbalsta gala</w:t>
      </w:r>
      <w:r w:rsidR="00A54626" w:rsidRPr="00E04B24">
        <w:rPr>
          <w:rFonts w:ascii="Times New Roman" w:hAnsi="Times New Roman" w:cs="Times New Roman"/>
          <w:sz w:val="24"/>
          <w:szCs w:val="24"/>
        </w:rPr>
        <w:t xml:space="preserve"> saņēmējus.</w:t>
      </w:r>
    </w:p>
    <w:p w14:paraId="3EA78775" w14:textId="77777777" w:rsidR="00C36492" w:rsidRPr="000D5DBF" w:rsidRDefault="00C36492" w:rsidP="00641840">
      <w:pPr>
        <w:spacing w:before="0" w:after="0"/>
        <w:contextualSpacing/>
        <w:rPr>
          <w:rFonts w:eastAsiaTheme="minorHAnsi"/>
          <w:szCs w:val="24"/>
        </w:rPr>
      </w:pPr>
    </w:p>
    <w:p w14:paraId="3C047104" w14:textId="77777777" w:rsidR="00D27AF9" w:rsidRPr="000D5DBF" w:rsidRDefault="00D27AF9" w:rsidP="00641840">
      <w:pPr>
        <w:pStyle w:val="Heading2"/>
        <w:numPr>
          <w:ilvl w:val="1"/>
          <w:numId w:val="30"/>
        </w:numPr>
        <w:spacing w:before="0"/>
        <w:rPr>
          <w:rFonts w:ascii="Times New Roman" w:hAnsi="Times New Roman" w:cs="Times New Roman"/>
          <w:b/>
          <w:color w:val="auto"/>
          <w:sz w:val="24"/>
          <w:szCs w:val="24"/>
        </w:rPr>
      </w:pPr>
      <w:bookmarkStart w:id="11" w:name="_Toc70410839"/>
      <w:r w:rsidRPr="000D5DBF">
        <w:rPr>
          <w:rFonts w:ascii="Times New Roman" w:hAnsi="Times New Roman" w:cs="Times New Roman"/>
          <w:b/>
          <w:color w:val="auto"/>
          <w:sz w:val="24"/>
          <w:szCs w:val="24"/>
        </w:rPr>
        <w:t>Cita informācija</w:t>
      </w:r>
      <w:bookmarkEnd w:id="11"/>
    </w:p>
    <w:p w14:paraId="1170744F" w14:textId="5879FAB0" w:rsidR="00D27AF9" w:rsidRPr="00CC6B98" w:rsidRDefault="00D27AF9"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noProof/>
          <w:sz w:val="24"/>
          <w:szCs w:val="24"/>
        </w:rPr>
        <w:t xml:space="preserve">Atzīmējams, ka papildus </w:t>
      </w:r>
      <w:r w:rsidR="00E81D0F">
        <w:rPr>
          <w:rFonts w:ascii="Times New Roman" w:hAnsi="Times New Roman" w:cs="Times New Roman"/>
          <w:bCs/>
          <w:sz w:val="24"/>
          <w:szCs w:val="24"/>
        </w:rPr>
        <w:t>P</w:t>
      </w:r>
      <w:r w:rsidR="00E81D0F" w:rsidRPr="000D5DBF">
        <w:rPr>
          <w:rFonts w:ascii="Times New Roman" w:hAnsi="Times New Roman" w:cs="Times New Roman"/>
          <w:bCs/>
          <w:sz w:val="24"/>
          <w:szCs w:val="24"/>
        </w:rPr>
        <w:t>rogramma</w:t>
      </w:r>
      <w:r w:rsidR="00E81D0F">
        <w:rPr>
          <w:rFonts w:ascii="Times New Roman" w:hAnsi="Times New Roman" w:cs="Times New Roman"/>
          <w:bCs/>
          <w:sz w:val="24"/>
          <w:szCs w:val="24"/>
        </w:rPr>
        <w:t xml:space="preserve">s </w:t>
      </w:r>
      <w:r w:rsidRPr="000D5DBF">
        <w:rPr>
          <w:rFonts w:ascii="Times New Roman" w:hAnsi="Times New Roman" w:cs="Times New Roman"/>
          <w:noProof/>
          <w:sz w:val="24"/>
          <w:szCs w:val="24"/>
        </w:rPr>
        <w:t xml:space="preserve">ietvaros plānotajam atbalstam zemu ienākumu mājsaimniecībām pieejams arī cits pārtikas atbalsts, ko PO saņem kā ziedojumus no dažādiem </w:t>
      </w:r>
      <w:r w:rsidR="00DF0508">
        <w:rPr>
          <w:rFonts w:ascii="Times New Roman" w:hAnsi="Times New Roman" w:cs="Times New Roman"/>
          <w:noProof/>
          <w:sz w:val="24"/>
          <w:szCs w:val="24"/>
        </w:rPr>
        <w:t>komersantiem</w:t>
      </w:r>
      <w:r w:rsidRPr="000D5DBF">
        <w:rPr>
          <w:rFonts w:ascii="Times New Roman" w:hAnsi="Times New Roman" w:cs="Times New Roman"/>
          <w:noProof/>
          <w:sz w:val="24"/>
          <w:szCs w:val="24"/>
        </w:rPr>
        <w:t xml:space="preserve">, t.sk. lielveikaliem, zemnieku saimniecībām u.c. Pārtikas ziedojumu dalīšana vistrūcīgākajām personām vai to izmantošana maltīšu pagatavošanā zupas virtuvēs atkarīga no PO kapacitātes un ziedojumu pieejamības un to piesaistes iespējām. Tam nav noteiktas regularitātes un pārklājums visā Latvijas teritorijā. </w:t>
      </w:r>
      <w:r w:rsidR="00E81D0F">
        <w:rPr>
          <w:rFonts w:ascii="Times New Roman" w:hAnsi="Times New Roman" w:cs="Times New Roman"/>
          <w:bCs/>
          <w:sz w:val="24"/>
          <w:szCs w:val="24"/>
        </w:rPr>
        <w:t>P</w:t>
      </w:r>
      <w:r w:rsidR="00E81D0F" w:rsidRPr="000D5DBF">
        <w:rPr>
          <w:rFonts w:ascii="Times New Roman" w:hAnsi="Times New Roman" w:cs="Times New Roman"/>
          <w:bCs/>
          <w:sz w:val="24"/>
          <w:szCs w:val="24"/>
        </w:rPr>
        <w:t>rogramma</w:t>
      </w:r>
      <w:r w:rsidR="00E81D0F">
        <w:rPr>
          <w:rFonts w:ascii="Times New Roman" w:hAnsi="Times New Roman" w:cs="Times New Roman"/>
          <w:bCs/>
          <w:sz w:val="24"/>
          <w:szCs w:val="24"/>
        </w:rPr>
        <w:t>s</w:t>
      </w:r>
      <w:r w:rsidRPr="000D5DBF">
        <w:rPr>
          <w:rFonts w:ascii="Times New Roman" w:hAnsi="Times New Roman" w:cs="Times New Roman"/>
          <w:noProof/>
          <w:sz w:val="24"/>
          <w:szCs w:val="24"/>
        </w:rPr>
        <w:t xml:space="preserve"> ietvaros izdevumi par ziedotās pārtikas preču transportēšanu, uzglabāšanu un izdali, kā arī ar to saistītiem informatīviem pasākumiem, netiek segti.</w:t>
      </w:r>
    </w:p>
    <w:p w14:paraId="6BB30513" w14:textId="77777777" w:rsidR="00CC6B98" w:rsidRPr="000D5DBF" w:rsidRDefault="00CC6B98" w:rsidP="00641840">
      <w:pPr>
        <w:pStyle w:val="ListParagraph"/>
        <w:spacing w:after="0" w:line="240" w:lineRule="auto"/>
        <w:ind w:left="567"/>
        <w:jc w:val="both"/>
        <w:rPr>
          <w:rFonts w:ascii="Times New Roman" w:eastAsia="Times New Roman" w:hAnsi="Times New Roman" w:cs="Times New Roman"/>
          <w:noProof/>
          <w:sz w:val="24"/>
          <w:szCs w:val="24"/>
        </w:rPr>
      </w:pPr>
    </w:p>
    <w:p w14:paraId="222AA39D" w14:textId="77777777" w:rsidR="00482835" w:rsidRPr="000D5DBF" w:rsidRDefault="00482835" w:rsidP="00641840">
      <w:pPr>
        <w:pStyle w:val="Heading1"/>
        <w:numPr>
          <w:ilvl w:val="0"/>
          <w:numId w:val="30"/>
        </w:numPr>
        <w:spacing w:before="0"/>
        <w:rPr>
          <w:rFonts w:ascii="Times New Roman" w:hAnsi="Times New Roman" w:cs="Times New Roman"/>
          <w:b/>
          <w:noProof/>
          <w:color w:val="auto"/>
          <w:sz w:val="28"/>
          <w:szCs w:val="28"/>
        </w:rPr>
      </w:pPr>
      <w:bookmarkStart w:id="12" w:name="_Toc70410840"/>
      <w:r w:rsidRPr="000D5DBF">
        <w:rPr>
          <w:rFonts w:ascii="Times New Roman" w:hAnsi="Times New Roman" w:cs="Times New Roman"/>
          <w:b/>
          <w:noProof/>
          <w:color w:val="auto"/>
          <w:sz w:val="28"/>
          <w:szCs w:val="28"/>
        </w:rPr>
        <w:t>Programmas mērķis</w:t>
      </w:r>
      <w:bookmarkEnd w:id="12"/>
    </w:p>
    <w:p w14:paraId="58D37841" w14:textId="6EE9D06C" w:rsidR="00482835" w:rsidRPr="000D5DBF" w:rsidRDefault="00E81D0F"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 </w:t>
      </w:r>
      <w:r w:rsidR="00482835" w:rsidRPr="000D5DBF">
        <w:rPr>
          <w:rFonts w:ascii="Times New Roman" w:hAnsi="Times New Roman" w:cs="Times New Roman"/>
          <w:noProof/>
          <w:sz w:val="24"/>
          <w:szCs w:val="24"/>
        </w:rPr>
        <w:t>sniegs būtisku ieguldījumu savstarpēji papildinošā atbalsta sistēmā, kurā valsts un pašvaldību sociālās drošības sistēmas pasākumi kopā ar pārtikas un pamata materiālo palīdzību nekavējoši un elastīgi nodrošina nabadzības un sociālās atstumtības riskam pakļauto vai krīzes situācijā esošu cilvēku pamatvajadzības un ievērojamai daļai palīdz virzīties uz sociālo spēju atjaunošanu vai piemērošanos noteiktajai situācijai, nodrošinot cilvēka cienīgu dzīves līmeni visos dzīves posmos.</w:t>
      </w:r>
    </w:p>
    <w:p w14:paraId="43B9349F" w14:textId="5E0B3A19" w:rsidR="00482835" w:rsidRPr="000D5DBF" w:rsidRDefault="00E81D0F"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DE6BEF" w:rsidRPr="000D5DBF">
        <w:rPr>
          <w:rFonts w:ascii="Times New Roman" w:hAnsi="Times New Roman" w:cs="Times New Roman"/>
          <w:noProof/>
          <w:sz w:val="24"/>
          <w:szCs w:val="24"/>
        </w:rPr>
        <w:t>konkrētais mērķis ir mazināt materiālo nenodrošinātību un sociālo atstumtību personām zemu ienākumu mājsaimniecībās: 1) sniedzot pārtikas un pamata materiālo palīdzību; 2) organizējot papildpasākumus sociālās atstumtības mazināšanai.</w:t>
      </w:r>
    </w:p>
    <w:p w14:paraId="33249DE4" w14:textId="77777777" w:rsidR="00482835" w:rsidRPr="000D5DBF" w:rsidRDefault="0097772F"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noProof/>
          <w:sz w:val="24"/>
          <w:szCs w:val="24"/>
        </w:rPr>
        <w:t xml:space="preserve">Balstoties uz 2014. - 2020. </w:t>
      </w:r>
      <w:r w:rsidR="00DE6BEF" w:rsidRPr="000D5DBF">
        <w:rPr>
          <w:rFonts w:ascii="Times New Roman" w:hAnsi="Times New Roman" w:cs="Times New Roman"/>
          <w:noProof/>
          <w:sz w:val="24"/>
          <w:szCs w:val="24"/>
        </w:rPr>
        <w:t>gada plānošanas periodā veiktās ikgadējās EAFVP ieviešanas novērtēšanas rezultātiem</w:t>
      </w:r>
      <w:r w:rsidR="00DE6BEF" w:rsidRPr="000D5DBF">
        <w:rPr>
          <w:rStyle w:val="FootnoteReference"/>
          <w:rFonts w:ascii="Times New Roman" w:hAnsi="Times New Roman" w:cs="Times New Roman"/>
          <w:noProof/>
          <w:sz w:val="24"/>
          <w:szCs w:val="24"/>
        </w:rPr>
        <w:footnoteReference w:id="11"/>
      </w:r>
      <w:r w:rsidR="00DE6BEF" w:rsidRPr="000D5DBF">
        <w:rPr>
          <w:rFonts w:ascii="Times New Roman" w:hAnsi="Times New Roman" w:cs="Times New Roman"/>
          <w:noProof/>
          <w:sz w:val="24"/>
          <w:szCs w:val="24"/>
        </w:rPr>
        <w:t>, tika izdarīti secinājumi, ka EAFVP pārtikas atbalsts un pamata materiālās palīdzība ir atvieglojusi vistrūcīgāko iedzīvotāju un mājsaimniecību budžeta slogu, ietaupītos līdzekļus ļaujot novirzīt citiem nepieciešamajiem tēriņiem, tādiem kā papildu pārtikas, apavu un apģērbu iegādei, ārsta apmeklējumam un medikamentu iegādei, bērnu ārpusskolas nodarbību apmaksai.</w:t>
      </w:r>
    </w:p>
    <w:p w14:paraId="35FB14E9" w14:textId="77777777" w:rsidR="0060434A" w:rsidRPr="00BC6B54" w:rsidRDefault="00DE6BEF"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noProof/>
          <w:sz w:val="24"/>
          <w:szCs w:val="24"/>
        </w:rPr>
        <w:t>Tāpat 2014.</w:t>
      </w:r>
      <w:r w:rsidR="0097772F" w:rsidRPr="000D5DBF">
        <w:rPr>
          <w:rFonts w:ascii="Times New Roman" w:hAnsi="Times New Roman" w:cs="Times New Roman"/>
          <w:noProof/>
          <w:sz w:val="24"/>
          <w:szCs w:val="24"/>
        </w:rPr>
        <w:t> </w:t>
      </w:r>
      <w:r w:rsidRPr="000D5DBF">
        <w:rPr>
          <w:rFonts w:ascii="Times New Roman" w:hAnsi="Times New Roman" w:cs="Times New Roman"/>
          <w:noProof/>
          <w:sz w:val="24"/>
          <w:szCs w:val="24"/>
        </w:rPr>
        <w:t>-</w:t>
      </w:r>
      <w:r w:rsidR="0097772F" w:rsidRPr="000D5DBF">
        <w:rPr>
          <w:rFonts w:ascii="Times New Roman" w:hAnsi="Times New Roman" w:cs="Times New Roman"/>
          <w:noProof/>
          <w:sz w:val="24"/>
          <w:szCs w:val="24"/>
        </w:rPr>
        <w:t> </w:t>
      </w:r>
      <w:r w:rsidRPr="000D5DBF">
        <w:rPr>
          <w:rFonts w:ascii="Times New Roman" w:hAnsi="Times New Roman" w:cs="Times New Roman"/>
          <w:noProof/>
          <w:sz w:val="24"/>
          <w:szCs w:val="24"/>
        </w:rPr>
        <w:t>2</w:t>
      </w:r>
      <w:r w:rsidR="0097772F" w:rsidRPr="000D5DBF">
        <w:rPr>
          <w:rFonts w:ascii="Times New Roman" w:hAnsi="Times New Roman" w:cs="Times New Roman"/>
          <w:noProof/>
          <w:sz w:val="24"/>
          <w:szCs w:val="24"/>
        </w:rPr>
        <w:t>020. </w:t>
      </w:r>
      <w:r w:rsidRPr="000D5DBF">
        <w:rPr>
          <w:rFonts w:ascii="Times New Roman" w:hAnsi="Times New Roman" w:cs="Times New Roman"/>
          <w:noProof/>
          <w:sz w:val="24"/>
          <w:szCs w:val="24"/>
        </w:rPr>
        <w:t>gada plānošanas perioda EAFVP ieviešanas vi</w:t>
      </w:r>
      <w:r w:rsidR="0097772F" w:rsidRPr="000D5DBF">
        <w:rPr>
          <w:rFonts w:ascii="Times New Roman" w:hAnsi="Times New Roman" w:cs="Times New Roman"/>
          <w:noProof/>
          <w:sz w:val="24"/>
          <w:szCs w:val="24"/>
        </w:rPr>
        <w:t xml:space="preserve">dusposma novērtējuma rezultāti </w:t>
      </w:r>
      <w:r w:rsidRPr="000D5DBF">
        <w:rPr>
          <w:rFonts w:ascii="Times New Roman" w:hAnsi="Times New Roman" w:cs="Times New Roman"/>
          <w:noProof/>
          <w:sz w:val="24"/>
          <w:szCs w:val="24"/>
        </w:rPr>
        <w:t xml:space="preserve">liecināja, ka atbalstītie pārtikas nodrošināšanas, materiālās palīdzības sniegšanas un sociālās iekļaušanas pasākumi būtiski palīdz vistrūcīgākajām </w:t>
      </w:r>
      <w:r w:rsidRPr="000D5DBF">
        <w:rPr>
          <w:rFonts w:ascii="Times New Roman" w:hAnsi="Times New Roman" w:cs="Times New Roman"/>
          <w:noProof/>
          <w:sz w:val="24"/>
          <w:szCs w:val="24"/>
        </w:rPr>
        <w:lastRenderedPageBreak/>
        <w:t>personām, tostarp tām, kuras citādi nesaņemtu vispārējo sociālo palīdzību vai kurām nepieciešams tūlītējs atbalsts.</w:t>
      </w:r>
    </w:p>
    <w:p w14:paraId="1EC9FD69" w14:textId="3ECBAAF8" w:rsidR="00DE6BEF" w:rsidRPr="0060434A" w:rsidRDefault="0060434A"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60434A">
        <w:rPr>
          <w:rFonts w:ascii="Times New Roman" w:hAnsi="Times New Roman" w:cs="Times New Roman"/>
          <w:noProof/>
          <w:sz w:val="24"/>
          <w:szCs w:val="24"/>
        </w:rPr>
        <w:t>Ņemot vērā esošos izaicinājumus valsts sociālās aizsardzības jomā, kā arī augstu ienākumu nevienlīdzību un</w:t>
      </w:r>
      <w:r w:rsidRPr="0060434A">
        <w:rPr>
          <w:rFonts w:ascii="Times New Roman" w:hAnsi="Times New Roman" w:cs="Times New Roman"/>
          <w:sz w:val="24"/>
          <w:szCs w:val="24"/>
        </w:rPr>
        <w:t xml:space="preserve"> sociālās atstumtības līmeni, </w:t>
      </w:r>
      <w:r w:rsidRPr="0060434A">
        <w:rPr>
          <w:rFonts w:ascii="Times New Roman" w:hAnsi="Times New Roman" w:cs="Times New Roman"/>
          <w:noProof/>
          <w:sz w:val="24"/>
          <w:szCs w:val="24"/>
        </w:rPr>
        <w:t xml:space="preserve">ir būtiski </w:t>
      </w:r>
      <w:r w:rsidRPr="0060434A">
        <w:rPr>
          <w:rFonts w:ascii="Times New Roman" w:eastAsia="Times New Roman" w:hAnsi="Times New Roman" w:cs="Times New Roman"/>
          <w:noProof/>
          <w:sz w:val="24"/>
          <w:szCs w:val="24"/>
        </w:rPr>
        <w:t>turpināt pārtikas atbalsta un materiālās palīdzības aktivitātes zemu ienākumu mājsaimniecībām, īpaši tām, kuras nevar vai kurām ir apgrūtinātas iespējas mainīt savu situāciju, izmantojot šim mērķim ESF+ finansējumu.</w:t>
      </w:r>
    </w:p>
    <w:p w14:paraId="460B66DB" w14:textId="77777777" w:rsidR="00D27FCE" w:rsidRPr="000D5DBF" w:rsidRDefault="00D27FCE" w:rsidP="00641840">
      <w:pPr>
        <w:spacing w:before="0" w:after="0"/>
        <w:rPr>
          <w:rFonts w:eastAsia="Times New Roman"/>
          <w:noProof/>
          <w:szCs w:val="24"/>
        </w:rPr>
      </w:pPr>
    </w:p>
    <w:p w14:paraId="3E75C4DD" w14:textId="77777777" w:rsidR="00D27FCE" w:rsidRPr="000D5DBF" w:rsidRDefault="00D27FCE" w:rsidP="00641840">
      <w:pPr>
        <w:pStyle w:val="Heading1"/>
        <w:numPr>
          <w:ilvl w:val="0"/>
          <w:numId w:val="30"/>
        </w:numPr>
        <w:spacing w:before="0"/>
        <w:rPr>
          <w:rFonts w:ascii="Times New Roman" w:eastAsia="Times New Roman" w:hAnsi="Times New Roman" w:cs="Times New Roman"/>
          <w:b/>
          <w:noProof/>
          <w:color w:val="auto"/>
          <w:sz w:val="28"/>
          <w:szCs w:val="28"/>
        </w:rPr>
      </w:pPr>
      <w:bookmarkStart w:id="13" w:name="_Toc70410841"/>
      <w:r w:rsidRPr="000D5DBF">
        <w:rPr>
          <w:rFonts w:ascii="Times New Roman" w:eastAsia="Times New Roman" w:hAnsi="Times New Roman" w:cs="Times New Roman"/>
          <w:b/>
          <w:noProof/>
          <w:color w:val="auto"/>
          <w:sz w:val="28"/>
          <w:szCs w:val="28"/>
        </w:rPr>
        <w:t>Atbalsta veidi</w:t>
      </w:r>
      <w:bookmarkEnd w:id="13"/>
    </w:p>
    <w:p w14:paraId="0352B53C" w14:textId="156ECFE7" w:rsidR="00D27FCE" w:rsidRPr="000D5DBF" w:rsidRDefault="00E81D0F"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i </w:t>
      </w:r>
      <w:r w:rsidR="00D27FCE" w:rsidRPr="000D5DBF">
        <w:rPr>
          <w:rFonts w:ascii="Times New Roman" w:hAnsi="Times New Roman" w:cs="Times New Roman"/>
          <w:noProof/>
          <w:sz w:val="24"/>
          <w:szCs w:val="24"/>
        </w:rPr>
        <w:t>pieejamā finansējuma ietvaros zemu ienākumu mājsaimniecībām tiks nodrošināts atbalsts:</w:t>
      </w:r>
    </w:p>
    <w:p w14:paraId="16FF799E" w14:textId="77777777" w:rsidR="00D27FCE" w:rsidRPr="000D5DBF" w:rsidRDefault="00D27FCE" w:rsidP="00641840">
      <w:pPr>
        <w:pStyle w:val="ListParagraph"/>
        <w:numPr>
          <w:ilvl w:val="0"/>
          <w:numId w:val="10"/>
        </w:numPr>
        <w:spacing w:after="0" w:line="240" w:lineRule="auto"/>
        <w:ind w:left="851" w:hanging="425"/>
        <w:jc w:val="both"/>
        <w:rPr>
          <w:rFonts w:ascii="Times New Roman" w:hAnsi="Times New Roman" w:cs="Times New Roman"/>
          <w:noProof/>
          <w:sz w:val="24"/>
          <w:szCs w:val="24"/>
        </w:rPr>
      </w:pPr>
      <w:r w:rsidRPr="000D5DBF">
        <w:rPr>
          <w:rFonts w:ascii="Times New Roman" w:hAnsi="Times New Roman" w:cs="Times New Roman"/>
          <w:noProof/>
          <w:sz w:val="24"/>
          <w:szCs w:val="24"/>
        </w:rPr>
        <w:t>visām personām bez vecuma ierobežojuma – pārtikas komplekti un gatavās maltītes zupas virtuvēs, kā arī higiēnas un saimniecības preču komplekti;</w:t>
      </w:r>
    </w:p>
    <w:p w14:paraId="61E96C6E" w14:textId="77777777" w:rsidR="00D27FCE" w:rsidRPr="000D5DBF" w:rsidRDefault="00D27FCE" w:rsidP="00641840">
      <w:pPr>
        <w:pStyle w:val="ListParagraph"/>
        <w:numPr>
          <w:ilvl w:val="0"/>
          <w:numId w:val="10"/>
        </w:numPr>
        <w:spacing w:after="0" w:line="240" w:lineRule="auto"/>
        <w:ind w:left="851" w:hanging="425"/>
        <w:jc w:val="both"/>
        <w:rPr>
          <w:rFonts w:ascii="Times New Roman" w:hAnsi="Times New Roman" w:cs="Times New Roman"/>
          <w:noProof/>
          <w:sz w:val="24"/>
          <w:szCs w:val="24"/>
        </w:rPr>
      </w:pPr>
      <w:r w:rsidRPr="000D5DBF">
        <w:rPr>
          <w:rFonts w:ascii="Times New Roman" w:hAnsi="Times New Roman" w:cs="Times New Roman"/>
          <w:noProof/>
          <w:sz w:val="24"/>
          <w:szCs w:val="24"/>
        </w:rPr>
        <w:t>ģimenēm ar bērniem līdz divu gadu vecumam – papildu pārtikas komplekti un higiēnas preces zīdaiņiem un maziem bērniem;</w:t>
      </w:r>
    </w:p>
    <w:p w14:paraId="52F1941F" w14:textId="77777777" w:rsidR="00D27FCE" w:rsidRPr="000D5DBF" w:rsidRDefault="00D27FCE" w:rsidP="00641840">
      <w:pPr>
        <w:pStyle w:val="ListParagraph"/>
        <w:numPr>
          <w:ilvl w:val="0"/>
          <w:numId w:val="10"/>
        </w:numPr>
        <w:spacing w:after="0" w:line="240" w:lineRule="auto"/>
        <w:ind w:left="851" w:hanging="425"/>
        <w:jc w:val="both"/>
        <w:rPr>
          <w:rFonts w:ascii="Times New Roman" w:hAnsi="Times New Roman" w:cs="Times New Roman"/>
          <w:noProof/>
          <w:sz w:val="24"/>
          <w:szCs w:val="24"/>
        </w:rPr>
      </w:pPr>
      <w:r w:rsidRPr="000D5DBF">
        <w:rPr>
          <w:rFonts w:ascii="Times New Roman" w:hAnsi="Times New Roman" w:cs="Times New Roman"/>
          <w:noProof/>
          <w:sz w:val="24"/>
          <w:szCs w:val="24"/>
        </w:rPr>
        <w:t>ģimenēm ar skolas vecuma bērniem no 5 līdz 16 gadiem – individuālie mācību piederumi.</w:t>
      </w:r>
    </w:p>
    <w:p w14:paraId="18CC5323" w14:textId="5E34EF24" w:rsidR="00D27FCE" w:rsidRPr="00DE30E0" w:rsidRDefault="00D27FCE"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Pārtikas un </w:t>
      </w:r>
      <w:r w:rsidR="00E34BA0" w:rsidRPr="000D5DBF">
        <w:rPr>
          <w:rFonts w:ascii="Times New Roman" w:hAnsi="Times New Roman" w:cs="Times New Roman"/>
          <w:noProof/>
          <w:sz w:val="24"/>
          <w:szCs w:val="24"/>
        </w:rPr>
        <w:t xml:space="preserve">pamata </w:t>
      </w:r>
      <w:r w:rsidRPr="000D5DBF">
        <w:rPr>
          <w:rFonts w:ascii="Times New Roman" w:hAnsi="Times New Roman" w:cs="Times New Roman"/>
          <w:noProof/>
          <w:sz w:val="24"/>
          <w:szCs w:val="24"/>
        </w:rPr>
        <w:t xml:space="preserve">materiālās palīdzības preču iegādi nodrošinās SIF, kuram ir pieredze ārvalstu finanšu instrumentu projektu ieviešanā un publisko iepirkumu veikšanā. SIF organizēs pārtikas un </w:t>
      </w:r>
      <w:r w:rsidR="00DE30E0">
        <w:rPr>
          <w:rFonts w:ascii="Times New Roman" w:hAnsi="Times New Roman" w:cs="Times New Roman"/>
          <w:noProof/>
          <w:sz w:val="24"/>
          <w:szCs w:val="24"/>
        </w:rPr>
        <w:t xml:space="preserve">pamata </w:t>
      </w:r>
      <w:r w:rsidRPr="000D5DBF">
        <w:rPr>
          <w:rFonts w:ascii="Times New Roman" w:hAnsi="Times New Roman" w:cs="Times New Roman"/>
          <w:noProof/>
          <w:sz w:val="24"/>
          <w:szCs w:val="24"/>
        </w:rPr>
        <w:t xml:space="preserve">materiālās </w:t>
      </w:r>
      <w:r w:rsidRPr="00DE30E0">
        <w:rPr>
          <w:rFonts w:ascii="Times New Roman" w:hAnsi="Times New Roman" w:cs="Times New Roman"/>
          <w:noProof/>
          <w:sz w:val="24"/>
          <w:szCs w:val="24"/>
        </w:rPr>
        <w:t xml:space="preserve">palīdzības preču iegādi jau nokomplektētos iepakojumos (turpmāk – atbalsta komplekti) </w:t>
      </w:r>
      <w:r w:rsidR="00DE30E0" w:rsidRPr="00DE30E0">
        <w:rPr>
          <w:rFonts w:ascii="Times New Roman" w:hAnsi="Times New Roman" w:cs="Times New Roman"/>
          <w:noProof/>
          <w:sz w:val="24"/>
          <w:szCs w:val="24"/>
        </w:rPr>
        <w:t>atbilstoši normatīvajiem aktiem publisko iepirkumu jomā</w:t>
      </w:r>
      <w:r w:rsidR="00DE30E0">
        <w:rPr>
          <w:rFonts w:ascii="Times New Roman" w:hAnsi="Times New Roman" w:cs="Times New Roman"/>
          <w:noProof/>
          <w:sz w:val="24"/>
          <w:szCs w:val="24"/>
        </w:rPr>
        <w:t xml:space="preserve">. </w:t>
      </w:r>
      <w:r w:rsidR="00D85214" w:rsidRPr="00DE30E0">
        <w:rPr>
          <w:rFonts w:ascii="Times New Roman" w:hAnsi="Times New Roman" w:cs="Times New Roman"/>
          <w:noProof/>
          <w:sz w:val="24"/>
          <w:szCs w:val="24"/>
        </w:rPr>
        <w:t>Iep</w:t>
      </w:r>
      <w:r w:rsidRPr="00DE30E0">
        <w:rPr>
          <w:rFonts w:ascii="Times New Roman" w:hAnsi="Times New Roman" w:cs="Times New Roman"/>
          <w:noProof/>
          <w:sz w:val="24"/>
          <w:szCs w:val="24"/>
        </w:rPr>
        <w:t>i</w:t>
      </w:r>
      <w:r w:rsidR="00D85214" w:rsidRPr="00DE30E0">
        <w:rPr>
          <w:rFonts w:ascii="Times New Roman" w:hAnsi="Times New Roman" w:cs="Times New Roman"/>
          <w:noProof/>
          <w:sz w:val="24"/>
          <w:szCs w:val="24"/>
        </w:rPr>
        <w:t>r</w:t>
      </w:r>
      <w:r w:rsidRPr="00DE30E0">
        <w:rPr>
          <w:rFonts w:ascii="Times New Roman" w:hAnsi="Times New Roman" w:cs="Times New Roman"/>
          <w:noProof/>
          <w:sz w:val="24"/>
          <w:szCs w:val="24"/>
        </w:rPr>
        <w:t>kuma līgumā ar izvēlēto piegādātāju tiks paredzēta atbalsta komplektu nogādāšana uz PO uzglabāšanas vietām, tostarp uz zupas virtuvēm.</w:t>
      </w:r>
    </w:p>
    <w:p w14:paraId="719E3270" w14:textId="77777777" w:rsidR="00D27FCE" w:rsidRPr="000D5DBF" w:rsidRDefault="00D27FCE"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PO nodrošinās atbalsta komplektu un gatavo maltīšu izdalīšanu visā Latvijā – indikatīvi 450 izdales vietās. Piegādātājs nodrošinās atbalsta komplektu nogādāšanu līdz katrai no izdales vietām. Vienlaikus netiek izslēgti gadījumi, kad PO var organizēt atbalsta komplektu tālāku transportēšanu uz citām izdales vietām. Atbalsta izdali PO var veikt šādos veidos:</w:t>
      </w:r>
    </w:p>
    <w:p w14:paraId="5D01F2E3" w14:textId="7FEA32C4" w:rsidR="00D27FCE" w:rsidRPr="008D73C0" w:rsidRDefault="00D27FCE" w:rsidP="00641840">
      <w:pPr>
        <w:pStyle w:val="ListParagraph"/>
        <w:numPr>
          <w:ilvl w:val="0"/>
          <w:numId w:val="7"/>
        </w:numPr>
        <w:spacing w:after="0" w:line="240" w:lineRule="auto"/>
        <w:ind w:left="993" w:hanging="426"/>
        <w:jc w:val="both"/>
        <w:rPr>
          <w:rFonts w:ascii="Times New Roman" w:hAnsi="Times New Roman" w:cs="Times New Roman"/>
          <w:noProof/>
          <w:sz w:val="24"/>
          <w:szCs w:val="24"/>
        </w:rPr>
      </w:pPr>
      <w:r w:rsidRPr="008D73C0">
        <w:rPr>
          <w:rFonts w:ascii="Times New Roman" w:hAnsi="Times New Roman" w:cs="Times New Roman"/>
          <w:noProof/>
          <w:sz w:val="24"/>
          <w:szCs w:val="24"/>
        </w:rPr>
        <w:t>izdales vietā –</w:t>
      </w:r>
      <w:r w:rsidR="00FE522D">
        <w:rPr>
          <w:rFonts w:ascii="Times New Roman" w:hAnsi="Times New Roman" w:cs="Times New Roman"/>
          <w:noProof/>
          <w:sz w:val="24"/>
          <w:szCs w:val="24"/>
        </w:rPr>
        <w:t xml:space="preserve"> </w:t>
      </w:r>
      <w:r w:rsidRPr="008D73C0">
        <w:rPr>
          <w:rFonts w:ascii="Times New Roman" w:hAnsi="Times New Roman" w:cs="Times New Roman"/>
          <w:noProof/>
          <w:sz w:val="24"/>
          <w:szCs w:val="24"/>
        </w:rPr>
        <w:t>higiēnas prasībām atbilstošās telp</w:t>
      </w:r>
      <w:r w:rsidR="008D73C0">
        <w:rPr>
          <w:rFonts w:ascii="Times New Roman" w:hAnsi="Times New Roman" w:cs="Times New Roman"/>
          <w:noProof/>
          <w:sz w:val="24"/>
          <w:szCs w:val="24"/>
        </w:rPr>
        <w:t>ā</w:t>
      </w:r>
      <w:r w:rsidRPr="008D73C0">
        <w:rPr>
          <w:rFonts w:ascii="Times New Roman" w:hAnsi="Times New Roman" w:cs="Times New Roman"/>
          <w:noProof/>
          <w:sz w:val="24"/>
          <w:szCs w:val="24"/>
        </w:rPr>
        <w:t>s</w:t>
      </w:r>
      <w:r w:rsidR="00B66155">
        <w:rPr>
          <w:rFonts w:ascii="Times New Roman" w:hAnsi="Times New Roman" w:cs="Times New Roman"/>
          <w:noProof/>
          <w:sz w:val="24"/>
          <w:szCs w:val="24"/>
        </w:rPr>
        <w:t>:</w:t>
      </w:r>
      <w:r w:rsidRPr="008D73C0">
        <w:rPr>
          <w:rFonts w:ascii="Times New Roman" w:hAnsi="Times New Roman" w:cs="Times New Roman"/>
          <w:noProof/>
          <w:sz w:val="24"/>
          <w:szCs w:val="24"/>
        </w:rPr>
        <w:t xml:space="preserve"> </w:t>
      </w:r>
      <w:r w:rsidR="008D73C0">
        <w:rPr>
          <w:rFonts w:ascii="Times New Roman" w:hAnsi="Times New Roman" w:cs="Times New Roman"/>
          <w:noProof/>
          <w:sz w:val="24"/>
          <w:szCs w:val="24"/>
        </w:rPr>
        <w:t xml:space="preserve">PO piederošās telpās, </w:t>
      </w:r>
      <w:r w:rsidRPr="008D73C0">
        <w:rPr>
          <w:rFonts w:ascii="Times New Roman" w:hAnsi="Times New Roman" w:cs="Times New Roman"/>
          <w:noProof/>
          <w:sz w:val="24"/>
          <w:szCs w:val="24"/>
        </w:rPr>
        <w:t xml:space="preserve">tās nomājot vai vienojoties ar telpu īpašnieku par </w:t>
      </w:r>
      <w:r w:rsidR="008D73C0">
        <w:rPr>
          <w:rFonts w:ascii="Times New Roman" w:hAnsi="Times New Roman" w:cs="Times New Roman"/>
          <w:noProof/>
          <w:sz w:val="24"/>
          <w:szCs w:val="24"/>
        </w:rPr>
        <w:t>to</w:t>
      </w:r>
      <w:r w:rsidR="008D73C0" w:rsidRPr="008D73C0">
        <w:rPr>
          <w:rFonts w:ascii="Times New Roman" w:hAnsi="Times New Roman" w:cs="Times New Roman"/>
          <w:noProof/>
          <w:sz w:val="24"/>
          <w:szCs w:val="24"/>
        </w:rPr>
        <w:t xml:space="preserve"> </w:t>
      </w:r>
      <w:r w:rsidRPr="008D73C0">
        <w:rPr>
          <w:rFonts w:ascii="Times New Roman" w:hAnsi="Times New Roman" w:cs="Times New Roman"/>
          <w:noProof/>
          <w:sz w:val="24"/>
          <w:szCs w:val="24"/>
        </w:rPr>
        <w:t xml:space="preserve">izmantošanu atbalsta dalīšanai gala saņēmējiem; </w:t>
      </w:r>
    </w:p>
    <w:p w14:paraId="2ECFE694" w14:textId="5FDD91BB" w:rsidR="00D27FCE" w:rsidRPr="000D5DBF" w:rsidRDefault="00D27FCE" w:rsidP="00641840">
      <w:pPr>
        <w:pStyle w:val="ListParagraph"/>
        <w:numPr>
          <w:ilvl w:val="0"/>
          <w:numId w:val="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PO </w:t>
      </w:r>
      <w:r w:rsidR="004A0757">
        <w:rPr>
          <w:rFonts w:ascii="Times New Roman" w:hAnsi="Times New Roman" w:cs="Times New Roman"/>
          <w:noProof/>
          <w:sz w:val="24"/>
          <w:szCs w:val="24"/>
        </w:rPr>
        <w:t xml:space="preserve">pati </w:t>
      </w:r>
      <w:r w:rsidR="0083415C">
        <w:rPr>
          <w:rFonts w:ascii="Times New Roman" w:hAnsi="Times New Roman" w:cs="Times New Roman"/>
          <w:noProof/>
          <w:sz w:val="24"/>
          <w:szCs w:val="24"/>
        </w:rPr>
        <w:t xml:space="preserve">vai </w:t>
      </w:r>
      <w:r w:rsidRPr="000D5DBF">
        <w:rPr>
          <w:rFonts w:ascii="Times New Roman" w:hAnsi="Times New Roman" w:cs="Times New Roman"/>
          <w:noProof/>
          <w:sz w:val="24"/>
          <w:szCs w:val="24"/>
        </w:rPr>
        <w:t>sadarbībā ar sociālo d</w:t>
      </w:r>
      <w:r w:rsidR="004A2D3B" w:rsidRPr="000D5DBF">
        <w:rPr>
          <w:rFonts w:ascii="Times New Roman" w:hAnsi="Times New Roman" w:cs="Times New Roman"/>
          <w:noProof/>
          <w:sz w:val="24"/>
          <w:szCs w:val="24"/>
        </w:rPr>
        <w:t>ienestu</w:t>
      </w:r>
      <w:r w:rsidRPr="000D5DBF">
        <w:rPr>
          <w:rFonts w:ascii="Times New Roman" w:hAnsi="Times New Roman" w:cs="Times New Roman"/>
          <w:noProof/>
          <w:sz w:val="24"/>
          <w:szCs w:val="24"/>
        </w:rPr>
        <w:t xml:space="preserve"> var atbalstu nogādāt atbalsta gala saņēmēju dzīvesvietā, ja personu nokļūšana izdales viet</w:t>
      </w:r>
      <w:r w:rsidR="004A2D3B" w:rsidRPr="000D5DBF">
        <w:rPr>
          <w:rFonts w:ascii="Times New Roman" w:hAnsi="Times New Roman" w:cs="Times New Roman"/>
          <w:noProof/>
          <w:sz w:val="24"/>
          <w:szCs w:val="24"/>
        </w:rPr>
        <w:t>ā ir apgrūtināta (</w:t>
      </w:r>
      <w:r w:rsidRPr="000D5DBF">
        <w:rPr>
          <w:rFonts w:ascii="Times New Roman" w:hAnsi="Times New Roman" w:cs="Times New Roman"/>
          <w:noProof/>
          <w:sz w:val="24"/>
          <w:szCs w:val="24"/>
        </w:rPr>
        <w:t>pārvietošanās grūtības</w:t>
      </w:r>
      <w:r w:rsidR="004A2D3B" w:rsidRPr="000D5DBF">
        <w:rPr>
          <w:rFonts w:ascii="Times New Roman" w:hAnsi="Times New Roman" w:cs="Times New Roman"/>
          <w:noProof/>
          <w:sz w:val="24"/>
          <w:szCs w:val="24"/>
        </w:rPr>
        <w:t>, slimība</w:t>
      </w:r>
      <w:r w:rsidRPr="000D5DBF">
        <w:rPr>
          <w:rFonts w:ascii="Times New Roman" w:hAnsi="Times New Roman" w:cs="Times New Roman"/>
          <w:noProof/>
          <w:sz w:val="24"/>
          <w:szCs w:val="24"/>
        </w:rPr>
        <w:t xml:space="preserve"> u.c.);</w:t>
      </w:r>
    </w:p>
    <w:p w14:paraId="78CD75C2" w14:textId="77777777" w:rsidR="00D27FCE" w:rsidRPr="000D5DBF" w:rsidRDefault="00D27FCE" w:rsidP="00641840">
      <w:pPr>
        <w:pStyle w:val="ListParagraph"/>
        <w:numPr>
          <w:ilvl w:val="0"/>
          <w:numId w:val="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PO vai tās sadarbības organizācijām veicot gatavo maltīšu izdali, tā var nodrošināt iespējas ēšanai uz vietas vai maltītes līdzi ņemšanai.</w:t>
      </w:r>
    </w:p>
    <w:p w14:paraId="7D2B83F1" w14:textId="3FBBD9D5" w:rsidR="00D27FCE" w:rsidRPr="000D5DBF" w:rsidRDefault="00D27FCE"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Vienlaikus atbalsta gala saņēmējiem tiks nodrošināta iespēja piedalīties papildpasākumos sociālās atstumtības mazināšanai. PO, izsniedzot atbalstu, izvērtē mājsaimniecības vajadzības un piedāvā tās locekļiem iespēju brīvprātīgi piedalīties informatīvajos, neformāli izglītōjošajos un socializēšanas pasākumos, kā arī saņemt individuālās konsultācijas vai piedalīties atbalsta vai pašpalīdzības grupās. PO nodrošina, ka papildpasākumi mazina personu sociālo atstumtību, kā arī veicina personu patstāvību savu sociālo problēmu vai krīzes situācijas rezultātā radušos problēmu risināšanā ilgtermiņā. Pap</w:t>
      </w:r>
      <w:r w:rsidR="005536E0">
        <w:rPr>
          <w:rFonts w:ascii="Times New Roman" w:hAnsi="Times New Roman" w:cs="Times New Roman"/>
          <w:noProof/>
          <w:sz w:val="24"/>
          <w:szCs w:val="24"/>
        </w:rPr>
        <w:t>ildpasākumu īstenošanas kārtība</w:t>
      </w:r>
      <w:r w:rsidRPr="000D5DBF">
        <w:rPr>
          <w:rFonts w:ascii="Times New Roman" w:hAnsi="Times New Roman" w:cs="Times New Roman"/>
          <w:noProof/>
          <w:sz w:val="24"/>
          <w:szCs w:val="24"/>
        </w:rPr>
        <w:t xml:space="preserve"> tiks noteikta MK noteikumos par </w:t>
      </w:r>
      <w:r w:rsidR="0055391D">
        <w:rPr>
          <w:rFonts w:ascii="Times New Roman" w:hAnsi="Times New Roman" w:cs="Times New Roman"/>
          <w:bCs/>
          <w:sz w:val="24"/>
          <w:szCs w:val="24"/>
        </w:rPr>
        <w:t>P</w:t>
      </w:r>
      <w:r w:rsidR="0055391D" w:rsidRPr="000D5DBF">
        <w:rPr>
          <w:rFonts w:ascii="Times New Roman" w:hAnsi="Times New Roman" w:cs="Times New Roman"/>
          <w:bCs/>
          <w:sz w:val="24"/>
          <w:szCs w:val="24"/>
        </w:rPr>
        <w:t>rogramma</w:t>
      </w:r>
      <w:r w:rsidR="0055391D">
        <w:rPr>
          <w:rFonts w:ascii="Times New Roman" w:hAnsi="Times New Roman" w:cs="Times New Roman"/>
          <w:bCs/>
          <w:sz w:val="24"/>
          <w:szCs w:val="24"/>
        </w:rPr>
        <w:t xml:space="preserve">s </w:t>
      </w:r>
      <w:r w:rsidRPr="000D5DBF">
        <w:rPr>
          <w:rFonts w:ascii="Times New Roman" w:hAnsi="Times New Roman" w:cs="Times New Roman"/>
          <w:noProof/>
          <w:sz w:val="24"/>
          <w:szCs w:val="24"/>
        </w:rPr>
        <w:t>īstenošanu.</w:t>
      </w:r>
    </w:p>
    <w:p w14:paraId="0971A71F" w14:textId="05E83B0F" w:rsidR="00D27FCE" w:rsidRPr="000D5DBF" w:rsidRDefault="00D27FCE"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Papildpasākumi tiks organizeti visā Latvijas teritorijā. Tie saturiski var atšķirtie</w:t>
      </w:r>
      <w:r w:rsidR="002D5A02" w:rsidRPr="000D5DBF">
        <w:rPr>
          <w:rFonts w:ascii="Times New Roman" w:hAnsi="Times New Roman" w:cs="Times New Roman"/>
          <w:noProof/>
          <w:sz w:val="24"/>
          <w:szCs w:val="24"/>
        </w:rPr>
        <w:t>s, ņemot vērā PO rīcībā esošos</w:t>
      </w:r>
      <w:r w:rsidRPr="000D5DBF">
        <w:rPr>
          <w:rFonts w:ascii="Times New Roman" w:hAnsi="Times New Roman" w:cs="Times New Roman"/>
          <w:noProof/>
          <w:sz w:val="24"/>
          <w:szCs w:val="24"/>
        </w:rPr>
        <w:t xml:space="preserve"> resursus, reģionu īpatnības un lauku un pilsētu atšķirības. PO papildpasākumus īsteno pati vai nodrošina to īstenošanu, slēdzot līgumu ar pakalpojumu sniedzēju.</w:t>
      </w:r>
    </w:p>
    <w:p w14:paraId="6824F965" w14:textId="77777777" w:rsidR="00D27FCE" w:rsidRPr="000D5DBF" w:rsidRDefault="00D27FCE" w:rsidP="00641840">
      <w:pPr>
        <w:spacing w:before="0" w:after="0"/>
        <w:rPr>
          <w:noProof/>
          <w:szCs w:val="24"/>
        </w:rPr>
      </w:pPr>
    </w:p>
    <w:p w14:paraId="6D808D2D" w14:textId="77777777" w:rsidR="00D27FCE" w:rsidRPr="000D5DBF" w:rsidRDefault="00D27FCE" w:rsidP="00641840">
      <w:pPr>
        <w:pStyle w:val="Heading1"/>
        <w:numPr>
          <w:ilvl w:val="0"/>
          <w:numId w:val="30"/>
        </w:numPr>
        <w:spacing w:before="0"/>
        <w:rPr>
          <w:rFonts w:ascii="Times New Roman" w:hAnsi="Times New Roman" w:cs="Times New Roman"/>
          <w:b/>
          <w:noProof/>
          <w:color w:val="auto"/>
          <w:sz w:val="28"/>
          <w:szCs w:val="28"/>
        </w:rPr>
      </w:pPr>
      <w:bookmarkStart w:id="14" w:name="_Toc70410842"/>
      <w:r w:rsidRPr="000D5DBF">
        <w:rPr>
          <w:rFonts w:ascii="Times New Roman" w:hAnsi="Times New Roman" w:cs="Times New Roman"/>
          <w:b/>
          <w:noProof/>
          <w:color w:val="auto"/>
          <w:sz w:val="28"/>
          <w:szCs w:val="28"/>
        </w:rPr>
        <w:lastRenderedPageBreak/>
        <w:t>Galvenās mērķgrupas</w:t>
      </w:r>
      <w:bookmarkEnd w:id="14"/>
    </w:p>
    <w:p w14:paraId="7375BA62" w14:textId="59565E3E" w:rsidR="00D27FCE" w:rsidRPr="004E6A2A" w:rsidRDefault="0014157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eastAsia="Times New Roman" w:hAnsi="Times New Roman" w:cs="Times New Roman"/>
          <w:iCs/>
          <w:noProof/>
          <w:sz w:val="24"/>
          <w:szCs w:val="24"/>
        </w:rPr>
        <w:t>Programmas galvenā mērķa grupa ir</w:t>
      </w:r>
      <w:r w:rsidR="00D27FCE" w:rsidRPr="000D5DBF">
        <w:rPr>
          <w:rFonts w:ascii="Times New Roman" w:eastAsia="Times New Roman" w:hAnsi="Times New Roman" w:cs="Times New Roman"/>
          <w:iCs/>
          <w:noProof/>
          <w:sz w:val="24"/>
          <w:szCs w:val="24"/>
        </w:rPr>
        <w:t xml:space="preserve"> personas zemu ienākumu mājsaimniecībās, īpaši tās, kuru locekļi nevar vai kuriem ir apgrūtinātas iespējas mainīt savu situāciju (piemēram, mājsaimniecības ar bērniem, cilvēki ar invaliditāti, vecāka gadagājuma personas, personas krīzes situācijā).</w:t>
      </w:r>
    </w:p>
    <w:p w14:paraId="067C2E07" w14:textId="6D258290" w:rsidR="00D27FCE" w:rsidRPr="004E6A2A" w:rsidRDefault="004E6A2A"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eastAsia="Times New Roman" w:hAnsi="Times New Roman" w:cs="Times New Roman"/>
          <w:iCs/>
          <w:noProof/>
          <w:sz w:val="24"/>
          <w:szCs w:val="24"/>
        </w:rPr>
        <w:t xml:space="preserve">Nosacījumus mājsaimniecības ienākumu sliekšņu noteikšanai </w:t>
      </w:r>
      <w:r w:rsidR="00763191" w:rsidRPr="004E6A2A">
        <w:rPr>
          <w:rFonts w:ascii="Times New Roman" w:eastAsia="Times New Roman" w:hAnsi="Times New Roman" w:cs="Times New Roman"/>
          <w:iCs/>
          <w:noProof/>
          <w:sz w:val="24"/>
          <w:szCs w:val="24"/>
        </w:rPr>
        <w:t xml:space="preserve">ierosinās LM. </w:t>
      </w:r>
      <w:r w:rsidR="00D27FCE" w:rsidRPr="004E6A2A">
        <w:rPr>
          <w:rFonts w:ascii="Times New Roman" w:eastAsia="Times New Roman" w:hAnsi="Times New Roman" w:cs="Times New Roman"/>
          <w:iCs/>
          <w:noProof/>
          <w:sz w:val="24"/>
          <w:szCs w:val="24"/>
        </w:rPr>
        <w:t xml:space="preserve">Detalizēti </w:t>
      </w:r>
      <w:r>
        <w:rPr>
          <w:rFonts w:ascii="Times New Roman" w:eastAsia="Times New Roman" w:hAnsi="Times New Roman" w:cs="Times New Roman"/>
          <w:iCs/>
          <w:noProof/>
          <w:sz w:val="24"/>
          <w:szCs w:val="24"/>
        </w:rPr>
        <w:t xml:space="preserve">nosacījumi </w:t>
      </w:r>
      <w:r w:rsidR="00D27FCE" w:rsidRPr="004E6A2A">
        <w:rPr>
          <w:rFonts w:ascii="Times New Roman" w:eastAsia="Times New Roman" w:hAnsi="Times New Roman" w:cs="Times New Roman"/>
          <w:iCs/>
          <w:noProof/>
          <w:sz w:val="24"/>
          <w:szCs w:val="24"/>
        </w:rPr>
        <w:t xml:space="preserve">tiks noteikti MK noteikumos par </w:t>
      </w:r>
      <w:r w:rsidR="00340301">
        <w:rPr>
          <w:rFonts w:ascii="Times New Roman" w:eastAsia="Times New Roman" w:hAnsi="Times New Roman" w:cs="Times New Roman"/>
          <w:iCs/>
          <w:noProof/>
          <w:sz w:val="24"/>
          <w:szCs w:val="24"/>
        </w:rPr>
        <w:t>Programmas</w:t>
      </w:r>
      <w:r w:rsidR="00D27FCE" w:rsidRPr="004E6A2A">
        <w:rPr>
          <w:rFonts w:ascii="Times New Roman" w:eastAsia="Times New Roman" w:hAnsi="Times New Roman" w:cs="Times New Roman"/>
          <w:iCs/>
          <w:noProof/>
          <w:sz w:val="24"/>
          <w:szCs w:val="24"/>
        </w:rPr>
        <w:t xml:space="preserve"> īstenošanu, pēc iespējas izmantojot jau darbojošos mehānismus un nepalielinot administratīvo slogu iesaistītajiem, konsultējoties ar KDG. Plānošanas perioda laikā, ņemot vērā statistikas un sociāli demogrāfiskos </w:t>
      </w:r>
      <w:r w:rsidR="00763191" w:rsidRPr="004E6A2A">
        <w:rPr>
          <w:rFonts w:ascii="Times New Roman" w:eastAsia="Times New Roman" w:hAnsi="Times New Roman" w:cs="Times New Roman"/>
          <w:iCs/>
          <w:noProof/>
          <w:sz w:val="24"/>
          <w:szCs w:val="24"/>
        </w:rPr>
        <w:t xml:space="preserve">un sociāli ekonomiskos </w:t>
      </w:r>
      <w:r w:rsidR="00D27FCE" w:rsidRPr="004E6A2A">
        <w:rPr>
          <w:rFonts w:ascii="Times New Roman" w:eastAsia="Times New Roman" w:hAnsi="Times New Roman" w:cs="Times New Roman"/>
          <w:iCs/>
          <w:noProof/>
          <w:sz w:val="24"/>
          <w:szCs w:val="24"/>
        </w:rPr>
        <w:t xml:space="preserve">rādītājus, </w:t>
      </w:r>
      <w:r>
        <w:rPr>
          <w:rFonts w:ascii="Times New Roman" w:eastAsia="Times New Roman" w:hAnsi="Times New Roman" w:cs="Times New Roman"/>
          <w:iCs/>
          <w:noProof/>
          <w:sz w:val="24"/>
          <w:szCs w:val="24"/>
        </w:rPr>
        <w:t xml:space="preserve">nosacījumus </w:t>
      </w:r>
      <w:r w:rsidR="00763191" w:rsidRPr="004E6A2A">
        <w:rPr>
          <w:rFonts w:ascii="Times New Roman" w:eastAsia="Times New Roman" w:hAnsi="Times New Roman" w:cs="Times New Roman"/>
          <w:iCs/>
          <w:noProof/>
          <w:sz w:val="24"/>
          <w:szCs w:val="24"/>
        </w:rPr>
        <w:t>ienākumu sliekšņu noteikšanai</w:t>
      </w:r>
      <w:r w:rsidR="00D27FCE" w:rsidRPr="004E6A2A">
        <w:rPr>
          <w:rFonts w:ascii="Times New Roman" w:eastAsia="Times New Roman" w:hAnsi="Times New Roman" w:cs="Times New Roman"/>
          <w:iCs/>
          <w:noProof/>
          <w:sz w:val="24"/>
          <w:szCs w:val="24"/>
        </w:rPr>
        <w:t xml:space="preserve"> varēs </w:t>
      </w:r>
      <w:r w:rsidR="00763191" w:rsidRPr="004E6A2A">
        <w:rPr>
          <w:rFonts w:ascii="Times New Roman" w:eastAsia="Times New Roman" w:hAnsi="Times New Roman" w:cs="Times New Roman"/>
          <w:iCs/>
          <w:noProof/>
          <w:sz w:val="24"/>
          <w:szCs w:val="24"/>
        </w:rPr>
        <w:t>pārskatīt</w:t>
      </w:r>
      <w:r w:rsidR="00D27FCE" w:rsidRPr="004E6A2A">
        <w:rPr>
          <w:rFonts w:ascii="Times New Roman" w:eastAsia="Times New Roman" w:hAnsi="Times New Roman" w:cs="Times New Roman"/>
          <w:iCs/>
          <w:noProof/>
          <w:sz w:val="24"/>
          <w:szCs w:val="24"/>
        </w:rPr>
        <w:t>. Šāda pieeja saskaņota un to atbalsta KDG.</w:t>
      </w:r>
    </w:p>
    <w:p w14:paraId="4A50E6F5" w14:textId="011896A7" w:rsidR="00B4279C" w:rsidRPr="00403EC9" w:rsidRDefault="00340301"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403EC9">
        <w:rPr>
          <w:rFonts w:ascii="Times New Roman" w:hAnsi="Times New Roman" w:cs="Times New Roman"/>
          <w:iCs/>
          <w:noProof/>
          <w:sz w:val="24"/>
          <w:szCs w:val="24"/>
        </w:rPr>
        <w:t>MK noteikumi</w:t>
      </w:r>
      <w:r w:rsidR="00D27FCE" w:rsidRPr="00403EC9">
        <w:rPr>
          <w:rFonts w:ascii="Times New Roman" w:hAnsi="Times New Roman" w:cs="Times New Roman"/>
          <w:iCs/>
          <w:noProof/>
          <w:sz w:val="24"/>
          <w:szCs w:val="24"/>
        </w:rPr>
        <w:t xml:space="preserve"> par </w:t>
      </w:r>
      <w:r w:rsidRPr="00403EC9">
        <w:rPr>
          <w:rFonts w:ascii="Times New Roman" w:hAnsi="Times New Roman" w:cs="Times New Roman"/>
          <w:iCs/>
          <w:noProof/>
          <w:sz w:val="24"/>
          <w:szCs w:val="24"/>
        </w:rPr>
        <w:t>Programmas</w:t>
      </w:r>
      <w:r w:rsidR="00D27FCE" w:rsidRPr="00403EC9">
        <w:rPr>
          <w:rFonts w:ascii="Times New Roman" w:hAnsi="Times New Roman" w:cs="Times New Roman"/>
          <w:iCs/>
          <w:noProof/>
          <w:sz w:val="24"/>
          <w:szCs w:val="24"/>
        </w:rPr>
        <w:t xml:space="preserve"> īstenošanu</w:t>
      </w:r>
      <w:r w:rsidRPr="00403EC9">
        <w:rPr>
          <w:rFonts w:ascii="Times New Roman" w:hAnsi="Times New Roman" w:cs="Times New Roman"/>
          <w:iCs/>
          <w:noProof/>
          <w:sz w:val="24"/>
          <w:szCs w:val="24"/>
        </w:rPr>
        <w:t xml:space="preserve"> </w:t>
      </w:r>
      <w:r w:rsidR="00D27FCE" w:rsidRPr="00403EC9">
        <w:rPr>
          <w:rFonts w:ascii="Times New Roman" w:eastAsia="Times New Roman" w:hAnsi="Times New Roman" w:cs="Times New Roman"/>
          <w:iCs/>
          <w:noProof/>
          <w:sz w:val="24"/>
          <w:szCs w:val="24"/>
        </w:rPr>
        <w:t xml:space="preserve">ir sasaistē ar sociālās aizsardzības normatīvo regulējumu Latvijā. Tam mainoties, veicamas arī izmaiņas </w:t>
      </w:r>
      <w:r w:rsidRPr="00403EC9">
        <w:rPr>
          <w:rFonts w:ascii="Times New Roman" w:eastAsia="Times New Roman" w:hAnsi="Times New Roman" w:cs="Times New Roman"/>
          <w:iCs/>
          <w:noProof/>
          <w:sz w:val="24"/>
          <w:szCs w:val="24"/>
        </w:rPr>
        <w:t>Programmas</w:t>
      </w:r>
      <w:r w:rsidR="00B4279C" w:rsidRPr="00403EC9">
        <w:rPr>
          <w:rFonts w:ascii="Times New Roman" w:eastAsia="Times New Roman" w:hAnsi="Times New Roman" w:cs="Times New Roman"/>
          <w:iCs/>
          <w:noProof/>
          <w:sz w:val="24"/>
          <w:szCs w:val="24"/>
        </w:rPr>
        <w:t xml:space="preserve"> </w:t>
      </w:r>
      <w:r w:rsidR="00B4279C" w:rsidRPr="00403EC9">
        <w:rPr>
          <w:rFonts w:ascii="Times New Roman" w:hAnsi="Times New Roman" w:cs="Times New Roman"/>
          <w:noProof/>
          <w:sz w:val="24"/>
          <w:szCs w:val="24"/>
        </w:rPr>
        <w:t>īstenošanas nosacījumos saistībā ar iespēju zemu ienākumu mājsaimniecībām izmantot savas so</w:t>
      </w:r>
      <w:r w:rsidR="00403EC9" w:rsidRPr="00403EC9">
        <w:rPr>
          <w:rFonts w:ascii="Times New Roman" w:hAnsi="Times New Roman" w:cs="Times New Roman"/>
          <w:noProof/>
          <w:sz w:val="24"/>
          <w:szCs w:val="24"/>
        </w:rPr>
        <w:t>ciālās tiesības saņemt atbalstu (skat. informāciju sadaļā “Valsts un reģionālo atbalsta shēmu atšifrējums”).</w:t>
      </w:r>
    </w:p>
    <w:p w14:paraId="64FE6FB9" w14:textId="52AC0F41" w:rsidR="00D27FCE" w:rsidRPr="00340301" w:rsidRDefault="00D27FCE"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340301">
        <w:rPr>
          <w:rFonts w:ascii="Times New Roman" w:eastAsia="Times New Roman" w:hAnsi="Times New Roman" w:cs="Times New Roman"/>
          <w:iCs/>
          <w:noProof/>
          <w:sz w:val="24"/>
          <w:szCs w:val="24"/>
        </w:rPr>
        <w:t xml:space="preserve">No 2021. gada 1. janvāra pārtikas atbalsta un </w:t>
      </w:r>
      <w:r w:rsidR="00F47C5D">
        <w:rPr>
          <w:rFonts w:ascii="Times New Roman" w:eastAsia="Times New Roman" w:hAnsi="Times New Roman" w:cs="Times New Roman"/>
          <w:iCs/>
          <w:noProof/>
          <w:sz w:val="24"/>
          <w:szCs w:val="24"/>
        </w:rPr>
        <w:t xml:space="preserve">pamata </w:t>
      </w:r>
      <w:r w:rsidRPr="00340301">
        <w:rPr>
          <w:rFonts w:ascii="Times New Roman" w:eastAsia="Times New Roman" w:hAnsi="Times New Roman" w:cs="Times New Roman"/>
          <w:iCs/>
          <w:noProof/>
          <w:sz w:val="24"/>
          <w:szCs w:val="24"/>
        </w:rPr>
        <w:t xml:space="preserve">materiālās palīdzības gala saņēmēji </w:t>
      </w:r>
      <w:r w:rsidR="00B00012" w:rsidRPr="00340301">
        <w:rPr>
          <w:rFonts w:ascii="Times New Roman" w:eastAsia="Times New Roman" w:hAnsi="Times New Roman" w:cs="Times New Roman"/>
          <w:iCs/>
          <w:noProof/>
          <w:sz w:val="24"/>
          <w:szCs w:val="24"/>
        </w:rPr>
        <w:t>ir</w:t>
      </w:r>
      <w:r w:rsidR="003B7043" w:rsidRPr="00340301">
        <w:rPr>
          <w:rFonts w:ascii="Times New Roman" w:eastAsia="Times New Roman" w:hAnsi="Times New Roman" w:cs="Times New Roman"/>
          <w:iCs/>
          <w:noProof/>
          <w:sz w:val="24"/>
          <w:szCs w:val="24"/>
        </w:rPr>
        <w:t xml:space="preserve"> mājsaimniecības, kurām pašvaldības sociālais dienests izsniedzis rakstisku izziņu</w:t>
      </w:r>
      <w:r w:rsidR="00031449" w:rsidRPr="00340301">
        <w:rPr>
          <w:rFonts w:ascii="Times New Roman" w:eastAsia="Times New Roman" w:hAnsi="Times New Roman" w:cs="Times New Roman"/>
          <w:iCs/>
          <w:noProof/>
          <w:sz w:val="24"/>
          <w:szCs w:val="24"/>
        </w:rPr>
        <w:t xml:space="preserve"> par</w:t>
      </w:r>
      <w:r w:rsidRPr="00340301">
        <w:rPr>
          <w:rFonts w:ascii="Times New Roman" w:eastAsia="Times New Roman" w:hAnsi="Times New Roman" w:cs="Times New Roman"/>
          <w:iCs/>
          <w:noProof/>
          <w:sz w:val="24"/>
          <w:szCs w:val="24"/>
        </w:rPr>
        <w:t>:</w:t>
      </w:r>
    </w:p>
    <w:p w14:paraId="1010FA5B" w14:textId="4CC81744" w:rsidR="00D27FCE" w:rsidRPr="000D5DBF" w:rsidRDefault="00D27FCE" w:rsidP="00641840">
      <w:pPr>
        <w:pStyle w:val="ListParagraph"/>
        <w:numPr>
          <w:ilvl w:val="0"/>
          <w:numId w:val="9"/>
        </w:numPr>
        <w:spacing w:after="0" w:line="240" w:lineRule="auto"/>
        <w:ind w:left="993" w:hanging="426"/>
        <w:jc w:val="both"/>
        <w:rPr>
          <w:rFonts w:ascii="Times New Roman" w:eastAsia="Times New Roman" w:hAnsi="Times New Roman" w:cs="Times New Roman"/>
          <w:iCs/>
          <w:noProof/>
          <w:sz w:val="24"/>
          <w:szCs w:val="24"/>
        </w:rPr>
      </w:pPr>
      <w:r w:rsidRPr="000D5DBF">
        <w:rPr>
          <w:rFonts w:ascii="Times New Roman" w:eastAsia="Times New Roman" w:hAnsi="Times New Roman" w:cs="Times New Roman"/>
          <w:iCs/>
          <w:noProof/>
          <w:sz w:val="24"/>
          <w:szCs w:val="24"/>
        </w:rPr>
        <w:t>tās atbilstību trūcīgas mājsaimniecības statusam</w:t>
      </w:r>
      <w:r w:rsidRPr="000D5DBF">
        <w:rPr>
          <w:rStyle w:val="FootnoteReference"/>
          <w:rFonts w:ascii="Times New Roman" w:eastAsia="Times New Roman" w:hAnsi="Times New Roman" w:cs="Times New Roman"/>
          <w:iCs/>
          <w:noProof/>
          <w:sz w:val="24"/>
          <w:szCs w:val="24"/>
        </w:rPr>
        <w:footnoteReference w:id="12"/>
      </w:r>
      <w:r w:rsidRPr="000D5DBF">
        <w:rPr>
          <w:rFonts w:ascii="Times New Roman" w:eastAsia="Times New Roman" w:hAnsi="Times New Roman" w:cs="Times New Roman"/>
          <w:iCs/>
          <w:noProof/>
          <w:sz w:val="24"/>
          <w:szCs w:val="24"/>
        </w:rPr>
        <w:t>;</w:t>
      </w:r>
    </w:p>
    <w:p w14:paraId="766128FB" w14:textId="333165D8" w:rsidR="00D27FCE" w:rsidRPr="000D5DBF" w:rsidRDefault="00D27FCE" w:rsidP="00641840">
      <w:pPr>
        <w:pStyle w:val="ListParagraph"/>
        <w:numPr>
          <w:ilvl w:val="0"/>
          <w:numId w:val="9"/>
        </w:numPr>
        <w:spacing w:after="0" w:line="240" w:lineRule="auto"/>
        <w:ind w:left="993" w:hanging="426"/>
        <w:jc w:val="both"/>
        <w:rPr>
          <w:rFonts w:ascii="Times New Roman" w:eastAsia="Times New Roman" w:hAnsi="Times New Roman" w:cs="Times New Roman"/>
          <w:iCs/>
          <w:noProof/>
          <w:sz w:val="24"/>
          <w:szCs w:val="24"/>
        </w:rPr>
      </w:pPr>
      <w:r w:rsidRPr="000D5DBF">
        <w:rPr>
          <w:rFonts w:ascii="Times New Roman" w:eastAsia="Times New Roman" w:hAnsi="Times New Roman" w:cs="Times New Roman"/>
          <w:iCs/>
          <w:noProof/>
          <w:sz w:val="24"/>
          <w:szCs w:val="24"/>
        </w:rPr>
        <w:t>tās atbilstību maznodrošinātas mājsaimniecības statusam un tās rīcībā esošie ienākumi uz vienu ekvivalento patērētāju mājsaimniecībā nepārsniedz 327 euro pirmajai vai vienīgajai personai mājsaimniecībā, bet katrai nākamai p</w:t>
      </w:r>
      <w:r w:rsidR="00C97278" w:rsidRPr="000D5DBF">
        <w:rPr>
          <w:rFonts w:ascii="Times New Roman" w:eastAsia="Times New Roman" w:hAnsi="Times New Roman" w:cs="Times New Roman"/>
          <w:iCs/>
          <w:noProof/>
          <w:sz w:val="24"/>
          <w:szCs w:val="24"/>
        </w:rPr>
        <w:t>ersonai mājsaimniecībā 229 euro;</w:t>
      </w:r>
    </w:p>
    <w:p w14:paraId="40885EC4" w14:textId="3A56AD43" w:rsidR="0006223A" w:rsidRPr="00A50120" w:rsidRDefault="003B7043" w:rsidP="00641840">
      <w:pPr>
        <w:pStyle w:val="ListParagraph"/>
        <w:numPr>
          <w:ilvl w:val="0"/>
          <w:numId w:val="9"/>
        </w:numPr>
        <w:spacing w:after="0" w:line="240" w:lineRule="auto"/>
        <w:ind w:left="993" w:hanging="426"/>
        <w:jc w:val="both"/>
        <w:rPr>
          <w:rFonts w:ascii="Times New Roman" w:eastAsia="Times New Roman" w:hAnsi="Times New Roman" w:cs="Times New Roman"/>
          <w:iCs/>
          <w:noProof/>
          <w:sz w:val="24"/>
          <w:szCs w:val="24"/>
        </w:rPr>
      </w:pPr>
      <w:r w:rsidRPr="000D5DBF">
        <w:rPr>
          <w:rFonts w:ascii="Times New Roman" w:eastAsia="Times New Roman" w:hAnsi="Times New Roman" w:cs="Times New Roman"/>
          <w:iCs/>
          <w:noProof/>
          <w:sz w:val="24"/>
          <w:szCs w:val="24"/>
        </w:rPr>
        <w:t>mājsaimniecības</w:t>
      </w:r>
      <w:r w:rsidR="00C97278" w:rsidRPr="000D5DBF">
        <w:rPr>
          <w:rFonts w:ascii="Times New Roman" w:eastAsia="Times New Roman" w:hAnsi="Times New Roman" w:cs="Times New Roman"/>
          <w:iCs/>
          <w:noProof/>
          <w:sz w:val="24"/>
          <w:szCs w:val="24"/>
        </w:rPr>
        <w:t xml:space="preserve"> </w:t>
      </w:r>
      <w:r w:rsidRPr="000D5DBF">
        <w:rPr>
          <w:rFonts w:ascii="Times New Roman" w:eastAsia="Times New Roman" w:hAnsi="Times New Roman" w:cs="Times New Roman"/>
          <w:iCs/>
          <w:noProof/>
          <w:sz w:val="24"/>
          <w:szCs w:val="24"/>
        </w:rPr>
        <w:t xml:space="preserve">nonākšanu </w:t>
      </w:r>
      <w:r w:rsidR="00A50120">
        <w:rPr>
          <w:rFonts w:ascii="Times New Roman" w:eastAsia="Times New Roman" w:hAnsi="Times New Roman" w:cs="Times New Roman"/>
          <w:iCs/>
          <w:noProof/>
          <w:sz w:val="24"/>
          <w:szCs w:val="24"/>
        </w:rPr>
        <w:t>krīzes situacijā.</w:t>
      </w:r>
    </w:p>
    <w:p w14:paraId="2A41B264" w14:textId="4F782C65" w:rsidR="00A50120" w:rsidRDefault="00A50120" w:rsidP="00641840">
      <w:pPr>
        <w:spacing w:before="0" w:after="0"/>
        <w:ind w:left="567"/>
        <w:rPr>
          <w:rFonts w:eastAsia="Times New Roman"/>
          <w:noProof/>
          <w:szCs w:val="24"/>
        </w:rPr>
      </w:pPr>
      <w:r>
        <w:rPr>
          <w:rFonts w:eastAsia="Times New Roman"/>
          <w:noProof/>
          <w:szCs w:val="24"/>
        </w:rPr>
        <w:t xml:space="preserve">Vienlaikus šīm mājsaimniecībām ir iespēja piedalīties Programmas līdzfinansētajos papildpasākumos </w:t>
      </w:r>
      <w:r w:rsidRPr="00A50120">
        <w:rPr>
          <w:rFonts w:eastAsia="Times New Roman"/>
          <w:noProof/>
          <w:szCs w:val="24"/>
        </w:rPr>
        <w:t>sociālās atstumtības mazināšanai</w:t>
      </w:r>
      <w:r>
        <w:rPr>
          <w:rFonts w:eastAsia="Times New Roman"/>
          <w:noProof/>
          <w:szCs w:val="24"/>
        </w:rPr>
        <w:t>.</w:t>
      </w:r>
    </w:p>
    <w:p w14:paraId="03E800CA" w14:textId="67CDE3D6" w:rsidR="00950741" w:rsidRDefault="00A50120" w:rsidP="00641840">
      <w:pPr>
        <w:spacing w:before="0" w:after="0"/>
        <w:ind w:left="567"/>
        <w:rPr>
          <w:rFonts w:eastAsia="Times New Roman"/>
          <w:noProof/>
          <w:szCs w:val="24"/>
        </w:rPr>
      </w:pPr>
      <w:r>
        <w:rPr>
          <w:rFonts w:eastAsia="Times New Roman"/>
          <w:noProof/>
          <w:szCs w:val="24"/>
        </w:rPr>
        <w:t xml:space="preserve">Savukārt </w:t>
      </w:r>
      <w:r w:rsidRPr="00A50120">
        <w:rPr>
          <w:rFonts w:eastAsia="Times New Roman"/>
          <w:noProof/>
          <w:szCs w:val="24"/>
        </w:rPr>
        <w:t xml:space="preserve">zupas virtuvēs </w:t>
      </w:r>
      <w:r w:rsidR="00B529CD">
        <w:rPr>
          <w:rFonts w:eastAsia="Times New Roman"/>
          <w:noProof/>
          <w:szCs w:val="24"/>
        </w:rPr>
        <w:t>pārtikas atbalsta</w:t>
      </w:r>
      <w:r>
        <w:rPr>
          <w:rFonts w:eastAsia="Times New Roman"/>
          <w:noProof/>
          <w:szCs w:val="24"/>
        </w:rPr>
        <w:t xml:space="preserve"> –</w:t>
      </w:r>
      <w:r w:rsidR="00B529CD">
        <w:rPr>
          <w:rFonts w:eastAsia="Times New Roman"/>
          <w:noProof/>
          <w:szCs w:val="24"/>
        </w:rPr>
        <w:t xml:space="preserve"> gatavo maltīšu</w:t>
      </w:r>
      <w:r w:rsidRPr="00A50120">
        <w:rPr>
          <w:rFonts w:eastAsia="Times New Roman"/>
          <w:noProof/>
          <w:szCs w:val="24"/>
        </w:rPr>
        <w:t xml:space="preserve"> saņem</w:t>
      </w:r>
      <w:r w:rsidR="00B529CD">
        <w:rPr>
          <w:rFonts w:eastAsia="Times New Roman"/>
          <w:noProof/>
          <w:szCs w:val="24"/>
        </w:rPr>
        <w:t>šanai</w:t>
      </w:r>
      <w:r w:rsidRPr="00A50120">
        <w:rPr>
          <w:rFonts w:eastAsia="Times New Roman"/>
          <w:noProof/>
          <w:szCs w:val="24"/>
        </w:rPr>
        <w:t xml:space="preserve"> </w:t>
      </w:r>
      <w:r w:rsidR="00B529CD">
        <w:rPr>
          <w:rFonts w:eastAsia="Times New Roman"/>
          <w:noProof/>
          <w:szCs w:val="24"/>
        </w:rPr>
        <w:t>iepriekš minēto izziņu uzrādīšana nav nepieciešama.</w:t>
      </w:r>
    </w:p>
    <w:p w14:paraId="0A32B122" w14:textId="77777777" w:rsidR="00AF580F" w:rsidRPr="000D5DBF" w:rsidRDefault="00AF580F" w:rsidP="00641840">
      <w:pPr>
        <w:spacing w:before="0" w:after="0"/>
        <w:rPr>
          <w:rFonts w:eastAsia="Times New Roman"/>
          <w:noProof/>
          <w:szCs w:val="24"/>
        </w:rPr>
      </w:pPr>
    </w:p>
    <w:p w14:paraId="7672EF7D" w14:textId="77777777" w:rsidR="00950741" w:rsidRPr="000D5DBF" w:rsidRDefault="0095663F" w:rsidP="00641840">
      <w:pPr>
        <w:pStyle w:val="Heading1"/>
        <w:numPr>
          <w:ilvl w:val="0"/>
          <w:numId w:val="30"/>
        </w:numPr>
        <w:spacing w:before="0"/>
        <w:rPr>
          <w:rFonts w:ascii="Times New Roman" w:eastAsia="Times New Roman" w:hAnsi="Times New Roman" w:cs="Times New Roman"/>
          <w:b/>
          <w:noProof/>
          <w:color w:val="auto"/>
          <w:sz w:val="28"/>
          <w:szCs w:val="28"/>
        </w:rPr>
      </w:pPr>
      <w:bookmarkStart w:id="15" w:name="_Toc70410843"/>
      <w:r w:rsidRPr="000D5DBF">
        <w:rPr>
          <w:rFonts w:ascii="Times New Roman" w:eastAsia="Times New Roman" w:hAnsi="Times New Roman" w:cs="Times New Roman"/>
          <w:b/>
          <w:noProof/>
          <w:color w:val="auto"/>
          <w:sz w:val="28"/>
          <w:szCs w:val="28"/>
        </w:rPr>
        <w:t>Valsts un reģionālo atbalsta shēmu atšifrējums</w:t>
      </w:r>
      <w:bookmarkEnd w:id="15"/>
    </w:p>
    <w:p w14:paraId="49EBAE6C" w14:textId="77777777" w:rsidR="001B41CF" w:rsidRPr="000D5DBF" w:rsidRDefault="00AE3B17"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sz w:val="24"/>
          <w:szCs w:val="24"/>
        </w:rPr>
        <w:t>Sociālās drošības sistēmu</w:t>
      </w:r>
      <w:r w:rsidRPr="000D5DBF">
        <w:rPr>
          <w:rStyle w:val="FootnoteReference"/>
          <w:rFonts w:ascii="Times New Roman" w:hAnsi="Times New Roman" w:cs="Times New Roman"/>
          <w:sz w:val="24"/>
          <w:szCs w:val="24"/>
        </w:rPr>
        <w:footnoteReference w:id="13"/>
      </w:r>
      <w:r w:rsidRPr="000D5DBF">
        <w:rPr>
          <w:rFonts w:ascii="Times New Roman" w:hAnsi="Times New Roman" w:cs="Times New Roman"/>
          <w:sz w:val="24"/>
          <w:szCs w:val="24"/>
        </w:rPr>
        <w:t xml:space="preserve"> Latvijā veido: sociālā apdrošināšana</w:t>
      </w:r>
      <w:r w:rsidRPr="000D5DBF">
        <w:rPr>
          <w:rStyle w:val="FootnoteReference"/>
          <w:rFonts w:ascii="Times New Roman" w:hAnsi="Times New Roman" w:cs="Times New Roman"/>
          <w:sz w:val="24"/>
          <w:szCs w:val="24"/>
        </w:rPr>
        <w:footnoteReference w:id="14"/>
      </w:r>
      <w:r w:rsidRPr="000D5DBF">
        <w:rPr>
          <w:rFonts w:ascii="Times New Roman" w:hAnsi="Times New Roman" w:cs="Times New Roman"/>
          <w:sz w:val="24"/>
          <w:szCs w:val="24"/>
        </w:rPr>
        <w:t>, valsts sociālie pabalsti</w:t>
      </w:r>
      <w:r w:rsidRPr="000D5DBF">
        <w:rPr>
          <w:rStyle w:val="FootnoteReference"/>
          <w:rFonts w:ascii="Times New Roman" w:hAnsi="Times New Roman" w:cs="Times New Roman"/>
          <w:sz w:val="24"/>
          <w:szCs w:val="24"/>
        </w:rPr>
        <w:footnoteReference w:id="15"/>
      </w:r>
      <w:r w:rsidRPr="000D5DBF">
        <w:rPr>
          <w:rFonts w:ascii="Times New Roman" w:hAnsi="Times New Roman" w:cs="Times New Roman"/>
          <w:sz w:val="24"/>
          <w:szCs w:val="24"/>
        </w:rPr>
        <w:t xml:space="preserve"> un pašvaldību sociālās palīdzības pabalsti un sociālie pakalpojumi</w:t>
      </w:r>
      <w:r w:rsidRPr="000D5DBF">
        <w:rPr>
          <w:rStyle w:val="FootnoteReference"/>
          <w:rFonts w:ascii="Times New Roman" w:hAnsi="Times New Roman" w:cs="Times New Roman"/>
          <w:sz w:val="24"/>
          <w:szCs w:val="24"/>
        </w:rPr>
        <w:footnoteReference w:id="16"/>
      </w:r>
      <w:r w:rsidRPr="000D5DBF">
        <w:rPr>
          <w:rFonts w:ascii="Times New Roman" w:hAnsi="Times New Roman" w:cs="Times New Roman"/>
          <w:sz w:val="24"/>
          <w:szCs w:val="24"/>
        </w:rPr>
        <w:t>. Līdz ar to atbalsta sniegšana iedzīvotājiem ar zemiem un ļoti zemiem ienākumiem ir skatāma kompleksi. Valsts un pašvaldību sniegtie atbalsta mehānismi ir savstarpēji papildinoši un veido solidāru pieeju iedzīvotāju labklājības nodrošināšanai, lai nodrošinātu dažādu un visaptverošu pasākumu kompleksu, tādējādi maksimāli sekmējot cilvēka iespējas saņemt savām individuālām vajadzībām pietuvinātu atbalstu gan finansiālā izteiksmē, gan pakalpojumu veidā, kas vienlaikus ir samērīgs ar citu grupu situāciju un tām sniegto atbalstu.</w:t>
      </w:r>
    </w:p>
    <w:p w14:paraId="718F3F12" w14:textId="77777777" w:rsidR="001B41CF" w:rsidRPr="000D5DBF" w:rsidRDefault="001B41CF"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noProof/>
          <w:sz w:val="24"/>
          <w:szCs w:val="24"/>
        </w:rPr>
        <w:t>Latvijā pēdējos gados spēkā esošajos tiesību aktos noteiktie ienākumu līmeņi, kas iedzīvotājiem ar zemiem un ļoti zemiem ienākumiem dod iespējas pretendēt uz noteiktu valsts un pašvaldības atbalstu, bija nemainīgi zemi un nesniedza iespēju tikt ārā no nabadzības slazda un veidot finansiāli neatkarīgu dzīvi.</w:t>
      </w:r>
    </w:p>
    <w:p w14:paraId="1F738D94" w14:textId="77777777" w:rsidR="008B78E9" w:rsidRPr="000D5DBF" w:rsidRDefault="008B78E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lastRenderedPageBreak/>
        <w:t>2020. gadā plašu diskusiju rezultātā panākta vienošanās par relatīvās metodes</w:t>
      </w:r>
      <w:r w:rsidRPr="000D5DBF">
        <w:rPr>
          <w:rStyle w:val="FootnoteReference"/>
          <w:rFonts w:ascii="Times New Roman" w:hAnsi="Times New Roman" w:cs="Times New Roman"/>
          <w:noProof/>
          <w:sz w:val="24"/>
          <w:szCs w:val="24"/>
        </w:rPr>
        <w:footnoteReference w:id="17"/>
      </w:r>
      <w:r w:rsidRPr="000D5DBF">
        <w:rPr>
          <w:rFonts w:ascii="Times New Roman" w:hAnsi="Times New Roman" w:cs="Times New Roman"/>
          <w:noProof/>
          <w:sz w:val="24"/>
          <w:szCs w:val="24"/>
        </w:rPr>
        <w:t xml:space="preserve"> izmantošanu minimālo ienākumu sliekšņu noteikšanā,</w:t>
      </w:r>
      <w:r w:rsidRPr="000D5DBF">
        <w:rPr>
          <w:rFonts w:ascii="Times New Roman" w:hAnsi="Times New Roman" w:cs="Times New Roman"/>
          <w:sz w:val="24"/>
          <w:szCs w:val="24"/>
        </w:rPr>
        <w:t xml:space="preserve"> </w:t>
      </w:r>
      <w:r w:rsidRPr="000D5DBF">
        <w:rPr>
          <w:rFonts w:ascii="Times New Roman" w:hAnsi="Times New Roman" w:cs="Times New Roman"/>
          <w:noProof/>
          <w:sz w:val="24"/>
          <w:szCs w:val="24"/>
        </w:rPr>
        <w:t>kura saistīta ar reālo sociālekonomisko situāciju valstī, ņemot vērā ienākumus dažādās sabiedrības grupās, tādējādi nosakot minimālo ienākumu sliekšņus sociālās aizsardzības jomā kā proporciju no ienākumu mediānas.</w:t>
      </w:r>
    </w:p>
    <w:p w14:paraId="2F0B19F1" w14:textId="5B5DCE5B" w:rsidR="008B78E9" w:rsidRPr="000D5DBF" w:rsidRDefault="008B78E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Saeimā 2020. gada 24. novembrī pieņemtajā likumā “Grozījumi Sociālo pakalpojumu un sociālās palīdzības likumā” noteikts garantēto minimālo ienākumu</w:t>
      </w:r>
      <w:r w:rsidR="0000493A" w:rsidRPr="000D5DBF">
        <w:rPr>
          <w:rFonts w:ascii="Times New Roman" w:hAnsi="Times New Roman" w:cs="Times New Roman"/>
          <w:noProof/>
          <w:sz w:val="24"/>
          <w:szCs w:val="24"/>
        </w:rPr>
        <w:t>,</w:t>
      </w:r>
      <w:r w:rsidRPr="000D5DBF">
        <w:rPr>
          <w:rFonts w:ascii="Times New Roman" w:hAnsi="Times New Roman" w:cs="Times New Roman"/>
          <w:noProof/>
          <w:sz w:val="24"/>
          <w:szCs w:val="24"/>
        </w:rPr>
        <w:t xml:space="preserve"> trūcīgas māj</w:t>
      </w:r>
      <w:r w:rsidR="00D84885">
        <w:rPr>
          <w:rFonts w:ascii="Times New Roman" w:hAnsi="Times New Roman" w:cs="Times New Roman"/>
          <w:noProof/>
          <w:sz w:val="24"/>
          <w:szCs w:val="24"/>
        </w:rPr>
        <w:t>saimniecības ienākumu slieksnis</w:t>
      </w:r>
      <w:r w:rsidR="00AE18CE">
        <w:rPr>
          <w:rFonts w:ascii="Times New Roman" w:hAnsi="Times New Roman" w:cs="Times New Roman"/>
          <w:noProof/>
          <w:sz w:val="24"/>
          <w:szCs w:val="24"/>
          <w:vertAlign w:val="superscript"/>
        </w:rPr>
        <w:t>9</w:t>
      </w:r>
      <w:r w:rsidR="00D84885">
        <w:rPr>
          <w:rFonts w:ascii="Times New Roman" w:hAnsi="Times New Roman" w:cs="Times New Roman"/>
          <w:noProof/>
          <w:sz w:val="24"/>
          <w:szCs w:val="24"/>
        </w:rPr>
        <w:t xml:space="preserve"> </w:t>
      </w:r>
      <w:r w:rsidRPr="000D5DBF">
        <w:rPr>
          <w:rFonts w:ascii="Times New Roman" w:hAnsi="Times New Roman" w:cs="Times New Roman"/>
          <w:noProof/>
          <w:sz w:val="24"/>
          <w:szCs w:val="24"/>
        </w:rPr>
        <w:t>un katras pašvaldības tiesības pašvaldību saistošajos noteikumos noteikt maznodrošinātas mā</w:t>
      </w:r>
      <w:r w:rsidR="00AE3ACE">
        <w:rPr>
          <w:rFonts w:ascii="Times New Roman" w:hAnsi="Times New Roman" w:cs="Times New Roman"/>
          <w:noProof/>
          <w:sz w:val="24"/>
          <w:szCs w:val="24"/>
        </w:rPr>
        <w:t>jsaimniecības ienākumu slieksni</w:t>
      </w:r>
      <w:r w:rsidR="00D84885">
        <w:rPr>
          <w:rStyle w:val="FootnoteReference"/>
          <w:rFonts w:ascii="Times New Roman" w:hAnsi="Times New Roman" w:cs="Times New Roman"/>
          <w:noProof/>
          <w:sz w:val="24"/>
          <w:szCs w:val="24"/>
        </w:rPr>
        <w:footnoteReference w:id="18"/>
      </w:r>
      <w:r w:rsidRPr="000D5DBF">
        <w:rPr>
          <w:rFonts w:ascii="Times New Roman" w:hAnsi="Times New Roman" w:cs="Times New Roman"/>
          <w:noProof/>
          <w:sz w:val="24"/>
          <w:szCs w:val="24"/>
        </w:rPr>
        <w:t xml:space="preserve">. Paredzēts, ka likuma </w:t>
      </w:r>
      <w:r w:rsidR="00937392" w:rsidRPr="000D5DBF">
        <w:rPr>
          <w:rFonts w:ascii="Times New Roman" w:hAnsi="Times New Roman" w:cs="Times New Roman"/>
          <w:noProof/>
          <w:sz w:val="24"/>
          <w:szCs w:val="24"/>
        </w:rPr>
        <w:t>piemērošana mazin</w:t>
      </w:r>
      <w:r w:rsidRPr="000D5DBF">
        <w:rPr>
          <w:rFonts w:ascii="Times New Roman" w:hAnsi="Times New Roman" w:cs="Times New Roman"/>
          <w:noProof/>
          <w:sz w:val="24"/>
          <w:szCs w:val="24"/>
        </w:rPr>
        <w:t>ās nevienlīdzību dažādu pašvaldību iedzīvotāju vidū un sniegs atbalstu zemu ienākumu mājsaimniecībām. Likums stāsies spēkā 2021. gada 1. janvārī.</w:t>
      </w:r>
    </w:p>
    <w:p w14:paraId="57EF0EB6" w14:textId="022C7A88" w:rsidR="00AE3B17" w:rsidRPr="000D5DBF" w:rsidRDefault="00B22D36"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Papildus valsts un paš</w:t>
      </w:r>
      <w:r w:rsidR="00AE3B17" w:rsidRPr="000D5DBF">
        <w:rPr>
          <w:rFonts w:ascii="Times New Roman" w:hAnsi="Times New Roman" w:cs="Times New Roman"/>
          <w:noProof/>
          <w:sz w:val="24"/>
          <w:szCs w:val="24"/>
        </w:rPr>
        <w:t>valdību atbalstam, arī nevalstiskās un reliģiskās organizācijas vistrūcīgākajiem iedzīvotājiem piedāvā pārtikas atbalstu un pamata materiālo palīdzību, k</w:t>
      </w:r>
      <w:r w:rsidR="00E274C4" w:rsidRPr="000D5DBF">
        <w:rPr>
          <w:rFonts w:ascii="Times New Roman" w:hAnsi="Times New Roman" w:cs="Times New Roman"/>
          <w:noProof/>
          <w:sz w:val="24"/>
          <w:szCs w:val="24"/>
        </w:rPr>
        <w:t>uras</w:t>
      </w:r>
      <w:r w:rsidR="00AE3B17" w:rsidRPr="000D5DBF">
        <w:rPr>
          <w:rFonts w:ascii="Times New Roman" w:hAnsi="Times New Roman" w:cs="Times New Roman"/>
          <w:noProof/>
          <w:sz w:val="24"/>
          <w:szCs w:val="24"/>
        </w:rPr>
        <w:t xml:space="preserve"> apjoms un izdales intensitāte atkarīga no organizāciju kapacitātes un ir atšķirīga reģionālā pārklājumā.</w:t>
      </w:r>
    </w:p>
    <w:p w14:paraId="091445FF" w14:textId="09877386" w:rsidR="00AE3B17" w:rsidRPr="0040123E" w:rsidRDefault="0040123E"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40123E">
        <w:rPr>
          <w:rFonts w:ascii="Times New Roman" w:hAnsi="Times New Roman" w:cs="Times New Roman"/>
          <w:noProof/>
          <w:sz w:val="24"/>
          <w:szCs w:val="24"/>
        </w:rPr>
        <w:t>Programmas</w:t>
      </w:r>
      <w:r w:rsidR="00AE3B17" w:rsidRPr="0040123E">
        <w:rPr>
          <w:rFonts w:ascii="Times New Roman" w:hAnsi="Times New Roman" w:cs="Times New Roman"/>
          <w:noProof/>
          <w:sz w:val="24"/>
          <w:szCs w:val="24"/>
        </w:rPr>
        <w:t xml:space="preserve"> ietvaros visā valsts teritorijā sniegtais atbalsts papildinās </w:t>
      </w:r>
      <w:r w:rsidRPr="0040123E">
        <w:rPr>
          <w:rFonts w:ascii="Times New Roman" w:hAnsi="Times New Roman" w:cs="Times New Roman"/>
          <w:noProof/>
          <w:sz w:val="24"/>
          <w:szCs w:val="24"/>
        </w:rPr>
        <w:t xml:space="preserve">valsts, </w:t>
      </w:r>
      <w:r w:rsidR="00AE3B17" w:rsidRPr="0040123E">
        <w:rPr>
          <w:rFonts w:ascii="Times New Roman" w:hAnsi="Times New Roman" w:cs="Times New Roman"/>
          <w:noProof/>
          <w:sz w:val="24"/>
          <w:szCs w:val="24"/>
        </w:rPr>
        <w:t>pašvaldību</w:t>
      </w:r>
      <w:r w:rsidR="00E81112" w:rsidRPr="0040123E">
        <w:rPr>
          <w:rFonts w:ascii="Times New Roman" w:hAnsi="Times New Roman" w:cs="Times New Roman"/>
          <w:noProof/>
          <w:sz w:val="24"/>
          <w:szCs w:val="24"/>
        </w:rPr>
        <w:t xml:space="preserve">, nevalstisko un reliģisko organizāciju </w:t>
      </w:r>
      <w:r w:rsidR="00AE3B17" w:rsidRPr="0040123E">
        <w:rPr>
          <w:rFonts w:ascii="Times New Roman" w:hAnsi="Times New Roman" w:cs="Times New Roman"/>
          <w:noProof/>
          <w:sz w:val="24"/>
          <w:szCs w:val="24"/>
        </w:rPr>
        <w:t>atbalstu vistrūcīgāko iedzīvotāju</w:t>
      </w:r>
      <w:r w:rsidRPr="0040123E">
        <w:rPr>
          <w:rFonts w:ascii="Times New Roman" w:hAnsi="Times New Roman" w:cs="Times New Roman"/>
          <w:noProof/>
          <w:sz w:val="24"/>
          <w:szCs w:val="24"/>
        </w:rPr>
        <w:t xml:space="preserve"> pamatvajadzību apmierināšanai.</w:t>
      </w:r>
    </w:p>
    <w:p w14:paraId="1098FA25" w14:textId="77777777" w:rsidR="00AE3ACE" w:rsidRPr="000D5DBF" w:rsidRDefault="00AE3ACE" w:rsidP="00641840">
      <w:pPr>
        <w:spacing w:before="0" w:after="0"/>
        <w:rPr>
          <w:rFonts w:eastAsia="Times New Roman"/>
          <w:noProof/>
          <w:szCs w:val="24"/>
        </w:rPr>
      </w:pPr>
    </w:p>
    <w:p w14:paraId="1C304FD7" w14:textId="77777777" w:rsidR="00AE3B17" w:rsidRPr="000D5DBF" w:rsidRDefault="005116D4" w:rsidP="00641840">
      <w:pPr>
        <w:pStyle w:val="Heading1"/>
        <w:numPr>
          <w:ilvl w:val="0"/>
          <w:numId w:val="30"/>
        </w:numPr>
        <w:spacing w:before="0"/>
        <w:rPr>
          <w:rFonts w:ascii="Times New Roman" w:eastAsia="Times New Roman" w:hAnsi="Times New Roman" w:cs="Times New Roman"/>
          <w:b/>
          <w:noProof/>
          <w:color w:val="auto"/>
          <w:sz w:val="28"/>
          <w:szCs w:val="28"/>
        </w:rPr>
      </w:pPr>
      <w:bookmarkStart w:id="16" w:name="_Toc70410844"/>
      <w:r w:rsidRPr="000D5DBF">
        <w:rPr>
          <w:rFonts w:ascii="Times New Roman" w:hAnsi="Times New Roman" w:cs="Times New Roman"/>
          <w:b/>
          <w:noProof/>
          <w:color w:val="auto"/>
          <w:sz w:val="28"/>
          <w:szCs w:val="28"/>
        </w:rPr>
        <w:t>Darbību atlases kritēriji</w:t>
      </w:r>
      <w:bookmarkEnd w:id="16"/>
    </w:p>
    <w:p w14:paraId="671DF7AE" w14:textId="3FB1ED65" w:rsidR="00FB35B9" w:rsidRPr="000D5DBF" w:rsidRDefault="00333A45"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FB35B9" w:rsidRPr="000D5DBF">
        <w:rPr>
          <w:rFonts w:ascii="Times New Roman" w:hAnsi="Times New Roman" w:cs="Times New Roman"/>
          <w:noProof/>
          <w:sz w:val="24"/>
          <w:szCs w:val="24"/>
        </w:rPr>
        <w:t>mērķa sasniegšanu nodrošinās darbību veidi:</w:t>
      </w:r>
    </w:p>
    <w:p w14:paraId="03B3C2CE" w14:textId="780DBBCA" w:rsidR="00FB35B9" w:rsidRPr="000D5DBF" w:rsidRDefault="00FB35B9" w:rsidP="00641840">
      <w:pPr>
        <w:pStyle w:val="ListParagraph"/>
        <w:numPr>
          <w:ilvl w:val="0"/>
          <w:numId w:val="16"/>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pārtikas un pamata materiālās palīdzības iegāde (t.sk. transportēšana uz PO uzglabāšanas vietām). Darbībā </w:t>
      </w:r>
      <w:r w:rsidRPr="00DF7AA3">
        <w:rPr>
          <w:rFonts w:ascii="Times New Roman" w:hAnsi="Times New Roman" w:cs="Times New Roman"/>
          <w:noProof/>
          <w:sz w:val="24"/>
          <w:szCs w:val="24"/>
        </w:rPr>
        <w:t>ievēro normatīvos aktus publisko iepirkumu jomā.</w:t>
      </w:r>
      <w:r w:rsidRPr="000D5DBF">
        <w:rPr>
          <w:rFonts w:ascii="Times New Roman" w:hAnsi="Times New Roman" w:cs="Times New Roman"/>
          <w:noProof/>
          <w:sz w:val="24"/>
          <w:szCs w:val="24"/>
        </w:rPr>
        <w:t xml:space="preserve"> Katra darbība aptver 12 līdz 36 mēnešus;</w:t>
      </w:r>
    </w:p>
    <w:p w14:paraId="2244FE3A" w14:textId="41EA31D0" w:rsidR="00FB35B9" w:rsidRPr="000D5DBF" w:rsidRDefault="00FB35B9" w:rsidP="00641840">
      <w:pPr>
        <w:pStyle w:val="ListParagraph"/>
        <w:numPr>
          <w:ilvl w:val="0"/>
          <w:numId w:val="16"/>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pārtikas un pamata materiālās palīdzības</w:t>
      </w:r>
      <w:r w:rsidR="00343564">
        <w:rPr>
          <w:rFonts w:ascii="Times New Roman" w:hAnsi="Times New Roman" w:cs="Times New Roman"/>
          <w:noProof/>
          <w:sz w:val="24"/>
          <w:szCs w:val="24"/>
        </w:rPr>
        <w:t xml:space="preserve"> preču uzglabāšana un</w:t>
      </w:r>
      <w:r w:rsidRPr="000D5DBF">
        <w:rPr>
          <w:rFonts w:ascii="Times New Roman" w:hAnsi="Times New Roman" w:cs="Times New Roman"/>
          <w:noProof/>
          <w:sz w:val="24"/>
          <w:szCs w:val="24"/>
        </w:rPr>
        <w:t xml:space="preserve"> izdalīšana mērķa grupai, to apvienojot ar papildpasākumu īstenošanu. Katra darbība aptver 12 līdz 36 mēnešus;</w:t>
      </w:r>
    </w:p>
    <w:p w14:paraId="4BD9C30C" w14:textId="77777777" w:rsidR="00FB35B9" w:rsidRPr="000D5DBF" w:rsidRDefault="00FB35B9" w:rsidP="00641840">
      <w:pPr>
        <w:pStyle w:val="ListParagraph"/>
        <w:numPr>
          <w:ilvl w:val="0"/>
          <w:numId w:val="16"/>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TP darbības </w:t>
      </w:r>
      <w:r w:rsidR="00642E7E" w:rsidRPr="000D5DBF">
        <w:rPr>
          <w:rFonts w:ascii="Times New Roman" w:hAnsi="Times New Roman" w:cs="Times New Roman"/>
          <w:noProof/>
          <w:sz w:val="24"/>
          <w:szCs w:val="24"/>
        </w:rPr>
        <w:t>atbilstoši KNR priekšlikuma 30. panta 5. </w:t>
      </w:r>
      <w:r w:rsidRPr="000D5DBF">
        <w:rPr>
          <w:rFonts w:ascii="Times New Roman" w:hAnsi="Times New Roman" w:cs="Times New Roman"/>
          <w:noProof/>
          <w:sz w:val="24"/>
          <w:szCs w:val="24"/>
        </w:rPr>
        <w:t>punktā noteiktajam.</w:t>
      </w:r>
    </w:p>
    <w:p w14:paraId="7C1C843D" w14:textId="77777777" w:rsidR="00FB35B9" w:rsidRPr="000D5DBF" w:rsidRDefault="00FB35B9" w:rsidP="00641840">
      <w:pPr>
        <w:pStyle w:val="ListParagraph"/>
        <w:numPr>
          <w:ilvl w:val="0"/>
          <w:numId w:val="2"/>
        </w:numPr>
        <w:spacing w:after="0" w:line="240" w:lineRule="auto"/>
        <w:ind w:left="567" w:hanging="567"/>
        <w:rPr>
          <w:rFonts w:ascii="Times New Roman" w:hAnsi="Times New Roman" w:cs="Times New Roman"/>
          <w:noProof/>
          <w:sz w:val="24"/>
          <w:szCs w:val="24"/>
        </w:rPr>
      </w:pPr>
      <w:r w:rsidRPr="000D5DBF">
        <w:rPr>
          <w:rFonts w:ascii="Times New Roman" w:hAnsi="Times New Roman" w:cs="Times New Roman"/>
          <w:noProof/>
          <w:sz w:val="24"/>
          <w:szCs w:val="24"/>
        </w:rPr>
        <w:t>Visiem darbību veidiem piemēro šādus kopējos kritērijus:</w:t>
      </w:r>
    </w:p>
    <w:p w14:paraId="6D0A130A" w14:textId="394D066F" w:rsidR="00FB35B9" w:rsidRPr="000D5DBF" w:rsidRDefault="00FB35B9" w:rsidP="00641840">
      <w:pPr>
        <w:pStyle w:val="ListParagraph"/>
        <w:numPr>
          <w:ilvl w:val="1"/>
          <w:numId w:val="1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darbība atbilst </w:t>
      </w:r>
      <w:r w:rsidR="00642E7E" w:rsidRPr="000D5DBF">
        <w:rPr>
          <w:rFonts w:ascii="Times New Roman" w:hAnsi="Times New Roman" w:cs="Times New Roman"/>
          <w:noProof/>
          <w:sz w:val="24"/>
          <w:szCs w:val="24"/>
        </w:rPr>
        <w:t>KNR priekšlikuma 30.</w:t>
      </w:r>
      <w:r w:rsidR="00B324E9">
        <w:rPr>
          <w:rFonts w:ascii="Times New Roman" w:hAnsi="Times New Roman" w:cs="Times New Roman"/>
          <w:noProof/>
          <w:sz w:val="24"/>
          <w:szCs w:val="24"/>
        </w:rPr>
        <w:t>,</w:t>
      </w:r>
      <w:r w:rsidR="00642E7E" w:rsidRPr="000D5DBF">
        <w:rPr>
          <w:rFonts w:ascii="Times New Roman" w:hAnsi="Times New Roman" w:cs="Times New Roman"/>
          <w:noProof/>
          <w:sz w:val="24"/>
          <w:szCs w:val="24"/>
        </w:rPr>
        <w:t xml:space="preserve"> 57. </w:t>
      </w:r>
      <w:r w:rsidR="00B324E9">
        <w:rPr>
          <w:rFonts w:ascii="Times New Roman" w:hAnsi="Times New Roman" w:cs="Times New Roman"/>
          <w:noProof/>
          <w:sz w:val="24"/>
          <w:szCs w:val="24"/>
        </w:rPr>
        <w:t>un 58. </w:t>
      </w:r>
      <w:r w:rsidRPr="000D5DBF">
        <w:rPr>
          <w:rFonts w:ascii="Times New Roman" w:hAnsi="Times New Roman" w:cs="Times New Roman"/>
          <w:noProof/>
          <w:sz w:val="24"/>
          <w:szCs w:val="24"/>
        </w:rPr>
        <w:t xml:space="preserve">pantā, ESF+ </w:t>
      </w:r>
      <w:r w:rsidR="00642E7E" w:rsidRPr="000D5DBF">
        <w:rPr>
          <w:rFonts w:ascii="Times New Roman" w:hAnsi="Times New Roman" w:cs="Times New Roman"/>
          <w:noProof/>
          <w:sz w:val="24"/>
          <w:szCs w:val="24"/>
        </w:rPr>
        <w:t>regulas priekšlikuma 20. </w:t>
      </w:r>
      <w:r w:rsidRPr="000D5DBF">
        <w:rPr>
          <w:rFonts w:ascii="Times New Roman" w:hAnsi="Times New Roman" w:cs="Times New Roman"/>
          <w:noProof/>
          <w:sz w:val="24"/>
          <w:szCs w:val="24"/>
        </w:rPr>
        <w:t>pantā norādītajiem attiecināmības noteikumiem;</w:t>
      </w:r>
    </w:p>
    <w:p w14:paraId="368962A4" w14:textId="78818474" w:rsidR="00FB35B9" w:rsidRPr="000D5DBF" w:rsidRDefault="00FB35B9" w:rsidP="00641840">
      <w:pPr>
        <w:pStyle w:val="ListParagraph"/>
        <w:numPr>
          <w:ilvl w:val="1"/>
          <w:numId w:val="1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darbība atbilst </w:t>
      </w:r>
      <w:r w:rsidR="0041792F">
        <w:rPr>
          <w:rFonts w:ascii="Times New Roman" w:hAnsi="Times New Roman" w:cs="Times New Roman"/>
          <w:bCs/>
          <w:sz w:val="24"/>
          <w:szCs w:val="24"/>
        </w:rPr>
        <w:t>P</w:t>
      </w:r>
      <w:r w:rsidR="0041792F" w:rsidRPr="000D5DBF">
        <w:rPr>
          <w:rFonts w:ascii="Times New Roman" w:hAnsi="Times New Roman" w:cs="Times New Roman"/>
          <w:bCs/>
          <w:sz w:val="24"/>
          <w:szCs w:val="24"/>
        </w:rPr>
        <w:t>rogramma</w:t>
      </w:r>
      <w:r w:rsidR="0041792F">
        <w:rPr>
          <w:rFonts w:ascii="Times New Roman" w:hAnsi="Times New Roman" w:cs="Times New Roman"/>
          <w:bCs/>
          <w:sz w:val="24"/>
          <w:szCs w:val="24"/>
        </w:rPr>
        <w:t xml:space="preserve">s </w:t>
      </w:r>
      <w:r w:rsidRPr="000D5DBF">
        <w:rPr>
          <w:rFonts w:ascii="Times New Roman" w:hAnsi="Times New Roman" w:cs="Times New Roman"/>
          <w:noProof/>
          <w:sz w:val="24"/>
          <w:szCs w:val="24"/>
        </w:rPr>
        <w:t>atbalsta jomai;</w:t>
      </w:r>
    </w:p>
    <w:p w14:paraId="4F99F8BB" w14:textId="77777777" w:rsidR="00FB35B9" w:rsidRPr="000D5DBF" w:rsidRDefault="00FB35B9" w:rsidP="00641840">
      <w:pPr>
        <w:pStyle w:val="ListParagraph"/>
        <w:numPr>
          <w:ilvl w:val="1"/>
          <w:numId w:val="1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darbību atlas</w:t>
      </w:r>
      <w:r w:rsidR="00642E7E" w:rsidRPr="000D5DBF">
        <w:rPr>
          <w:rFonts w:ascii="Times New Roman" w:hAnsi="Times New Roman" w:cs="Times New Roman"/>
          <w:noProof/>
          <w:sz w:val="24"/>
          <w:szCs w:val="24"/>
        </w:rPr>
        <w:t>ē ievēroti KNR priekšlikuma 67.panta 1.-4. </w:t>
      </w:r>
      <w:r w:rsidRPr="000D5DBF">
        <w:rPr>
          <w:rFonts w:ascii="Times New Roman" w:hAnsi="Times New Roman" w:cs="Times New Roman"/>
          <w:noProof/>
          <w:sz w:val="24"/>
          <w:szCs w:val="24"/>
        </w:rPr>
        <w:t>punktā u</w:t>
      </w:r>
      <w:r w:rsidR="00642E7E" w:rsidRPr="000D5DBF">
        <w:rPr>
          <w:rFonts w:ascii="Times New Roman" w:hAnsi="Times New Roman" w:cs="Times New Roman"/>
          <w:noProof/>
          <w:sz w:val="24"/>
          <w:szCs w:val="24"/>
        </w:rPr>
        <w:t>n ESF+ regulas priekšlikuma 17. </w:t>
      </w:r>
      <w:r w:rsidRPr="000D5DBF">
        <w:rPr>
          <w:rFonts w:ascii="Times New Roman" w:hAnsi="Times New Roman" w:cs="Times New Roman"/>
          <w:noProof/>
          <w:sz w:val="24"/>
          <w:szCs w:val="24"/>
        </w:rPr>
        <w:t>pantā noteiktie principi;</w:t>
      </w:r>
    </w:p>
    <w:p w14:paraId="60E7FEE4" w14:textId="77777777" w:rsidR="00FB35B9" w:rsidRPr="000D5DBF" w:rsidRDefault="00FB35B9" w:rsidP="00641840">
      <w:pPr>
        <w:pStyle w:val="ListParagraph"/>
        <w:numPr>
          <w:ilvl w:val="1"/>
          <w:numId w:val="17"/>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darbību īstenošanā piemēro</w:t>
      </w:r>
      <w:r w:rsidR="00642E7E" w:rsidRPr="000D5DBF">
        <w:rPr>
          <w:rFonts w:ascii="Times New Roman" w:hAnsi="Times New Roman" w:cs="Times New Roman"/>
          <w:noProof/>
          <w:sz w:val="24"/>
          <w:szCs w:val="24"/>
        </w:rPr>
        <w:t>ti ESF+ regulas priekšlikuma 6. panta 1. </w:t>
      </w:r>
      <w:r w:rsidRPr="000D5DBF">
        <w:rPr>
          <w:rFonts w:ascii="Times New Roman" w:hAnsi="Times New Roman" w:cs="Times New Roman"/>
          <w:noProof/>
          <w:sz w:val="24"/>
          <w:szCs w:val="24"/>
        </w:rPr>
        <w:t>punktā noteiktie principi.</w:t>
      </w:r>
    </w:p>
    <w:p w14:paraId="3F2A4C51" w14:textId="77777777" w:rsidR="00FB35B9" w:rsidRPr="000D5DBF" w:rsidRDefault="00FB35B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Pirmā veida darbību atlasē piemēro šādu specifisko kritēriju: darbība nodrošina pārtikas vai pamata materiālās palīdzības piegādi uz izdales vietām visā Latvijas teritorijā.</w:t>
      </w:r>
    </w:p>
    <w:p w14:paraId="54BE90F2" w14:textId="77777777" w:rsidR="00FB35B9" w:rsidRPr="000D5DBF" w:rsidRDefault="00FB35B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Specifiskie kritēriji, ko piemēro otrā veida darbību atlasei:</w:t>
      </w:r>
    </w:p>
    <w:p w14:paraId="2DCB85BB" w14:textId="69376EB1" w:rsidR="00642E7E" w:rsidRPr="000D5DBF" w:rsidRDefault="00FB35B9" w:rsidP="00641840">
      <w:pPr>
        <w:pStyle w:val="ListParagraph"/>
        <w:numPr>
          <w:ilvl w:val="0"/>
          <w:numId w:val="19"/>
        </w:numPr>
        <w:spacing w:after="0" w:line="240" w:lineRule="auto"/>
        <w:ind w:left="993" w:hanging="426"/>
        <w:rPr>
          <w:rFonts w:ascii="Times New Roman" w:hAnsi="Times New Roman" w:cs="Times New Roman"/>
          <w:noProof/>
          <w:sz w:val="24"/>
          <w:szCs w:val="24"/>
        </w:rPr>
      </w:pPr>
      <w:r w:rsidRPr="000D5DBF">
        <w:rPr>
          <w:rFonts w:ascii="Times New Roman" w:hAnsi="Times New Roman" w:cs="Times New Roman"/>
          <w:noProof/>
          <w:sz w:val="24"/>
          <w:szCs w:val="24"/>
        </w:rPr>
        <w:t xml:space="preserve">darbības īsteno </w:t>
      </w:r>
      <w:r w:rsidR="00C87F56" w:rsidRPr="000D5DBF">
        <w:rPr>
          <w:rFonts w:ascii="Times New Roman" w:hAnsi="Times New Roman" w:cs="Times New Roman"/>
          <w:noProof/>
          <w:sz w:val="24"/>
          <w:szCs w:val="24"/>
        </w:rPr>
        <w:t xml:space="preserve">atklātā </w:t>
      </w:r>
      <w:r w:rsidRPr="000D5DBF">
        <w:rPr>
          <w:rFonts w:ascii="Times New Roman" w:hAnsi="Times New Roman" w:cs="Times New Roman"/>
          <w:noProof/>
          <w:sz w:val="24"/>
          <w:szCs w:val="24"/>
        </w:rPr>
        <w:t>konkursa kārtībā atlasītās PO;</w:t>
      </w:r>
    </w:p>
    <w:p w14:paraId="73D62D66" w14:textId="77777777" w:rsidR="00FB35B9" w:rsidRPr="000D5DBF" w:rsidRDefault="00FB35B9" w:rsidP="00641840">
      <w:pPr>
        <w:pStyle w:val="ListParagraph"/>
        <w:numPr>
          <w:ilvl w:val="0"/>
          <w:numId w:val="19"/>
        </w:numPr>
        <w:spacing w:after="0" w:line="240" w:lineRule="auto"/>
        <w:ind w:left="993" w:hanging="426"/>
        <w:rPr>
          <w:rFonts w:ascii="Times New Roman" w:hAnsi="Times New Roman" w:cs="Times New Roman"/>
          <w:noProof/>
          <w:sz w:val="24"/>
          <w:szCs w:val="24"/>
        </w:rPr>
      </w:pPr>
      <w:r w:rsidRPr="000D5DBF">
        <w:rPr>
          <w:rFonts w:ascii="Times New Roman" w:hAnsi="Times New Roman" w:cs="Times New Roman"/>
          <w:noProof/>
          <w:sz w:val="24"/>
          <w:szCs w:val="24"/>
        </w:rPr>
        <w:t>PO ir pietiekama kapacitāte otrā veida darbības nodrošināšanai.</w:t>
      </w:r>
    </w:p>
    <w:p w14:paraId="7A98936B" w14:textId="5111FEF0" w:rsidR="00FB35B9" w:rsidRPr="000D5DBF" w:rsidRDefault="00FB35B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Specifiskais kritērijs, ko piemēro </w:t>
      </w:r>
      <w:r w:rsidR="00A74EB7" w:rsidRPr="000D5DBF">
        <w:rPr>
          <w:rFonts w:ascii="Times New Roman" w:hAnsi="Times New Roman" w:cs="Times New Roman"/>
          <w:noProof/>
          <w:sz w:val="24"/>
          <w:szCs w:val="24"/>
        </w:rPr>
        <w:t>trešās darbības</w:t>
      </w:r>
      <w:r w:rsidRPr="000D5DBF">
        <w:rPr>
          <w:rFonts w:ascii="Times New Roman" w:hAnsi="Times New Roman" w:cs="Times New Roman"/>
          <w:noProof/>
          <w:sz w:val="24"/>
          <w:szCs w:val="24"/>
        </w:rPr>
        <w:t xml:space="preserve"> atlasei – darbība atbilst KNR regulas priekšlikuma 30. panta 1. punktā noteiktajam un </w:t>
      </w:r>
      <w:r w:rsidR="0041792F">
        <w:rPr>
          <w:rFonts w:ascii="Times New Roman" w:hAnsi="Times New Roman" w:cs="Times New Roman"/>
          <w:bCs/>
          <w:sz w:val="24"/>
          <w:szCs w:val="24"/>
        </w:rPr>
        <w:t>P</w:t>
      </w:r>
      <w:r w:rsidR="0041792F" w:rsidRPr="000D5DBF">
        <w:rPr>
          <w:rFonts w:ascii="Times New Roman" w:hAnsi="Times New Roman" w:cs="Times New Roman"/>
          <w:bCs/>
          <w:sz w:val="24"/>
          <w:szCs w:val="24"/>
        </w:rPr>
        <w:t>rogramma</w:t>
      </w:r>
      <w:r w:rsidR="0041792F">
        <w:rPr>
          <w:rFonts w:ascii="Times New Roman" w:hAnsi="Times New Roman" w:cs="Times New Roman"/>
          <w:bCs/>
          <w:sz w:val="24"/>
          <w:szCs w:val="24"/>
        </w:rPr>
        <w:t xml:space="preserve">s </w:t>
      </w:r>
      <w:r w:rsidRPr="000D5DBF">
        <w:rPr>
          <w:rFonts w:ascii="Times New Roman" w:hAnsi="Times New Roman" w:cs="Times New Roman"/>
          <w:noProof/>
          <w:sz w:val="24"/>
          <w:szCs w:val="24"/>
        </w:rPr>
        <w:t>vadībā un kontrolē iesaistīto iestāžu atbildībai.</w:t>
      </w:r>
    </w:p>
    <w:p w14:paraId="4A5C6954" w14:textId="49F28CD2" w:rsidR="00FB35B9" w:rsidRPr="000D5DBF" w:rsidRDefault="00FB35B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Sadarbības iestāde (SIF) nodrošina </w:t>
      </w:r>
      <w:r w:rsidR="003F4D40" w:rsidRPr="000D5DBF">
        <w:rPr>
          <w:rFonts w:ascii="Times New Roman" w:hAnsi="Times New Roman" w:cs="Times New Roman"/>
          <w:noProof/>
          <w:sz w:val="24"/>
          <w:szCs w:val="24"/>
        </w:rPr>
        <w:t>pirmās un otrās darbības</w:t>
      </w:r>
      <w:r w:rsidRPr="000D5DBF">
        <w:rPr>
          <w:rFonts w:ascii="Times New Roman" w:hAnsi="Times New Roman" w:cs="Times New Roman"/>
          <w:noProof/>
          <w:sz w:val="24"/>
          <w:szCs w:val="24"/>
        </w:rPr>
        <w:t xml:space="preserve"> atlasi:</w:t>
      </w:r>
    </w:p>
    <w:p w14:paraId="5641A64A" w14:textId="722F32CD" w:rsidR="00FB35B9" w:rsidRPr="000D5DBF" w:rsidRDefault="00FB35B9" w:rsidP="00641840">
      <w:pPr>
        <w:pStyle w:val="ListParagraph"/>
        <w:numPr>
          <w:ilvl w:val="1"/>
          <w:numId w:val="15"/>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lastRenderedPageBreak/>
        <w:t xml:space="preserve">slēdzot vienošanos ar </w:t>
      </w:r>
      <w:r w:rsidR="0041792F">
        <w:rPr>
          <w:rFonts w:ascii="Times New Roman" w:hAnsi="Times New Roman" w:cs="Times New Roman"/>
          <w:bCs/>
          <w:sz w:val="24"/>
          <w:szCs w:val="24"/>
        </w:rPr>
        <w:t>P</w:t>
      </w:r>
      <w:r w:rsidR="0041792F" w:rsidRPr="000D5DBF">
        <w:rPr>
          <w:rFonts w:ascii="Times New Roman" w:hAnsi="Times New Roman" w:cs="Times New Roman"/>
          <w:bCs/>
          <w:sz w:val="24"/>
          <w:szCs w:val="24"/>
        </w:rPr>
        <w:t>rogramma</w:t>
      </w:r>
      <w:r w:rsidR="0041792F">
        <w:rPr>
          <w:rFonts w:ascii="Times New Roman" w:hAnsi="Times New Roman" w:cs="Times New Roman"/>
          <w:bCs/>
          <w:sz w:val="24"/>
          <w:szCs w:val="24"/>
        </w:rPr>
        <w:t>s</w:t>
      </w:r>
      <w:r w:rsidRPr="000D5DBF">
        <w:rPr>
          <w:rFonts w:ascii="Times New Roman" w:hAnsi="Times New Roman" w:cs="Times New Roman"/>
          <w:noProof/>
          <w:sz w:val="24"/>
          <w:szCs w:val="24"/>
        </w:rPr>
        <w:t xml:space="preserve"> atbalstītās darbības “Pārtikas un pamata materiālās palīdzības iegāde” publiskā iepirkuma nodrošinātāju – SIF, paredzot, tostarp, publiskā iepirkuma dokumentācijas izstrādes, iepirkuma norises un iepirkuma līguma noslēgšanas vai grozīšanas nosacījumu dokumentēšanas, kā arī līgumsaistību izpildes uzraudzības nodrošināšanu. SIF nodrošina, ka funkcijas, ko tas pilda kā sadarbības iestāde, ir nodalītas no funkcijām, ko tas pilda kā iepirkuma nodrošinātājs (funkcijas nodrošinās divas atsevišķas SIF struktūrvienības). </w:t>
      </w:r>
    </w:p>
    <w:p w14:paraId="2F953881" w14:textId="77777777" w:rsidR="00FB35B9" w:rsidRPr="000D5DBF" w:rsidRDefault="00FB35B9" w:rsidP="00641840">
      <w:pPr>
        <w:pStyle w:val="ListParagraph"/>
        <w:numPr>
          <w:ilvl w:val="1"/>
          <w:numId w:val="15"/>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veicot PO atlasi, izsludina atklātu iesniegumu konkursu.</w:t>
      </w:r>
    </w:p>
    <w:p w14:paraId="0AA57B9E" w14:textId="77777777" w:rsidR="00FB35B9" w:rsidRPr="000D5DBF" w:rsidRDefault="00FB35B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PO</w:t>
      </w:r>
      <w:r w:rsidR="00E469B6" w:rsidRPr="000D5DBF">
        <w:rPr>
          <w:rFonts w:ascii="Times New Roman" w:hAnsi="Times New Roman" w:cs="Times New Roman"/>
          <w:noProof/>
          <w:sz w:val="24"/>
          <w:szCs w:val="24"/>
        </w:rPr>
        <w:t xml:space="preserve"> a</w:t>
      </w:r>
      <w:r w:rsidRPr="000D5DBF">
        <w:rPr>
          <w:rFonts w:ascii="Times New Roman" w:hAnsi="Times New Roman" w:cs="Times New Roman"/>
          <w:noProof/>
          <w:sz w:val="24"/>
          <w:szCs w:val="24"/>
        </w:rPr>
        <w:t>tlasē ņem vērā šajā sadaļā norādītos atbilstības un kvalitātes vērtēšanas kritērijus.</w:t>
      </w:r>
    </w:p>
    <w:p w14:paraId="09840C35" w14:textId="77777777" w:rsidR="00FB35B9" w:rsidRPr="000D5DBF" w:rsidRDefault="00FB35B9" w:rsidP="00641840">
      <w:pPr>
        <w:spacing w:before="0" w:after="0"/>
        <w:ind w:firstLine="567"/>
        <w:rPr>
          <w:noProof/>
          <w:szCs w:val="24"/>
        </w:rPr>
      </w:pPr>
      <w:r w:rsidRPr="000D5DBF">
        <w:rPr>
          <w:noProof/>
          <w:szCs w:val="24"/>
        </w:rPr>
        <w:t>Atbilstības kritēriji:</w:t>
      </w:r>
    </w:p>
    <w:p w14:paraId="29D4FC63" w14:textId="77777777" w:rsidR="00FB35B9" w:rsidRPr="000D5DBF" w:rsidRDefault="00FB35B9" w:rsidP="00641840">
      <w:pPr>
        <w:pStyle w:val="ListParagraph"/>
        <w:numPr>
          <w:ilvl w:val="0"/>
          <w:numId w:val="20"/>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PO ir viens no šādiem statusiem:</w:t>
      </w:r>
    </w:p>
    <w:p w14:paraId="6AE31F1B" w14:textId="77777777" w:rsidR="00E469B6" w:rsidRPr="000D5DBF" w:rsidRDefault="00E469B6" w:rsidP="00641840">
      <w:pPr>
        <w:pStyle w:val="ListParagraph"/>
        <w:numPr>
          <w:ilvl w:val="0"/>
          <w:numId w:val="21"/>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organizācija ir reģistrēta atbilstoši biedrību un nodibinājumu vai reliģisko organizāciju statusu reglamentējošo normatīvo aktu prasībām, un tās darbības veids iepriekšējos 12 mēnešus no iesnieguma iesniegšanas brīža ir bijis labdarība vai sociāli mazaizsargāto personu grupu sociālās labklājības celšana;</w:t>
      </w:r>
    </w:p>
    <w:p w14:paraId="262D310B" w14:textId="77777777" w:rsidR="00E469B6" w:rsidRPr="000D5DBF" w:rsidRDefault="00E469B6" w:rsidP="00641840">
      <w:pPr>
        <w:pStyle w:val="ListParagraph"/>
        <w:numPr>
          <w:ilvl w:val="0"/>
          <w:numId w:val="21"/>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pašvaldība vai tās iestāde;</w:t>
      </w:r>
    </w:p>
    <w:p w14:paraId="2EBF2B91" w14:textId="77777777" w:rsidR="00E469B6" w:rsidRPr="000D5DBF" w:rsidRDefault="00E469B6" w:rsidP="00641840">
      <w:pPr>
        <w:pStyle w:val="ListParagraph"/>
        <w:numPr>
          <w:ilvl w:val="0"/>
          <w:numId w:val="20"/>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PO ir administratīva, finansiāla un darbības spēja, lai nodrošinātu:</w:t>
      </w:r>
    </w:p>
    <w:p w14:paraId="76F738D5" w14:textId="12ABB509" w:rsidR="00FB35B9" w:rsidRPr="000D5DBF" w:rsidRDefault="00FB35B9" w:rsidP="00641840">
      <w:pPr>
        <w:pStyle w:val="ListParagraph"/>
        <w:numPr>
          <w:ilvl w:val="0"/>
          <w:numId w:val="22"/>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pārtikas un pamata materiālās </w:t>
      </w:r>
      <w:r w:rsidR="00C917A3" w:rsidRPr="000D5DBF">
        <w:rPr>
          <w:rFonts w:ascii="Times New Roman" w:hAnsi="Times New Roman" w:cs="Times New Roman"/>
          <w:noProof/>
          <w:sz w:val="24"/>
          <w:szCs w:val="24"/>
        </w:rPr>
        <w:t xml:space="preserve">palīdzības </w:t>
      </w:r>
      <w:r w:rsidRPr="000D5DBF">
        <w:rPr>
          <w:rFonts w:ascii="Times New Roman" w:hAnsi="Times New Roman" w:cs="Times New Roman"/>
          <w:noProof/>
          <w:sz w:val="24"/>
          <w:szCs w:val="24"/>
        </w:rPr>
        <w:t>p</w:t>
      </w:r>
      <w:r w:rsidR="00C917A3" w:rsidRPr="000D5DBF">
        <w:rPr>
          <w:rFonts w:ascii="Times New Roman" w:hAnsi="Times New Roman" w:cs="Times New Roman"/>
          <w:noProof/>
          <w:sz w:val="24"/>
          <w:szCs w:val="24"/>
        </w:rPr>
        <w:t>reču</w:t>
      </w:r>
      <w:r w:rsidRPr="000D5DBF">
        <w:rPr>
          <w:rFonts w:ascii="Times New Roman" w:hAnsi="Times New Roman" w:cs="Times New Roman"/>
          <w:noProof/>
          <w:sz w:val="24"/>
          <w:szCs w:val="24"/>
        </w:rPr>
        <w:t xml:space="preserve"> drošu uzglabāšanu un izdalīšanu personām, kas ir tiesīgas attiecīgo atbalstu saņemt;</w:t>
      </w:r>
    </w:p>
    <w:p w14:paraId="054C3772" w14:textId="77777777" w:rsidR="00FB35B9" w:rsidRPr="000D5DBF" w:rsidRDefault="00FB35B9" w:rsidP="00641840">
      <w:pPr>
        <w:pStyle w:val="ListParagraph"/>
        <w:numPr>
          <w:ilvl w:val="0"/>
          <w:numId w:val="22"/>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papildpasākumus;</w:t>
      </w:r>
    </w:p>
    <w:p w14:paraId="57F7D1D3" w14:textId="77777777" w:rsidR="00FB35B9" w:rsidRPr="000D5DBF" w:rsidRDefault="00FB35B9" w:rsidP="00641840">
      <w:pPr>
        <w:pStyle w:val="ListParagraph"/>
        <w:numPr>
          <w:ilvl w:val="0"/>
          <w:numId w:val="22"/>
        </w:numPr>
        <w:spacing w:after="0" w:line="240" w:lineRule="auto"/>
        <w:ind w:left="1418" w:hanging="284"/>
        <w:jc w:val="both"/>
        <w:rPr>
          <w:rFonts w:ascii="Times New Roman" w:hAnsi="Times New Roman" w:cs="Times New Roman"/>
          <w:noProof/>
          <w:sz w:val="24"/>
          <w:szCs w:val="24"/>
        </w:rPr>
      </w:pPr>
      <w:r w:rsidRPr="000D5DBF">
        <w:rPr>
          <w:rFonts w:ascii="Times New Roman" w:hAnsi="Times New Roman" w:cs="Times New Roman"/>
          <w:noProof/>
          <w:sz w:val="24"/>
          <w:szCs w:val="24"/>
        </w:rPr>
        <w:t>ar darbību īstenošanu saistīto informācijas un publicitātes, uzraudzības un novērtēšanas prasību ievērošanu.</w:t>
      </w:r>
    </w:p>
    <w:p w14:paraId="59397B72" w14:textId="77777777" w:rsidR="00FB35B9" w:rsidRPr="000D5DBF" w:rsidRDefault="00FB35B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PO kvalitātes vērtēšanas kritēriji:</w:t>
      </w:r>
    </w:p>
    <w:p w14:paraId="0D419E8E" w14:textId="77777777" w:rsidR="00FB35B9" w:rsidRPr="000D5DBF" w:rsidRDefault="00FB35B9" w:rsidP="00641840">
      <w:pPr>
        <w:pStyle w:val="ListParagraph"/>
        <w:numPr>
          <w:ilvl w:val="0"/>
          <w:numId w:val="18"/>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pieredzes ilgums labdarībā un sociālās labklājības celšanā sociāli mazaizsargāto personu grupām;</w:t>
      </w:r>
    </w:p>
    <w:p w14:paraId="296C74C5" w14:textId="77777777" w:rsidR="00FB35B9" w:rsidRPr="000D5DBF" w:rsidRDefault="00FB35B9" w:rsidP="00641840">
      <w:pPr>
        <w:pStyle w:val="ListParagraph"/>
        <w:numPr>
          <w:ilvl w:val="0"/>
          <w:numId w:val="18"/>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pieredzes ilgums publiskā finansējuma (ES, valsts vai pašvaldību) apsaimniekošanā;</w:t>
      </w:r>
    </w:p>
    <w:p w14:paraId="40C87279" w14:textId="77777777" w:rsidR="00FB35B9" w:rsidRPr="000D5DBF" w:rsidRDefault="00FB35B9" w:rsidP="00641840">
      <w:pPr>
        <w:pStyle w:val="ListParagraph"/>
        <w:numPr>
          <w:ilvl w:val="0"/>
          <w:numId w:val="18"/>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tieša vai netieša pieredze iesniegumā plānoto papildpasākumu īstenošanā; </w:t>
      </w:r>
    </w:p>
    <w:p w14:paraId="64DC5BAE" w14:textId="77777777" w:rsidR="00FB35B9" w:rsidRPr="000D5DBF" w:rsidRDefault="00FB35B9" w:rsidP="00641840">
      <w:pPr>
        <w:pStyle w:val="ListParagraph"/>
        <w:numPr>
          <w:ilvl w:val="0"/>
          <w:numId w:val="18"/>
        </w:numPr>
        <w:spacing w:after="0" w:line="240" w:lineRule="auto"/>
        <w:ind w:left="993" w:hanging="426"/>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teritoriālais pārklājums. </w:t>
      </w:r>
    </w:p>
    <w:p w14:paraId="74B6063D" w14:textId="2ACB16EA" w:rsidR="00FB35B9" w:rsidRPr="000D5DBF" w:rsidRDefault="00FB35B9"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Lai nodrošinātu atbalsta sniegšanas nepārtrauktību pārejas periodā no 2014. – 2020. gada plānošanas perioda uz 2021. – 2027. gada plānošanas periodu, </w:t>
      </w:r>
      <w:r w:rsidR="0041792F">
        <w:rPr>
          <w:rFonts w:ascii="Times New Roman" w:hAnsi="Times New Roman" w:cs="Times New Roman"/>
          <w:bCs/>
          <w:sz w:val="24"/>
          <w:szCs w:val="24"/>
        </w:rPr>
        <w:t>P</w:t>
      </w:r>
      <w:r w:rsidR="0041792F" w:rsidRPr="000D5DBF">
        <w:rPr>
          <w:rFonts w:ascii="Times New Roman" w:hAnsi="Times New Roman" w:cs="Times New Roman"/>
          <w:bCs/>
          <w:sz w:val="24"/>
          <w:szCs w:val="24"/>
        </w:rPr>
        <w:t>rogramma</w:t>
      </w:r>
      <w:r w:rsidR="0041792F">
        <w:rPr>
          <w:rFonts w:ascii="Times New Roman" w:hAnsi="Times New Roman" w:cs="Times New Roman"/>
          <w:bCs/>
          <w:sz w:val="24"/>
          <w:szCs w:val="24"/>
        </w:rPr>
        <w:t>s</w:t>
      </w:r>
      <w:r w:rsidRPr="000D5DBF">
        <w:rPr>
          <w:rFonts w:ascii="Times New Roman" w:hAnsi="Times New Roman" w:cs="Times New Roman"/>
          <w:noProof/>
          <w:sz w:val="24"/>
          <w:szCs w:val="24"/>
        </w:rPr>
        <w:t xml:space="preserve"> īstenošanas sākumā pārtikas un pamata materiālās palīdzības izdali mērķa grupai un papildpasākumus turpina nodrošināt PO, ar kurām noslēgti līgumi/vienošanās EAFVP darbības programmas ietvaros pēdējās veiktās atlases rezultātā. Pirms šo līgumu/vienošanos beigu termiņu datuma iestāšanās tiks veikta PO atlase turpmākai pārtikas un pamata materiālās palīdzības izdalei vistrūcīgākajām personām.</w:t>
      </w:r>
    </w:p>
    <w:p w14:paraId="65ECAB2B" w14:textId="77777777" w:rsidR="0032541C" w:rsidRPr="000D5DBF" w:rsidRDefault="0032541C" w:rsidP="00641840">
      <w:pPr>
        <w:spacing w:before="0" w:after="0"/>
        <w:rPr>
          <w:noProof/>
          <w:szCs w:val="24"/>
        </w:rPr>
      </w:pPr>
    </w:p>
    <w:p w14:paraId="436F8E47" w14:textId="77777777" w:rsidR="0032541C" w:rsidRPr="000D5DBF" w:rsidRDefault="00DF1ABB" w:rsidP="00641840">
      <w:pPr>
        <w:pStyle w:val="Heading1"/>
        <w:numPr>
          <w:ilvl w:val="0"/>
          <w:numId w:val="30"/>
        </w:numPr>
        <w:spacing w:before="0"/>
        <w:rPr>
          <w:rFonts w:ascii="Times New Roman" w:hAnsi="Times New Roman" w:cs="Times New Roman"/>
          <w:b/>
          <w:noProof/>
          <w:color w:val="auto"/>
          <w:sz w:val="28"/>
          <w:szCs w:val="28"/>
        </w:rPr>
      </w:pPr>
      <w:bookmarkStart w:id="17" w:name="_Toc70410845"/>
      <w:r w:rsidRPr="000D5DBF">
        <w:rPr>
          <w:rFonts w:ascii="Times New Roman" w:hAnsi="Times New Roman" w:cs="Times New Roman"/>
          <w:b/>
          <w:noProof/>
          <w:color w:val="auto"/>
          <w:sz w:val="28"/>
          <w:szCs w:val="28"/>
        </w:rPr>
        <w:t>Tehniskā</w:t>
      </w:r>
      <w:r w:rsidR="0032541C" w:rsidRPr="000D5DBF">
        <w:rPr>
          <w:rFonts w:ascii="Times New Roman" w:hAnsi="Times New Roman" w:cs="Times New Roman"/>
          <w:b/>
          <w:noProof/>
          <w:color w:val="auto"/>
          <w:sz w:val="28"/>
          <w:szCs w:val="28"/>
        </w:rPr>
        <w:t xml:space="preserve"> palīdzība</w:t>
      </w:r>
      <w:bookmarkEnd w:id="17"/>
    </w:p>
    <w:p w14:paraId="2D6BF943" w14:textId="50B70565" w:rsidR="0032541C" w:rsidRPr="000D5DBF" w:rsidRDefault="0032541C"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Times New Roman" w:hAnsi="Times New Roman" w:cs="Times New Roman"/>
          <w:noProof/>
          <w:sz w:val="24"/>
          <w:szCs w:val="24"/>
        </w:rPr>
        <w:t xml:space="preserve">Latvija plāno 5 % no </w:t>
      </w:r>
      <w:r w:rsidR="003C67C2">
        <w:rPr>
          <w:rFonts w:ascii="Times New Roman" w:hAnsi="Times New Roman" w:cs="Times New Roman"/>
          <w:bCs/>
          <w:sz w:val="24"/>
          <w:szCs w:val="24"/>
        </w:rPr>
        <w:t>Programmā</w:t>
      </w:r>
      <w:r w:rsidRPr="000D5DBF">
        <w:rPr>
          <w:rFonts w:ascii="Times New Roman" w:hAnsi="Times New Roman" w:cs="Times New Roman"/>
          <w:noProof/>
          <w:sz w:val="24"/>
          <w:szCs w:val="24"/>
        </w:rPr>
        <w:t xml:space="preserve"> </w:t>
      </w:r>
      <w:r w:rsidRPr="000D5DBF">
        <w:rPr>
          <w:rFonts w:ascii="Times New Roman" w:eastAsia="Times New Roman" w:hAnsi="Times New Roman" w:cs="Times New Roman"/>
          <w:noProof/>
          <w:sz w:val="24"/>
          <w:szCs w:val="24"/>
        </w:rPr>
        <w:t xml:space="preserve">kopā plānotajiem publiskā sektora izdevumiem izmantot kā tehniskās palīdzības finansējumu KNR regulas priekšlikuma 30. panta 5. punkta izpratnē: kā vienotas likmes finansējumu, ko piemēro starpposma maksājuma pieteikumos EK iekļautajai attiecināmo izdevumu summai. Tehniskās palīdzības finansējums tiks izmantots </w:t>
      </w:r>
      <w:r w:rsidR="00E04E26" w:rsidRPr="00EE4C12">
        <w:rPr>
          <w:rFonts w:ascii="Times New Roman" w:eastAsia="Times New Roman" w:hAnsi="Times New Roman" w:cs="Times New Roman"/>
          <w:noProof/>
          <w:sz w:val="24"/>
          <w:szCs w:val="24"/>
        </w:rPr>
        <w:t>Programmas</w:t>
      </w:r>
      <w:r w:rsidR="00E04E26" w:rsidRPr="000D5DBF">
        <w:rPr>
          <w:rFonts w:ascii="Times New Roman" w:eastAsia="Times New Roman" w:hAnsi="Times New Roman" w:cs="Times New Roman"/>
          <w:noProof/>
          <w:sz w:val="24"/>
          <w:szCs w:val="24"/>
        </w:rPr>
        <w:t xml:space="preserve"> </w:t>
      </w:r>
      <w:r w:rsidRPr="000D5DBF">
        <w:rPr>
          <w:rFonts w:ascii="Times New Roman" w:eastAsia="Times New Roman" w:hAnsi="Times New Roman" w:cs="Times New Roman"/>
          <w:noProof/>
          <w:sz w:val="24"/>
          <w:szCs w:val="24"/>
        </w:rPr>
        <w:t>sagatavošanas, uzraudzības, kontroles, revīzijas, izvērtēšanas, komunikācijas, redzamības un administratīvām darbībām.</w:t>
      </w:r>
    </w:p>
    <w:p w14:paraId="224640D4" w14:textId="7E518903" w:rsidR="0032541C" w:rsidRPr="000D5DBF" w:rsidRDefault="003C67C2"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32541C" w:rsidRPr="000D5DBF">
        <w:rPr>
          <w:rFonts w:ascii="Times New Roman" w:eastAsia="Times New Roman" w:hAnsi="Times New Roman" w:cs="Times New Roman"/>
          <w:noProof/>
          <w:sz w:val="24"/>
          <w:szCs w:val="24"/>
        </w:rPr>
        <w:t>pārvaldībā un kontrolē iesaistītās iestādes (vadošā iestāde, sadarbības iestāde, revīzijas iestāde) izmantos tehniskās palīdzības finansējumu, lai nodrošinātu KNR priekšlikumā noteikto funkciju izpildi.</w:t>
      </w:r>
    </w:p>
    <w:p w14:paraId="7C31D569" w14:textId="6FC6590F" w:rsidR="0032541C" w:rsidRPr="000D5DBF" w:rsidRDefault="0032541C"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Times New Roman" w:hAnsi="Times New Roman" w:cs="Times New Roman"/>
          <w:noProof/>
          <w:sz w:val="24"/>
          <w:szCs w:val="24"/>
        </w:rPr>
        <w:t xml:space="preserve">Vadošā iestāde izstrādās </w:t>
      </w:r>
      <w:r w:rsidR="003C67C2">
        <w:rPr>
          <w:rFonts w:ascii="Times New Roman" w:hAnsi="Times New Roman" w:cs="Times New Roman"/>
          <w:bCs/>
          <w:sz w:val="24"/>
          <w:szCs w:val="24"/>
        </w:rPr>
        <w:t>P</w:t>
      </w:r>
      <w:r w:rsidR="003C67C2" w:rsidRPr="000D5DBF">
        <w:rPr>
          <w:rFonts w:ascii="Times New Roman" w:hAnsi="Times New Roman" w:cs="Times New Roman"/>
          <w:bCs/>
          <w:sz w:val="24"/>
          <w:szCs w:val="24"/>
        </w:rPr>
        <w:t>rogramma</w:t>
      </w:r>
      <w:r w:rsidR="003C67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vadības likuma projektu, kurā tiks noteikti pienākumi vai funkcijas, kuras uzdotas s</w:t>
      </w:r>
      <w:r w:rsidR="002704FC" w:rsidRPr="000D5DBF">
        <w:rPr>
          <w:rFonts w:ascii="Times New Roman" w:eastAsia="Times New Roman" w:hAnsi="Times New Roman" w:cs="Times New Roman"/>
          <w:noProof/>
          <w:sz w:val="24"/>
          <w:szCs w:val="24"/>
        </w:rPr>
        <w:t>adarbības un revīzijas iestādei</w:t>
      </w:r>
      <w:r w:rsidRPr="000D5DBF">
        <w:rPr>
          <w:rFonts w:ascii="Times New Roman" w:eastAsia="Times New Roman" w:hAnsi="Times New Roman" w:cs="Times New Roman"/>
          <w:noProof/>
          <w:sz w:val="24"/>
          <w:szCs w:val="24"/>
        </w:rPr>
        <w:t xml:space="preserve">. Vienlaikus tiks noslēgta starpresoru vienošanās starp LM kā </w:t>
      </w:r>
      <w:r w:rsidR="00663FA8">
        <w:rPr>
          <w:rFonts w:ascii="Times New Roman" w:hAnsi="Times New Roman" w:cs="Times New Roman"/>
          <w:bCs/>
          <w:sz w:val="24"/>
          <w:szCs w:val="24"/>
        </w:rPr>
        <w:t>P</w:t>
      </w:r>
      <w:r w:rsidR="00663FA8" w:rsidRPr="000D5DBF">
        <w:rPr>
          <w:rFonts w:ascii="Times New Roman" w:hAnsi="Times New Roman" w:cs="Times New Roman"/>
          <w:bCs/>
          <w:sz w:val="24"/>
          <w:szCs w:val="24"/>
        </w:rPr>
        <w:t>rogramma</w:t>
      </w:r>
      <w:r w:rsidR="00663FA8">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vadošo iestādi un </w:t>
      </w:r>
      <w:r w:rsidR="005206F9" w:rsidRPr="000D5DBF">
        <w:rPr>
          <w:rFonts w:ascii="Times New Roman" w:eastAsia="Times New Roman" w:hAnsi="Times New Roman" w:cs="Times New Roman"/>
          <w:noProof/>
          <w:sz w:val="24"/>
          <w:szCs w:val="24"/>
        </w:rPr>
        <w:t xml:space="preserve">SIF kā </w:t>
      </w:r>
      <w:r w:rsidRPr="000D5DBF">
        <w:rPr>
          <w:rFonts w:ascii="Times New Roman" w:eastAsia="Times New Roman" w:hAnsi="Times New Roman" w:cs="Times New Roman"/>
          <w:noProof/>
          <w:sz w:val="24"/>
          <w:szCs w:val="24"/>
        </w:rPr>
        <w:t xml:space="preserve">sadarbības iestādi, kā arī </w:t>
      </w:r>
      <w:r w:rsidR="005206F9" w:rsidRPr="000D5DBF">
        <w:rPr>
          <w:rFonts w:ascii="Times New Roman" w:eastAsia="Times New Roman" w:hAnsi="Times New Roman" w:cs="Times New Roman"/>
          <w:noProof/>
          <w:sz w:val="24"/>
          <w:szCs w:val="24"/>
        </w:rPr>
        <w:t xml:space="preserve">FM kā </w:t>
      </w:r>
      <w:r w:rsidRPr="000D5DBF">
        <w:rPr>
          <w:rFonts w:ascii="Times New Roman" w:eastAsia="Times New Roman" w:hAnsi="Times New Roman" w:cs="Times New Roman"/>
          <w:noProof/>
          <w:sz w:val="24"/>
          <w:szCs w:val="24"/>
        </w:rPr>
        <w:t>revīzijas iestādi.</w:t>
      </w:r>
    </w:p>
    <w:p w14:paraId="1ED51987" w14:textId="69CC2B4E" w:rsidR="0032541C" w:rsidRPr="000D5DBF" w:rsidRDefault="00663FA8"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lastRenderedPageBreak/>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32541C" w:rsidRPr="000D5DBF">
        <w:rPr>
          <w:rFonts w:ascii="Times New Roman" w:eastAsia="Times New Roman" w:hAnsi="Times New Roman" w:cs="Times New Roman"/>
          <w:noProof/>
          <w:sz w:val="24"/>
          <w:szCs w:val="24"/>
        </w:rPr>
        <w:t xml:space="preserve">īstenošanai un uzraudzībai pamatā tiks izmantota 2014. – 2021. gada plānošanas periodā izstrādātā Darbības programmas “Pārtikas un pamata materiālās palīdzības sniegšanai vistrūcīgākajām personām 2014.-2020. gada plānošanas periodā” vadības un kontroles sistēma. Tajā tiks </w:t>
      </w:r>
      <w:r w:rsidR="008666DC" w:rsidRPr="000D5DBF">
        <w:rPr>
          <w:rFonts w:ascii="Times New Roman" w:eastAsia="Times New Roman" w:hAnsi="Times New Roman" w:cs="Times New Roman"/>
          <w:noProof/>
          <w:sz w:val="24"/>
          <w:szCs w:val="24"/>
        </w:rPr>
        <w:t>aktualiz</w:t>
      </w:r>
      <w:r w:rsidR="0032541C" w:rsidRPr="000D5DBF">
        <w:rPr>
          <w:rFonts w:ascii="Times New Roman" w:eastAsia="Times New Roman" w:hAnsi="Times New Roman" w:cs="Times New Roman"/>
          <w:noProof/>
          <w:sz w:val="24"/>
          <w:szCs w:val="24"/>
        </w:rPr>
        <w:t>ētas vadošās un sadarbības iestādes funkcijas, kā arī i</w:t>
      </w:r>
      <w:r w:rsidR="008666DC" w:rsidRPr="000D5DBF">
        <w:rPr>
          <w:rFonts w:ascii="Times New Roman" w:eastAsia="Times New Roman" w:hAnsi="Times New Roman" w:cs="Times New Roman"/>
          <w:noProof/>
          <w:sz w:val="24"/>
          <w:szCs w:val="24"/>
        </w:rPr>
        <w:t>ekļauta informācija par jaunās</w:t>
      </w:r>
      <w:r w:rsidR="0032541C" w:rsidRPr="000D5DBF">
        <w:rPr>
          <w:rFonts w:ascii="Times New Roman" w:eastAsia="Times New Roman" w:hAnsi="Times New Roman" w:cs="Times New Roman"/>
          <w:noProof/>
          <w:sz w:val="24"/>
          <w:szCs w:val="24"/>
        </w:rPr>
        <w:t xml:space="preserve"> IS izveidi uzraudzībai, novērtēšanai, finanšu pārvaldībai, pārbaudei un revīzijai nepieciešamo datu reģistrēšanai un glabāšanai. </w:t>
      </w:r>
      <w:r w:rsidR="008666DC" w:rsidRPr="000D5DBF">
        <w:rPr>
          <w:rFonts w:ascii="Times New Roman" w:eastAsia="Times New Roman" w:hAnsi="Times New Roman" w:cs="Times New Roman"/>
          <w:noProof/>
          <w:sz w:val="24"/>
          <w:szCs w:val="24"/>
        </w:rPr>
        <w:t>IS</w:t>
      </w:r>
      <w:r w:rsidR="0032541C" w:rsidRPr="000D5DBF">
        <w:rPr>
          <w:rFonts w:ascii="Times New Roman" w:eastAsia="Times New Roman" w:hAnsi="Times New Roman" w:cs="Times New Roman"/>
          <w:noProof/>
          <w:sz w:val="24"/>
          <w:szCs w:val="24"/>
        </w:rPr>
        <w:t xml:space="preserve"> tiks veidota, izmantojot </w:t>
      </w:r>
      <w:r w:rsidR="0032541C" w:rsidRPr="000D5DBF">
        <w:rPr>
          <w:rFonts w:ascii="Times New Roman" w:eastAsia="Times New Roman" w:hAnsi="Times New Roman" w:cs="Times New Roman"/>
          <w:i/>
          <w:noProof/>
          <w:sz w:val="24"/>
          <w:szCs w:val="24"/>
        </w:rPr>
        <w:t>web</w:t>
      </w:r>
      <w:r w:rsidR="0032541C" w:rsidRPr="000D5DBF">
        <w:rPr>
          <w:rFonts w:ascii="Times New Roman" w:eastAsia="Times New Roman" w:hAnsi="Times New Roman" w:cs="Times New Roman"/>
          <w:noProof/>
          <w:sz w:val="24"/>
          <w:szCs w:val="24"/>
        </w:rPr>
        <w:t xml:space="preserve"> servera tehnoloģijas, un tajā datus varēs ievadīt gan iekšējie, gan ārējie lietotāji, kas atvieglos administratīvo slogu visiem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0032541C" w:rsidRPr="000D5DBF">
        <w:rPr>
          <w:rFonts w:ascii="Times New Roman" w:eastAsia="Times New Roman" w:hAnsi="Times New Roman" w:cs="Times New Roman"/>
          <w:noProof/>
          <w:sz w:val="24"/>
          <w:szCs w:val="24"/>
        </w:rPr>
        <w:t xml:space="preserve"> īstenošanā</w:t>
      </w:r>
      <w:r w:rsidR="008666DC" w:rsidRPr="000D5DBF">
        <w:rPr>
          <w:rFonts w:ascii="Times New Roman" w:eastAsia="Times New Roman" w:hAnsi="Times New Roman" w:cs="Times New Roman"/>
          <w:noProof/>
          <w:sz w:val="24"/>
          <w:szCs w:val="24"/>
        </w:rPr>
        <w:t>, vadībā</w:t>
      </w:r>
      <w:r w:rsidR="0032541C" w:rsidRPr="000D5DBF">
        <w:rPr>
          <w:rFonts w:ascii="Times New Roman" w:eastAsia="Times New Roman" w:hAnsi="Times New Roman" w:cs="Times New Roman"/>
          <w:noProof/>
          <w:sz w:val="24"/>
          <w:szCs w:val="24"/>
        </w:rPr>
        <w:t xml:space="preserve"> un uzraudzībā iesaistītajiem.</w:t>
      </w:r>
    </w:p>
    <w:p w14:paraId="70411799" w14:textId="242D2CC7" w:rsidR="0032541C" w:rsidRPr="000D5DBF" w:rsidRDefault="004F59C2"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32541C" w:rsidRPr="000D5DBF">
        <w:rPr>
          <w:rFonts w:ascii="Times New Roman" w:eastAsia="Times New Roman" w:hAnsi="Times New Roman" w:cs="Times New Roman"/>
          <w:noProof/>
          <w:sz w:val="24"/>
          <w:szCs w:val="24"/>
        </w:rPr>
        <w:t xml:space="preserve">ietvaros </w:t>
      </w:r>
      <w:r w:rsidR="008666DC" w:rsidRPr="000D5DBF">
        <w:rPr>
          <w:rFonts w:ascii="Times New Roman" w:eastAsia="Times New Roman" w:hAnsi="Times New Roman" w:cs="Times New Roman"/>
          <w:noProof/>
          <w:sz w:val="24"/>
          <w:szCs w:val="24"/>
        </w:rPr>
        <w:t xml:space="preserve">finansējuma </w:t>
      </w:r>
      <w:r w:rsidR="0032541C" w:rsidRPr="000D5DBF">
        <w:rPr>
          <w:rFonts w:ascii="Times New Roman" w:eastAsia="Times New Roman" w:hAnsi="Times New Roman" w:cs="Times New Roman"/>
          <w:noProof/>
          <w:sz w:val="24"/>
          <w:szCs w:val="24"/>
        </w:rPr>
        <w:t>saņēmējiem tiks izvirzītas ziņošanas prasības, kas</w:t>
      </w:r>
      <w:r w:rsidR="0032541C" w:rsidRPr="000D5DBF">
        <w:rPr>
          <w:rFonts w:ascii="Times New Roman" w:hAnsi="Times New Roman"/>
          <w:sz w:val="24"/>
          <w:szCs w:val="24"/>
          <w:lang w:eastAsia="en-US" w:bidi="ar-SA"/>
        </w:rPr>
        <w:t xml:space="preserve"> </w:t>
      </w:r>
      <w:r w:rsidR="0032541C" w:rsidRPr="000D5DBF">
        <w:rPr>
          <w:rFonts w:ascii="Times New Roman" w:eastAsia="Times New Roman" w:hAnsi="Times New Roman" w:cs="Times New Roman"/>
          <w:noProof/>
          <w:sz w:val="24"/>
          <w:szCs w:val="24"/>
        </w:rPr>
        <w:t>pamatā balstīsies uz KNR un ESF+ regulas priekšlikumā, kā arī citos deleģētajos aktos (ja attiecināms)</w:t>
      </w:r>
      <w:r w:rsidR="0032541C" w:rsidRPr="000D5DBF">
        <w:rPr>
          <w:rFonts w:ascii="Times New Roman" w:eastAsia="Times New Roman" w:hAnsi="Times New Roman" w:cs="Times New Roman"/>
          <w:noProof/>
          <w:sz w:val="24"/>
          <w:szCs w:val="24"/>
          <w:vertAlign w:val="superscript"/>
        </w:rPr>
        <w:t xml:space="preserve"> </w:t>
      </w:r>
      <w:r w:rsidR="0032541C" w:rsidRPr="000D5DBF">
        <w:rPr>
          <w:rFonts w:ascii="Times New Roman" w:eastAsia="Times New Roman" w:hAnsi="Times New Roman" w:cs="Times New Roman"/>
          <w:noProof/>
          <w:sz w:val="24"/>
          <w:szCs w:val="24"/>
        </w:rPr>
        <w:t>noteiktajām datu apjoma un uzkrāšanas prasībām.</w:t>
      </w:r>
    </w:p>
    <w:p w14:paraId="0C333455" w14:textId="77777777" w:rsidR="0032541C" w:rsidRPr="000D5DBF" w:rsidRDefault="0032541C"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Times New Roman" w:hAnsi="Times New Roman" w:cs="Times New Roman"/>
          <w:noProof/>
          <w:sz w:val="24"/>
          <w:szCs w:val="24"/>
        </w:rPr>
        <w:t>Publiskā iepirkuma nodrošinātājam – SIF tiks izvirzīta prasība katru ceturksni ziņot sadarbības iestādei uz PO glabāšanas vietām faktiski piegādāto pārtikas atbalstu un pamata materiālo palīdzību, nodrošinot atbilstošus attaisnojuma dokumentus un revīzijas liecības. Savukārt PO tiks izvirzīta prasība katru ceturksni sniegt sadarbības iestādei informāciju par</w:t>
      </w:r>
      <w:r w:rsidRPr="000D5DBF">
        <w:rPr>
          <w:rFonts w:ascii="Times New Roman" w:hAnsi="Times New Roman" w:cs="Times New Roman"/>
          <w:sz w:val="24"/>
          <w:szCs w:val="24"/>
        </w:rPr>
        <w:t xml:space="preserve"> </w:t>
      </w:r>
      <w:r w:rsidRPr="000D5DBF">
        <w:rPr>
          <w:rFonts w:ascii="Times New Roman" w:eastAsia="Times New Roman" w:hAnsi="Times New Roman" w:cs="Times New Roman"/>
          <w:noProof/>
          <w:sz w:val="24"/>
          <w:szCs w:val="24"/>
        </w:rPr>
        <w:t>pārskata periodā izdalīto pārtikas un pamata materiālās palīdzības komplektu skaitu, organizēto papildpasākumu skaitu un tajos piedalījušos personu skaitu, nodrošinot uzskaiti par izdalīto atbalstu un attaisnojamos dokumentus par organizētajiem papildpasākumiem. Papildus PO tiks noteikts vienu reizi gadā sniegt informāciju sadarbības iestādei par atbalstu saņēmušo unikālo personu skaitu un to sadalījumu pa sociāli demogrāfiskām grupām. Atbalsta gala saņēmēju personas datus nav paredzēts uzkrāt.</w:t>
      </w:r>
    </w:p>
    <w:p w14:paraId="236B5C26" w14:textId="7935D20F" w:rsidR="0032541C" w:rsidRPr="000D5DBF" w:rsidRDefault="00FF6245"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Times New Roman" w:hAnsi="Times New Roman" w:cs="Times New Roman"/>
          <w:noProof/>
          <w:sz w:val="24"/>
          <w:szCs w:val="24"/>
        </w:rPr>
        <w:t xml:space="preserve">Sadarbības iestāde uzkrās IS datus par noteiktajā pārskata periodā </w:t>
      </w:r>
      <w:r w:rsidR="001D322F" w:rsidRPr="000D5DBF">
        <w:rPr>
          <w:rFonts w:ascii="Times New Roman" w:eastAsia="Times New Roman" w:hAnsi="Times New Roman" w:cs="Times New Roman"/>
          <w:noProof/>
          <w:sz w:val="24"/>
          <w:szCs w:val="24"/>
        </w:rPr>
        <w:t>finansējuma saņēmēja (</w:t>
      </w:r>
      <w:r w:rsidRPr="000D5DBF">
        <w:rPr>
          <w:rFonts w:ascii="Times New Roman" w:eastAsia="Times New Roman" w:hAnsi="Times New Roman" w:cs="Times New Roman"/>
          <w:noProof/>
          <w:sz w:val="24"/>
          <w:szCs w:val="24"/>
        </w:rPr>
        <w:t>SIF</w:t>
      </w:r>
      <w:r w:rsidR="001D322F" w:rsidRPr="000D5DBF">
        <w:rPr>
          <w:rFonts w:ascii="Times New Roman" w:eastAsia="Times New Roman" w:hAnsi="Times New Roman" w:cs="Times New Roman"/>
          <w:noProof/>
          <w:sz w:val="24"/>
          <w:szCs w:val="24"/>
        </w:rPr>
        <w:t>)</w:t>
      </w:r>
      <w:r w:rsidRPr="000D5DBF">
        <w:rPr>
          <w:rFonts w:ascii="Times New Roman" w:eastAsia="Times New Roman" w:hAnsi="Times New Roman" w:cs="Times New Roman"/>
          <w:noProof/>
          <w:sz w:val="24"/>
          <w:szCs w:val="24"/>
        </w:rPr>
        <w:t xml:space="preserve"> un PO sniegto informāciju par:</w:t>
      </w:r>
    </w:p>
    <w:p w14:paraId="68BAEB47" w14:textId="77777777" w:rsidR="0032541C" w:rsidRPr="000D5DBF" w:rsidRDefault="0032541C" w:rsidP="00641840">
      <w:pPr>
        <w:pStyle w:val="ListParagraph"/>
        <w:numPr>
          <w:ilvl w:val="0"/>
          <w:numId w:val="24"/>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sasniegtajiem resursu rādītājiem un iznākuma rādītājiem, kas raksturo izdalīto pārtikas atbalstu un pamata materiālo palīdzību;</w:t>
      </w:r>
    </w:p>
    <w:p w14:paraId="65E0FBF3" w14:textId="77777777" w:rsidR="0032541C" w:rsidRPr="000D5DBF" w:rsidRDefault="0032541C" w:rsidP="00641840">
      <w:pPr>
        <w:pStyle w:val="ListParagraph"/>
        <w:numPr>
          <w:ilvl w:val="0"/>
          <w:numId w:val="24"/>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rezultātu rādītājiem, kas raksturo pārtikas atbalstu;</w:t>
      </w:r>
    </w:p>
    <w:p w14:paraId="032E8E78" w14:textId="77777777" w:rsidR="0032541C" w:rsidRPr="000D5DBF" w:rsidRDefault="0032541C" w:rsidP="00641840">
      <w:pPr>
        <w:pStyle w:val="ListParagraph"/>
        <w:numPr>
          <w:ilvl w:val="0"/>
          <w:numId w:val="24"/>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rezultātu rādītājiem, kas raksturo pamata materiālo palīdzību.</w:t>
      </w:r>
    </w:p>
    <w:p w14:paraId="2C1C485E" w14:textId="35E411F2" w:rsidR="0032541C" w:rsidRPr="000D5DBF" w:rsidRDefault="0032541C"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Sadarbības iestāde atbilstoši ārējam un izstrādātajam iekšējam normatīvajam regulējumam uzraudzīs </w:t>
      </w:r>
      <w:r w:rsidR="00AC3A26" w:rsidRPr="000D5DBF">
        <w:rPr>
          <w:rFonts w:ascii="Times New Roman" w:eastAsia="Times New Roman" w:hAnsi="Times New Roman" w:cs="Times New Roman"/>
          <w:noProof/>
          <w:sz w:val="24"/>
          <w:szCs w:val="24"/>
        </w:rPr>
        <w:t xml:space="preserve">finansējuma </w:t>
      </w:r>
      <w:r w:rsidRPr="000D5DBF">
        <w:rPr>
          <w:rFonts w:ascii="Times New Roman" w:eastAsia="Times New Roman" w:hAnsi="Times New Roman" w:cs="Times New Roman"/>
          <w:noProof/>
          <w:sz w:val="24"/>
          <w:szCs w:val="24"/>
        </w:rPr>
        <w:t>saņēmēju sniegtos datus par iepirkto, piegādāto un faktiski sn</w:t>
      </w:r>
      <w:r w:rsidR="00AC3A26" w:rsidRPr="000D5DBF">
        <w:rPr>
          <w:rFonts w:ascii="Times New Roman" w:eastAsia="Times New Roman" w:hAnsi="Times New Roman" w:cs="Times New Roman"/>
          <w:noProof/>
          <w:sz w:val="24"/>
          <w:szCs w:val="24"/>
        </w:rPr>
        <w:t>iegto atbalstu gala saņēmējiem.</w:t>
      </w:r>
    </w:p>
    <w:p w14:paraId="54110F86" w14:textId="3B94C338" w:rsidR="0032541C" w:rsidRPr="000D5DBF" w:rsidRDefault="0032541C"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Vadošā iestāde nodrošinās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kopējo uzraudzību:</w:t>
      </w:r>
    </w:p>
    <w:p w14:paraId="2D8D5C33" w14:textId="1473D502" w:rsidR="0032541C" w:rsidRPr="000D5DBF" w:rsidRDefault="0032541C" w:rsidP="00641840">
      <w:pPr>
        <w:pStyle w:val="ListParagraph"/>
        <w:numPr>
          <w:ilvl w:val="0"/>
          <w:numId w:val="25"/>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organizējot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īstenošanas uzraudzības sanāksmes;</w:t>
      </w:r>
    </w:p>
    <w:p w14:paraId="2316E62C" w14:textId="034475D7" w:rsidR="0032541C" w:rsidRPr="000D5DBF" w:rsidRDefault="0032541C" w:rsidP="00641840">
      <w:pPr>
        <w:pStyle w:val="ListParagraph"/>
        <w:numPr>
          <w:ilvl w:val="0"/>
          <w:numId w:val="25"/>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veicot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vadības likumā sadarbības iestādei noteikto funkciju izpildes kvalitātes novērtējumu;</w:t>
      </w:r>
    </w:p>
    <w:p w14:paraId="4088F110" w14:textId="77777777" w:rsidR="0032541C" w:rsidRPr="000D5DBF" w:rsidRDefault="0032541C" w:rsidP="00641840">
      <w:pPr>
        <w:pStyle w:val="ListParagraph"/>
        <w:numPr>
          <w:ilvl w:val="0"/>
          <w:numId w:val="25"/>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veicot maksājumu pieprasījumu saskaņošanu un nepieciešamības gadījumā pārbaudes atbalstāmo darbību īstenošanas vietās.</w:t>
      </w:r>
    </w:p>
    <w:p w14:paraId="6094CCCD" w14:textId="3AB83873" w:rsidR="0032541C" w:rsidRPr="000D5DBF" w:rsidRDefault="0032541C" w:rsidP="00641840">
      <w:pPr>
        <w:pStyle w:val="ListParagraph"/>
        <w:spacing w:after="0" w:line="240" w:lineRule="auto"/>
        <w:ind w:left="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Vienlaikus vadošā iestāde īstenos</w:t>
      </w:r>
      <w:r w:rsidRPr="000D5DBF">
        <w:t xml:space="preserve"> </w:t>
      </w:r>
      <w:r w:rsidR="004F59C2">
        <w:rPr>
          <w:rFonts w:ascii="Times New Roman" w:hAnsi="Times New Roman" w:cs="Times New Roman"/>
          <w:bCs/>
          <w:sz w:val="24"/>
          <w:szCs w:val="24"/>
        </w:rPr>
        <w:t>P</w:t>
      </w:r>
      <w:r w:rsidR="004F59C2" w:rsidRPr="000D5DBF">
        <w:rPr>
          <w:rFonts w:ascii="Times New Roman" w:hAnsi="Times New Roman" w:cs="Times New Roman"/>
          <w:bCs/>
          <w:sz w:val="24"/>
          <w:szCs w:val="24"/>
        </w:rPr>
        <w:t>rogramma</w:t>
      </w:r>
      <w:r w:rsidR="004F59C2">
        <w:rPr>
          <w:rFonts w:ascii="Times New Roman" w:hAnsi="Times New Roman" w:cs="Times New Roman"/>
          <w:bCs/>
          <w:sz w:val="24"/>
          <w:szCs w:val="24"/>
        </w:rPr>
        <w:t>s</w:t>
      </w:r>
      <w:r w:rsidRPr="000D5DBF">
        <w:rPr>
          <w:rFonts w:ascii="Times New Roman" w:eastAsia="Times New Roman" w:hAnsi="Times New Roman" w:cs="Times New Roman"/>
          <w:noProof/>
          <w:sz w:val="24"/>
          <w:szCs w:val="24"/>
        </w:rPr>
        <w:t xml:space="preserve"> īstenošanas risku pārvaldību un krāpšanas risku apkarošanas pasākumus.</w:t>
      </w:r>
    </w:p>
    <w:p w14:paraId="4781B415" w14:textId="05CFEF02" w:rsidR="0032541C" w:rsidRPr="000D5DBF" w:rsidRDefault="004F59C2"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s</w:t>
      </w:r>
      <w:r w:rsidR="0032541C" w:rsidRPr="000D5DBF">
        <w:rPr>
          <w:rFonts w:ascii="Times New Roman" w:eastAsia="Times New Roman" w:hAnsi="Times New Roman" w:cs="Times New Roman"/>
          <w:noProof/>
          <w:sz w:val="24"/>
          <w:szCs w:val="24"/>
        </w:rPr>
        <w:t xml:space="preserve"> novērtēšanas nolūkā vadošā iestāde:</w:t>
      </w:r>
    </w:p>
    <w:p w14:paraId="276FCEA6" w14:textId="3E67B187" w:rsidR="00693958" w:rsidRDefault="00226E45" w:rsidP="00641840">
      <w:pPr>
        <w:pStyle w:val="ListParagraph"/>
        <w:numPr>
          <w:ilvl w:val="0"/>
          <w:numId w:val="26"/>
        </w:numPr>
        <w:spacing w:after="0" w:line="240" w:lineRule="auto"/>
        <w:ind w:left="993" w:hanging="426"/>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nodrošinās </w:t>
      </w:r>
      <w:r w:rsidR="0032541C" w:rsidRPr="000D5DBF">
        <w:rPr>
          <w:rFonts w:ascii="Times New Roman" w:eastAsia="Times New Roman" w:hAnsi="Times New Roman" w:cs="Times New Roman"/>
          <w:noProof/>
          <w:sz w:val="24"/>
          <w:szCs w:val="24"/>
        </w:rPr>
        <w:t>ikgadēj</w:t>
      </w:r>
      <w:r w:rsidRPr="000D5DBF">
        <w:rPr>
          <w:rFonts w:ascii="Times New Roman" w:eastAsia="Times New Roman" w:hAnsi="Times New Roman" w:cs="Times New Roman"/>
          <w:noProof/>
          <w:sz w:val="24"/>
          <w:szCs w:val="24"/>
        </w:rPr>
        <w:t>ās atbalsta gala saņēmēju aptaujas</w:t>
      </w:r>
      <w:r w:rsidR="00AD05C5">
        <w:rPr>
          <w:rFonts w:ascii="Times New Roman" w:eastAsia="Times New Roman" w:hAnsi="Times New Roman" w:cs="Times New Roman"/>
          <w:noProof/>
          <w:sz w:val="24"/>
          <w:szCs w:val="24"/>
        </w:rPr>
        <w:t xml:space="preserve"> īstenošanu,</w:t>
      </w:r>
      <w:r w:rsidR="00CD1D14">
        <w:rPr>
          <w:rFonts w:ascii="Times New Roman" w:eastAsia="Times New Roman" w:hAnsi="Times New Roman" w:cs="Times New Roman"/>
          <w:noProof/>
          <w:sz w:val="24"/>
          <w:szCs w:val="24"/>
        </w:rPr>
        <w:t xml:space="preserve"> kas ļaus novērtēt P</w:t>
      </w:r>
      <w:r w:rsidR="0032541C" w:rsidRPr="000D5DBF">
        <w:rPr>
          <w:rFonts w:ascii="Times New Roman" w:eastAsia="Times New Roman" w:hAnsi="Times New Roman" w:cs="Times New Roman"/>
          <w:noProof/>
          <w:sz w:val="24"/>
          <w:szCs w:val="24"/>
        </w:rPr>
        <w:t>rogrammas efektivitāti un lietderību;</w:t>
      </w:r>
    </w:p>
    <w:p w14:paraId="01355346" w14:textId="0757880E" w:rsidR="0032541C" w:rsidRPr="00693958" w:rsidRDefault="00693958" w:rsidP="00641840">
      <w:pPr>
        <w:pStyle w:val="ListParagraph"/>
        <w:numPr>
          <w:ilvl w:val="0"/>
          <w:numId w:val="26"/>
        </w:numPr>
        <w:spacing w:after="0" w:line="240" w:lineRule="auto"/>
        <w:ind w:left="993" w:hanging="426"/>
        <w:jc w:val="both"/>
        <w:rPr>
          <w:rFonts w:ascii="Times New Roman" w:eastAsia="Times New Roman" w:hAnsi="Times New Roman" w:cs="Times New Roman"/>
          <w:noProof/>
          <w:sz w:val="24"/>
          <w:szCs w:val="24"/>
        </w:rPr>
      </w:pPr>
      <w:r w:rsidRPr="00693958">
        <w:rPr>
          <w:rFonts w:ascii="Times New Roman" w:eastAsia="Times New Roman" w:hAnsi="Times New Roman" w:cs="Times New Roman"/>
          <w:noProof/>
          <w:sz w:val="24"/>
          <w:szCs w:val="24"/>
        </w:rPr>
        <w:t xml:space="preserve">nolūkā pārbaudīt Programmas veikumu organizēs ikgadējās </w:t>
      </w:r>
      <w:r w:rsidR="00226E45" w:rsidRPr="00693958">
        <w:rPr>
          <w:rFonts w:ascii="Times New Roman" w:eastAsia="Times New Roman" w:hAnsi="Times New Roman" w:cs="Times New Roman"/>
          <w:noProof/>
          <w:sz w:val="24"/>
          <w:szCs w:val="24"/>
        </w:rPr>
        <w:t xml:space="preserve">novērtēšanas sanāksmes ar EK, </w:t>
      </w:r>
      <w:r w:rsidR="0032541C" w:rsidRPr="00693958">
        <w:rPr>
          <w:rFonts w:ascii="Times New Roman" w:eastAsia="Times New Roman" w:hAnsi="Times New Roman" w:cs="Times New Roman"/>
          <w:noProof/>
          <w:sz w:val="24"/>
          <w:szCs w:val="24"/>
        </w:rPr>
        <w:t xml:space="preserve">KDG </w:t>
      </w:r>
      <w:r w:rsidR="00226E45" w:rsidRPr="00693958">
        <w:rPr>
          <w:rFonts w:ascii="Times New Roman" w:eastAsia="Times New Roman" w:hAnsi="Times New Roman" w:cs="Times New Roman"/>
          <w:noProof/>
          <w:sz w:val="24"/>
          <w:szCs w:val="24"/>
        </w:rPr>
        <w:t xml:space="preserve">un </w:t>
      </w:r>
      <w:r w:rsidR="009734CA" w:rsidRPr="00693958">
        <w:rPr>
          <w:rFonts w:ascii="Times New Roman" w:eastAsia="Times New Roman" w:hAnsi="Times New Roman" w:cs="Times New Roman"/>
          <w:noProof/>
          <w:sz w:val="24"/>
          <w:szCs w:val="24"/>
        </w:rPr>
        <w:t>Programmas vadībā un uzraudzībā</w:t>
      </w:r>
      <w:r w:rsidR="00226E45" w:rsidRPr="00693958">
        <w:rPr>
          <w:rFonts w:ascii="Times New Roman" w:eastAsia="Times New Roman" w:hAnsi="Times New Roman" w:cs="Times New Roman"/>
          <w:noProof/>
          <w:sz w:val="24"/>
          <w:szCs w:val="24"/>
        </w:rPr>
        <w:t xml:space="preserve"> iesaistīto </w:t>
      </w:r>
      <w:r w:rsidR="009734CA" w:rsidRPr="00693958">
        <w:rPr>
          <w:rFonts w:ascii="Times New Roman" w:eastAsia="Times New Roman" w:hAnsi="Times New Roman" w:cs="Times New Roman"/>
          <w:noProof/>
          <w:sz w:val="24"/>
          <w:szCs w:val="24"/>
        </w:rPr>
        <w:t xml:space="preserve">institūciju pārstāvju </w:t>
      </w:r>
      <w:r w:rsidR="0032541C" w:rsidRPr="00693958">
        <w:rPr>
          <w:rFonts w:ascii="Times New Roman" w:eastAsia="Times New Roman" w:hAnsi="Times New Roman" w:cs="Times New Roman"/>
          <w:noProof/>
          <w:sz w:val="24"/>
          <w:szCs w:val="24"/>
        </w:rPr>
        <w:t>dalību;</w:t>
      </w:r>
    </w:p>
    <w:p w14:paraId="75C842C6" w14:textId="4AFA8FF6" w:rsidR="0032541C" w:rsidRPr="00B439CC" w:rsidRDefault="00226E45" w:rsidP="00641840">
      <w:pPr>
        <w:pStyle w:val="ListParagraph"/>
        <w:numPr>
          <w:ilvl w:val="0"/>
          <w:numId w:val="26"/>
        </w:numPr>
        <w:spacing w:after="0" w:line="240" w:lineRule="auto"/>
        <w:ind w:left="993" w:hanging="426"/>
        <w:jc w:val="both"/>
        <w:rPr>
          <w:rFonts w:ascii="Times New Roman" w:eastAsia="Times New Roman" w:hAnsi="Times New Roman" w:cs="Times New Roman"/>
          <w:noProof/>
          <w:sz w:val="24"/>
          <w:szCs w:val="24"/>
        </w:rPr>
      </w:pPr>
      <w:r w:rsidRPr="00B439CC">
        <w:rPr>
          <w:rFonts w:ascii="Times New Roman" w:eastAsia="Times New Roman" w:hAnsi="Times New Roman" w:cs="Times New Roman"/>
          <w:noProof/>
          <w:sz w:val="24"/>
          <w:szCs w:val="24"/>
        </w:rPr>
        <w:t xml:space="preserve">veiks </w:t>
      </w:r>
      <w:r w:rsidR="00137222">
        <w:rPr>
          <w:rFonts w:ascii="Times New Roman" w:eastAsia="Times New Roman" w:hAnsi="Times New Roman" w:cs="Times New Roman"/>
          <w:noProof/>
          <w:sz w:val="24"/>
          <w:szCs w:val="24"/>
        </w:rPr>
        <w:t>P</w:t>
      </w:r>
      <w:r w:rsidR="0032541C" w:rsidRPr="00B439CC">
        <w:rPr>
          <w:rFonts w:ascii="Times New Roman" w:eastAsia="Times New Roman" w:hAnsi="Times New Roman" w:cs="Times New Roman"/>
          <w:noProof/>
          <w:sz w:val="24"/>
          <w:szCs w:val="24"/>
        </w:rPr>
        <w:t>rogrammas ietekmes novērtējumu.</w:t>
      </w:r>
    </w:p>
    <w:p w14:paraId="1EB6956D" w14:textId="2D625F5E" w:rsidR="0032541C" w:rsidRPr="000D5DBF" w:rsidRDefault="0032541C" w:rsidP="00641840">
      <w:pPr>
        <w:spacing w:before="0" w:after="0"/>
        <w:ind w:left="567"/>
        <w:rPr>
          <w:rFonts w:eastAsia="Times New Roman"/>
          <w:noProof/>
          <w:szCs w:val="24"/>
        </w:rPr>
      </w:pPr>
      <w:r w:rsidRPr="00B439CC">
        <w:rPr>
          <w:rFonts w:eastAsia="Times New Roman"/>
          <w:noProof/>
          <w:szCs w:val="24"/>
        </w:rPr>
        <w:t xml:space="preserve">Vadošā iestāde nodrošinās </w:t>
      </w:r>
      <w:r w:rsidR="00CE2913">
        <w:rPr>
          <w:bCs/>
          <w:szCs w:val="24"/>
        </w:rPr>
        <w:t>P</w:t>
      </w:r>
      <w:r w:rsidR="00CE2913" w:rsidRPr="000D5DBF">
        <w:rPr>
          <w:bCs/>
          <w:szCs w:val="24"/>
        </w:rPr>
        <w:t>rogramma</w:t>
      </w:r>
      <w:r w:rsidR="00CE2913">
        <w:rPr>
          <w:bCs/>
          <w:szCs w:val="24"/>
        </w:rPr>
        <w:t>s</w:t>
      </w:r>
      <w:r w:rsidRPr="00B439CC">
        <w:rPr>
          <w:rFonts w:eastAsia="Times New Roman"/>
          <w:noProof/>
          <w:szCs w:val="24"/>
        </w:rPr>
        <w:t xml:space="preserve"> nobeiguma īstenošanas ziņojuma sagatavošanu un iesniegšanu EK.</w:t>
      </w:r>
    </w:p>
    <w:p w14:paraId="5D8F4067" w14:textId="77777777" w:rsidR="00391ADF" w:rsidRPr="000D5DBF" w:rsidRDefault="00391ADF" w:rsidP="00641840">
      <w:pPr>
        <w:spacing w:before="0" w:after="0"/>
        <w:ind w:left="567"/>
        <w:rPr>
          <w:rFonts w:eastAsia="Times New Roman"/>
          <w:noProof/>
          <w:szCs w:val="24"/>
        </w:rPr>
      </w:pPr>
    </w:p>
    <w:p w14:paraId="5BA68609" w14:textId="77777777" w:rsidR="0032541C" w:rsidRPr="000D5DBF" w:rsidRDefault="00B65BDD" w:rsidP="00641840">
      <w:pPr>
        <w:pStyle w:val="Heading1"/>
        <w:numPr>
          <w:ilvl w:val="0"/>
          <w:numId w:val="30"/>
        </w:numPr>
        <w:spacing w:before="0"/>
        <w:rPr>
          <w:rFonts w:ascii="Times New Roman" w:hAnsi="Times New Roman" w:cs="Times New Roman"/>
          <w:b/>
          <w:noProof/>
          <w:color w:val="auto"/>
          <w:sz w:val="28"/>
          <w:szCs w:val="28"/>
        </w:rPr>
      </w:pPr>
      <w:bookmarkStart w:id="18" w:name="_Toc70410846"/>
      <w:r w:rsidRPr="000D5DBF">
        <w:rPr>
          <w:rFonts w:ascii="Times New Roman" w:hAnsi="Times New Roman" w:cs="Times New Roman"/>
          <w:b/>
          <w:noProof/>
          <w:color w:val="auto"/>
          <w:sz w:val="28"/>
          <w:szCs w:val="28"/>
        </w:rPr>
        <w:lastRenderedPageBreak/>
        <w:t>Partnerība</w:t>
      </w:r>
      <w:bookmarkEnd w:id="18"/>
    </w:p>
    <w:p w14:paraId="6B564265" w14:textId="5617EB30" w:rsidR="00B65BDD" w:rsidRPr="000D5DBF" w:rsidRDefault="002B2A41"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B65BDD" w:rsidRPr="000D5DBF">
        <w:rPr>
          <w:rFonts w:ascii="Times New Roman" w:hAnsi="Times New Roman" w:cs="Times New Roman"/>
          <w:noProof/>
          <w:sz w:val="24"/>
          <w:szCs w:val="24"/>
        </w:rPr>
        <w:t>2021. – 2027. gada plānošanas procesā turpināta partnerība ar pilsoniskās sabiedrības, tajā skaitā atbalsta gala saņēmēju interešu pārstāvošo organizāciju, valsts un pašvaldību institūciju pārstāvjiem, kuri darbojās EAFVP KDG 2014. – 2020. </w:t>
      </w:r>
      <w:r w:rsidR="001840D3" w:rsidRPr="000D5DBF">
        <w:rPr>
          <w:rFonts w:ascii="Times New Roman" w:hAnsi="Times New Roman" w:cs="Times New Roman"/>
          <w:noProof/>
          <w:sz w:val="24"/>
          <w:szCs w:val="24"/>
        </w:rPr>
        <w:t>gada</w:t>
      </w:r>
      <w:r w:rsidR="00B65BDD" w:rsidRPr="000D5DBF">
        <w:rPr>
          <w:rFonts w:ascii="Times New Roman" w:hAnsi="Times New Roman" w:cs="Times New Roman"/>
          <w:noProof/>
          <w:sz w:val="24"/>
          <w:szCs w:val="24"/>
        </w:rPr>
        <w:t xml:space="preserve"> plānošanas periodā. Par sadarbības turpināšanu </w:t>
      </w:r>
      <w:r w:rsidR="00353C27">
        <w:rPr>
          <w:rFonts w:ascii="Times New Roman" w:hAnsi="Times New Roman" w:cs="Times New Roman"/>
          <w:bCs/>
          <w:sz w:val="24"/>
          <w:szCs w:val="24"/>
        </w:rPr>
        <w:t>P</w:t>
      </w:r>
      <w:r w:rsidR="00353C27" w:rsidRPr="000D5DBF">
        <w:rPr>
          <w:rFonts w:ascii="Times New Roman" w:hAnsi="Times New Roman" w:cs="Times New Roman"/>
          <w:bCs/>
          <w:sz w:val="24"/>
          <w:szCs w:val="24"/>
        </w:rPr>
        <w:t>rogramma</w:t>
      </w:r>
      <w:r w:rsidR="00353C27">
        <w:rPr>
          <w:rFonts w:ascii="Times New Roman" w:hAnsi="Times New Roman" w:cs="Times New Roman"/>
          <w:bCs/>
          <w:sz w:val="24"/>
          <w:szCs w:val="24"/>
        </w:rPr>
        <w:t>s</w:t>
      </w:r>
      <w:r w:rsidR="00B65BDD" w:rsidRPr="000D5DBF">
        <w:rPr>
          <w:rFonts w:ascii="Times New Roman" w:hAnsi="Times New Roman" w:cs="Times New Roman"/>
          <w:noProof/>
          <w:sz w:val="24"/>
          <w:szCs w:val="24"/>
        </w:rPr>
        <w:t xml:space="preserve"> īstenošanā 2021.–2027. gada plānošanas periodā ar KDG dalībniekiem panākta konceptuālā vienošanās</w:t>
      </w:r>
    </w:p>
    <w:p w14:paraId="673E012B" w14:textId="6394DA2D" w:rsidR="00B65BDD" w:rsidRPr="000D5DBF" w:rsidRDefault="00B65BDD"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Calibri" w:hAnsi="Times New Roman" w:cs="Times New Roman"/>
          <w:noProof/>
          <w:sz w:val="24"/>
          <w:szCs w:val="24"/>
        </w:rPr>
        <w:t xml:space="preserve">KDG dalībnieki pamatā atbalsta </w:t>
      </w:r>
      <w:r w:rsidR="002B2A41">
        <w:rPr>
          <w:rFonts w:ascii="Times New Roman" w:hAnsi="Times New Roman" w:cs="Times New Roman"/>
          <w:bCs/>
          <w:sz w:val="24"/>
          <w:szCs w:val="24"/>
        </w:rPr>
        <w:t>Programmā</w:t>
      </w:r>
      <w:r w:rsidRPr="000D5DBF">
        <w:rPr>
          <w:rFonts w:ascii="Times New Roman" w:eastAsia="Calibri" w:hAnsi="Times New Roman" w:cs="Times New Roman"/>
          <w:noProof/>
          <w:sz w:val="24"/>
          <w:szCs w:val="24"/>
        </w:rPr>
        <w:t xml:space="preserve"> iekļaujamos pasākumus un atbalsta sniegšanas nosacījumus zemu ienākumu mājsaimniecībām. KDG piedalīsies arī visos turpmākos </w:t>
      </w:r>
      <w:r w:rsidR="002B2A41">
        <w:rPr>
          <w:rFonts w:ascii="Times New Roman" w:hAnsi="Times New Roman" w:cs="Times New Roman"/>
          <w:bCs/>
          <w:sz w:val="24"/>
          <w:szCs w:val="24"/>
        </w:rPr>
        <w:t>P</w:t>
      </w:r>
      <w:r w:rsidR="002B2A41" w:rsidRPr="000D5DBF">
        <w:rPr>
          <w:rFonts w:ascii="Times New Roman" w:hAnsi="Times New Roman" w:cs="Times New Roman"/>
          <w:bCs/>
          <w:sz w:val="24"/>
          <w:szCs w:val="24"/>
        </w:rPr>
        <w:t>rogramma</w:t>
      </w:r>
      <w:r w:rsidR="002B2A41">
        <w:rPr>
          <w:rFonts w:ascii="Times New Roman" w:hAnsi="Times New Roman" w:cs="Times New Roman"/>
          <w:bCs/>
          <w:sz w:val="24"/>
          <w:szCs w:val="24"/>
        </w:rPr>
        <w:t>s</w:t>
      </w:r>
      <w:r w:rsidRPr="000D5DBF">
        <w:rPr>
          <w:rFonts w:ascii="Times New Roman" w:eastAsia="Calibri" w:hAnsi="Times New Roman" w:cs="Times New Roman"/>
          <w:noProof/>
          <w:sz w:val="24"/>
          <w:szCs w:val="24"/>
        </w:rPr>
        <w:t xml:space="preserve"> plānošanas posmos.</w:t>
      </w:r>
    </w:p>
    <w:p w14:paraId="50BFBECA" w14:textId="216219E9" w:rsidR="00B65BDD" w:rsidRPr="000D5DBF" w:rsidRDefault="00B65BDD"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Calibri" w:hAnsi="Times New Roman" w:cs="Times New Roman"/>
          <w:noProof/>
          <w:sz w:val="24"/>
          <w:szCs w:val="24"/>
        </w:rPr>
        <w:t xml:space="preserve">Saskaņā ar KNR 33. panta 5. punkta nosacījumiem UK izveide </w:t>
      </w:r>
      <w:r w:rsidR="002B2A41">
        <w:rPr>
          <w:rFonts w:ascii="Times New Roman" w:hAnsi="Times New Roman" w:cs="Times New Roman"/>
          <w:bCs/>
          <w:sz w:val="24"/>
          <w:szCs w:val="24"/>
        </w:rPr>
        <w:t>P</w:t>
      </w:r>
      <w:r w:rsidR="002B2A41" w:rsidRPr="000D5DBF">
        <w:rPr>
          <w:rFonts w:ascii="Times New Roman" w:hAnsi="Times New Roman" w:cs="Times New Roman"/>
          <w:bCs/>
          <w:sz w:val="24"/>
          <w:szCs w:val="24"/>
        </w:rPr>
        <w:t>rogramma</w:t>
      </w:r>
      <w:r w:rsidR="002B2A41">
        <w:rPr>
          <w:rFonts w:ascii="Times New Roman" w:hAnsi="Times New Roman" w:cs="Times New Roman"/>
          <w:bCs/>
          <w:sz w:val="24"/>
          <w:szCs w:val="24"/>
        </w:rPr>
        <w:t>i</w:t>
      </w:r>
      <w:r w:rsidRPr="000D5DBF">
        <w:rPr>
          <w:rFonts w:ascii="Times New Roman" w:eastAsia="Calibri" w:hAnsi="Times New Roman" w:cs="Times New Roman"/>
          <w:noProof/>
          <w:sz w:val="24"/>
          <w:szCs w:val="24"/>
        </w:rPr>
        <w:t xml:space="preserve"> nav nepieciešama. To aizstāj KNR 36. panta 3. punktā noteiktā ikgadējā veikuma izvērtēšanas sanāksme, kurā balstoties uz esošās KDG dalībnieku un PO pieredzi un ekspertīzi tiks nodrošināta 2021. - 2027. gada plānošanas perioda </w:t>
      </w:r>
      <w:r w:rsidR="002B2A41">
        <w:rPr>
          <w:rFonts w:ascii="Times New Roman" w:hAnsi="Times New Roman" w:cs="Times New Roman"/>
          <w:bCs/>
          <w:sz w:val="24"/>
          <w:szCs w:val="24"/>
        </w:rPr>
        <w:t>P</w:t>
      </w:r>
      <w:r w:rsidR="002B2A41" w:rsidRPr="000D5DBF">
        <w:rPr>
          <w:rFonts w:ascii="Times New Roman" w:hAnsi="Times New Roman" w:cs="Times New Roman"/>
          <w:bCs/>
          <w:sz w:val="24"/>
          <w:szCs w:val="24"/>
        </w:rPr>
        <w:t>rogramma</w:t>
      </w:r>
      <w:r w:rsidR="002B2A41">
        <w:rPr>
          <w:rFonts w:ascii="Times New Roman" w:hAnsi="Times New Roman" w:cs="Times New Roman"/>
          <w:bCs/>
          <w:sz w:val="24"/>
          <w:szCs w:val="24"/>
        </w:rPr>
        <w:t xml:space="preserve">s </w:t>
      </w:r>
      <w:r w:rsidRPr="000D5DBF">
        <w:rPr>
          <w:rFonts w:ascii="Times New Roman" w:eastAsia="Calibri" w:hAnsi="Times New Roman" w:cs="Times New Roman"/>
          <w:noProof/>
          <w:sz w:val="24"/>
          <w:szCs w:val="24"/>
        </w:rPr>
        <w:t>īstenošanas progresa uzraudzība un izvērtēšana.</w:t>
      </w:r>
    </w:p>
    <w:p w14:paraId="670721FF" w14:textId="22688ADD" w:rsidR="00B65BDD" w:rsidRPr="000D5DBF" w:rsidRDefault="00B65BDD"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eastAsia="Calibri" w:hAnsi="Times New Roman" w:cs="Times New Roman"/>
          <w:noProof/>
          <w:sz w:val="24"/>
          <w:szCs w:val="24"/>
        </w:rPr>
        <w:t>KDG locekļi iesaistāmi EK organizētajos pasākumos labās prakses pārņemšanai un tās piemērošanai un popularizēšanai Latvijā, kā a</w:t>
      </w:r>
      <w:r w:rsidR="00445DF4" w:rsidRPr="000D5DBF">
        <w:rPr>
          <w:rFonts w:ascii="Times New Roman" w:eastAsia="Calibri" w:hAnsi="Times New Roman" w:cs="Times New Roman"/>
          <w:noProof/>
          <w:sz w:val="24"/>
          <w:szCs w:val="24"/>
        </w:rPr>
        <w:t>rī sava darba pieredzes nodošan</w:t>
      </w:r>
      <w:r w:rsidRPr="000D5DBF">
        <w:rPr>
          <w:rFonts w:ascii="Times New Roman" w:eastAsia="Calibri" w:hAnsi="Times New Roman" w:cs="Times New Roman"/>
          <w:noProof/>
          <w:sz w:val="24"/>
          <w:szCs w:val="24"/>
        </w:rPr>
        <w:t>ai citiem iesaistītajiem.</w:t>
      </w:r>
    </w:p>
    <w:p w14:paraId="17B032F1" w14:textId="20F9FC4D" w:rsidR="00B65BDD" w:rsidRPr="000D5DBF" w:rsidRDefault="00B65BDD"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sidRPr="000D5DBF">
        <w:rPr>
          <w:rFonts w:ascii="Times New Roman" w:hAnsi="Times New Roman" w:cs="Times New Roman"/>
          <w:noProof/>
          <w:sz w:val="24"/>
          <w:szCs w:val="24"/>
        </w:rPr>
        <w:t xml:space="preserve">Nepieciešamības gadījumā </w:t>
      </w:r>
      <w:r w:rsidR="004132F5">
        <w:rPr>
          <w:rFonts w:ascii="Times New Roman" w:hAnsi="Times New Roman" w:cs="Times New Roman"/>
          <w:bCs/>
          <w:sz w:val="24"/>
          <w:szCs w:val="24"/>
        </w:rPr>
        <w:t>P</w:t>
      </w:r>
      <w:r w:rsidR="004132F5" w:rsidRPr="000D5DBF">
        <w:rPr>
          <w:rFonts w:ascii="Times New Roman" w:hAnsi="Times New Roman" w:cs="Times New Roman"/>
          <w:bCs/>
          <w:sz w:val="24"/>
          <w:szCs w:val="24"/>
        </w:rPr>
        <w:t>rogramma</w:t>
      </w:r>
      <w:r w:rsidR="004132F5">
        <w:rPr>
          <w:rFonts w:ascii="Times New Roman" w:hAnsi="Times New Roman" w:cs="Times New Roman"/>
          <w:bCs/>
          <w:sz w:val="24"/>
          <w:szCs w:val="24"/>
        </w:rPr>
        <w:t xml:space="preserve">s </w:t>
      </w:r>
      <w:r w:rsidRPr="000D5DBF">
        <w:rPr>
          <w:rFonts w:ascii="Times New Roman" w:hAnsi="Times New Roman" w:cs="Times New Roman"/>
          <w:noProof/>
          <w:sz w:val="24"/>
          <w:szCs w:val="24"/>
        </w:rPr>
        <w:t xml:space="preserve">īstenošanas posmā </w:t>
      </w:r>
      <w:r w:rsidRPr="000D5DBF">
        <w:rPr>
          <w:rFonts w:ascii="Times New Roman" w:eastAsia="Calibri" w:hAnsi="Times New Roman" w:cs="Times New Roman"/>
          <w:noProof/>
          <w:sz w:val="24"/>
          <w:szCs w:val="24"/>
        </w:rPr>
        <w:t>K</w:t>
      </w:r>
      <w:r w:rsidRPr="000D5DBF">
        <w:rPr>
          <w:rFonts w:ascii="Times New Roman" w:hAnsi="Times New Roman" w:cs="Times New Roman"/>
          <w:noProof/>
          <w:sz w:val="24"/>
          <w:szCs w:val="24"/>
        </w:rPr>
        <w:t>DG sastāvs var tikt paplašināts vai tikt piesaistīti nozaru ministrijas eksperti viedokļa par atbalsta veidu maiņu vai papildināšanu sniegšanai.</w:t>
      </w:r>
    </w:p>
    <w:p w14:paraId="5D9F1254" w14:textId="39596B07" w:rsidR="00B65BDD" w:rsidRPr="000D5DBF" w:rsidRDefault="004132F5" w:rsidP="00641840">
      <w:pPr>
        <w:pStyle w:val="ListParagraph"/>
        <w:numPr>
          <w:ilvl w:val="0"/>
          <w:numId w:val="2"/>
        </w:numPr>
        <w:spacing w:after="0" w:line="240" w:lineRule="auto"/>
        <w:ind w:left="567" w:hanging="567"/>
        <w:jc w:val="both"/>
        <w:rPr>
          <w:rFonts w:ascii="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sidR="00CC6B98">
        <w:rPr>
          <w:rFonts w:ascii="Times New Roman" w:hAnsi="Times New Roman" w:cs="Times New Roman"/>
          <w:bCs/>
          <w:sz w:val="24"/>
          <w:szCs w:val="24"/>
        </w:rPr>
        <w:t xml:space="preserve">s </w:t>
      </w:r>
      <w:r w:rsidR="00B65BDD" w:rsidRPr="000D5DBF">
        <w:rPr>
          <w:rFonts w:ascii="Times New Roman" w:hAnsi="Times New Roman" w:cs="Times New Roman"/>
          <w:noProof/>
          <w:sz w:val="24"/>
          <w:szCs w:val="24"/>
        </w:rPr>
        <w:t>vadošās iestādes pārstāvis piedalīsies citu programmu uzraudzības komitejās un sadarbības forumos, tādējādi n</w:t>
      </w:r>
      <w:r w:rsidR="00B67CBB" w:rsidRPr="000D5DBF">
        <w:rPr>
          <w:rFonts w:ascii="Times New Roman" w:hAnsi="Times New Roman" w:cs="Times New Roman"/>
          <w:noProof/>
          <w:sz w:val="24"/>
          <w:szCs w:val="24"/>
        </w:rPr>
        <w:t>odrošinot partnerību</w:t>
      </w:r>
      <w:r w:rsidR="00B65BDD" w:rsidRPr="000D5DBF">
        <w:rPr>
          <w:rFonts w:ascii="Times New Roman" w:hAnsi="Times New Roman" w:cs="Times New Roman"/>
          <w:noProof/>
          <w:sz w:val="24"/>
          <w:szCs w:val="24"/>
        </w:rPr>
        <w:t>.</w:t>
      </w:r>
    </w:p>
    <w:p w14:paraId="3A8F04FF" w14:textId="77777777" w:rsidR="00575FD7" w:rsidRPr="000D5DBF" w:rsidRDefault="00575FD7" w:rsidP="00641840">
      <w:pPr>
        <w:pStyle w:val="ListParagraph"/>
        <w:spacing w:after="0" w:line="240" w:lineRule="auto"/>
        <w:ind w:left="567"/>
        <w:jc w:val="both"/>
        <w:rPr>
          <w:rFonts w:ascii="Times New Roman" w:hAnsi="Times New Roman" w:cs="Times New Roman"/>
          <w:noProof/>
          <w:sz w:val="24"/>
          <w:szCs w:val="24"/>
        </w:rPr>
      </w:pPr>
    </w:p>
    <w:p w14:paraId="1BBF745E" w14:textId="77777777" w:rsidR="00B65BDD" w:rsidRPr="000D5DBF" w:rsidRDefault="00B65BDD" w:rsidP="00641840">
      <w:pPr>
        <w:pStyle w:val="Heading1"/>
        <w:numPr>
          <w:ilvl w:val="0"/>
          <w:numId w:val="30"/>
        </w:numPr>
        <w:spacing w:before="0"/>
        <w:rPr>
          <w:rFonts w:ascii="Times New Roman" w:hAnsi="Times New Roman" w:cs="Times New Roman"/>
          <w:b/>
          <w:noProof/>
          <w:color w:val="auto"/>
          <w:sz w:val="28"/>
          <w:szCs w:val="28"/>
        </w:rPr>
      </w:pPr>
      <w:bookmarkStart w:id="19" w:name="_Toc70410847"/>
      <w:r w:rsidRPr="000D5DBF">
        <w:rPr>
          <w:rFonts w:ascii="Times New Roman" w:hAnsi="Times New Roman" w:cs="Times New Roman"/>
          <w:b/>
          <w:noProof/>
          <w:color w:val="auto"/>
          <w:sz w:val="28"/>
          <w:szCs w:val="28"/>
        </w:rPr>
        <w:t>Komunikācija un redzamība</w:t>
      </w:r>
      <w:bookmarkEnd w:id="19"/>
    </w:p>
    <w:p w14:paraId="1FE4B42C" w14:textId="0F85DCA1" w:rsidR="001840D3" w:rsidRPr="000D5DBF" w:rsidRDefault="001840D3"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sz w:val="24"/>
          <w:szCs w:val="24"/>
        </w:rPr>
        <w:t xml:space="preserve">Paredzēts, ka FM nodrošinās stratēģisku un koordinētu KP fondu komunikāciju Latvijas un ES ietvaros, paplašinot un attīstot jau esošo Komunikācijas vadības darba grupu, kas veiksmīgi darbojās 2014. – 2020. gada plānošanas periodā. LM kā </w:t>
      </w:r>
      <w:r w:rsidR="004132F5">
        <w:rPr>
          <w:rFonts w:ascii="Times New Roman" w:hAnsi="Times New Roman" w:cs="Times New Roman"/>
          <w:bCs/>
          <w:sz w:val="24"/>
          <w:szCs w:val="24"/>
        </w:rPr>
        <w:t>P</w:t>
      </w:r>
      <w:r w:rsidR="004132F5" w:rsidRPr="000D5DBF">
        <w:rPr>
          <w:rFonts w:ascii="Times New Roman" w:hAnsi="Times New Roman" w:cs="Times New Roman"/>
          <w:bCs/>
          <w:sz w:val="24"/>
          <w:szCs w:val="24"/>
        </w:rPr>
        <w:t>rogramma</w:t>
      </w:r>
      <w:r w:rsidR="004132F5">
        <w:rPr>
          <w:rFonts w:ascii="Times New Roman" w:hAnsi="Times New Roman" w:cs="Times New Roman"/>
          <w:bCs/>
          <w:sz w:val="24"/>
          <w:szCs w:val="24"/>
        </w:rPr>
        <w:t>s</w:t>
      </w:r>
      <w:r w:rsidRPr="000D5DBF">
        <w:rPr>
          <w:rFonts w:ascii="Times New Roman" w:hAnsi="Times New Roman" w:cs="Times New Roman"/>
          <w:sz w:val="24"/>
          <w:szCs w:val="24"/>
        </w:rPr>
        <w:t xml:space="preserve"> </w:t>
      </w:r>
      <w:r w:rsidRPr="000D5DBF">
        <w:rPr>
          <w:rFonts w:ascii="Times New Roman" w:eastAsia="Times New Roman" w:hAnsi="Times New Roman" w:cs="Times New Roman"/>
          <w:noProof/>
          <w:sz w:val="24"/>
          <w:szCs w:val="24"/>
        </w:rPr>
        <w:t>vadošā iestāde nozīmēs komunikācijas koordinatoru darbam Komunikācijas vadības darba grupā.</w:t>
      </w:r>
      <w:r w:rsidRPr="000D5DBF">
        <w:rPr>
          <w:rFonts w:ascii="Times New Roman" w:eastAsia="Calibri" w:hAnsi="Times New Roman" w:cs="Times New Roman"/>
          <w:sz w:val="24"/>
          <w:szCs w:val="24"/>
        </w:rPr>
        <w:t xml:space="preserve"> </w:t>
      </w:r>
      <w:r w:rsidRPr="000D5DBF">
        <w:rPr>
          <w:rFonts w:ascii="Times New Roman" w:eastAsia="Times New Roman" w:hAnsi="Times New Roman" w:cs="Times New Roman"/>
          <w:noProof/>
          <w:sz w:val="24"/>
          <w:szCs w:val="24"/>
        </w:rPr>
        <w:t>Komunikācijas aktivitāšu izvērtējums notiks KP fondu komunikācijas stratēģijas ieviešanas ietvaros.</w:t>
      </w:r>
    </w:p>
    <w:p w14:paraId="23E0C664" w14:textId="2543D894" w:rsidR="001840D3" w:rsidRPr="000D5DBF" w:rsidRDefault="001840D3"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hAnsi="Times New Roman" w:cs="Times New Roman"/>
          <w:sz w:val="24"/>
          <w:szCs w:val="24"/>
        </w:rPr>
        <w:t xml:space="preserve">Informācija par </w:t>
      </w:r>
      <w:r w:rsidR="002538F6">
        <w:rPr>
          <w:rFonts w:ascii="Times New Roman" w:hAnsi="Times New Roman" w:cs="Times New Roman"/>
          <w:bCs/>
          <w:sz w:val="24"/>
          <w:szCs w:val="24"/>
        </w:rPr>
        <w:t>P</w:t>
      </w:r>
      <w:r w:rsidR="002538F6" w:rsidRPr="000D5DBF">
        <w:rPr>
          <w:rFonts w:ascii="Times New Roman" w:hAnsi="Times New Roman" w:cs="Times New Roman"/>
          <w:bCs/>
          <w:sz w:val="24"/>
          <w:szCs w:val="24"/>
        </w:rPr>
        <w:t>rogramma</w:t>
      </w:r>
      <w:r w:rsidR="002538F6">
        <w:rPr>
          <w:rFonts w:ascii="Times New Roman" w:hAnsi="Times New Roman" w:cs="Times New Roman"/>
          <w:bCs/>
          <w:sz w:val="24"/>
          <w:szCs w:val="24"/>
        </w:rPr>
        <w:t xml:space="preserve">s </w:t>
      </w:r>
      <w:r w:rsidRPr="000D5DBF">
        <w:rPr>
          <w:rFonts w:ascii="Times New Roman" w:hAnsi="Times New Roman" w:cs="Times New Roman"/>
          <w:noProof/>
          <w:sz w:val="24"/>
          <w:szCs w:val="24"/>
        </w:rPr>
        <w:t xml:space="preserve">ietvaros </w:t>
      </w:r>
      <w:r w:rsidRPr="000D5DBF">
        <w:rPr>
          <w:rFonts w:ascii="Times New Roman" w:hAnsi="Times New Roman" w:cs="Times New Roman"/>
          <w:sz w:val="24"/>
          <w:szCs w:val="24"/>
          <w:lang w:bidi="ar-SA"/>
        </w:rPr>
        <w:t xml:space="preserve">atbalstītajām darbībām, nozīmi un rezultātiem tiks ievietota </w:t>
      </w:r>
      <w:r w:rsidRPr="000D5DBF">
        <w:rPr>
          <w:rFonts w:ascii="Times New Roman" w:eastAsia="Times New Roman" w:hAnsi="Times New Roman" w:cs="Times New Roman"/>
          <w:noProof/>
          <w:sz w:val="24"/>
          <w:szCs w:val="24"/>
        </w:rPr>
        <w:t>vienotā tīmekļa vietnē.</w:t>
      </w:r>
    </w:p>
    <w:p w14:paraId="0127ABF8" w14:textId="4A966EEE" w:rsidR="001840D3" w:rsidRPr="000D5DBF" w:rsidRDefault="001840D3"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Sešu mēnešu laikā pēc </w:t>
      </w:r>
      <w:r w:rsidR="002538F6">
        <w:rPr>
          <w:rFonts w:ascii="Times New Roman" w:hAnsi="Times New Roman" w:cs="Times New Roman"/>
          <w:bCs/>
          <w:sz w:val="24"/>
          <w:szCs w:val="24"/>
        </w:rPr>
        <w:t>P</w:t>
      </w:r>
      <w:r w:rsidR="002538F6" w:rsidRPr="000D5DBF">
        <w:rPr>
          <w:rFonts w:ascii="Times New Roman" w:hAnsi="Times New Roman" w:cs="Times New Roman"/>
          <w:bCs/>
          <w:sz w:val="24"/>
          <w:szCs w:val="24"/>
        </w:rPr>
        <w:t>rogramma</w:t>
      </w:r>
      <w:r w:rsidR="002538F6">
        <w:rPr>
          <w:rFonts w:ascii="Times New Roman" w:hAnsi="Times New Roman" w:cs="Times New Roman"/>
          <w:bCs/>
          <w:sz w:val="24"/>
          <w:szCs w:val="24"/>
        </w:rPr>
        <w:t xml:space="preserve">s </w:t>
      </w:r>
      <w:r w:rsidRPr="000D5DBF">
        <w:rPr>
          <w:rFonts w:ascii="Times New Roman" w:eastAsia="Times New Roman" w:hAnsi="Times New Roman" w:cs="Times New Roman"/>
          <w:noProof/>
          <w:sz w:val="24"/>
          <w:szCs w:val="24"/>
        </w:rPr>
        <w:t xml:space="preserve">apstiprināšanas LM tīmekļa vietnē būs pieejama informācija par </w:t>
      </w:r>
      <w:r w:rsidR="00154C8A">
        <w:rPr>
          <w:rFonts w:ascii="Times New Roman" w:hAnsi="Times New Roman" w:cs="Times New Roman"/>
          <w:sz w:val="24"/>
          <w:szCs w:val="24"/>
        </w:rPr>
        <w:t>P</w:t>
      </w:r>
      <w:r w:rsidRPr="000D5DBF">
        <w:rPr>
          <w:rFonts w:ascii="Times New Roman" w:hAnsi="Times New Roman" w:cs="Times New Roman"/>
          <w:sz w:val="24"/>
          <w:szCs w:val="24"/>
        </w:rPr>
        <w:t xml:space="preserve">rogrammas </w:t>
      </w:r>
      <w:r w:rsidRPr="000D5DBF">
        <w:rPr>
          <w:rFonts w:ascii="Times New Roman" w:eastAsia="Times New Roman" w:hAnsi="Times New Roman" w:cs="Times New Roman"/>
          <w:noProof/>
          <w:sz w:val="24"/>
          <w:szCs w:val="24"/>
        </w:rPr>
        <w:t>mērķiem, atbalstītajām darbībām un piešķirto finansējumu.</w:t>
      </w:r>
    </w:p>
    <w:p w14:paraId="69FD0110" w14:textId="77777777" w:rsidR="001840D3" w:rsidRPr="000D5DBF" w:rsidRDefault="001840D3"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LM un sadarbības iestādes tīmekļa vietnē tiks publiskota visa uz atklātiem konkursiem attiecināma informācija atbilstoši KNR 44. panta 2. un 3. punktā noteiktajam.</w:t>
      </w:r>
    </w:p>
    <w:p w14:paraId="2A1EB6F4" w14:textId="6A039CED" w:rsidR="001840D3" w:rsidRPr="000D5DBF" w:rsidRDefault="001840D3"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sidRPr="000D5DBF">
        <w:rPr>
          <w:rFonts w:ascii="Times New Roman" w:eastAsia="Times New Roman" w:hAnsi="Times New Roman" w:cs="Times New Roman"/>
          <w:noProof/>
          <w:sz w:val="24"/>
          <w:szCs w:val="24"/>
        </w:rPr>
        <w:t xml:space="preserve">Noslēgtajās vienošanās vai līgumos ar finansējuma saņēmējiem tiks iekļauta prasība nodrošināt pārredzamību un informēšanu par </w:t>
      </w:r>
      <w:r w:rsidR="002538F6">
        <w:rPr>
          <w:rFonts w:ascii="Times New Roman" w:hAnsi="Times New Roman" w:cs="Times New Roman"/>
          <w:bCs/>
          <w:sz w:val="24"/>
          <w:szCs w:val="24"/>
        </w:rPr>
        <w:t>Programmu</w:t>
      </w:r>
      <w:r w:rsidRPr="000D5DBF">
        <w:rPr>
          <w:rFonts w:ascii="Times New Roman" w:hAnsi="Times New Roman" w:cs="Times New Roman"/>
          <w:sz w:val="24"/>
          <w:szCs w:val="24"/>
        </w:rPr>
        <w:t xml:space="preserve"> atbilstoši </w:t>
      </w:r>
      <w:r w:rsidRPr="000D5DBF">
        <w:rPr>
          <w:rFonts w:ascii="Times New Roman" w:eastAsia="Times New Roman" w:hAnsi="Times New Roman" w:cs="Times New Roman"/>
          <w:noProof/>
          <w:sz w:val="24"/>
          <w:szCs w:val="24"/>
        </w:rPr>
        <w:t>KNR 45. panta 1. punktā noteiktajam.</w:t>
      </w:r>
    </w:p>
    <w:p w14:paraId="775D8268" w14:textId="607C69A3" w:rsidR="001840D3" w:rsidRPr="000D5DBF" w:rsidRDefault="002538F6"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1840D3" w:rsidRPr="000D5DBF">
        <w:rPr>
          <w:rFonts w:ascii="Times New Roman" w:hAnsi="Times New Roman" w:cs="Times New Roman"/>
          <w:sz w:val="24"/>
          <w:szCs w:val="24"/>
        </w:rPr>
        <w:t>vadošā iestāde, sadarbības iestāde un finansējuma saņēmēji, veicot redzamības, pārredzamības un komunikācijas aktivitātes, izmantos ES emblēmu saskaņā ar KNR VIII pielikuma noteikumiem.</w:t>
      </w:r>
    </w:p>
    <w:p w14:paraId="72850360" w14:textId="4F390B47" w:rsidR="001840D3" w:rsidRPr="000D5DBF" w:rsidRDefault="002538F6" w:rsidP="00641840">
      <w:pPr>
        <w:pStyle w:val="ListParagraph"/>
        <w:numPr>
          <w:ilvl w:val="0"/>
          <w:numId w:val="2"/>
        </w:numPr>
        <w:spacing w:after="0" w:line="240" w:lineRule="auto"/>
        <w:ind w:left="567" w:hanging="567"/>
        <w:jc w:val="both"/>
        <w:rPr>
          <w:rFonts w:ascii="Times New Roman" w:eastAsia="Times New Roman" w:hAnsi="Times New Roman" w:cs="Times New Roman"/>
          <w:noProof/>
          <w:sz w:val="24"/>
          <w:szCs w:val="24"/>
        </w:rPr>
      </w:pPr>
      <w:r>
        <w:rPr>
          <w:rFonts w:ascii="Times New Roman" w:hAnsi="Times New Roman" w:cs="Times New Roman"/>
          <w:bCs/>
          <w:sz w:val="24"/>
          <w:szCs w:val="24"/>
        </w:rPr>
        <w:t>P</w:t>
      </w:r>
      <w:r w:rsidRPr="000D5DBF">
        <w:rPr>
          <w:rFonts w:ascii="Times New Roman" w:hAnsi="Times New Roman" w:cs="Times New Roman"/>
          <w:bCs/>
          <w:sz w:val="24"/>
          <w:szCs w:val="24"/>
        </w:rPr>
        <w:t>rogramma</w:t>
      </w:r>
      <w:r>
        <w:rPr>
          <w:rFonts w:ascii="Times New Roman" w:hAnsi="Times New Roman" w:cs="Times New Roman"/>
          <w:bCs/>
          <w:sz w:val="24"/>
          <w:szCs w:val="24"/>
        </w:rPr>
        <w:t xml:space="preserve">s </w:t>
      </w:r>
      <w:r w:rsidR="00360F18" w:rsidRPr="000D5DBF">
        <w:rPr>
          <w:rFonts w:ascii="Times New Roman" w:hAnsi="Times New Roman" w:cs="Times New Roman"/>
          <w:sz w:val="24"/>
          <w:szCs w:val="24"/>
        </w:rPr>
        <w:t>ietvaros b</w:t>
      </w:r>
      <w:r w:rsidR="001840D3" w:rsidRPr="000D5DBF">
        <w:rPr>
          <w:rFonts w:ascii="Times New Roman" w:hAnsi="Times New Roman" w:cs="Times New Roman"/>
          <w:sz w:val="24"/>
          <w:szCs w:val="24"/>
        </w:rPr>
        <w:t>ūtiska ir kvalitatīvas un savlaicīgas informācijas nodrošināšana šādām mērķauditorijas grupām:</w:t>
      </w:r>
    </w:p>
    <w:p w14:paraId="73DF7D72" w14:textId="20596B39" w:rsidR="001840D3" w:rsidRPr="000D5DBF" w:rsidRDefault="008C1381" w:rsidP="00641840">
      <w:pPr>
        <w:pStyle w:val="ListParagraph"/>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w:t>
      </w:r>
      <w:r w:rsidR="001840D3" w:rsidRPr="000D5DBF">
        <w:rPr>
          <w:rFonts w:ascii="Times New Roman" w:hAnsi="Times New Roman" w:cs="Times New Roman"/>
          <w:sz w:val="24"/>
          <w:szCs w:val="24"/>
        </w:rPr>
        <w:t>rogrammas atbalsta gala saņēmēji;</w:t>
      </w:r>
    </w:p>
    <w:p w14:paraId="5FDC7D1E" w14:textId="77777777" w:rsidR="001840D3" w:rsidRPr="000D5DBF" w:rsidRDefault="001840D3" w:rsidP="00641840">
      <w:pPr>
        <w:pStyle w:val="ListParagraph"/>
        <w:numPr>
          <w:ilvl w:val="0"/>
          <w:numId w:val="29"/>
        </w:numPr>
        <w:spacing w:after="0" w:line="240" w:lineRule="auto"/>
        <w:ind w:left="993" w:hanging="426"/>
        <w:jc w:val="both"/>
        <w:rPr>
          <w:rFonts w:ascii="Times New Roman" w:hAnsi="Times New Roman" w:cs="Times New Roman"/>
          <w:sz w:val="24"/>
          <w:szCs w:val="24"/>
        </w:rPr>
      </w:pPr>
      <w:r w:rsidRPr="000D5DBF">
        <w:rPr>
          <w:rFonts w:ascii="Times New Roman" w:hAnsi="Times New Roman" w:cs="Times New Roman"/>
          <w:sz w:val="24"/>
          <w:szCs w:val="24"/>
        </w:rPr>
        <w:t>Potenciālie finansējuma saņēmēji – partnerorganizācijas: nevalstiskas un reliģiskās organizācijas, pašvaldības un to iestādes;</w:t>
      </w:r>
    </w:p>
    <w:p w14:paraId="28B8C7BC" w14:textId="7A71F216" w:rsidR="001840D3" w:rsidRPr="000D5DBF" w:rsidRDefault="001840D3" w:rsidP="00641840">
      <w:pPr>
        <w:pStyle w:val="ListParagraph"/>
        <w:numPr>
          <w:ilvl w:val="0"/>
          <w:numId w:val="29"/>
        </w:numPr>
        <w:spacing w:after="0" w:line="240" w:lineRule="auto"/>
        <w:ind w:left="993" w:hanging="426"/>
        <w:jc w:val="both"/>
        <w:rPr>
          <w:rFonts w:ascii="Times New Roman" w:hAnsi="Times New Roman" w:cs="Times New Roman"/>
          <w:sz w:val="24"/>
          <w:szCs w:val="24"/>
        </w:rPr>
      </w:pPr>
      <w:r w:rsidRPr="000D5DBF">
        <w:rPr>
          <w:rFonts w:ascii="Times New Roman" w:hAnsi="Times New Roman" w:cs="Times New Roman"/>
          <w:sz w:val="24"/>
          <w:szCs w:val="24"/>
        </w:rPr>
        <w:t xml:space="preserve">Ieinteresētās puses </w:t>
      </w:r>
      <w:r w:rsidR="008C1381">
        <w:rPr>
          <w:rFonts w:ascii="Times New Roman" w:hAnsi="Times New Roman" w:cs="Times New Roman"/>
          <w:sz w:val="24"/>
          <w:szCs w:val="24"/>
        </w:rPr>
        <w:t>–</w:t>
      </w:r>
      <w:r w:rsidRPr="000D5DBF">
        <w:rPr>
          <w:rFonts w:ascii="Times New Roman" w:hAnsi="Times New Roman" w:cs="Times New Roman"/>
          <w:sz w:val="24"/>
          <w:szCs w:val="24"/>
        </w:rPr>
        <w:t xml:space="preserve"> KDG;</w:t>
      </w:r>
    </w:p>
    <w:p w14:paraId="53D336FC" w14:textId="7CB158A3" w:rsidR="001840D3" w:rsidRPr="000D5DBF" w:rsidRDefault="008C1381" w:rsidP="00641840">
      <w:pPr>
        <w:pStyle w:val="ListParagraph"/>
        <w:numPr>
          <w:ilvl w:val="0"/>
          <w:numId w:val="29"/>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w:t>
      </w:r>
      <w:r w:rsidR="001840D3" w:rsidRPr="000D5DBF">
        <w:rPr>
          <w:rFonts w:ascii="Times New Roman" w:hAnsi="Times New Roman" w:cs="Times New Roman"/>
          <w:sz w:val="24"/>
          <w:szCs w:val="24"/>
        </w:rPr>
        <w:t>rogrammas vadībā</w:t>
      </w:r>
      <w:r>
        <w:rPr>
          <w:rFonts w:ascii="Times New Roman" w:hAnsi="Times New Roman" w:cs="Times New Roman"/>
          <w:sz w:val="24"/>
          <w:szCs w:val="24"/>
        </w:rPr>
        <w:t xml:space="preserve"> un uzraudzībā</w:t>
      </w:r>
      <w:r w:rsidR="001840D3" w:rsidRPr="000D5DBF">
        <w:rPr>
          <w:rFonts w:ascii="Times New Roman" w:hAnsi="Times New Roman" w:cs="Times New Roman"/>
          <w:sz w:val="24"/>
          <w:szCs w:val="24"/>
        </w:rPr>
        <w:t xml:space="preserve"> iesaistītās institūcijas;</w:t>
      </w:r>
    </w:p>
    <w:p w14:paraId="68F14A85" w14:textId="77777777" w:rsidR="001840D3" w:rsidRPr="000D5DBF" w:rsidRDefault="001840D3" w:rsidP="00641840">
      <w:pPr>
        <w:pStyle w:val="ListParagraph"/>
        <w:numPr>
          <w:ilvl w:val="0"/>
          <w:numId w:val="29"/>
        </w:numPr>
        <w:spacing w:after="0" w:line="240" w:lineRule="auto"/>
        <w:ind w:left="993" w:hanging="426"/>
        <w:jc w:val="both"/>
        <w:rPr>
          <w:rFonts w:ascii="Times New Roman" w:hAnsi="Times New Roman" w:cs="Times New Roman"/>
          <w:sz w:val="24"/>
          <w:szCs w:val="24"/>
        </w:rPr>
      </w:pPr>
      <w:r w:rsidRPr="000D5DBF">
        <w:rPr>
          <w:rFonts w:ascii="Times New Roman" w:hAnsi="Times New Roman" w:cs="Times New Roman"/>
          <w:sz w:val="24"/>
          <w:szCs w:val="24"/>
        </w:rPr>
        <w:t>Sabiedrība kopumā;</w:t>
      </w:r>
    </w:p>
    <w:p w14:paraId="0BC4BC84" w14:textId="09DBD4E3" w:rsidR="001840D3" w:rsidRPr="000D5DBF" w:rsidRDefault="001840D3" w:rsidP="00641840">
      <w:pPr>
        <w:pStyle w:val="ListParagraph"/>
        <w:numPr>
          <w:ilvl w:val="0"/>
          <w:numId w:val="29"/>
        </w:numPr>
        <w:spacing w:after="0" w:line="240" w:lineRule="auto"/>
        <w:ind w:left="993" w:hanging="426"/>
        <w:jc w:val="both"/>
        <w:rPr>
          <w:rFonts w:ascii="Times New Roman" w:hAnsi="Times New Roman" w:cs="Times New Roman"/>
          <w:sz w:val="24"/>
          <w:szCs w:val="24"/>
        </w:rPr>
      </w:pPr>
      <w:r w:rsidRPr="000D5DBF">
        <w:rPr>
          <w:rFonts w:ascii="Times New Roman" w:hAnsi="Times New Roman" w:cs="Times New Roman"/>
          <w:sz w:val="24"/>
          <w:szCs w:val="24"/>
        </w:rPr>
        <w:lastRenderedPageBreak/>
        <w:t xml:space="preserve">Korporatīvās (iekšējās) auditorijas: valsts pārvaldes un ES fondu vadībā </w:t>
      </w:r>
      <w:r w:rsidR="008C1381">
        <w:rPr>
          <w:rFonts w:ascii="Times New Roman" w:hAnsi="Times New Roman" w:cs="Times New Roman"/>
          <w:sz w:val="24"/>
          <w:szCs w:val="24"/>
        </w:rPr>
        <w:t xml:space="preserve">un uzraudzībā </w:t>
      </w:r>
      <w:r w:rsidRPr="000D5DBF">
        <w:rPr>
          <w:rFonts w:ascii="Times New Roman" w:hAnsi="Times New Roman" w:cs="Times New Roman"/>
          <w:sz w:val="24"/>
          <w:szCs w:val="24"/>
        </w:rPr>
        <w:t>iesaistīto iestāžu darbinieki.</w:t>
      </w:r>
    </w:p>
    <w:p w14:paraId="7A481312" w14:textId="505CFF9C" w:rsidR="000D0773" w:rsidRPr="00CC6B98" w:rsidRDefault="008C1381" w:rsidP="00641840">
      <w:pPr>
        <w:pStyle w:val="ListParagraph"/>
        <w:numPr>
          <w:ilvl w:val="0"/>
          <w:numId w:val="2"/>
        </w:numPr>
        <w:spacing w:after="0" w:line="240" w:lineRule="auto"/>
        <w:ind w:left="567" w:hanging="539"/>
        <w:jc w:val="both"/>
        <w:rPr>
          <w:rFonts w:ascii="Times New Roman" w:hAnsi="Times New Roman" w:cs="Times New Roman"/>
          <w:sz w:val="24"/>
          <w:szCs w:val="24"/>
        </w:rPr>
      </w:pPr>
      <w:r w:rsidRPr="00A86E57">
        <w:rPr>
          <w:rFonts w:ascii="Times New Roman" w:hAnsi="Times New Roman" w:cs="Times New Roman"/>
          <w:sz w:val="24"/>
          <w:szCs w:val="24"/>
        </w:rPr>
        <w:t>Informācijas par P</w:t>
      </w:r>
      <w:r w:rsidR="001840D3" w:rsidRPr="00A86E57">
        <w:rPr>
          <w:rFonts w:ascii="Times New Roman" w:hAnsi="Times New Roman" w:cs="Times New Roman"/>
          <w:sz w:val="24"/>
          <w:szCs w:val="24"/>
        </w:rPr>
        <w:t xml:space="preserve">rogrammu izplatīšanai izmantojams plašs komunikācijas kanālu </w:t>
      </w:r>
      <w:r w:rsidR="00D85B3E">
        <w:rPr>
          <w:rFonts w:ascii="Times New Roman" w:hAnsi="Times New Roman" w:cs="Times New Roman"/>
          <w:sz w:val="24"/>
          <w:szCs w:val="24"/>
        </w:rPr>
        <w:t>tīkls, kas nodrošina</w:t>
      </w:r>
      <w:r w:rsidR="001840D3" w:rsidRPr="00A86E57">
        <w:rPr>
          <w:rFonts w:ascii="Times New Roman" w:hAnsi="Times New Roman" w:cs="Times New Roman"/>
          <w:sz w:val="24"/>
          <w:szCs w:val="24"/>
        </w:rPr>
        <w:t xml:space="preserve"> visām mērķa grupām objektīvu un izs</w:t>
      </w:r>
      <w:r w:rsidR="00D85B3E">
        <w:rPr>
          <w:rFonts w:ascii="Times New Roman" w:hAnsi="Times New Roman" w:cs="Times New Roman"/>
          <w:sz w:val="24"/>
          <w:szCs w:val="24"/>
        </w:rPr>
        <w:t>meļošu informāciju.</w:t>
      </w:r>
      <w:r w:rsidR="00FD6936">
        <w:rPr>
          <w:rFonts w:ascii="Times New Roman" w:hAnsi="Times New Roman" w:cs="Times New Roman"/>
          <w:sz w:val="24"/>
          <w:szCs w:val="24"/>
        </w:rPr>
        <w:t xml:space="preserve"> </w:t>
      </w:r>
      <w:r w:rsidR="00D85B3E" w:rsidRPr="00FD6936">
        <w:rPr>
          <w:rFonts w:ascii="Times New Roman" w:hAnsi="Times New Roman" w:cs="Times New Roman"/>
          <w:sz w:val="24"/>
          <w:szCs w:val="24"/>
        </w:rPr>
        <w:t xml:space="preserve">Atbalsta gala saņēmēju informēšanu par atbalsta saņemšanas nosacījumiem veic pašvaldību sociālie dienesti, kur </w:t>
      </w:r>
      <w:r w:rsidR="00FD6936">
        <w:rPr>
          <w:rFonts w:ascii="Times New Roman" w:hAnsi="Times New Roman" w:cs="Times New Roman"/>
          <w:sz w:val="24"/>
          <w:szCs w:val="24"/>
        </w:rPr>
        <w:t>mājsaimniecības</w:t>
      </w:r>
      <w:r w:rsidR="00D85B3E" w:rsidRPr="00FD6936">
        <w:rPr>
          <w:rFonts w:ascii="Times New Roman" w:hAnsi="Times New Roman" w:cs="Times New Roman"/>
          <w:sz w:val="24"/>
          <w:szCs w:val="24"/>
        </w:rPr>
        <w:t xml:space="preserve"> vēršas tiesību uz atbalstu saņemšanai. Sociālais dienests atzīts kā populārākais informācijas kanāls EAFVP darbības programmas īstenošanas l</w:t>
      </w:r>
      <w:r w:rsidR="00D85B3E" w:rsidRPr="008F6977">
        <w:rPr>
          <w:rFonts w:ascii="Times New Roman" w:hAnsi="Times New Roman" w:cs="Times New Roman"/>
          <w:sz w:val="24"/>
          <w:szCs w:val="24"/>
        </w:rPr>
        <w:t>aikā</w:t>
      </w:r>
      <w:r w:rsidR="00FD6936" w:rsidRPr="008F6977">
        <w:rPr>
          <w:rFonts w:ascii="Times New Roman" w:hAnsi="Times New Roman" w:cs="Times New Roman"/>
          <w:sz w:val="24"/>
          <w:szCs w:val="24"/>
        </w:rPr>
        <w:t xml:space="preserve">. </w:t>
      </w:r>
      <w:r w:rsidR="00FA6931" w:rsidRPr="008F6977">
        <w:rPr>
          <w:rFonts w:ascii="Times New Roman" w:hAnsi="Times New Roman" w:cs="Times New Roman"/>
          <w:sz w:val="24"/>
          <w:szCs w:val="24"/>
        </w:rPr>
        <w:t>Vienlaikus t</w:t>
      </w:r>
      <w:r w:rsidR="001840D3" w:rsidRPr="008F6977">
        <w:rPr>
          <w:rFonts w:ascii="Times New Roman" w:hAnsi="Times New Roman" w:cs="Times New Roman"/>
          <w:sz w:val="24"/>
          <w:szCs w:val="24"/>
        </w:rPr>
        <w:t xml:space="preserve">iks izmantoti jau </w:t>
      </w:r>
      <w:r w:rsidR="005E7BE5" w:rsidRPr="008F6977">
        <w:rPr>
          <w:rFonts w:ascii="Times New Roman" w:hAnsi="Times New Roman" w:cs="Times New Roman"/>
          <w:sz w:val="24"/>
          <w:szCs w:val="24"/>
        </w:rPr>
        <w:t>līdz šim</w:t>
      </w:r>
      <w:r w:rsidR="001D550C" w:rsidRPr="008F6977">
        <w:rPr>
          <w:rFonts w:ascii="Times New Roman" w:hAnsi="Times New Roman" w:cs="Times New Roman"/>
          <w:sz w:val="24"/>
          <w:szCs w:val="24"/>
        </w:rPr>
        <w:t xml:space="preserve"> izmantotie</w:t>
      </w:r>
      <w:r w:rsidR="001840D3" w:rsidRPr="008F6977">
        <w:rPr>
          <w:rFonts w:ascii="Times New Roman" w:hAnsi="Times New Roman" w:cs="Times New Roman"/>
          <w:sz w:val="24"/>
          <w:szCs w:val="24"/>
        </w:rPr>
        <w:t xml:space="preserve"> komunikācijas kanāli – vadošās un sadarbības iestādes tīmekļa vietnes, sociālo tīklu konti, d</w:t>
      </w:r>
      <w:r w:rsidR="008F6977" w:rsidRPr="008F6977">
        <w:rPr>
          <w:rFonts w:ascii="Times New Roman" w:hAnsi="Times New Roman" w:cs="Times New Roman"/>
          <w:sz w:val="24"/>
          <w:szCs w:val="24"/>
        </w:rPr>
        <w:t>rukātie materiāli (infografikas</w:t>
      </w:r>
      <w:r w:rsidR="001840D3" w:rsidRPr="008F6977">
        <w:rPr>
          <w:rFonts w:ascii="Times New Roman" w:hAnsi="Times New Roman" w:cs="Times New Roman"/>
          <w:sz w:val="24"/>
          <w:szCs w:val="24"/>
        </w:rPr>
        <w:t>). Mazākā mērā informācijas sniegšanai tiks izmantoti plašsaziņas līdzekļi, informatīvie pasākumi (semināri, preses</w:t>
      </w:r>
      <w:r w:rsidR="008F6977" w:rsidRPr="008F6977">
        <w:rPr>
          <w:rFonts w:ascii="Times New Roman" w:hAnsi="Times New Roman" w:cs="Times New Roman"/>
          <w:sz w:val="24"/>
          <w:szCs w:val="24"/>
        </w:rPr>
        <w:t xml:space="preserve"> konferences), vides reklāma.</w:t>
      </w:r>
    </w:p>
    <w:p w14:paraId="4D476EC2" w14:textId="77777777" w:rsidR="00C83ED9" w:rsidRPr="000D5DBF" w:rsidRDefault="00C83ED9" w:rsidP="00641840">
      <w:pPr>
        <w:spacing w:before="0" w:after="0"/>
        <w:rPr>
          <w:noProof/>
          <w:szCs w:val="24"/>
        </w:rPr>
      </w:pPr>
    </w:p>
    <w:p w14:paraId="4870E41D" w14:textId="77777777" w:rsidR="00C83ED9" w:rsidRPr="000D5DBF" w:rsidRDefault="00C83ED9" w:rsidP="00641840">
      <w:pPr>
        <w:spacing w:before="0" w:after="0"/>
        <w:rPr>
          <w:noProof/>
          <w:szCs w:val="24"/>
        </w:rPr>
        <w:sectPr w:rsidR="00C83ED9" w:rsidRPr="000D5DBF" w:rsidSect="00C84AC9">
          <w:headerReference w:type="default" r:id="rId8"/>
          <w:footerReference w:type="default" r:id="rId9"/>
          <w:footerReference w:type="first" r:id="rId10"/>
          <w:pgSz w:w="11906" w:h="16838"/>
          <w:pgMar w:top="1134" w:right="1276" w:bottom="1440" w:left="1701" w:header="708" w:footer="708" w:gutter="0"/>
          <w:cols w:space="708"/>
          <w:titlePg/>
          <w:docGrid w:linePitch="360"/>
        </w:sectPr>
      </w:pPr>
    </w:p>
    <w:p w14:paraId="2DEC0BFF" w14:textId="77777777" w:rsidR="00B65BDD" w:rsidRPr="000D5DBF" w:rsidRDefault="00486440" w:rsidP="00641840">
      <w:pPr>
        <w:pStyle w:val="Heading1"/>
        <w:numPr>
          <w:ilvl w:val="0"/>
          <w:numId w:val="30"/>
        </w:numPr>
        <w:spacing w:before="0"/>
        <w:rPr>
          <w:rFonts w:ascii="Times New Roman" w:hAnsi="Times New Roman" w:cs="Times New Roman"/>
          <w:b/>
          <w:noProof/>
          <w:color w:val="auto"/>
          <w:sz w:val="28"/>
          <w:szCs w:val="28"/>
        </w:rPr>
      </w:pPr>
      <w:bookmarkStart w:id="20" w:name="_Toc70410848"/>
      <w:r w:rsidRPr="000D5DBF">
        <w:rPr>
          <w:rFonts w:ascii="Times New Roman" w:hAnsi="Times New Roman" w:cs="Times New Roman"/>
          <w:b/>
          <w:noProof/>
          <w:color w:val="auto"/>
          <w:sz w:val="28"/>
          <w:szCs w:val="28"/>
        </w:rPr>
        <w:lastRenderedPageBreak/>
        <w:t>Finanšu</w:t>
      </w:r>
      <w:r w:rsidR="00B65BDD" w:rsidRPr="000D5DBF">
        <w:rPr>
          <w:rFonts w:ascii="Times New Roman" w:hAnsi="Times New Roman" w:cs="Times New Roman"/>
          <w:b/>
          <w:noProof/>
          <w:color w:val="auto"/>
          <w:sz w:val="28"/>
          <w:szCs w:val="28"/>
        </w:rPr>
        <w:t xml:space="preserve"> plāns</w:t>
      </w:r>
      <w:bookmarkEnd w:id="20"/>
    </w:p>
    <w:p w14:paraId="5394F8D9" w14:textId="77777777" w:rsidR="00E02DDA" w:rsidRPr="000D5DBF" w:rsidRDefault="00E02DDA" w:rsidP="00641840">
      <w:pPr>
        <w:spacing w:before="0" w:after="0"/>
        <w:rPr>
          <w:rFonts w:eastAsia="Times New Roman"/>
          <w:noProof/>
          <w:szCs w:val="24"/>
        </w:rPr>
      </w:pPr>
    </w:p>
    <w:p w14:paraId="151B740D" w14:textId="77777777" w:rsidR="00DF1ABB" w:rsidRPr="000D5DBF" w:rsidRDefault="00486440" w:rsidP="00641840">
      <w:pPr>
        <w:pStyle w:val="Heading2"/>
        <w:numPr>
          <w:ilvl w:val="1"/>
          <w:numId w:val="30"/>
        </w:numPr>
        <w:spacing w:before="0"/>
        <w:rPr>
          <w:rFonts w:ascii="Times New Roman" w:eastAsia="Times New Roman" w:hAnsi="Times New Roman" w:cs="Times New Roman"/>
          <w:b/>
          <w:noProof/>
          <w:color w:val="auto"/>
          <w:sz w:val="24"/>
          <w:szCs w:val="24"/>
        </w:rPr>
      </w:pPr>
      <w:bookmarkStart w:id="21" w:name="_Toc70410849"/>
      <w:r w:rsidRPr="000D5DBF">
        <w:rPr>
          <w:rFonts w:ascii="Times New Roman" w:eastAsia="Times New Roman" w:hAnsi="Times New Roman" w:cs="Times New Roman"/>
          <w:b/>
          <w:noProof/>
          <w:color w:val="auto"/>
          <w:sz w:val="24"/>
          <w:szCs w:val="24"/>
        </w:rPr>
        <w:t>Finanšu apropriācijas pa gadiem</w:t>
      </w:r>
      <w:bookmarkEnd w:id="21"/>
    </w:p>
    <w:p w14:paraId="4F5D3D9E" w14:textId="7F8D1174" w:rsidR="00D52263" w:rsidRDefault="00D52263" w:rsidP="00641840">
      <w:pPr>
        <w:spacing w:before="0" w:after="0"/>
        <w:rPr>
          <w:rFonts w:eastAsia="Times New Roman"/>
          <w:noProof/>
          <w:szCs w:val="24"/>
        </w:rPr>
      </w:pPr>
    </w:p>
    <w:p w14:paraId="4138681A" w14:textId="77777777" w:rsidR="00BB1B51" w:rsidRDefault="00AB0F65" w:rsidP="00641840">
      <w:pPr>
        <w:spacing w:before="0" w:after="0"/>
        <w:rPr>
          <w:rFonts w:eastAsia="Times New Roman"/>
          <w:noProof/>
          <w:szCs w:val="24"/>
        </w:rPr>
      </w:pPr>
      <w:r w:rsidRPr="00AB0F65">
        <w:rPr>
          <w:rFonts w:eastAsia="Times New Roman"/>
          <w:noProof/>
          <w:szCs w:val="24"/>
        </w:rPr>
        <w:tab/>
      </w:r>
    </w:p>
    <w:tbl>
      <w:tblPr>
        <w:tblStyle w:val="TableGrid"/>
        <w:tblW w:w="14170" w:type="dxa"/>
        <w:tblLook w:val="04A0" w:firstRow="1" w:lastRow="0" w:firstColumn="1" w:lastColumn="0" w:noHBand="0" w:noVBand="1"/>
      </w:tblPr>
      <w:tblGrid>
        <w:gridCol w:w="988"/>
        <w:gridCol w:w="2268"/>
        <w:gridCol w:w="1417"/>
        <w:gridCol w:w="1418"/>
        <w:gridCol w:w="1275"/>
        <w:gridCol w:w="1276"/>
        <w:gridCol w:w="1276"/>
        <w:gridCol w:w="1417"/>
        <w:gridCol w:w="1276"/>
        <w:gridCol w:w="1559"/>
      </w:tblGrid>
      <w:tr w:rsidR="00955942" w:rsidRPr="00955942" w14:paraId="603F5A2E" w14:textId="77777777" w:rsidTr="009E1973">
        <w:tc>
          <w:tcPr>
            <w:tcW w:w="14170" w:type="dxa"/>
            <w:gridSpan w:val="10"/>
          </w:tcPr>
          <w:p w14:paraId="2BFE924D" w14:textId="77777777" w:rsidR="00BB1B51" w:rsidRPr="00955942" w:rsidRDefault="00BB1B51" w:rsidP="00641840">
            <w:pPr>
              <w:spacing w:before="0" w:after="0"/>
              <w:rPr>
                <w:noProof/>
                <w:szCs w:val="24"/>
              </w:rPr>
            </w:pPr>
            <w:r w:rsidRPr="00955942">
              <w:rPr>
                <w:noProof/>
                <w:szCs w:val="24"/>
              </w:rPr>
              <w:t>1. tabula. Finanšu apropriācijas pa gadiem</w:t>
            </w:r>
          </w:p>
        </w:tc>
      </w:tr>
      <w:tr w:rsidR="00955942" w:rsidRPr="00955942" w14:paraId="72759F4A" w14:textId="77777777" w:rsidTr="009E1973">
        <w:tc>
          <w:tcPr>
            <w:tcW w:w="988" w:type="dxa"/>
          </w:tcPr>
          <w:p w14:paraId="7973781D" w14:textId="77777777" w:rsidR="00BB1B51" w:rsidRPr="00955942" w:rsidRDefault="00BB1B51" w:rsidP="00641840">
            <w:pPr>
              <w:spacing w:before="0" w:after="0"/>
              <w:rPr>
                <w:b/>
                <w:noProof/>
                <w:szCs w:val="24"/>
              </w:rPr>
            </w:pPr>
            <w:r w:rsidRPr="00955942">
              <w:rPr>
                <w:b/>
                <w:noProof/>
                <w:szCs w:val="24"/>
              </w:rPr>
              <w:t>Fonds</w:t>
            </w:r>
          </w:p>
        </w:tc>
        <w:tc>
          <w:tcPr>
            <w:tcW w:w="2268" w:type="dxa"/>
          </w:tcPr>
          <w:p w14:paraId="5DD3F5D5" w14:textId="77777777" w:rsidR="00BB1B51" w:rsidRPr="00955942" w:rsidRDefault="00BB1B51" w:rsidP="00641840">
            <w:pPr>
              <w:spacing w:before="0" w:after="0"/>
              <w:rPr>
                <w:b/>
                <w:noProof/>
                <w:szCs w:val="24"/>
              </w:rPr>
            </w:pPr>
            <w:r w:rsidRPr="00955942">
              <w:rPr>
                <w:b/>
                <w:noProof/>
                <w:szCs w:val="24"/>
              </w:rPr>
              <w:t>Reģiona kategorija</w:t>
            </w:r>
          </w:p>
        </w:tc>
        <w:tc>
          <w:tcPr>
            <w:tcW w:w="1417" w:type="dxa"/>
          </w:tcPr>
          <w:p w14:paraId="278ACB9D" w14:textId="77777777" w:rsidR="00BB1B51" w:rsidRPr="00955942" w:rsidRDefault="00BB1B51" w:rsidP="00641840">
            <w:pPr>
              <w:spacing w:before="0" w:after="0"/>
              <w:jc w:val="center"/>
              <w:rPr>
                <w:b/>
                <w:noProof/>
                <w:szCs w:val="24"/>
              </w:rPr>
            </w:pPr>
            <w:r w:rsidRPr="00955942">
              <w:rPr>
                <w:b/>
                <w:noProof/>
                <w:szCs w:val="24"/>
              </w:rPr>
              <w:t>2021</w:t>
            </w:r>
          </w:p>
        </w:tc>
        <w:tc>
          <w:tcPr>
            <w:tcW w:w="1418" w:type="dxa"/>
          </w:tcPr>
          <w:p w14:paraId="12B21AB5" w14:textId="77777777" w:rsidR="00BB1B51" w:rsidRPr="00955942" w:rsidRDefault="00BB1B51" w:rsidP="00641840">
            <w:pPr>
              <w:spacing w:before="0" w:after="0"/>
              <w:jc w:val="center"/>
              <w:rPr>
                <w:b/>
                <w:noProof/>
                <w:szCs w:val="24"/>
              </w:rPr>
            </w:pPr>
            <w:r w:rsidRPr="00955942">
              <w:rPr>
                <w:b/>
                <w:noProof/>
                <w:szCs w:val="24"/>
              </w:rPr>
              <w:t>2022</w:t>
            </w:r>
          </w:p>
        </w:tc>
        <w:tc>
          <w:tcPr>
            <w:tcW w:w="1275" w:type="dxa"/>
          </w:tcPr>
          <w:p w14:paraId="55B74EF8" w14:textId="77777777" w:rsidR="00BB1B51" w:rsidRPr="00955942" w:rsidRDefault="00BB1B51" w:rsidP="00641840">
            <w:pPr>
              <w:spacing w:before="0" w:after="0"/>
              <w:jc w:val="center"/>
              <w:rPr>
                <w:b/>
                <w:noProof/>
                <w:szCs w:val="24"/>
              </w:rPr>
            </w:pPr>
            <w:r w:rsidRPr="00955942">
              <w:rPr>
                <w:b/>
                <w:noProof/>
                <w:szCs w:val="24"/>
              </w:rPr>
              <w:t>2023</w:t>
            </w:r>
          </w:p>
        </w:tc>
        <w:tc>
          <w:tcPr>
            <w:tcW w:w="1276" w:type="dxa"/>
          </w:tcPr>
          <w:p w14:paraId="745D694A" w14:textId="77777777" w:rsidR="00BB1B51" w:rsidRPr="00955942" w:rsidRDefault="00BB1B51" w:rsidP="00641840">
            <w:pPr>
              <w:spacing w:before="0" w:after="0"/>
              <w:jc w:val="center"/>
              <w:rPr>
                <w:b/>
                <w:noProof/>
                <w:szCs w:val="24"/>
              </w:rPr>
            </w:pPr>
            <w:r w:rsidRPr="00955942">
              <w:rPr>
                <w:b/>
                <w:noProof/>
                <w:szCs w:val="24"/>
              </w:rPr>
              <w:t>2024</w:t>
            </w:r>
          </w:p>
        </w:tc>
        <w:tc>
          <w:tcPr>
            <w:tcW w:w="1276" w:type="dxa"/>
          </w:tcPr>
          <w:p w14:paraId="3E9D3CFC" w14:textId="77777777" w:rsidR="00BB1B51" w:rsidRPr="00955942" w:rsidRDefault="00BB1B51" w:rsidP="00641840">
            <w:pPr>
              <w:spacing w:before="0" w:after="0"/>
              <w:jc w:val="center"/>
              <w:rPr>
                <w:b/>
                <w:noProof/>
                <w:szCs w:val="24"/>
              </w:rPr>
            </w:pPr>
            <w:r w:rsidRPr="00955942">
              <w:rPr>
                <w:b/>
                <w:noProof/>
                <w:szCs w:val="24"/>
              </w:rPr>
              <w:t>2025</w:t>
            </w:r>
          </w:p>
        </w:tc>
        <w:tc>
          <w:tcPr>
            <w:tcW w:w="1417" w:type="dxa"/>
          </w:tcPr>
          <w:p w14:paraId="31396830" w14:textId="77777777" w:rsidR="00BB1B51" w:rsidRPr="00955942" w:rsidRDefault="00BB1B51" w:rsidP="00641840">
            <w:pPr>
              <w:spacing w:before="0" w:after="0"/>
              <w:jc w:val="center"/>
              <w:rPr>
                <w:b/>
                <w:noProof/>
                <w:szCs w:val="24"/>
              </w:rPr>
            </w:pPr>
            <w:r w:rsidRPr="00955942">
              <w:rPr>
                <w:b/>
                <w:noProof/>
                <w:szCs w:val="24"/>
              </w:rPr>
              <w:t>2026</w:t>
            </w:r>
          </w:p>
        </w:tc>
        <w:tc>
          <w:tcPr>
            <w:tcW w:w="1276" w:type="dxa"/>
          </w:tcPr>
          <w:p w14:paraId="025ECEB6" w14:textId="77777777" w:rsidR="00BB1B51" w:rsidRPr="00955942" w:rsidRDefault="00BB1B51" w:rsidP="00641840">
            <w:pPr>
              <w:spacing w:before="0" w:after="0"/>
              <w:jc w:val="center"/>
              <w:rPr>
                <w:b/>
                <w:noProof/>
                <w:szCs w:val="24"/>
              </w:rPr>
            </w:pPr>
            <w:r w:rsidRPr="00955942">
              <w:rPr>
                <w:b/>
                <w:noProof/>
                <w:szCs w:val="24"/>
              </w:rPr>
              <w:t>2027</w:t>
            </w:r>
          </w:p>
        </w:tc>
        <w:tc>
          <w:tcPr>
            <w:tcW w:w="1559" w:type="dxa"/>
          </w:tcPr>
          <w:p w14:paraId="0A2CC45B" w14:textId="77777777" w:rsidR="00BB1B51" w:rsidRPr="00955942" w:rsidRDefault="00BB1B51" w:rsidP="00641840">
            <w:pPr>
              <w:spacing w:before="0" w:after="0"/>
              <w:jc w:val="center"/>
              <w:rPr>
                <w:b/>
                <w:noProof/>
                <w:szCs w:val="24"/>
              </w:rPr>
            </w:pPr>
            <w:r w:rsidRPr="00955942">
              <w:rPr>
                <w:b/>
                <w:noProof/>
                <w:szCs w:val="24"/>
              </w:rPr>
              <w:t>Kopā</w:t>
            </w:r>
          </w:p>
        </w:tc>
      </w:tr>
      <w:tr w:rsidR="00955942" w:rsidRPr="00955942" w14:paraId="180A2F12" w14:textId="77777777" w:rsidTr="009E1973">
        <w:trPr>
          <w:trHeight w:val="616"/>
        </w:trPr>
        <w:tc>
          <w:tcPr>
            <w:tcW w:w="988" w:type="dxa"/>
          </w:tcPr>
          <w:p w14:paraId="256CCE9D" w14:textId="77777777" w:rsidR="00BB1B51" w:rsidRPr="00955942" w:rsidRDefault="00BB1B51" w:rsidP="00641840">
            <w:pPr>
              <w:spacing w:before="0" w:after="0"/>
              <w:rPr>
                <w:noProof/>
                <w:szCs w:val="24"/>
              </w:rPr>
            </w:pPr>
            <w:r w:rsidRPr="00955942">
              <w:rPr>
                <w:noProof/>
                <w:szCs w:val="24"/>
              </w:rPr>
              <w:t>ESF+</w:t>
            </w:r>
          </w:p>
        </w:tc>
        <w:tc>
          <w:tcPr>
            <w:tcW w:w="2268" w:type="dxa"/>
          </w:tcPr>
          <w:p w14:paraId="5A3F2796" w14:textId="77777777" w:rsidR="00BB1B51" w:rsidRPr="00955942" w:rsidRDefault="00BB1B51" w:rsidP="00641840">
            <w:pPr>
              <w:spacing w:before="0" w:after="0"/>
              <w:rPr>
                <w:noProof/>
                <w:szCs w:val="24"/>
              </w:rPr>
            </w:pPr>
            <w:r w:rsidRPr="00955942">
              <w:rPr>
                <w:noProof/>
                <w:szCs w:val="24"/>
              </w:rPr>
              <w:t>Mazāk attīstīts</w:t>
            </w:r>
          </w:p>
        </w:tc>
        <w:tc>
          <w:tcPr>
            <w:tcW w:w="1417" w:type="dxa"/>
            <w:vAlign w:val="center"/>
          </w:tcPr>
          <w:p w14:paraId="43DE9B6E" w14:textId="77777777" w:rsidR="00BB1B51" w:rsidRPr="00955942" w:rsidRDefault="00BB1B51" w:rsidP="00641840">
            <w:pPr>
              <w:spacing w:before="0" w:after="0"/>
              <w:ind w:hanging="223"/>
              <w:jc w:val="center"/>
              <w:rPr>
                <w:szCs w:val="24"/>
              </w:rPr>
            </w:pPr>
            <w:r w:rsidRPr="00955942">
              <w:rPr>
                <w:rFonts w:eastAsia="Times New Roman"/>
                <w:noProof/>
                <w:szCs w:val="24"/>
              </w:rPr>
              <w:t>4 376 750</w:t>
            </w:r>
          </w:p>
        </w:tc>
        <w:tc>
          <w:tcPr>
            <w:tcW w:w="1418" w:type="dxa"/>
            <w:vAlign w:val="center"/>
          </w:tcPr>
          <w:p w14:paraId="4DFDA10E" w14:textId="77777777" w:rsidR="00BB1B51" w:rsidRPr="00955942" w:rsidRDefault="00BB1B51" w:rsidP="00641840">
            <w:pPr>
              <w:spacing w:before="0" w:after="0"/>
              <w:ind w:hanging="223"/>
              <w:jc w:val="center"/>
              <w:rPr>
                <w:szCs w:val="24"/>
              </w:rPr>
            </w:pPr>
            <w:r w:rsidRPr="00955942">
              <w:rPr>
                <w:rFonts w:eastAsia="Times New Roman"/>
                <w:noProof/>
                <w:szCs w:val="24"/>
              </w:rPr>
              <w:t>4 464 285</w:t>
            </w:r>
          </w:p>
        </w:tc>
        <w:tc>
          <w:tcPr>
            <w:tcW w:w="1275" w:type="dxa"/>
            <w:vAlign w:val="center"/>
          </w:tcPr>
          <w:p w14:paraId="1618649D" w14:textId="77777777" w:rsidR="00BB1B51" w:rsidRPr="00955942" w:rsidRDefault="00BB1B51" w:rsidP="00641840">
            <w:pPr>
              <w:spacing w:before="0" w:after="0"/>
              <w:ind w:hanging="223"/>
              <w:jc w:val="center"/>
              <w:rPr>
                <w:szCs w:val="24"/>
              </w:rPr>
            </w:pPr>
            <w:r w:rsidRPr="00955942">
              <w:rPr>
                <w:rFonts w:eastAsia="Times New Roman"/>
                <w:noProof/>
                <w:szCs w:val="24"/>
              </w:rPr>
              <w:t>4 553 571</w:t>
            </w:r>
          </w:p>
        </w:tc>
        <w:tc>
          <w:tcPr>
            <w:tcW w:w="1276" w:type="dxa"/>
            <w:vAlign w:val="center"/>
          </w:tcPr>
          <w:p w14:paraId="40D89C4C" w14:textId="77777777" w:rsidR="00BB1B51" w:rsidRPr="00955942" w:rsidRDefault="00BB1B51" w:rsidP="00641840">
            <w:pPr>
              <w:spacing w:before="0" w:after="0"/>
              <w:ind w:hanging="223"/>
              <w:jc w:val="center"/>
              <w:rPr>
                <w:szCs w:val="24"/>
              </w:rPr>
            </w:pPr>
            <w:r w:rsidRPr="00955942">
              <w:rPr>
                <w:rFonts w:eastAsia="Times New Roman"/>
                <w:noProof/>
                <w:szCs w:val="24"/>
              </w:rPr>
              <w:t>4 644 642</w:t>
            </w:r>
          </w:p>
        </w:tc>
        <w:tc>
          <w:tcPr>
            <w:tcW w:w="1276" w:type="dxa"/>
            <w:vAlign w:val="center"/>
          </w:tcPr>
          <w:p w14:paraId="50F0F177" w14:textId="77777777" w:rsidR="00BB1B51" w:rsidRPr="00955942" w:rsidRDefault="00BB1B51" w:rsidP="00641840">
            <w:pPr>
              <w:spacing w:before="0" w:after="0"/>
              <w:ind w:hanging="223"/>
              <w:jc w:val="center"/>
              <w:rPr>
                <w:szCs w:val="24"/>
              </w:rPr>
            </w:pPr>
            <w:r w:rsidRPr="00955942">
              <w:rPr>
                <w:rFonts w:eastAsia="Times New Roman"/>
                <w:noProof/>
                <w:szCs w:val="24"/>
              </w:rPr>
              <w:t>4 737 535</w:t>
            </w:r>
          </w:p>
        </w:tc>
        <w:tc>
          <w:tcPr>
            <w:tcW w:w="1417" w:type="dxa"/>
            <w:vAlign w:val="center"/>
          </w:tcPr>
          <w:p w14:paraId="466C449C" w14:textId="77777777" w:rsidR="00BB1B51" w:rsidRPr="00955942" w:rsidRDefault="00BB1B51" w:rsidP="00641840">
            <w:pPr>
              <w:spacing w:before="0" w:after="0"/>
              <w:ind w:hanging="223"/>
              <w:jc w:val="center"/>
              <w:rPr>
                <w:szCs w:val="24"/>
              </w:rPr>
            </w:pPr>
            <w:r w:rsidRPr="00955942">
              <w:rPr>
                <w:rFonts w:eastAsia="Times New Roman"/>
                <w:noProof/>
                <w:szCs w:val="24"/>
              </w:rPr>
              <w:t>4 832 286</w:t>
            </w:r>
          </w:p>
        </w:tc>
        <w:tc>
          <w:tcPr>
            <w:tcW w:w="1276" w:type="dxa"/>
            <w:vAlign w:val="center"/>
          </w:tcPr>
          <w:p w14:paraId="42910178" w14:textId="7EDBF2C9" w:rsidR="00BB1B51" w:rsidRPr="00955942" w:rsidRDefault="00120FE5" w:rsidP="00641840">
            <w:pPr>
              <w:spacing w:before="0" w:after="0"/>
              <w:ind w:hanging="223"/>
              <w:jc w:val="center"/>
              <w:rPr>
                <w:szCs w:val="24"/>
              </w:rPr>
            </w:pPr>
            <w:r w:rsidRPr="00955942">
              <w:rPr>
                <w:rFonts w:eastAsia="Times New Roman"/>
                <w:noProof/>
                <w:szCs w:val="24"/>
              </w:rPr>
              <w:t>4 928 931</w:t>
            </w:r>
          </w:p>
        </w:tc>
        <w:tc>
          <w:tcPr>
            <w:tcW w:w="1559" w:type="dxa"/>
            <w:vAlign w:val="center"/>
          </w:tcPr>
          <w:p w14:paraId="4FF2288B" w14:textId="77777777" w:rsidR="00BB1B51" w:rsidRPr="00955942" w:rsidRDefault="00BB1B51" w:rsidP="00641840">
            <w:pPr>
              <w:spacing w:before="0" w:after="0"/>
              <w:ind w:left="-18" w:hanging="79"/>
              <w:jc w:val="center"/>
              <w:rPr>
                <w:noProof/>
                <w:szCs w:val="24"/>
              </w:rPr>
            </w:pPr>
            <w:r w:rsidRPr="00955942">
              <w:rPr>
                <w:b/>
                <w:noProof/>
                <w:szCs w:val="24"/>
              </w:rPr>
              <w:t>32 538 000</w:t>
            </w:r>
            <w:r w:rsidRPr="00955942">
              <w:rPr>
                <w:rStyle w:val="FootnoteReference"/>
                <w:b/>
                <w:noProof/>
                <w:szCs w:val="24"/>
              </w:rPr>
              <w:footnoteReference w:id="19"/>
            </w:r>
          </w:p>
        </w:tc>
      </w:tr>
    </w:tbl>
    <w:p w14:paraId="17004672" w14:textId="0D52EC1A" w:rsidR="00BB1B51" w:rsidRDefault="00BB1B51" w:rsidP="00641840">
      <w:pPr>
        <w:spacing w:before="0" w:after="0"/>
        <w:rPr>
          <w:rFonts w:eastAsia="Times New Roman"/>
          <w:noProof/>
          <w:szCs w:val="24"/>
        </w:rPr>
      </w:pPr>
    </w:p>
    <w:p w14:paraId="59063C86" w14:textId="7C62C943" w:rsidR="00AB0F65" w:rsidRPr="000D5DBF" w:rsidRDefault="00AB0F65" w:rsidP="00641840">
      <w:pPr>
        <w:spacing w:before="0" w:after="0"/>
        <w:rPr>
          <w:rFonts w:eastAsia="Times New Roman"/>
          <w:noProof/>
          <w:szCs w:val="24"/>
        </w:rPr>
      </w:pPr>
      <w:r w:rsidRPr="00AB0F65">
        <w:rPr>
          <w:rFonts w:eastAsia="Times New Roman"/>
          <w:noProof/>
          <w:szCs w:val="24"/>
        </w:rPr>
        <w:tab/>
      </w:r>
    </w:p>
    <w:p w14:paraId="08D53FBA" w14:textId="77777777" w:rsidR="00A82F52" w:rsidRPr="000D5DBF" w:rsidRDefault="00A6784E" w:rsidP="00641840">
      <w:pPr>
        <w:pStyle w:val="Heading2"/>
        <w:numPr>
          <w:ilvl w:val="1"/>
          <w:numId w:val="30"/>
        </w:numPr>
        <w:spacing w:before="0"/>
        <w:rPr>
          <w:rFonts w:ascii="Times New Roman" w:eastAsia="Times New Roman" w:hAnsi="Times New Roman" w:cs="Times New Roman"/>
          <w:b/>
          <w:noProof/>
          <w:color w:val="auto"/>
          <w:sz w:val="24"/>
          <w:szCs w:val="24"/>
        </w:rPr>
      </w:pPr>
      <w:bookmarkStart w:id="22" w:name="_Toc70410850"/>
      <w:r w:rsidRPr="000D5DBF">
        <w:rPr>
          <w:rFonts w:ascii="Times New Roman" w:eastAsia="Times New Roman" w:hAnsi="Times New Roman" w:cs="Times New Roman"/>
          <w:b/>
          <w:noProof/>
          <w:color w:val="auto"/>
          <w:sz w:val="24"/>
          <w:szCs w:val="24"/>
        </w:rPr>
        <w:t>Kopējā finanšu apropriācija pa fondiem un valsts līdzfinansējumu</w:t>
      </w:r>
      <w:bookmarkEnd w:id="22"/>
    </w:p>
    <w:p w14:paraId="758C303C" w14:textId="77777777" w:rsidR="004951E2" w:rsidRPr="000D5DBF" w:rsidRDefault="004951E2" w:rsidP="00641840">
      <w:pPr>
        <w:spacing w:before="0" w:after="0"/>
      </w:pPr>
    </w:p>
    <w:p w14:paraId="1E235F51" w14:textId="77777777" w:rsidR="007723FF" w:rsidRPr="000D5DBF" w:rsidRDefault="007723FF" w:rsidP="00641840">
      <w:pPr>
        <w:spacing w:before="0" w:after="0"/>
      </w:pPr>
    </w:p>
    <w:tbl>
      <w:tblPr>
        <w:tblStyle w:val="TableGrid"/>
        <w:tblW w:w="0" w:type="auto"/>
        <w:jc w:val="center"/>
        <w:tblLayout w:type="fixed"/>
        <w:tblLook w:val="04A0" w:firstRow="1" w:lastRow="0" w:firstColumn="1" w:lastColumn="0" w:noHBand="0" w:noVBand="1"/>
      </w:tblPr>
      <w:tblGrid>
        <w:gridCol w:w="1057"/>
        <w:gridCol w:w="1206"/>
        <w:gridCol w:w="1276"/>
        <w:gridCol w:w="992"/>
        <w:gridCol w:w="1276"/>
        <w:gridCol w:w="1296"/>
        <w:gridCol w:w="1539"/>
        <w:gridCol w:w="1276"/>
        <w:gridCol w:w="992"/>
        <w:gridCol w:w="1515"/>
        <w:gridCol w:w="1829"/>
      </w:tblGrid>
      <w:tr w:rsidR="00955942" w:rsidRPr="00955942" w14:paraId="6B2733EC" w14:textId="77777777" w:rsidTr="009E1973">
        <w:trPr>
          <w:jc w:val="center"/>
        </w:trPr>
        <w:tc>
          <w:tcPr>
            <w:tcW w:w="14254" w:type="dxa"/>
            <w:gridSpan w:val="11"/>
          </w:tcPr>
          <w:p w14:paraId="4D91BDB2" w14:textId="77777777" w:rsidR="00BB1B51" w:rsidRPr="00955942" w:rsidRDefault="00BB1B51" w:rsidP="00641840">
            <w:pPr>
              <w:spacing w:before="0" w:after="0"/>
              <w:rPr>
                <w:b/>
                <w:noProof/>
                <w:szCs w:val="24"/>
              </w:rPr>
            </w:pPr>
            <w:r w:rsidRPr="00955942">
              <w:rPr>
                <w:b/>
                <w:noProof/>
                <w:szCs w:val="24"/>
              </w:rPr>
              <w:t>2. tabula. Kopējās finanšu apropriācijas pa fondiem un valsts līdzfinansējums</w:t>
            </w:r>
          </w:p>
        </w:tc>
      </w:tr>
      <w:tr w:rsidR="00955942" w:rsidRPr="00955942" w14:paraId="11FC7461" w14:textId="77777777" w:rsidTr="009E1973">
        <w:trPr>
          <w:jc w:val="center"/>
        </w:trPr>
        <w:tc>
          <w:tcPr>
            <w:tcW w:w="1057" w:type="dxa"/>
            <w:vMerge w:val="restart"/>
          </w:tcPr>
          <w:p w14:paraId="59FFD1E7" w14:textId="77777777" w:rsidR="00BB1B51" w:rsidRPr="00955942" w:rsidRDefault="00BB1B51" w:rsidP="00641840">
            <w:pPr>
              <w:spacing w:before="0" w:after="0"/>
              <w:jc w:val="center"/>
              <w:rPr>
                <w:noProof/>
                <w:szCs w:val="24"/>
              </w:rPr>
            </w:pPr>
            <w:r w:rsidRPr="00955942">
              <w:rPr>
                <w:noProof/>
                <w:szCs w:val="24"/>
              </w:rPr>
              <w:t>Politikas mērķa Nr. vai TP</w:t>
            </w:r>
          </w:p>
        </w:tc>
        <w:tc>
          <w:tcPr>
            <w:tcW w:w="1206" w:type="dxa"/>
            <w:vMerge w:val="restart"/>
          </w:tcPr>
          <w:p w14:paraId="46247DC8" w14:textId="77777777" w:rsidR="00BB1B51" w:rsidRPr="00955942" w:rsidRDefault="00BB1B51" w:rsidP="00641840">
            <w:pPr>
              <w:spacing w:before="0" w:after="0"/>
              <w:jc w:val="center"/>
              <w:rPr>
                <w:noProof/>
                <w:szCs w:val="24"/>
              </w:rPr>
            </w:pPr>
            <w:r w:rsidRPr="00955942">
              <w:rPr>
                <w:noProof/>
                <w:szCs w:val="24"/>
              </w:rPr>
              <w:t>Prioritāte</w:t>
            </w:r>
          </w:p>
        </w:tc>
        <w:tc>
          <w:tcPr>
            <w:tcW w:w="1276" w:type="dxa"/>
            <w:vMerge w:val="restart"/>
          </w:tcPr>
          <w:p w14:paraId="00FA4CF5" w14:textId="77777777" w:rsidR="00BB1B51" w:rsidRPr="00955942" w:rsidRDefault="00BB1B51" w:rsidP="00641840">
            <w:pPr>
              <w:spacing w:before="0" w:after="0"/>
              <w:jc w:val="center"/>
              <w:rPr>
                <w:noProof/>
                <w:sz w:val="20"/>
              </w:rPr>
            </w:pPr>
            <w:r w:rsidRPr="00955942">
              <w:rPr>
                <w:noProof/>
                <w:sz w:val="20"/>
              </w:rPr>
              <w:t>ES atbalsta (kopējā vai publiskā) aprēķina bāze</w:t>
            </w:r>
          </w:p>
        </w:tc>
        <w:tc>
          <w:tcPr>
            <w:tcW w:w="992" w:type="dxa"/>
            <w:vMerge w:val="restart"/>
          </w:tcPr>
          <w:p w14:paraId="1D670AAE" w14:textId="77777777" w:rsidR="00BB1B51" w:rsidRPr="00955942" w:rsidRDefault="00BB1B51" w:rsidP="00641840">
            <w:pPr>
              <w:spacing w:before="0" w:after="0"/>
              <w:jc w:val="center"/>
              <w:rPr>
                <w:noProof/>
                <w:szCs w:val="24"/>
              </w:rPr>
            </w:pPr>
            <w:r w:rsidRPr="00955942">
              <w:rPr>
                <w:noProof/>
                <w:szCs w:val="24"/>
              </w:rPr>
              <w:t>Fonds</w:t>
            </w:r>
          </w:p>
        </w:tc>
        <w:tc>
          <w:tcPr>
            <w:tcW w:w="1276" w:type="dxa"/>
            <w:vMerge w:val="restart"/>
          </w:tcPr>
          <w:p w14:paraId="1511671E" w14:textId="77777777" w:rsidR="00BB1B51" w:rsidRPr="00955942" w:rsidRDefault="00BB1B51" w:rsidP="00641840">
            <w:pPr>
              <w:spacing w:before="0" w:after="0"/>
              <w:jc w:val="center"/>
              <w:rPr>
                <w:noProof/>
                <w:szCs w:val="24"/>
              </w:rPr>
            </w:pPr>
            <w:r w:rsidRPr="00955942">
              <w:rPr>
                <w:noProof/>
                <w:szCs w:val="24"/>
              </w:rPr>
              <w:t>Reģiona kategorija</w:t>
            </w:r>
          </w:p>
        </w:tc>
        <w:tc>
          <w:tcPr>
            <w:tcW w:w="1296" w:type="dxa"/>
            <w:vMerge w:val="restart"/>
          </w:tcPr>
          <w:p w14:paraId="57ADA7D3" w14:textId="77777777" w:rsidR="00BB1B51" w:rsidRPr="00955942" w:rsidRDefault="00BB1B51" w:rsidP="00641840">
            <w:pPr>
              <w:spacing w:before="0" w:after="0"/>
              <w:jc w:val="center"/>
              <w:rPr>
                <w:noProof/>
                <w:szCs w:val="24"/>
              </w:rPr>
            </w:pPr>
            <w:r w:rsidRPr="00955942">
              <w:rPr>
                <w:noProof/>
                <w:szCs w:val="24"/>
              </w:rPr>
              <w:t>ES iemaksa</w:t>
            </w:r>
          </w:p>
        </w:tc>
        <w:tc>
          <w:tcPr>
            <w:tcW w:w="1539" w:type="dxa"/>
            <w:vMerge w:val="restart"/>
          </w:tcPr>
          <w:p w14:paraId="3C0C3B82" w14:textId="77777777" w:rsidR="00BB1B51" w:rsidRPr="00955942" w:rsidRDefault="00BB1B51" w:rsidP="00641840">
            <w:pPr>
              <w:spacing w:before="0" w:after="0"/>
              <w:jc w:val="center"/>
              <w:rPr>
                <w:noProof/>
                <w:szCs w:val="24"/>
              </w:rPr>
            </w:pPr>
            <w:r w:rsidRPr="00955942">
              <w:rPr>
                <w:noProof/>
                <w:szCs w:val="24"/>
              </w:rPr>
              <w:t>Valsts ieguldījums</w:t>
            </w:r>
          </w:p>
        </w:tc>
        <w:tc>
          <w:tcPr>
            <w:tcW w:w="2268" w:type="dxa"/>
            <w:gridSpan w:val="2"/>
          </w:tcPr>
          <w:p w14:paraId="3C53B0F6" w14:textId="77777777" w:rsidR="00BB1B51" w:rsidRPr="00955942" w:rsidRDefault="00BB1B51" w:rsidP="00641840">
            <w:pPr>
              <w:spacing w:before="0" w:after="0"/>
              <w:jc w:val="center"/>
              <w:rPr>
                <w:noProof/>
                <w:szCs w:val="24"/>
              </w:rPr>
            </w:pPr>
            <w:r w:rsidRPr="00955942">
              <w:rPr>
                <w:noProof/>
                <w:szCs w:val="24"/>
              </w:rPr>
              <w:t>Valsts ieguldījuma indikatīvs sadalījums</w:t>
            </w:r>
          </w:p>
        </w:tc>
        <w:tc>
          <w:tcPr>
            <w:tcW w:w="1515" w:type="dxa"/>
            <w:vMerge w:val="restart"/>
          </w:tcPr>
          <w:p w14:paraId="71B892D3" w14:textId="77777777" w:rsidR="00BB1B51" w:rsidRPr="00955942" w:rsidRDefault="00BB1B51" w:rsidP="00641840">
            <w:pPr>
              <w:spacing w:before="0" w:after="0"/>
              <w:jc w:val="center"/>
              <w:rPr>
                <w:noProof/>
                <w:szCs w:val="24"/>
              </w:rPr>
            </w:pPr>
            <w:r w:rsidRPr="00955942">
              <w:rPr>
                <w:noProof/>
                <w:szCs w:val="24"/>
              </w:rPr>
              <w:t>Kopā</w:t>
            </w:r>
          </w:p>
        </w:tc>
        <w:tc>
          <w:tcPr>
            <w:tcW w:w="1829" w:type="dxa"/>
            <w:vMerge w:val="restart"/>
          </w:tcPr>
          <w:p w14:paraId="50E5911A" w14:textId="77777777" w:rsidR="00BB1B51" w:rsidRPr="00955942" w:rsidRDefault="00BB1B51" w:rsidP="00641840">
            <w:pPr>
              <w:spacing w:before="0" w:after="0"/>
              <w:jc w:val="center"/>
              <w:rPr>
                <w:noProof/>
                <w:szCs w:val="24"/>
              </w:rPr>
            </w:pPr>
            <w:r w:rsidRPr="00955942">
              <w:rPr>
                <w:noProof/>
                <w:szCs w:val="24"/>
              </w:rPr>
              <w:t>Līdzfinansējuma likme</w:t>
            </w:r>
          </w:p>
        </w:tc>
      </w:tr>
      <w:tr w:rsidR="00955942" w:rsidRPr="00955942" w14:paraId="5B7948DC" w14:textId="77777777" w:rsidTr="009E1973">
        <w:trPr>
          <w:trHeight w:val="170"/>
          <w:jc w:val="center"/>
        </w:trPr>
        <w:tc>
          <w:tcPr>
            <w:tcW w:w="1057" w:type="dxa"/>
            <w:vMerge/>
          </w:tcPr>
          <w:p w14:paraId="1D09703A" w14:textId="77777777" w:rsidR="00BB1B51" w:rsidRPr="00955942" w:rsidRDefault="00BB1B51" w:rsidP="00641840">
            <w:pPr>
              <w:spacing w:before="0" w:after="0"/>
              <w:rPr>
                <w:b/>
                <w:noProof/>
                <w:szCs w:val="24"/>
              </w:rPr>
            </w:pPr>
          </w:p>
        </w:tc>
        <w:tc>
          <w:tcPr>
            <w:tcW w:w="1206" w:type="dxa"/>
            <w:vMerge/>
            <w:tcBorders>
              <w:bottom w:val="nil"/>
            </w:tcBorders>
          </w:tcPr>
          <w:p w14:paraId="0E232363" w14:textId="77777777" w:rsidR="00BB1B51" w:rsidRPr="00955942" w:rsidRDefault="00BB1B51" w:rsidP="00641840">
            <w:pPr>
              <w:spacing w:before="0" w:after="0"/>
              <w:rPr>
                <w:b/>
                <w:noProof/>
                <w:szCs w:val="24"/>
              </w:rPr>
            </w:pPr>
          </w:p>
        </w:tc>
        <w:tc>
          <w:tcPr>
            <w:tcW w:w="1276" w:type="dxa"/>
            <w:vMerge/>
            <w:tcBorders>
              <w:bottom w:val="nil"/>
            </w:tcBorders>
          </w:tcPr>
          <w:p w14:paraId="751136EC" w14:textId="77777777" w:rsidR="00BB1B51" w:rsidRPr="00955942" w:rsidRDefault="00BB1B51" w:rsidP="00641840">
            <w:pPr>
              <w:spacing w:before="0" w:after="0"/>
              <w:rPr>
                <w:b/>
                <w:noProof/>
                <w:szCs w:val="24"/>
              </w:rPr>
            </w:pPr>
          </w:p>
        </w:tc>
        <w:tc>
          <w:tcPr>
            <w:tcW w:w="992" w:type="dxa"/>
            <w:vMerge/>
            <w:tcBorders>
              <w:bottom w:val="nil"/>
            </w:tcBorders>
          </w:tcPr>
          <w:p w14:paraId="3074F126" w14:textId="77777777" w:rsidR="00BB1B51" w:rsidRPr="00955942" w:rsidRDefault="00BB1B51" w:rsidP="00641840">
            <w:pPr>
              <w:spacing w:before="0" w:after="0"/>
              <w:rPr>
                <w:b/>
                <w:noProof/>
                <w:szCs w:val="24"/>
              </w:rPr>
            </w:pPr>
          </w:p>
        </w:tc>
        <w:tc>
          <w:tcPr>
            <w:tcW w:w="1276" w:type="dxa"/>
            <w:vMerge/>
            <w:tcBorders>
              <w:bottom w:val="nil"/>
            </w:tcBorders>
          </w:tcPr>
          <w:p w14:paraId="11540A8F" w14:textId="77777777" w:rsidR="00BB1B51" w:rsidRPr="00955942" w:rsidRDefault="00BB1B51" w:rsidP="00641840">
            <w:pPr>
              <w:spacing w:before="0" w:after="0"/>
              <w:rPr>
                <w:b/>
                <w:noProof/>
                <w:szCs w:val="24"/>
              </w:rPr>
            </w:pPr>
          </w:p>
        </w:tc>
        <w:tc>
          <w:tcPr>
            <w:tcW w:w="1296" w:type="dxa"/>
            <w:vMerge/>
            <w:tcBorders>
              <w:bottom w:val="nil"/>
            </w:tcBorders>
          </w:tcPr>
          <w:p w14:paraId="6025DBED" w14:textId="77777777" w:rsidR="00BB1B51" w:rsidRPr="00955942" w:rsidRDefault="00BB1B51" w:rsidP="00641840">
            <w:pPr>
              <w:spacing w:before="0" w:after="0"/>
              <w:rPr>
                <w:b/>
                <w:noProof/>
                <w:szCs w:val="24"/>
              </w:rPr>
            </w:pPr>
          </w:p>
        </w:tc>
        <w:tc>
          <w:tcPr>
            <w:tcW w:w="1539" w:type="dxa"/>
            <w:vMerge/>
            <w:tcBorders>
              <w:bottom w:val="nil"/>
            </w:tcBorders>
          </w:tcPr>
          <w:p w14:paraId="2772F3FB" w14:textId="77777777" w:rsidR="00BB1B51" w:rsidRPr="00955942" w:rsidRDefault="00BB1B51" w:rsidP="00641840">
            <w:pPr>
              <w:spacing w:before="0" w:after="0"/>
              <w:rPr>
                <w:b/>
                <w:noProof/>
                <w:szCs w:val="24"/>
              </w:rPr>
            </w:pPr>
          </w:p>
        </w:tc>
        <w:tc>
          <w:tcPr>
            <w:tcW w:w="1276" w:type="dxa"/>
            <w:tcBorders>
              <w:bottom w:val="nil"/>
            </w:tcBorders>
          </w:tcPr>
          <w:p w14:paraId="0006B8B5" w14:textId="77777777" w:rsidR="00BB1B51" w:rsidRPr="00955942" w:rsidRDefault="00BB1B51" w:rsidP="00641840">
            <w:pPr>
              <w:spacing w:before="0" w:after="0"/>
              <w:rPr>
                <w:noProof/>
                <w:sz w:val="22"/>
                <w:szCs w:val="22"/>
              </w:rPr>
            </w:pPr>
            <w:r w:rsidRPr="00955942">
              <w:rPr>
                <w:noProof/>
                <w:sz w:val="22"/>
                <w:szCs w:val="22"/>
              </w:rPr>
              <w:t xml:space="preserve">publisks </w:t>
            </w:r>
          </w:p>
        </w:tc>
        <w:tc>
          <w:tcPr>
            <w:tcW w:w="992" w:type="dxa"/>
            <w:tcBorders>
              <w:bottom w:val="nil"/>
            </w:tcBorders>
          </w:tcPr>
          <w:p w14:paraId="1CE8A709" w14:textId="77777777" w:rsidR="00BB1B51" w:rsidRPr="00955942" w:rsidRDefault="00BB1B51" w:rsidP="00641840">
            <w:pPr>
              <w:spacing w:before="0" w:after="0"/>
              <w:rPr>
                <w:noProof/>
                <w:sz w:val="22"/>
                <w:szCs w:val="22"/>
              </w:rPr>
            </w:pPr>
            <w:r w:rsidRPr="00955942">
              <w:rPr>
                <w:noProof/>
                <w:sz w:val="22"/>
                <w:szCs w:val="22"/>
              </w:rPr>
              <w:t xml:space="preserve">privāts </w:t>
            </w:r>
          </w:p>
        </w:tc>
        <w:tc>
          <w:tcPr>
            <w:tcW w:w="1515" w:type="dxa"/>
            <w:vMerge/>
            <w:tcBorders>
              <w:bottom w:val="nil"/>
            </w:tcBorders>
          </w:tcPr>
          <w:p w14:paraId="245CCF5A" w14:textId="77777777" w:rsidR="00BB1B51" w:rsidRPr="00955942" w:rsidRDefault="00BB1B51" w:rsidP="00641840">
            <w:pPr>
              <w:spacing w:before="0" w:after="0"/>
              <w:rPr>
                <w:b/>
                <w:noProof/>
                <w:szCs w:val="24"/>
              </w:rPr>
            </w:pPr>
          </w:p>
        </w:tc>
        <w:tc>
          <w:tcPr>
            <w:tcW w:w="1829" w:type="dxa"/>
            <w:vMerge/>
            <w:tcBorders>
              <w:bottom w:val="nil"/>
            </w:tcBorders>
          </w:tcPr>
          <w:p w14:paraId="178B70F6" w14:textId="77777777" w:rsidR="00BB1B51" w:rsidRPr="00955942" w:rsidRDefault="00BB1B51" w:rsidP="00641840">
            <w:pPr>
              <w:spacing w:before="0" w:after="0"/>
              <w:rPr>
                <w:b/>
                <w:noProof/>
                <w:szCs w:val="24"/>
              </w:rPr>
            </w:pPr>
          </w:p>
        </w:tc>
      </w:tr>
      <w:tr w:rsidR="00955942" w:rsidRPr="00955942" w14:paraId="5EA72FAE" w14:textId="77777777" w:rsidTr="009E1973">
        <w:trPr>
          <w:trHeight w:val="290"/>
          <w:jc w:val="center"/>
        </w:trPr>
        <w:tc>
          <w:tcPr>
            <w:tcW w:w="1057" w:type="dxa"/>
            <w:vMerge w:val="restart"/>
          </w:tcPr>
          <w:p w14:paraId="56ED024D" w14:textId="77777777" w:rsidR="00BB1B51" w:rsidRPr="00955942" w:rsidRDefault="00BB1B51" w:rsidP="00641840">
            <w:pPr>
              <w:spacing w:before="0" w:after="0"/>
              <w:rPr>
                <w:noProof/>
                <w:szCs w:val="24"/>
              </w:rPr>
            </w:pPr>
          </w:p>
          <w:p w14:paraId="5D7E30C4" w14:textId="77777777" w:rsidR="00BB1B51" w:rsidRPr="00955942" w:rsidRDefault="00BB1B51" w:rsidP="00641840">
            <w:pPr>
              <w:spacing w:before="0" w:after="0"/>
              <w:jc w:val="center"/>
              <w:rPr>
                <w:noProof/>
                <w:szCs w:val="24"/>
              </w:rPr>
            </w:pPr>
            <w:r w:rsidRPr="00955942">
              <w:rPr>
                <w:noProof/>
                <w:szCs w:val="24"/>
              </w:rPr>
              <w:t>PM 4</w:t>
            </w:r>
          </w:p>
        </w:tc>
        <w:tc>
          <w:tcPr>
            <w:tcW w:w="1206" w:type="dxa"/>
            <w:tcBorders>
              <w:top w:val="nil"/>
            </w:tcBorders>
          </w:tcPr>
          <w:p w14:paraId="4D21C584" w14:textId="77777777" w:rsidR="00BB1B51" w:rsidRPr="00955942" w:rsidRDefault="00BB1B51" w:rsidP="00641840">
            <w:pPr>
              <w:spacing w:before="0" w:after="0"/>
              <w:rPr>
                <w:noProof/>
                <w:szCs w:val="24"/>
              </w:rPr>
            </w:pPr>
          </w:p>
        </w:tc>
        <w:tc>
          <w:tcPr>
            <w:tcW w:w="1276" w:type="dxa"/>
            <w:tcBorders>
              <w:top w:val="nil"/>
            </w:tcBorders>
          </w:tcPr>
          <w:p w14:paraId="23A32B87" w14:textId="77777777" w:rsidR="00BB1B51" w:rsidRPr="00955942" w:rsidRDefault="00BB1B51" w:rsidP="00641840">
            <w:pPr>
              <w:spacing w:before="0" w:after="0"/>
              <w:rPr>
                <w:noProof/>
                <w:szCs w:val="24"/>
              </w:rPr>
            </w:pPr>
          </w:p>
        </w:tc>
        <w:tc>
          <w:tcPr>
            <w:tcW w:w="992" w:type="dxa"/>
            <w:tcBorders>
              <w:top w:val="nil"/>
            </w:tcBorders>
          </w:tcPr>
          <w:p w14:paraId="45C993F6" w14:textId="77777777" w:rsidR="00BB1B51" w:rsidRPr="00955942" w:rsidRDefault="00BB1B51" w:rsidP="00641840">
            <w:pPr>
              <w:spacing w:before="0" w:after="0"/>
              <w:rPr>
                <w:noProof/>
                <w:szCs w:val="24"/>
              </w:rPr>
            </w:pPr>
          </w:p>
        </w:tc>
        <w:tc>
          <w:tcPr>
            <w:tcW w:w="1276" w:type="dxa"/>
            <w:tcBorders>
              <w:top w:val="nil"/>
            </w:tcBorders>
          </w:tcPr>
          <w:p w14:paraId="613E2DDD" w14:textId="77777777" w:rsidR="00BB1B51" w:rsidRPr="00955942" w:rsidRDefault="00BB1B51" w:rsidP="00641840">
            <w:pPr>
              <w:spacing w:before="0" w:after="0"/>
              <w:jc w:val="center"/>
              <w:rPr>
                <w:noProof/>
                <w:szCs w:val="24"/>
              </w:rPr>
            </w:pPr>
          </w:p>
        </w:tc>
        <w:tc>
          <w:tcPr>
            <w:tcW w:w="1296" w:type="dxa"/>
            <w:tcBorders>
              <w:top w:val="nil"/>
            </w:tcBorders>
          </w:tcPr>
          <w:p w14:paraId="29726DE6" w14:textId="77777777" w:rsidR="00BB1B51" w:rsidRPr="00955942" w:rsidRDefault="00BB1B51" w:rsidP="00641840">
            <w:pPr>
              <w:spacing w:before="0" w:after="0"/>
              <w:jc w:val="center"/>
              <w:rPr>
                <w:noProof/>
                <w:szCs w:val="24"/>
              </w:rPr>
            </w:pPr>
            <w:r w:rsidRPr="00955942">
              <w:rPr>
                <w:noProof/>
                <w:szCs w:val="24"/>
              </w:rPr>
              <w:t>(a)</w:t>
            </w:r>
          </w:p>
        </w:tc>
        <w:tc>
          <w:tcPr>
            <w:tcW w:w="1539" w:type="dxa"/>
            <w:tcBorders>
              <w:top w:val="nil"/>
            </w:tcBorders>
          </w:tcPr>
          <w:p w14:paraId="25EED8A3" w14:textId="77777777" w:rsidR="00BB1B51" w:rsidRPr="00955942" w:rsidRDefault="00BB1B51" w:rsidP="00641840">
            <w:pPr>
              <w:spacing w:before="0" w:after="0"/>
              <w:jc w:val="center"/>
              <w:rPr>
                <w:noProof/>
                <w:szCs w:val="24"/>
              </w:rPr>
            </w:pPr>
            <w:r w:rsidRPr="00955942">
              <w:rPr>
                <w:noProof/>
                <w:szCs w:val="24"/>
              </w:rPr>
              <w:t>(b)=(c)+(d)</w:t>
            </w:r>
          </w:p>
        </w:tc>
        <w:tc>
          <w:tcPr>
            <w:tcW w:w="1276" w:type="dxa"/>
            <w:tcBorders>
              <w:top w:val="nil"/>
            </w:tcBorders>
          </w:tcPr>
          <w:p w14:paraId="56F9B503" w14:textId="77777777" w:rsidR="00BB1B51" w:rsidRPr="00955942" w:rsidRDefault="00BB1B51" w:rsidP="00641840">
            <w:pPr>
              <w:spacing w:before="0" w:after="0"/>
              <w:jc w:val="center"/>
              <w:rPr>
                <w:noProof/>
                <w:szCs w:val="24"/>
              </w:rPr>
            </w:pPr>
            <w:r w:rsidRPr="00955942">
              <w:rPr>
                <w:noProof/>
                <w:szCs w:val="24"/>
              </w:rPr>
              <w:t>(c)</w:t>
            </w:r>
          </w:p>
        </w:tc>
        <w:tc>
          <w:tcPr>
            <w:tcW w:w="992" w:type="dxa"/>
            <w:tcBorders>
              <w:top w:val="nil"/>
            </w:tcBorders>
          </w:tcPr>
          <w:p w14:paraId="44A21F16" w14:textId="77777777" w:rsidR="00BB1B51" w:rsidRPr="00955942" w:rsidRDefault="00BB1B51" w:rsidP="00641840">
            <w:pPr>
              <w:spacing w:before="0" w:after="0"/>
              <w:jc w:val="center"/>
              <w:rPr>
                <w:noProof/>
                <w:szCs w:val="24"/>
              </w:rPr>
            </w:pPr>
            <w:r w:rsidRPr="00955942">
              <w:rPr>
                <w:noProof/>
                <w:szCs w:val="24"/>
              </w:rPr>
              <w:t>(d)</w:t>
            </w:r>
          </w:p>
        </w:tc>
        <w:tc>
          <w:tcPr>
            <w:tcW w:w="1515" w:type="dxa"/>
            <w:tcBorders>
              <w:top w:val="nil"/>
            </w:tcBorders>
          </w:tcPr>
          <w:p w14:paraId="1A8F7785" w14:textId="77777777" w:rsidR="00BB1B51" w:rsidRPr="00955942" w:rsidRDefault="00BB1B51" w:rsidP="00641840">
            <w:pPr>
              <w:spacing w:before="0" w:after="0"/>
              <w:jc w:val="center"/>
              <w:rPr>
                <w:noProof/>
                <w:szCs w:val="24"/>
              </w:rPr>
            </w:pPr>
            <w:r w:rsidRPr="00955942">
              <w:rPr>
                <w:noProof/>
                <w:szCs w:val="24"/>
              </w:rPr>
              <w:t>(e)=(a)+(b)</w:t>
            </w:r>
          </w:p>
        </w:tc>
        <w:tc>
          <w:tcPr>
            <w:tcW w:w="1829" w:type="dxa"/>
            <w:tcBorders>
              <w:top w:val="nil"/>
            </w:tcBorders>
          </w:tcPr>
          <w:p w14:paraId="0CE8EBB5" w14:textId="77777777" w:rsidR="00BB1B51" w:rsidRPr="00955942" w:rsidRDefault="00BB1B51" w:rsidP="00641840">
            <w:pPr>
              <w:spacing w:before="0" w:after="0"/>
              <w:jc w:val="center"/>
              <w:rPr>
                <w:noProof/>
                <w:szCs w:val="24"/>
              </w:rPr>
            </w:pPr>
            <w:r w:rsidRPr="00955942">
              <w:rPr>
                <w:noProof/>
                <w:szCs w:val="24"/>
              </w:rPr>
              <w:t>(f)=(a)/(e)</w:t>
            </w:r>
          </w:p>
        </w:tc>
      </w:tr>
      <w:tr w:rsidR="00955942" w:rsidRPr="00955942" w14:paraId="3E5CA889" w14:textId="77777777" w:rsidTr="00626492">
        <w:trPr>
          <w:jc w:val="center"/>
        </w:trPr>
        <w:tc>
          <w:tcPr>
            <w:tcW w:w="1057" w:type="dxa"/>
            <w:vMerge/>
          </w:tcPr>
          <w:p w14:paraId="4EDD1780" w14:textId="77777777" w:rsidR="00BB1B51" w:rsidRPr="00955942" w:rsidRDefault="00BB1B51" w:rsidP="00641840">
            <w:pPr>
              <w:spacing w:before="0" w:after="0"/>
              <w:rPr>
                <w:b/>
                <w:noProof/>
                <w:szCs w:val="24"/>
              </w:rPr>
            </w:pPr>
          </w:p>
        </w:tc>
        <w:tc>
          <w:tcPr>
            <w:tcW w:w="1206" w:type="dxa"/>
            <w:vAlign w:val="center"/>
          </w:tcPr>
          <w:p w14:paraId="12DB7BEB" w14:textId="77777777" w:rsidR="00BB1B51" w:rsidRPr="00955942" w:rsidRDefault="00BB1B51" w:rsidP="00641840">
            <w:pPr>
              <w:spacing w:before="0" w:after="0"/>
              <w:rPr>
                <w:noProof/>
                <w:szCs w:val="24"/>
              </w:rPr>
            </w:pPr>
            <w:r w:rsidRPr="00955942">
              <w:rPr>
                <w:noProof/>
                <w:szCs w:val="24"/>
              </w:rPr>
              <w:t>n/a</w:t>
            </w:r>
          </w:p>
        </w:tc>
        <w:tc>
          <w:tcPr>
            <w:tcW w:w="1276" w:type="dxa"/>
            <w:vAlign w:val="center"/>
          </w:tcPr>
          <w:p w14:paraId="092DA7DD" w14:textId="77777777" w:rsidR="00BB1B51" w:rsidRPr="00955942" w:rsidRDefault="00BB1B51" w:rsidP="00641840">
            <w:pPr>
              <w:spacing w:before="0" w:after="0"/>
              <w:rPr>
                <w:noProof/>
                <w:szCs w:val="24"/>
              </w:rPr>
            </w:pPr>
            <w:r w:rsidRPr="00955942">
              <w:rPr>
                <w:noProof/>
                <w:szCs w:val="24"/>
              </w:rPr>
              <w:t>n/a</w:t>
            </w:r>
          </w:p>
        </w:tc>
        <w:tc>
          <w:tcPr>
            <w:tcW w:w="992" w:type="dxa"/>
            <w:vAlign w:val="center"/>
          </w:tcPr>
          <w:p w14:paraId="378D7352" w14:textId="77777777" w:rsidR="00BB1B51" w:rsidRPr="00955942" w:rsidRDefault="00BB1B51" w:rsidP="00641840">
            <w:pPr>
              <w:spacing w:before="0" w:after="0"/>
              <w:rPr>
                <w:noProof/>
                <w:szCs w:val="24"/>
              </w:rPr>
            </w:pPr>
            <w:r w:rsidRPr="00955942">
              <w:rPr>
                <w:noProof/>
                <w:szCs w:val="24"/>
              </w:rPr>
              <w:t>ESF+</w:t>
            </w:r>
          </w:p>
        </w:tc>
        <w:tc>
          <w:tcPr>
            <w:tcW w:w="1276" w:type="dxa"/>
            <w:vAlign w:val="center"/>
          </w:tcPr>
          <w:p w14:paraId="488DE6CE" w14:textId="77777777" w:rsidR="00BB1B51" w:rsidRPr="00955942" w:rsidRDefault="00BB1B51" w:rsidP="00641840">
            <w:pPr>
              <w:spacing w:before="0" w:after="0"/>
              <w:rPr>
                <w:noProof/>
                <w:szCs w:val="24"/>
              </w:rPr>
            </w:pPr>
            <w:r w:rsidRPr="00955942">
              <w:rPr>
                <w:noProof/>
                <w:szCs w:val="24"/>
              </w:rPr>
              <w:t>Mazāk attīstīts</w:t>
            </w:r>
          </w:p>
        </w:tc>
        <w:tc>
          <w:tcPr>
            <w:tcW w:w="1296" w:type="dxa"/>
            <w:vAlign w:val="center"/>
          </w:tcPr>
          <w:p w14:paraId="06DC5AC2" w14:textId="77777777" w:rsidR="00BB1B51" w:rsidRPr="00955942" w:rsidRDefault="00BB1B51" w:rsidP="00641840">
            <w:pPr>
              <w:spacing w:before="0" w:after="0"/>
              <w:jc w:val="center"/>
              <w:rPr>
                <w:noProof/>
                <w:szCs w:val="24"/>
              </w:rPr>
            </w:pPr>
            <w:r w:rsidRPr="00955942">
              <w:rPr>
                <w:noProof/>
                <w:szCs w:val="24"/>
              </w:rPr>
              <w:t>32 538 000</w:t>
            </w:r>
          </w:p>
        </w:tc>
        <w:tc>
          <w:tcPr>
            <w:tcW w:w="1539" w:type="dxa"/>
            <w:vAlign w:val="center"/>
          </w:tcPr>
          <w:p w14:paraId="4E9289DC" w14:textId="77777777" w:rsidR="00BB1B51" w:rsidRPr="00955942" w:rsidRDefault="00BB1B51" w:rsidP="00641840">
            <w:pPr>
              <w:spacing w:before="0" w:after="0"/>
              <w:jc w:val="center"/>
              <w:rPr>
                <w:noProof/>
                <w:szCs w:val="24"/>
              </w:rPr>
            </w:pPr>
            <w:r w:rsidRPr="00955942">
              <w:rPr>
                <w:noProof/>
                <w:szCs w:val="24"/>
              </w:rPr>
              <w:t>5 742 000</w:t>
            </w:r>
          </w:p>
        </w:tc>
        <w:tc>
          <w:tcPr>
            <w:tcW w:w="1276" w:type="dxa"/>
            <w:vAlign w:val="center"/>
          </w:tcPr>
          <w:p w14:paraId="66BF9E67" w14:textId="77777777" w:rsidR="00BB1B51" w:rsidRPr="00955942" w:rsidRDefault="00BB1B51" w:rsidP="00641840">
            <w:pPr>
              <w:spacing w:before="0" w:after="0"/>
              <w:jc w:val="center"/>
              <w:rPr>
                <w:noProof/>
                <w:szCs w:val="24"/>
              </w:rPr>
            </w:pPr>
            <w:r w:rsidRPr="00955942">
              <w:rPr>
                <w:noProof/>
                <w:szCs w:val="24"/>
              </w:rPr>
              <w:t>5 742 000</w:t>
            </w:r>
          </w:p>
        </w:tc>
        <w:tc>
          <w:tcPr>
            <w:tcW w:w="992" w:type="dxa"/>
            <w:vAlign w:val="center"/>
          </w:tcPr>
          <w:p w14:paraId="602CBB52" w14:textId="77777777" w:rsidR="00BB1B51" w:rsidRPr="00955942" w:rsidRDefault="00BB1B51" w:rsidP="00641840">
            <w:pPr>
              <w:spacing w:before="0" w:after="0"/>
              <w:jc w:val="center"/>
              <w:rPr>
                <w:noProof/>
                <w:szCs w:val="24"/>
              </w:rPr>
            </w:pPr>
            <w:r w:rsidRPr="00955942">
              <w:rPr>
                <w:noProof/>
                <w:szCs w:val="24"/>
              </w:rPr>
              <w:t>0,00</w:t>
            </w:r>
          </w:p>
        </w:tc>
        <w:tc>
          <w:tcPr>
            <w:tcW w:w="1515" w:type="dxa"/>
            <w:vAlign w:val="center"/>
          </w:tcPr>
          <w:p w14:paraId="2F1B13D4" w14:textId="77777777" w:rsidR="00BB1B51" w:rsidRPr="00955942" w:rsidRDefault="00BB1B51" w:rsidP="00641840">
            <w:pPr>
              <w:spacing w:before="0" w:after="0"/>
              <w:jc w:val="center"/>
              <w:rPr>
                <w:b/>
                <w:noProof/>
                <w:szCs w:val="24"/>
              </w:rPr>
            </w:pPr>
            <w:r w:rsidRPr="00955942">
              <w:rPr>
                <w:b/>
                <w:noProof/>
                <w:szCs w:val="24"/>
              </w:rPr>
              <w:t>38 280 000</w:t>
            </w:r>
          </w:p>
        </w:tc>
        <w:tc>
          <w:tcPr>
            <w:tcW w:w="1829" w:type="dxa"/>
            <w:vAlign w:val="center"/>
          </w:tcPr>
          <w:p w14:paraId="3CD47A17" w14:textId="77777777" w:rsidR="00BB1B51" w:rsidRPr="00955942" w:rsidRDefault="00BB1B51" w:rsidP="00641840">
            <w:pPr>
              <w:spacing w:before="0" w:after="0"/>
              <w:jc w:val="center"/>
              <w:rPr>
                <w:noProof/>
                <w:szCs w:val="24"/>
              </w:rPr>
            </w:pPr>
            <w:r w:rsidRPr="00955942">
              <w:rPr>
                <w:noProof/>
                <w:szCs w:val="24"/>
              </w:rPr>
              <w:t xml:space="preserve">0,85 </w:t>
            </w:r>
            <w:r w:rsidRPr="00955942">
              <w:rPr>
                <w:rStyle w:val="FootnoteReference"/>
                <w:noProof/>
                <w:szCs w:val="24"/>
              </w:rPr>
              <w:footnoteReference w:id="20"/>
            </w:r>
          </w:p>
        </w:tc>
      </w:tr>
    </w:tbl>
    <w:p w14:paraId="4E0C6118" w14:textId="77777777" w:rsidR="004951E2" w:rsidRPr="000D5DBF" w:rsidRDefault="004951E2" w:rsidP="00641840">
      <w:pPr>
        <w:spacing w:before="0" w:after="0"/>
        <w:sectPr w:rsidR="004951E2" w:rsidRPr="000D5DBF" w:rsidSect="00C83ED9">
          <w:pgSz w:w="16838" w:h="11906" w:orient="landscape"/>
          <w:pgMar w:top="1701" w:right="1134" w:bottom="1276" w:left="1440" w:header="708" w:footer="708" w:gutter="0"/>
          <w:cols w:space="708"/>
          <w:docGrid w:linePitch="360"/>
        </w:sectPr>
      </w:pPr>
    </w:p>
    <w:p w14:paraId="7419C78D" w14:textId="3DC12CAD" w:rsidR="00DD4BEE" w:rsidRPr="00DD4BEE" w:rsidRDefault="004951E2" w:rsidP="00641840">
      <w:pPr>
        <w:pStyle w:val="Heading1"/>
        <w:numPr>
          <w:ilvl w:val="0"/>
          <w:numId w:val="30"/>
        </w:numPr>
        <w:spacing w:before="0"/>
        <w:rPr>
          <w:rFonts w:ascii="Times New Roman" w:hAnsi="Times New Roman" w:cs="Times New Roman"/>
          <w:b/>
          <w:color w:val="auto"/>
          <w:sz w:val="28"/>
          <w:szCs w:val="28"/>
        </w:rPr>
      </w:pPr>
      <w:bookmarkStart w:id="23" w:name="_Toc70410851"/>
      <w:r w:rsidRPr="000D5DBF">
        <w:rPr>
          <w:rFonts w:ascii="Times New Roman" w:hAnsi="Times New Roman" w:cs="Times New Roman"/>
          <w:b/>
          <w:color w:val="auto"/>
          <w:sz w:val="28"/>
          <w:szCs w:val="28"/>
        </w:rPr>
        <w:lastRenderedPageBreak/>
        <w:t>Programmā iesaistītās iestādes</w:t>
      </w:r>
      <w:bookmarkEnd w:id="23"/>
      <w:r w:rsidRPr="000D5DBF">
        <w:rPr>
          <w:rFonts w:ascii="Times New Roman" w:hAnsi="Times New Roman" w:cs="Times New Roman"/>
          <w:b/>
          <w:color w:val="auto"/>
          <w:sz w:val="28"/>
          <w:szCs w:val="28"/>
        </w:rPr>
        <w:t xml:space="preserve"> </w:t>
      </w:r>
    </w:p>
    <w:p w14:paraId="2CA763C0" w14:textId="77777777" w:rsidR="004951E2" w:rsidRPr="000D5DBF" w:rsidRDefault="004951E2" w:rsidP="00641840">
      <w:pPr>
        <w:spacing w:before="0" w:after="0"/>
      </w:pPr>
    </w:p>
    <w:tbl>
      <w:tblPr>
        <w:tblStyle w:val="TableGrid"/>
        <w:tblW w:w="0" w:type="auto"/>
        <w:tblLook w:val="04A0" w:firstRow="1" w:lastRow="0" w:firstColumn="1" w:lastColumn="0" w:noHBand="0" w:noVBand="1"/>
      </w:tblPr>
      <w:tblGrid>
        <w:gridCol w:w="2223"/>
        <w:gridCol w:w="2171"/>
        <w:gridCol w:w="1986"/>
        <w:gridCol w:w="2539"/>
      </w:tblGrid>
      <w:tr w:rsidR="004951E2" w:rsidRPr="000D5DBF" w14:paraId="254668B7" w14:textId="77777777" w:rsidTr="00226E45">
        <w:tc>
          <w:tcPr>
            <w:tcW w:w="9288" w:type="dxa"/>
            <w:gridSpan w:val="4"/>
          </w:tcPr>
          <w:p w14:paraId="2CAA8894" w14:textId="77777777" w:rsidR="004951E2" w:rsidRPr="000D5DBF" w:rsidRDefault="004951E2" w:rsidP="00641840">
            <w:pPr>
              <w:spacing w:before="0" w:after="0"/>
              <w:rPr>
                <w:b/>
                <w:noProof/>
                <w:sz w:val="20"/>
              </w:rPr>
            </w:pPr>
            <w:r w:rsidRPr="000D5DBF">
              <w:rPr>
                <w:b/>
                <w:noProof/>
                <w:sz w:val="20"/>
              </w:rPr>
              <w:t>3. tabula. Programmā iesaistītās iestādes</w:t>
            </w:r>
          </w:p>
        </w:tc>
      </w:tr>
      <w:tr w:rsidR="004951E2" w:rsidRPr="000D5DBF" w14:paraId="4B21101C" w14:textId="77777777" w:rsidTr="00226E45">
        <w:tc>
          <w:tcPr>
            <w:tcW w:w="2452" w:type="dxa"/>
          </w:tcPr>
          <w:p w14:paraId="192BEAE2" w14:textId="77777777" w:rsidR="004951E2" w:rsidRPr="000D5DBF" w:rsidRDefault="004951E2" w:rsidP="00641840">
            <w:pPr>
              <w:spacing w:before="0" w:after="0"/>
              <w:rPr>
                <w:b/>
                <w:noProof/>
                <w:sz w:val="20"/>
              </w:rPr>
            </w:pPr>
            <w:r w:rsidRPr="000D5DBF">
              <w:rPr>
                <w:b/>
                <w:noProof/>
                <w:sz w:val="20"/>
              </w:rPr>
              <w:t xml:space="preserve">Programmā iesaistītās iestādes </w:t>
            </w:r>
          </w:p>
        </w:tc>
        <w:tc>
          <w:tcPr>
            <w:tcW w:w="2403" w:type="dxa"/>
          </w:tcPr>
          <w:p w14:paraId="44DE8EA2" w14:textId="77777777" w:rsidR="004951E2" w:rsidRPr="000D5DBF" w:rsidRDefault="004951E2" w:rsidP="00641840">
            <w:pPr>
              <w:spacing w:before="0" w:after="0"/>
              <w:rPr>
                <w:b/>
                <w:noProof/>
                <w:sz w:val="20"/>
              </w:rPr>
            </w:pPr>
            <w:r w:rsidRPr="000D5DBF">
              <w:rPr>
                <w:b/>
                <w:noProof/>
                <w:sz w:val="20"/>
              </w:rPr>
              <w:t>Iestādes nosaukums</w:t>
            </w:r>
          </w:p>
        </w:tc>
        <w:tc>
          <w:tcPr>
            <w:tcW w:w="2057" w:type="dxa"/>
          </w:tcPr>
          <w:p w14:paraId="2912AEFA" w14:textId="77777777" w:rsidR="004951E2" w:rsidRPr="000D5DBF" w:rsidRDefault="004951E2" w:rsidP="00641840">
            <w:pPr>
              <w:spacing w:before="0" w:after="0"/>
              <w:rPr>
                <w:b/>
                <w:noProof/>
                <w:sz w:val="20"/>
              </w:rPr>
            </w:pPr>
            <w:r w:rsidRPr="000D5DBF">
              <w:rPr>
                <w:b/>
                <w:noProof/>
                <w:sz w:val="20"/>
              </w:rPr>
              <w:t>Kontaktpersonas vārds, uzvārds</w:t>
            </w:r>
            <w:r w:rsidRPr="000D5DBF">
              <w:rPr>
                <w:noProof/>
              </w:rPr>
              <w:t xml:space="preserve"> </w:t>
            </w:r>
          </w:p>
        </w:tc>
        <w:tc>
          <w:tcPr>
            <w:tcW w:w="2376" w:type="dxa"/>
          </w:tcPr>
          <w:p w14:paraId="4CCF634B" w14:textId="77777777" w:rsidR="004951E2" w:rsidRPr="000D5DBF" w:rsidRDefault="004951E2" w:rsidP="00641840">
            <w:pPr>
              <w:spacing w:before="0" w:after="0"/>
              <w:rPr>
                <w:b/>
                <w:noProof/>
                <w:sz w:val="20"/>
              </w:rPr>
            </w:pPr>
            <w:r w:rsidRPr="000D5DBF">
              <w:rPr>
                <w:b/>
                <w:noProof/>
                <w:sz w:val="20"/>
              </w:rPr>
              <w:t>E-pasts</w:t>
            </w:r>
          </w:p>
        </w:tc>
      </w:tr>
      <w:tr w:rsidR="004951E2" w:rsidRPr="000D5DBF" w14:paraId="7D0B35D8" w14:textId="77777777" w:rsidTr="00226E45">
        <w:tc>
          <w:tcPr>
            <w:tcW w:w="2452" w:type="dxa"/>
          </w:tcPr>
          <w:p w14:paraId="4E73D02C" w14:textId="77777777" w:rsidR="004951E2" w:rsidRPr="000D5DBF" w:rsidRDefault="004951E2" w:rsidP="00641840">
            <w:pPr>
              <w:spacing w:before="0" w:after="0"/>
              <w:rPr>
                <w:noProof/>
                <w:sz w:val="20"/>
              </w:rPr>
            </w:pPr>
            <w:r w:rsidRPr="000D5DBF">
              <w:rPr>
                <w:noProof/>
                <w:sz w:val="20"/>
              </w:rPr>
              <w:t>Vadošā iestāde</w:t>
            </w:r>
          </w:p>
        </w:tc>
        <w:tc>
          <w:tcPr>
            <w:tcW w:w="2403" w:type="dxa"/>
          </w:tcPr>
          <w:p w14:paraId="4C060532" w14:textId="77777777" w:rsidR="004951E2" w:rsidRPr="000D5DBF" w:rsidRDefault="004951E2" w:rsidP="00641840">
            <w:pPr>
              <w:spacing w:before="0" w:after="0"/>
              <w:rPr>
                <w:noProof/>
                <w:sz w:val="20"/>
              </w:rPr>
            </w:pPr>
            <w:r w:rsidRPr="000D5DBF">
              <w:rPr>
                <w:noProof/>
                <w:sz w:val="20"/>
              </w:rPr>
              <w:t>LR Labklājības ministrija</w:t>
            </w:r>
          </w:p>
        </w:tc>
        <w:tc>
          <w:tcPr>
            <w:tcW w:w="2057" w:type="dxa"/>
          </w:tcPr>
          <w:p w14:paraId="1E022782" w14:textId="77777777" w:rsidR="004951E2" w:rsidRPr="000D5DBF" w:rsidRDefault="004951E2" w:rsidP="00641840">
            <w:pPr>
              <w:spacing w:before="0" w:after="0"/>
              <w:rPr>
                <w:noProof/>
                <w:sz w:val="20"/>
              </w:rPr>
            </w:pPr>
            <w:r w:rsidRPr="000D5DBF">
              <w:rPr>
                <w:noProof/>
                <w:sz w:val="20"/>
              </w:rPr>
              <w:t>Lauma Grafa</w:t>
            </w:r>
            <w:r w:rsidR="0042702C" w:rsidRPr="000D5DBF">
              <w:rPr>
                <w:noProof/>
                <w:sz w:val="20"/>
              </w:rPr>
              <w:t>, Vadošās iestādes vadītāja</w:t>
            </w:r>
          </w:p>
        </w:tc>
        <w:tc>
          <w:tcPr>
            <w:tcW w:w="2376" w:type="dxa"/>
          </w:tcPr>
          <w:p w14:paraId="53B25F9F" w14:textId="77777777" w:rsidR="004951E2" w:rsidRPr="000D5DBF" w:rsidRDefault="004951E2" w:rsidP="00641840">
            <w:pPr>
              <w:spacing w:before="0" w:after="0"/>
              <w:rPr>
                <w:noProof/>
                <w:sz w:val="20"/>
              </w:rPr>
            </w:pPr>
            <w:r w:rsidRPr="000D5DBF">
              <w:rPr>
                <w:noProof/>
                <w:sz w:val="20"/>
              </w:rPr>
              <w:t>lauma.grafa@lm.gov.lv</w:t>
            </w:r>
          </w:p>
        </w:tc>
      </w:tr>
      <w:tr w:rsidR="004951E2" w:rsidRPr="000D5DBF" w14:paraId="470B5707" w14:textId="77777777" w:rsidTr="00226E45">
        <w:tc>
          <w:tcPr>
            <w:tcW w:w="2452" w:type="dxa"/>
          </w:tcPr>
          <w:p w14:paraId="321D8C91" w14:textId="77777777" w:rsidR="004951E2" w:rsidRPr="000D5DBF" w:rsidRDefault="004951E2" w:rsidP="00641840">
            <w:pPr>
              <w:spacing w:before="0" w:after="0"/>
              <w:rPr>
                <w:noProof/>
                <w:sz w:val="20"/>
              </w:rPr>
            </w:pPr>
            <w:r w:rsidRPr="000D5DBF">
              <w:rPr>
                <w:noProof/>
                <w:sz w:val="20"/>
              </w:rPr>
              <w:t xml:space="preserve">Sadarbības iestāde </w:t>
            </w:r>
          </w:p>
        </w:tc>
        <w:tc>
          <w:tcPr>
            <w:tcW w:w="2403" w:type="dxa"/>
          </w:tcPr>
          <w:p w14:paraId="32A65C23" w14:textId="77777777" w:rsidR="004951E2" w:rsidRPr="000D5DBF" w:rsidRDefault="004951E2" w:rsidP="00641840">
            <w:pPr>
              <w:spacing w:before="0" w:after="0"/>
              <w:rPr>
                <w:noProof/>
                <w:sz w:val="20"/>
              </w:rPr>
            </w:pPr>
            <w:r w:rsidRPr="000D5DBF">
              <w:rPr>
                <w:noProof/>
                <w:sz w:val="20"/>
              </w:rPr>
              <w:t>Sabiedrības integrācijas fonds</w:t>
            </w:r>
          </w:p>
        </w:tc>
        <w:tc>
          <w:tcPr>
            <w:tcW w:w="2057" w:type="dxa"/>
          </w:tcPr>
          <w:p w14:paraId="33296CCD" w14:textId="77777777" w:rsidR="004951E2" w:rsidRPr="000D5DBF" w:rsidRDefault="004951E2" w:rsidP="00641840">
            <w:pPr>
              <w:spacing w:before="0" w:after="0"/>
              <w:rPr>
                <w:noProof/>
                <w:sz w:val="20"/>
              </w:rPr>
            </w:pPr>
            <w:r w:rsidRPr="000D5DBF">
              <w:rPr>
                <w:noProof/>
                <w:sz w:val="20"/>
              </w:rPr>
              <w:t>Reinis Lasmanis</w:t>
            </w:r>
            <w:r w:rsidR="0042702C" w:rsidRPr="000D5DBF">
              <w:rPr>
                <w:noProof/>
                <w:sz w:val="20"/>
              </w:rPr>
              <w:t>, Sadarbības iestādes vadītājs</w:t>
            </w:r>
          </w:p>
        </w:tc>
        <w:tc>
          <w:tcPr>
            <w:tcW w:w="2376" w:type="dxa"/>
          </w:tcPr>
          <w:p w14:paraId="573FD641" w14:textId="77777777" w:rsidR="004951E2" w:rsidRPr="000D5DBF" w:rsidRDefault="004951E2" w:rsidP="00641840">
            <w:pPr>
              <w:spacing w:before="0" w:after="0"/>
              <w:rPr>
                <w:noProof/>
                <w:sz w:val="20"/>
              </w:rPr>
            </w:pPr>
            <w:r w:rsidRPr="000D5DBF">
              <w:rPr>
                <w:noProof/>
                <w:sz w:val="20"/>
              </w:rPr>
              <w:t>reinis.lasmanis@sif.gov.lv</w:t>
            </w:r>
          </w:p>
        </w:tc>
      </w:tr>
      <w:tr w:rsidR="004951E2" w:rsidRPr="000D5DBF" w14:paraId="6ED6BE6E" w14:textId="77777777" w:rsidTr="00226E45">
        <w:tc>
          <w:tcPr>
            <w:tcW w:w="2452" w:type="dxa"/>
          </w:tcPr>
          <w:p w14:paraId="19167219" w14:textId="77777777" w:rsidR="004951E2" w:rsidRPr="000D5DBF" w:rsidRDefault="004951E2" w:rsidP="00641840">
            <w:pPr>
              <w:spacing w:before="0" w:after="0"/>
              <w:rPr>
                <w:noProof/>
                <w:sz w:val="20"/>
              </w:rPr>
            </w:pPr>
            <w:r w:rsidRPr="000D5DBF">
              <w:rPr>
                <w:noProof/>
                <w:sz w:val="20"/>
              </w:rPr>
              <w:t>Revīzijas iestāde</w:t>
            </w:r>
          </w:p>
        </w:tc>
        <w:tc>
          <w:tcPr>
            <w:tcW w:w="2403" w:type="dxa"/>
          </w:tcPr>
          <w:p w14:paraId="0D23F8A9" w14:textId="77777777" w:rsidR="004951E2" w:rsidRPr="000D5DBF" w:rsidRDefault="004951E2" w:rsidP="00641840">
            <w:pPr>
              <w:spacing w:before="0" w:after="0"/>
              <w:rPr>
                <w:noProof/>
                <w:sz w:val="20"/>
              </w:rPr>
            </w:pPr>
            <w:r w:rsidRPr="000D5DBF">
              <w:rPr>
                <w:noProof/>
                <w:sz w:val="20"/>
              </w:rPr>
              <w:t>LR Finanšu ministrija</w:t>
            </w:r>
          </w:p>
        </w:tc>
        <w:tc>
          <w:tcPr>
            <w:tcW w:w="2057" w:type="dxa"/>
          </w:tcPr>
          <w:p w14:paraId="38071B20" w14:textId="77777777" w:rsidR="004951E2" w:rsidRPr="000D5DBF" w:rsidRDefault="0042702C" w:rsidP="00641840">
            <w:pPr>
              <w:spacing w:before="0" w:after="0"/>
              <w:rPr>
                <w:noProof/>
                <w:sz w:val="20"/>
              </w:rPr>
            </w:pPr>
            <w:r w:rsidRPr="000D5DBF">
              <w:rPr>
                <w:noProof/>
                <w:sz w:val="20"/>
              </w:rPr>
              <w:t>Nata Lasmane, ES fondu revīzijas departamenta direktore</w:t>
            </w:r>
          </w:p>
        </w:tc>
        <w:tc>
          <w:tcPr>
            <w:tcW w:w="2376" w:type="dxa"/>
          </w:tcPr>
          <w:p w14:paraId="03A86927" w14:textId="77777777" w:rsidR="004951E2" w:rsidRPr="000D5DBF" w:rsidRDefault="004951E2" w:rsidP="00641840">
            <w:pPr>
              <w:spacing w:before="0" w:after="0"/>
              <w:rPr>
                <w:noProof/>
                <w:sz w:val="20"/>
              </w:rPr>
            </w:pPr>
            <w:r w:rsidRPr="000D5DBF">
              <w:rPr>
                <w:noProof/>
                <w:sz w:val="20"/>
              </w:rPr>
              <w:t>nata.lasmane@fm.gov.lv</w:t>
            </w:r>
          </w:p>
        </w:tc>
      </w:tr>
      <w:tr w:rsidR="004951E2" w:rsidRPr="000D5DBF" w14:paraId="29156107" w14:textId="77777777" w:rsidTr="00226E45">
        <w:tc>
          <w:tcPr>
            <w:tcW w:w="2452" w:type="dxa"/>
          </w:tcPr>
          <w:p w14:paraId="3F5463D1" w14:textId="77777777" w:rsidR="004951E2" w:rsidRPr="000D5DBF" w:rsidRDefault="004951E2" w:rsidP="00641840">
            <w:pPr>
              <w:spacing w:before="0" w:after="0"/>
              <w:rPr>
                <w:noProof/>
                <w:sz w:val="20"/>
              </w:rPr>
            </w:pPr>
            <w:r w:rsidRPr="000D5DBF">
              <w:rPr>
                <w:noProof/>
                <w:sz w:val="20"/>
              </w:rPr>
              <w:t>Struktūra, kas saņem maksājumus no Komisijas</w:t>
            </w:r>
          </w:p>
        </w:tc>
        <w:tc>
          <w:tcPr>
            <w:tcW w:w="2403" w:type="dxa"/>
          </w:tcPr>
          <w:p w14:paraId="23862B75" w14:textId="77777777" w:rsidR="004951E2" w:rsidRPr="000D5DBF" w:rsidRDefault="004951E2" w:rsidP="00641840">
            <w:pPr>
              <w:spacing w:before="0" w:after="0"/>
              <w:rPr>
                <w:noProof/>
                <w:sz w:val="20"/>
              </w:rPr>
            </w:pPr>
            <w:r w:rsidRPr="000D5DBF">
              <w:rPr>
                <w:noProof/>
                <w:sz w:val="20"/>
              </w:rPr>
              <w:t>Valsts kase</w:t>
            </w:r>
          </w:p>
        </w:tc>
        <w:tc>
          <w:tcPr>
            <w:tcW w:w="2057" w:type="dxa"/>
          </w:tcPr>
          <w:p w14:paraId="6D3DFBDF" w14:textId="77777777" w:rsidR="004951E2" w:rsidRPr="000D5DBF" w:rsidRDefault="0042702C" w:rsidP="00641840">
            <w:pPr>
              <w:spacing w:before="0" w:after="0"/>
              <w:rPr>
                <w:noProof/>
                <w:sz w:val="20"/>
              </w:rPr>
            </w:pPr>
            <w:r w:rsidRPr="000D5DBF">
              <w:rPr>
                <w:noProof/>
                <w:sz w:val="20"/>
              </w:rPr>
              <w:t>Kaspars Āboliņš, Valsts kases pārvaldnieks</w:t>
            </w:r>
          </w:p>
        </w:tc>
        <w:tc>
          <w:tcPr>
            <w:tcW w:w="2376" w:type="dxa"/>
          </w:tcPr>
          <w:p w14:paraId="7DF48814" w14:textId="018C8A17" w:rsidR="004951E2" w:rsidRPr="000D5DBF" w:rsidRDefault="00DE5C26" w:rsidP="00641840">
            <w:pPr>
              <w:spacing w:before="0" w:after="0"/>
              <w:rPr>
                <w:noProof/>
                <w:sz w:val="20"/>
              </w:rPr>
            </w:pPr>
            <w:r>
              <w:rPr>
                <w:noProof/>
                <w:sz w:val="20"/>
              </w:rPr>
              <w:t>kaspars.a</w:t>
            </w:r>
            <w:r w:rsidR="00D4794F" w:rsidRPr="00D4794F">
              <w:rPr>
                <w:noProof/>
                <w:sz w:val="20"/>
              </w:rPr>
              <w:t>bolins@kase.gov.lv</w:t>
            </w:r>
          </w:p>
        </w:tc>
      </w:tr>
    </w:tbl>
    <w:p w14:paraId="34380377" w14:textId="77777777" w:rsidR="004951E2" w:rsidRPr="000D5DBF" w:rsidRDefault="004951E2" w:rsidP="00641840">
      <w:pPr>
        <w:spacing w:before="0" w:after="0"/>
      </w:pPr>
    </w:p>
    <w:p w14:paraId="63E9AF5D" w14:textId="77777777" w:rsidR="004951E2" w:rsidRDefault="004951E2" w:rsidP="00641840">
      <w:pPr>
        <w:spacing w:before="0" w:after="0"/>
      </w:pPr>
    </w:p>
    <w:p w14:paraId="66FB0E53" w14:textId="77777777" w:rsidR="00A66A7C" w:rsidRDefault="00A66A7C" w:rsidP="00641840">
      <w:pPr>
        <w:spacing w:before="0" w:after="0"/>
      </w:pPr>
    </w:p>
    <w:p w14:paraId="1A983B21" w14:textId="35E12A72" w:rsidR="00DD4BEE" w:rsidRPr="00A26006" w:rsidRDefault="00DD4BEE" w:rsidP="00641840">
      <w:pPr>
        <w:pStyle w:val="Heading1"/>
        <w:numPr>
          <w:ilvl w:val="0"/>
          <w:numId w:val="30"/>
        </w:numPr>
        <w:rPr>
          <w:rFonts w:ascii="Times New Roman" w:hAnsi="Times New Roman" w:cs="Times New Roman"/>
          <w:b/>
          <w:color w:val="auto"/>
          <w:sz w:val="28"/>
          <w:szCs w:val="28"/>
        </w:rPr>
      </w:pPr>
      <w:bookmarkStart w:id="24" w:name="_Toc70410852"/>
      <w:r w:rsidRPr="00A26006">
        <w:rPr>
          <w:rFonts w:ascii="Times New Roman" w:hAnsi="Times New Roman" w:cs="Times New Roman"/>
          <w:b/>
          <w:color w:val="auto"/>
          <w:sz w:val="28"/>
          <w:szCs w:val="28"/>
        </w:rPr>
        <w:t>Sabiedrības līdzdalība</w:t>
      </w:r>
      <w:bookmarkEnd w:id="24"/>
    </w:p>
    <w:p w14:paraId="48617DE3" w14:textId="77777777" w:rsidR="00A66A7C" w:rsidRDefault="00A66A7C" w:rsidP="00641840">
      <w:pPr>
        <w:spacing w:before="0" w:after="0"/>
      </w:pPr>
    </w:p>
    <w:p w14:paraId="3A1E78B4" w14:textId="120AEFBF" w:rsidR="00D865EB" w:rsidRPr="00D865EB" w:rsidRDefault="009B25D5" w:rsidP="00641840">
      <w:pPr>
        <w:pStyle w:val="ListParagraph"/>
        <w:numPr>
          <w:ilvl w:val="0"/>
          <w:numId w:val="2"/>
        </w:numPr>
        <w:spacing w:after="0" w:line="240" w:lineRule="auto"/>
        <w:ind w:left="567" w:hanging="567"/>
        <w:jc w:val="both"/>
        <w:rPr>
          <w:rFonts w:ascii="Times New Roman" w:hAnsi="Times New Roman" w:cs="Times New Roman"/>
          <w:sz w:val="24"/>
          <w:szCs w:val="24"/>
        </w:rPr>
      </w:pPr>
      <w:r w:rsidRPr="00D865EB">
        <w:rPr>
          <w:rFonts w:ascii="Times New Roman" w:hAnsi="Times New Roman" w:cs="Times New Roman"/>
          <w:sz w:val="24"/>
          <w:szCs w:val="24"/>
        </w:rPr>
        <w:t xml:space="preserve">Programmas projekta izstrādes procesā nodrošināta sabiedrības līdzdalība. Tās rezultātā saņemtie </w:t>
      </w:r>
      <w:r w:rsidRPr="00D865EB">
        <w:rPr>
          <w:rFonts w:ascii="Times New Roman" w:hAnsi="Times New Roman" w:cs="Times New Roman"/>
          <w:bCs/>
          <w:sz w:val="24"/>
          <w:szCs w:val="24"/>
        </w:rPr>
        <w:t xml:space="preserve">iebildumi un priekšlikumi apkopoti, kā </w:t>
      </w:r>
      <w:r w:rsidR="00D865EB" w:rsidRPr="00D865EB">
        <w:rPr>
          <w:rFonts w:ascii="Times New Roman" w:hAnsi="Times New Roman" w:cs="Times New Roman"/>
          <w:bCs/>
          <w:sz w:val="24"/>
          <w:szCs w:val="24"/>
        </w:rPr>
        <w:t xml:space="preserve">arī LM skaidrojumi atspoguļoti LM tīmekļa vietnē: </w:t>
      </w:r>
      <w:hyperlink r:id="rId11" w:history="1">
        <w:r w:rsidR="00D865EB" w:rsidRPr="00D865EB">
          <w:rPr>
            <w:rFonts w:ascii="Times New Roman" w:eastAsia="Calibri" w:hAnsi="Times New Roman" w:cs="Times New Roman"/>
            <w:sz w:val="24"/>
            <w:szCs w:val="20"/>
          </w:rPr>
          <w:t>https://www.lm.gov.lv/lv/esf-programmas-materialas-nenodrosinatibas-mazinasanai-2021-2027-gadam-projekts</w:t>
        </w:r>
      </w:hyperlink>
      <w:r w:rsidR="00D865EB">
        <w:rPr>
          <w:rFonts w:ascii="Times New Roman" w:eastAsia="Calibri" w:hAnsi="Times New Roman" w:cs="Times New Roman"/>
          <w:sz w:val="24"/>
          <w:szCs w:val="20"/>
        </w:rPr>
        <w:t>.</w:t>
      </w:r>
    </w:p>
    <w:p w14:paraId="3B52664A" w14:textId="77777777" w:rsidR="009B25D5" w:rsidRPr="004B40B5" w:rsidRDefault="009B25D5" w:rsidP="004B40B5">
      <w:pPr>
        <w:spacing w:before="0" w:after="0"/>
        <w:rPr>
          <w:sz w:val="28"/>
          <w:szCs w:val="28"/>
        </w:rPr>
      </w:pPr>
    </w:p>
    <w:p w14:paraId="5F275158" w14:textId="77777777" w:rsidR="00A66A7C" w:rsidRPr="004B40B5" w:rsidRDefault="00A66A7C" w:rsidP="004B40B5">
      <w:pPr>
        <w:spacing w:before="0" w:after="0"/>
        <w:rPr>
          <w:sz w:val="28"/>
          <w:szCs w:val="28"/>
        </w:rPr>
      </w:pPr>
    </w:p>
    <w:p w14:paraId="32B162E7" w14:textId="77777777" w:rsidR="0094235B" w:rsidRPr="004B40B5" w:rsidRDefault="0094235B" w:rsidP="004B40B5">
      <w:pPr>
        <w:spacing w:before="0" w:after="0"/>
        <w:rPr>
          <w:sz w:val="28"/>
          <w:szCs w:val="28"/>
        </w:rPr>
      </w:pPr>
    </w:p>
    <w:p w14:paraId="5A2BF9EE" w14:textId="646B736A" w:rsidR="0094235B" w:rsidRPr="004B40B5" w:rsidRDefault="0094235B" w:rsidP="004B40B5">
      <w:pPr>
        <w:tabs>
          <w:tab w:val="left" w:pos="6521"/>
        </w:tabs>
        <w:spacing w:before="0" w:after="0"/>
        <w:ind w:firstLine="709"/>
        <w:rPr>
          <w:sz w:val="28"/>
          <w:szCs w:val="28"/>
        </w:rPr>
      </w:pPr>
      <w:r w:rsidRPr="004B40B5">
        <w:rPr>
          <w:sz w:val="28"/>
          <w:szCs w:val="28"/>
        </w:rPr>
        <w:t>Labklājības ministre</w:t>
      </w:r>
      <w:r w:rsidR="004B40B5" w:rsidRPr="004B40B5">
        <w:rPr>
          <w:sz w:val="28"/>
          <w:szCs w:val="28"/>
        </w:rPr>
        <w:tab/>
      </w:r>
      <w:r w:rsidRPr="004B40B5">
        <w:rPr>
          <w:sz w:val="28"/>
          <w:szCs w:val="28"/>
        </w:rPr>
        <w:t>R. </w:t>
      </w:r>
      <w:proofErr w:type="spellStart"/>
      <w:r w:rsidRPr="004B40B5">
        <w:rPr>
          <w:sz w:val="28"/>
          <w:szCs w:val="28"/>
        </w:rPr>
        <w:t>Petraviča</w:t>
      </w:r>
      <w:proofErr w:type="spellEnd"/>
    </w:p>
    <w:sectPr w:rsidR="0094235B" w:rsidRPr="004B40B5" w:rsidSect="004951E2">
      <w:pgSz w:w="11906" w:h="16838"/>
      <w:pgMar w:top="1134" w:right="1276"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65E99" w14:textId="77777777" w:rsidR="00B33059" w:rsidRDefault="00B33059" w:rsidP="00D27AF9">
      <w:pPr>
        <w:spacing w:before="0" w:after="0"/>
      </w:pPr>
      <w:r>
        <w:separator/>
      </w:r>
    </w:p>
  </w:endnote>
  <w:endnote w:type="continuationSeparator" w:id="0">
    <w:p w14:paraId="2E06C5FE" w14:textId="77777777" w:rsidR="00B33059" w:rsidRDefault="00B33059" w:rsidP="00D27A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2A5E" w14:textId="77777777" w:rsidR="004B40B5" w:rsidRPr="004B40B5" w:rsidRDefault="004B40B5" w:rsidP="004B40B5">
    <w:pPr>
      <w:pStyle w:val="Footer"/>
      <w:rPr>
        <w:sz w:val="16"/>
        <w:szCs w:val="16"/>
      </w:rPr>
    </w:pPr>
    <w:r w:rsidRPr="004B40B5">
      <w:rPr>
        <w:sz w:val="16"/>
        <w:szCs w:val="16"/>
      </w:rPr>
      <w:t>(TA-1002)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F0DA" w14:textId="6CDFA5C8" w:rsidR="004B40B5" w:rsidRPr="004B40B5" w:rsidRDefault="004B40B5">
    <w:pPr>
      <w:pStyle w:val="Footer"/>
      <w:rPr>
        <w:sz w:val="16"/>
        <w:szCs w:val="16"/>
      </w:rPr>
    </w:pPr>
    <w:r w:rsidRPr="004B40B5">
      <w:rPr>
        <w:sz w:val="16"/>
        <w:szCs w:val="16"/>
      </w:rPr>
      <w:t>(TA-1002)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DBF8" w14:textId="77777777" w:rsidR="00B33059" w:rsidRDefault="00B33059" w:rsidP="00D27AF9">
      <w:pPr>
        <w:spacing w:before="0" w:after="0"/>
      </w:pPr>
      <w:r>
        <w:separator/>
      </w:r>
    </w:p>
  </w:footnote>
  <w:footnote w:type="continuationSeparator" w:id="0">
    <w:p w14:paraId="4E056D54" w14:textId="77777777" w:rsidR="00B33059" w:rsidRDefault="00B33059" w:rsidP="00D27AF9">
      <w:pPr>
        <w:spacing w:before="0" w:after="0"/>
      </w:pPr>
      <w:r>
        <w:continuationSeparator/>
      </w:r>
    </w:p>
  </w:footnote>
  <w:footnote w:id="1">
    <w:p w14:paraId="3D3526B2" w14:textId="7E614BFC" w:rsidR="00B33059" w:rsidRPr="00E864D2" w:rsidRDefault="00B33059" w:rsidP="002A6C37">
      <w:pPr>
        <w:pStyle w:val="FootnoteText"/>
        <w:ind w:left="0" w:firstLine="0"/>
        <w:rPr>
          <w:sz w:val="16"/>
          <w:szCs w:val="16"/>
        </w:rPr>
      </w:pPr>
      <w:r w:rsidRPr="00D2524F">
        <w:rPr>
          <w:rStyle w:val="FootnoteReference"/>
          <w:sz w:val="16"/>
          <w:szCs w:val="16"/>
        </w:rPr>
        <w:footnoteRef/>
      </w:r>
      <w:r w:rsidRPr="00E864D2">
        <w:rPr>
          <w:sz w:val="16"/>
          <w:szCs w:val="16"/>
        </w:rPr>
        <w:t xml:space="preserve"> EU-SILC, 20</w:t>
      </w:r>
      <w:r w:rsidR="00E33363" w:rsidRPr="00E864D2">
        <w:rPr>
          <w:sz w:val="16"/>
          <w:szCs w:val="16"/>
        </w:rPr>
        <w:t>20</w:t>
      </w:r>
      <w:r w:rsidRPr="00E864D2">
        <w:rPr>
          <w:sz w:val="16"/>
          <w:szCs w:val="16"/>
        </w:rPr>
        <w:t xml:space="preserve">, Nabadzības risks un sociālā atstumtība Latvijā, pieejams: </w:t>
      </w:r>
      <w:hyperlink r:id="rId1" w:history="1">
        <w:r w:rsidR="00F710C2" w:rsidRPr="00E864D2">
          <w:rPr>
            <w:rStyle w:val="Hyperlink"/>
            <w:sz w:val="16"/>
            <w:szCs w:val="16"/>
          </w:rPr>
          <w:t>https://www.csb.gov.lv/lv/statistika/statistikas-temas/socialie-procesi/nabadziba/meklet-tema/433-nabadzibas-risks-un-sociala-atstumtiba-latvija</w:t>
        </w:r>
      </w:hyperlink>
      <w:r w:rsidR="00F710C2" w:rsidRPr="00E864D2">
        <w:rPr>
          <w:rStyle w:val="Hyperlink"/>
          <w:color w:val="auto"/>
          <w:sz w:val="16"/>
          <w:szCs w:val="16"/>
          <w:u w:val="none"/>
        </w:rPr>
        <w:t xml:space="preserve">, </w:t>
      </w:r>
      <w:r w:rsidRPr="00E864D2">
        <w:rPr>
          <w:sz w:val="16"/>
          <w:szCs w:val="16"/>
        </w:rPr>
        <w:t xml:space="preserve">skatīts </w:t>
      </w:r>
      <w:r w:rsidR="00E33363" w:rsidRPr="00E864D2">
        <w:rPr>
          <w:sz w:val="16"/>
          <w:szCs w:val="16"/>
        </w:rPr>
        <w:t>01</w:t>
      </w:r>
      <w:r w:rsidRPr="00E864D2">
        <w:rPr>
          <w:sz w:val="16"/>
          <w:szCs w:val="16"/>
        </w:rPr>
        <w:t>.0</w:t>
      </w:r>
      <w:r w:rsidR="00E33363" w:rsidRPr="00E864D2">
        <w:rPr>
          <w:sz w:val="16"/>
          <w:szCs w:val="16"/>
        </w:rPr>
        <w:t>3</w:t>
      </w:r>
      <w:r w:rsidRPr="00E864D2">
        <w:rPr>
          <w:sz w:val="16"/>
          <w:szCs w:val="16"/>
        </w:rPr>
        <w:t>.202</w:t>
      </w:r>
      <w:r w:rsidR="00E33363" w:rsidRPr="00E864D2">
        <w:rPr>
          <w:sz w:val="16"/>
          <w:szCs w:val="16"/>
        </w:rPr>
        <w:t>1</w:t>
      </w:r>
      <w:r w:rsidRPr="00E864D2">
        <w:rPr>
          <w:sz w:val="16"/>
          <w:szCs w:val="16"/>
        </w:rPr>
        <w:t>.</w:t>
      </w:r>
    </w:p>
  </w:footnote>
  <w:footnote w:id="2">
    <w:p w14:paraId="3B1A5195" w14:textId="397CA2AD" w:rsidR="00B33059" w:rsidRPr="00E864D2" w:rsidRDefault="00B33059" w:rsidP="002A6C37">
      <w:pPr>
        <w:pStyle w:val="FootnoteText"/>
        <w:ind w:left="0" w:firstLine="0"/>
        <w:rPr>
          <w:sz w:val="16"/>
          <w:szCs w:val="16"/>
        </w:rPr>
      </w:pPr>
      <w:r w:rsidRPr="00E864D2">
        <w:rPr>
          <w:rStyle w:val="FootnoteReference"/>
          <w:sz w:val="16"/>
          <w:szCs w:val="16"/>
        </w:rPr>
        <w:footnoteRef/>
      </w:r>
      <w:r w:rsidRPr="00E864D2">
        <w:rPr>
          <w:sz w:val="16"/>
          <w:szCs w:val="16"/>
        </w:rPr>
        <w:t xml:space="preserve"> CSP, </w:t>
      </w:r>
      <w:r w:rsidR="00E47920" w:rsidRPr="00E864D2">
        <w:rPr>
          <w:sz w:val="16"/>
          <w:szCs w:val="16"/>
        </w:rPr>
        <w:t xml:space="preserve">NIG150. Nabadzības riska indekss Latvijas reģionos pēc vecuma un dzimuma (%), </w:t>
      </w:r>
      <w:r w:rsidRPr="00E864D2">
        <w:rPr>
          <w:sz w:val="16"/>
          <w:szCs w:val="16"/>
        </w:rPr>
        <w:t xml:space="preserve">pieejams: </w:t>
      </w:r>
      <w:r w:rsidR="004159EA" w:rsidRPr="00E864D2">
        <w:rPr>
          <w:sz w:val="16"/>
          <w:szCs w:val="16"/>
        </w:rPr>
        <w:t>https://data.csb.gov.lv/pxweb/lv/sociala/sociala__nabadz_nevienl__monetara_nab/NIG040.px/table/tableViewLayout1/</w:t>
      </w:r>
      <w:r w:rsidR="00C17F36" w:rsidRPr="00E864D2">
        <w:rPr>
          <w:sz w:val="16"/>
          <w:szCs w:val="16"/>
        </w:rPr>
        <w:t>,</w:t>
      </w:r>
      <w:r w:rsidRPr="00E864D2">
        <w:rPr>
          <w:sz w:val="16"/>
          <w:szCs w:val="16"/>
        </w:rPr>
        <w:t xml:space="preserve"> skatīts </w:t>
      </w:r>
      <w:r w:rsidR="00420F40" w:rsidRPr="00E864D2">
        <w:rPr>
          <w:sz w:val="16"/>
          <w:szCs w:val="16"/>
        </w:rPr>
        <w:t>01</w:t>
      </w:r>
      <w:r w:rsidRPr="00E864D2">
        <w:rPr>
          <w:sz w:val="16"/>
          <w:szCs w:val="16"/>
        </w:rPr>
        <w:t>.0</w:t>
      </w:r>
      <w:r w:rsidR="00420F40" w:rsidRPr="00E864D2">
        <w:rPr>
          <w:sz w:val="16"/>
          <w:szCs w:val="16"/>
        </w:rPr>
        <w:t>3</w:t>
      </w:r>
      <w:r w:rsidRPr="00E864D2">
        <w:rPr>
          <w:sz w:val="16"/>
          <w:szCs w:val="16"/>
        </w:rPr>
        <w:t>.202</w:t>
      </w:r>
      <w:r w:rsidR="00420F40" w:rsidRPr="00E864D2">
        <w:rPr>
          <w:sz w:val="16"/>
          <w:szCs w:val="16"/>
        </w:rPr>
        <w:t>1</w:t>
      </w:r>
      <w:r w:rsidRPr="00E864D2">
        <w:rPr>
          <w:sz w:val="16"/>
          <w:szCs w:val="16"/>
        </w:rPr>
        <w:t xml:space="preserve">. </w:t>
      </w:r>
    </w:p>
  </w:footnote>
  <w:footnote w:id="3">
    <w:p w14:paraId="7BB88F93" w14:textId="77777777" w:rsidR="00B33059" w:rsidRPr="00E864D2" w:rsidRDefault="00B33059" w:rsidP="002A6C37">
      <w:pPr>
        <w:pStyle w:val="FootnoteText"/>
        <w:ind w:left="0" w:firstLine="0"/>
        <w:rPr>
          <w:sz w:val="16"/>
          <w:szCs w:val="16"/>
        </w:rPr>
      </w:pPr>
      <w:r w:rsidRPr="00E864D2">
        <w:rPr>
          <w:rStyle w:val="FootnoteReference"/>
          <w:sz w:val="16"/>
          <w:szCs w:val="16"/>
        </w:rPr>
        <w:footnoteRef/>
      </w:r>
      <w:r w:rsidRPr="00E864D2">
        <w:rPr>
          <w:sz w:val="16"/>
          <w:szCs w:val="16"/>
        </w:rPr>
        <w:t xml:space="preserve">NIG050. Nabadzības riska indekss pēc mājsaimniecības tipa (%) </w:t>
      </w:r>
      <w:hyperlink r:id="rId2" w:history="1">
        <w:r w:rsidRPr="00E864D2">
          <w:rPr>
            <w:rStyle w:val="Hyperlink"/>
            <w:color w:val="auto"/>
            <w:sz w:val="16"/>
            <w:szCs w:val="16"/>
          </w:rPr>
          <w:t>https://data1.csb.gov.lv/pxweb/lv/sociala/sociala__nabadz_nevienl__monetara_nab/NIG050.px</w:t>
        </w:r>
      </w:hyperlink>
      <w:r w:rsidRPr="00E864D2">
        <w:rPr>
          <w:sz w:val="16"/>
          <w:szCs w:val="16"/>
        </w:rPr>
        <w:t>,  skatīts 11.09.2020.</w:t>
      </w:r>
    </w:p>
  </w:footnote>
  <w:footnote w:id="4">
    <w:p w14:paraId="09AA78B1" w14:textId="4ADB3226" w:rsidR="00E0684A" w:rsidRDefault="00B33059" w:rsidP="002A6C37">
      <w:pPr>
        <w:pStyle w:val="FootnoteText"/>
        <w:ind w:left="0" w:firstLine="0"/>
        <w:rPr>
          <w:sz w:val="16"/>
          <w:szCs w:val="16"/>
        </w:rPr>
      </w:pPr>
      <w:r w:rsidRPr="00E864D2">
        <w:rPr>
          <w:rStyle w:val="FootnoteReference"/>
          <w:sz w:val="16"/>
          <w:szCs w:val="16"/>
        </w:rPr>
        <w:footnoteRef/>
      </w:r>
      <w:r w:rsidRPr="00E864D2">
        <w:rPr>
          <w:sz w:val="16"/>
          <w:szCs w:val="16"/>
        </w:rPr>
        <w:t xml:space="preserve"> CSP, Materiālā </w:t>
      </w:r>
      <w:r w:rsidRPr="00E864D2">
        <w:rPr>
          <w:sz w:val="16"/>
          <w:szCs w:val="16"/>
        </w:rPr>
        <w:t xml:space="preserve">nenodrošinātība Latvijā 2019.gadā, pieejams: </w:t>
      </w:r>
      <w:hyperlink r:id="rId3" w:history="1">
        <w:r w:rsidR="00E0684A" w:rsidRPr="00F10432">
          <w:rPr>
            <w:rStyle w:val="Hyperlink"/>
            <w:sz w:val="16"/>
            <w:szCs w:val="16"/>
          </w:rPr>
          <w:t>https://www.csb.gov.lv/lv/statistika/statistikas-temas/socialie-procesi/nabadziba/meklet-tema/433-nabadzibas-risks-un-sociala-atstumtiba-latvija</w:t>
        </w:r>
      </w:hyperlink>
    </w:p>
    <w:p w14:paraId="7269016C" w14:textId="1197229D" w:rsidR="00B33059" w:rsidRPr="00E864D2" w:rsidRDefault="00B33059" w:rsidP="002A6C37">
      <w:pPr>
        <w:pStyle w:val="FootnoteText"/>
        <w:ind w:left="0" w:firstLine="0"/>
        <w:rPr>
          <w:sz w:val="16"/>
          <w:szCs w:val="16"/>
        </w:rPr>
      </w:pPr>
      <w:r w:rsidRPr="00E864D2">
        <w:rPr>
          <w:sz w:val="16"/>
          <w:szCs w:val="16"/>
        </w:rPr>
        <w:t xml:space="preserve">skatīts </w:t>
      </w:r>
      <w:r w:rsidR="00E0684A">
        <w:rPr>
          <w:sz w:val="16"/>
          <w:szCs w:val="16"/>
        </w:rPr>
        <w:t>01</w:t>
      </w:r>
      <w:r w:rsidRPr="00E864D2">
        <w:rPr>
          <w:sz w:val="16"/>
          <w:szCs w:val="16"/>
        </w:rPr>
        <w:t>.0</w:t>
      </w:r>
      <w:r w:rsidR="00E0684A">
        <w:rPr>
          <w:sz w:val="16"/>
          <w:szCs w:val="16"/>
        </w:rPr>
        <w:t>3</w:t>
      </w:r>
      <w:r w:rsidRPr="00E864D2">
        <w:rPr>
          <w:sz w:val="16"/>
          <w:szCs w:val="16"/>
        </w:rPr>
        <w:t>.202</w:t>
      </w:r>
      <w:r w:rsidR="00E0684A">
        <w:rPr>
          <w:sz w:val="16"/>
          <w:szCs w:val="16"/>
        </w:rPr>
        <w:t>1</w:t>
      </w:r>
      <w:r w:rsidRPr="00E864D2">
        <w:rPr>
          <w:sz w:val="16"/>
          <w:szCs w:val="16"/>
        </w:rPr>
        <w:t>.</w:t>
      </w:r>
    </w:p>
  </w:footnote>
  <w:footnote w:id="5">
    <w:p w14:paraId="4168725D" w14:textId="6E178932" w:rsidR="00B33059" w:rsidRPr="00E864D2" w:rsidRDefault="00B33059" w:rsidP="002A6C37">
      <w:pPr>
        <w:pStyle w:val="FootnoteText"/>
        <w:ind w:left="0" w:firstLine="0"/>
        <w:rPr>
          <w:sz w:val="16"/>
          <w:szCs w:val="16"/>
        </w:rPr>
      </w:pPr>
      <w:r w:rsidRPr="00E864D2">
        <w:rPr>
          <w:rStyle w:val="FootnoteReference"/>
          <w:sz w:val="16"/>
          <w:szCs w:val="16"/>
        </w:rPr>
        <w:footnoteRef/>
      </w:r>
      <w:r w:rsidRPr="00E864D2">
        <w:rPr>
          <w:sz w:val="16"/>
          <w:szCs w:val="16"/>
        </w:rPr>
        <w:t xml:space="preserve"> CSP, MNG140 Iedzīvotāju dziļa materiālā </w:t>
      </w:r>
      <w:r w:rsidRPr="00E864D2">
        <w:rPr>
          <w:sz w:val="16"/>
          <w:szCs w:val="16"/>
        </w:rPr>
        <w:t>nenodrošinātība (%) 2019.</w:t>
      </w:r>
      <w:r w:rsidRPr="002A6C37">
        <w:rPr>
          <w:sz w:val="16"/>
          <w:szCs w:val="16"/>
        </w:rPr>
        <w:t xml:space="preserve">gadā, pieejams: </w:t>
      </w:r>
      <w:r w:rsidRPr="00824C2E">
        <w:rPr>
          <w:rStyle w:val="Hyperlink"/>
          <w:color w:val="auto"/>
          <w:sz w:val="16"/>
          <w:szCs w:val="16"/>
        </w:rPr>
        <w:t>http://data1.csb.gov.lv/pxweb/lv/sociala/sociala__nabadz_nevienl__matnenodr/MNG140.px/table/tableViewLayout1</w:t>
      </w:r>
      <w:r w:rsidR="00824C2E">
        <w:rPr>
          <w:rStyle w:val="Hyperlink"/>
          <w:color w:val="auto"/>
          <w:sz w:val="16"/>
          <w:szCs w:val="16"/>
        </w:rPr>
        <w:t xml:space="preserve"> </w:t>
      </w:r>
      <w:r w:rsidRPr="00E864D2">
        <w:rPr>
          <w:sz w:val="16"/>
          <w:szCs w:val="16"/>
        </w:rPr>
        <w:t>, skatīts 29.09.2020.</w:t>
      </w:r>
    </w:p>
  </w:footnote>
  <w:footnote w:id="6">
    <w:p w14:paraId="09AC02AC" w14:textId="52626531" w:rsidR="00B33059" w:rsidRPr="00A63174" w:rsidRDefault="00B33059">
      <w:pPr>
        <w:pStyle w:val="FootnoteText"/>
        <w:rPr>
          <w:sz w:val="16"/>
          <w:szCs w:val="16"/>
        </w:rPr>
      </w:pPr>
      <w:r w:rsidRPr="00E864D2">
        <w:rPr>
          <w:rStyle w:val="FootnoteReference"/>
          <w:sz w:val="16"/>
          <w:szCs w:val="16"/>
        </w:rPr>
        <w:footnoteRef/>
      </w:r>
      <w:r w:rsidRPr="00E864D2">
        <w:rPr>
          <w:bCs/>
          <w:color w:val="222222"/>
          <w:sz w:val="16"/>
          <w:szCs w:val="16"/>
          <w:shd w:val="clear" w:color="auto" w:fill="FFFFFF"/>
        </w:rPr>
        <w:t xml:space="preserve"> CSP, MIG070: https://data.csb.gov.lv/pxweb/lv/sociala/sociala__nabadz_nevienl__min_ien/MIG070.px/table/tableViewLayout1/</w:t>
      </w:r>
    </w:p>
  </w:footnote>
  <w:footnote w:id="7">
    <w:p w14:paraId="26EF27AC" w14:textId="77777777" w:rsidR="00B33059" w:rsidRPr="00A63174" w:rsidRDefault="00B33059" w:rsidP="00D51354">
      <w:pPr>
        <w:pStyle w:val="FootnoteText"/>
        <w:rPr>
          <w:sz w:val="16"/>
          <w:szCs w:val="16"/>
        </w:rPr>
      </w:pPr>
      <w:r w:rsidRPr="00A63174">
        <w:rPr>
          <w:rStyle w:val="FootnoteReference"/>
          <w:sz w:val="16"/>
          <w:szCs w:val="16"/>
        </w:rPr>
        <w:footnoteRef/>
      </w:r>
      <w:r w:rsidRPr="00A63174">
        <w:rPr>
          <w:bCs/>
          <w:color w:val="222222"/>
          <w:sz w:val="16"/>
          <w:szCs w:val="16"/>
          <w:shd w:val="clear" w:color="auto" w:fill="FFFFFF"/>
        </w:rPr>
        <w:t xml:space="preserve">CSP, </w:t>
      </w:r>
      <w:r>
        <w:rPr>
          <w:bCs/>
          <w:color w:val="222222"/>
          <w:sz w:val="16"/>
          <w:szCs w:val="16"/>
          <w:shd w:val="clear" w:color="auto" w:fill="FFFFFF"/>
        </w:rPr>
        <w:t>MNG010:</w:t>
      </w:r>
      <w:r w:rsidRPr="00A63174">
        <w:rPr>
          <w:bCs/>
          <w:color w:val="222222"/>
          <w:sz w:val="16"/>
          <w:szCs w:val="16"/>
          <w:shd w:val="clear" w:color="auto" w:fill="FFFFFF"/>
        </w:rPr>
        <w:t> https://data.csb.gov.lv/pxweb/lv/sociala/sociala__nabadz_nevienl__matnenodr/MNG010.px/table/tableViewLayout1/</w:t>
      </w:r>
    </w:p>
  </w:footnote>
  <w:footnote w:id="8">
    <w:p w14:paraId="5EF82370" w14:textId="77777777" w:rsidR="00B33059" w:rsidRPr="00F63EDF" w:rsidRDefault="00B33059" w:rsidP="00D27AF9">
      <w:pPr>
        <w:pStyle w:val="FootnoteText"/>
        <w:ind w:left="0" w:firstLine="0"/>
        <w:rPr>
          <w:color w:val="0070C0"/>
          <w:sz w:val="16"/>
          <w:szCs w:val="16"/>
        </w:rPr>
      </w:pPr>
      <w:r w:rsidRPr="003F4B5A">
        <w:rPr>
          <w:rStyle w:val="FootnoteReference"/>
          <w:sz w:val="16"/>
          <w:szCs w:val="16"/>
        </w:rPr>
        <w:footnoteRef/>
      </w:r>
      <w:r w:rsidRPr="003F4B5A">
        <w:rPr>
          <w:sz w:val="16"/>
          <w:szCs w:val="16"/>
        </w:rPr>
        <w:t xml:space="preserve"> LM, Publikācijas, pētījumi un statistika, pieejams: </w:t>
      </w:r>
      <w:hyperlink r:id="rId4" w:history="1">
        <w:r w:rsidRPr="003F4B5A">
          <w:rPr>
            <w:rStyle w:val="Hyperlink"/>
            <w:color w:val="auto"/>
            <w:sz w:val="16"/>
            <w:szCs w:val="16"/>
          </w:rPr>
          <w:t>www.lm.gov.lv/lv/publikacijas-petijumi-un-statistika/statistika/valsts-statistika-socialo-pakalpojumu-un-socialas-palidzibas-joma</w:t>
        </w:r>
      </w:hyperlink>
      <w:r w:rsidRPr="003F4B5A">
        <w:rPr>
          <w:sz w:val="16"/>
          <w:szCs w:val="16"/>
        </w:rPr>
        <w:t>, skatīts 16.07.2020.</w:t>
      </w:r>
    </w:p>
  </w:footnote>
  <w:footnote w:id="9">
    <w:p w14:paraId="70746EBB" w14:textId="77777777" w:rsidR="00B33059" w:rsidRPr="00CB7AE4" w:rsidRDefault="00B33059" w:rsidP="00D27AF9">
      <w:pPr>
        <w:pStyle w:val="FootnoteText"/>
        <w:rPr>
          <w:color w:val="0070C0"/>
        </w:rPr>
      </w:pPr>
      <w:r w:rsidRPr="003F4B5A">
        <w:rPr>
          <w:rStyle w:val="FootnoteReference"/>
          <w:sz w:val="16"/>
          <w:szCs w:val="16"/>
        </w:rPr>
        <w:footnoteRef/>
      </w:r>
      <w:r w:rsidRPr="003F4B5A">
        <w:rPr>
          <w:sz w:val="16"/>
          <w:szCs w:val="16"/>
        </w:rPr>
        <w:t xml:space="preserve"> https://ec.europa.eu/info/sites/info/files/file_import/2019-european-semester-country-report-latvia_lv.pdf</w:t>
      </w:r>
    </w:p>
  </w:footnote>
  <w:footnote w:id="10">
    <w:p w14:paraId="444D1CE9" w14:textId="6CC0B320" w:rsidR="00B33059" w:rsidRPr="001059AE" w:rsidRDefault="00B33059">
      <w:pPr>
        <w:pStyle w:val="FootnoteText"/>
        <w:rPr>
          <w:sz w:val="16"/>
          <w:szCs w:val="16"/>
        </w:rPr>
      </w:pPr>
      <w:r w:rsidRPr="00430BEE">
        <w:rPr>
          <w:rStyle w:val="FootnoteReference"/>
          <w:sz w:val="16"/>
          <w:szCs w:val="16"/>
        </w:rPr>
        <w:footnoteRef/>
      </w:r>
      <w:r w:rsidRPr="00430BEE">
        <w:rPr>
          <w:sz w:val="16"/>
          <w:szCs w:val="16"/>
        </w:rPr>
        <w:t xml:space="preserve"> </w:t>
      </w:r>
      <w:hyperlink r:id="rId5" w:history="1">
        <w:r w:rsidRPr="00430BEE">
          <w:rPr>
            <w:rStyle w:val="Hyperlink"/>
            <w:sz w:val="16"/>
            <w:szCs w:val="16"/>
          </w:rPr>
          <w:t>https://www.pkc.gov.lv/lv/nap2027</w:t>
        </w:r>
      </w:hyperlink>
    </w:p>
  </w:footnote>
  <w:footnote w:id="11">
    <w:p w14:paraId="3DC8DD1E" w14:textId="77777777" w:rsidR="00B33059" w:rsidRPr="00F63EDF" w:rsidRDefault="00B33059" w:rsidP="00DE6BEF">
      <w:pPr>
        <w:pStyle w:val="FootnoteText"/>
        <w:ind w:left="0" w:firstLine="0"/>
        <w:rPr>
          <w:sz w:val="16"/>
          <w:szCs w:val="16"/>
        </w:rPr>
      </w:pPr>
      <w:r w:rsidRPr="003F4B5A">
        <w:rPr>
          <w:rStyle w:val="FootnoteReference"/>
          <w:sz w:val="16"/>
          <w:szCs w:val="16"/>
        </w:rPr>
        <w:footnoteRef/>
      </w:r>
      <w:r w:rsidRPr="003F4B5A">
        <w:rPr>
          <w:sz w:val="16"/>
          <w:szCs w:val="16"/>
        </w:rPr>
        <w:t xml:space="preserve"> http://www.lm.gov.lv/lv/es-finansejums/eiropas-atbalsta-fonds-vistrucigakajam-personam/fonda-novertesanas-zinojumi</w:t>
      </w:r>
    </w:p>
  </w:footnote>
  <w:footnote w:id="12">
    <w:p w14:paraId="5DD79200" w14:textId="77777777" w:rsidR="00B33059" w:rsidRDefault="00B33059" w:rsidP="00D27FCE">
      <w:pPr>
        <w:pStyle w:val="FootnoteText"/>
        <w:ind w:left="0" w:firstLine="0"/>
      </w:pPr>
      <w:r w:rsidRPr="00434E90">
        <w:rPr>
          <w:rStyle w:val="FootnoteReference"/>
          <w:sz w:val="16"/>
          <w:szCs w:val="16"/>
        </w:rPr>
        <w:footnoteRef/>
      </w:r>
      <w:r>
        <w:rPr>
          <w:sz w:val="16"/>
          <w:szCs w:val="16"/>
        </w:rPr>
        <w:t xml:space="preserve"> T</w:t>
      </w:r>
      <w:r w:rsidRPr="00434E90">
        <w:rPr>
          <w:sz w:val="16"/>
          <w:szCs w:val="16"/>
        </w:rPr>
        <w:t>rūcīgas mājsaimn</w:t>
      </w:r>
      <w:r>
        <w:rPr>
          <w:sz w:val="16"/>
          <w:szCs w:val="16"/>
        </w:rPr>
        <w:t>iecības ienākumu slieksnis: 272 </w:t>
      </w:r>
      <w:r w:rsidRPr="00434E90">
        <w:rPr>
          <w:sz w:val="16"/>
          <w:szCs w:val="16"/>
        </w:rPr>
        <w:t>euro pirmajai vai vienīgajai</w:t>
      </w:r>
      <w:r>
        <w:rPr>
          <w:sz w:val="16"/>
          <w:szCs w:val="16"/>
        </w:rPr>
        <w:t xml:space="preserve"> personai mājsaimniecībā un 190 </w:t>
      </w:r>
      <w:r w:rsidRPr="00434E90">
        <w:rPr>
          <w:sz w:val="16"/>
          <w:szCs w:val="16"/>
        </w:rPr>
        <w:t>euro pārējām personām mājsaimniecībā</w:t>
      </w:r>
    </w:p>
  </w:footnote>
  <w:footnote w:id="13">
    <w:p w14:paraId="3208FC7E" w14:textId="77777777" w:rsidR="00B33059" w:rsidRPr="003F4B5A" w:rsidRDefault="00B33059" w:rsidP="00AE3B17">
      <w:pPr>
        <w:pStyle w:val="FootnoteText"/>
        <w:rPr>
          <w:sz w:val="16"/>
          <w:szCs w:val="16"/>
        </w:rPr>
      </w:pPr>
      <w:r w:rsidRPr="003F4B5A">
        <w:rPr>
          <w:rStyle w:val="FootnoteReference"/>
          <w:sz w:val="16"/>
          <w:szCs w:val="16"/>
        </w:rPr>
        <w:footnoteRef/>
      </w:r>
      <w:r w:rsidRPr="003F4B5A">
        <w:rPr>
          <w:sz w:val="16"/>
          <w:szCs w:val="16"/>
        </w:rPr>
        <w:t xml:space="preserve"> Likums “Par sociālo drošību”.</w:t>
      </w:r>
    </w:p>
  </w:footnote>
  <w:footnote w:id="14">
    <w:p w14:paraId="1DCB363B" w14:textId="77777777" w:rsidR="00B33059" w:rsidRPr="003F4B5A" w:rsidRDefault="00B33059" w:rsidP="00AE3B17">
      <w:pPr>
        <w:pStyle w:val="FootnoteText"/>
        <w:rPr>
          <w:sz w:val="16"/>
          <w:szCs w:val="16"/>
        </w:rPr>
      </w:pPr>
      <w:r w:rsidRPr="003F4B5A">
        <w:rPr>
          <w:rStyle w:val="FootnoteReference"/>
          <w:sz w:val="16"/>
          <w:szCs w:val="16"/>
        </w:rPr>
        <w:footnoteRef/>
      </w:r>
      <w:r w:rsidRPr="003F4B5A">
        <w:rPr>
          <w:sz w:val="16"/>
          <w:szCs w:val="16"/>
        </w:rPr>
        <w:t xml:space="preserve"> Likums “Par sociālo apdrošināšanu”.</w:t>
      </w:r>
    </w:p>
  </w:footnote>
  <w:footnote w:id="15">
    <w:p w14:paraId="17EC41B7" w14:textId="77777777" w:rsidR="00B33059" w:rsidRPr="003F4B5A" w:rsidRDefault="00B33059" w:rsidP="00AE3B17">
      <w:pPr>
        <w:pStyle w:val="FootnoteText"/>
        <w:rPr>
          <w:sz w:val="16"/>
          <w:szCs w:val="16"/>
        </w:rPr>
      </w:pPr>
      <w:r w:rsidRPr="003F4B5A">
        <w:rPr>
          <w:rStyle w:val="FootnoteReference"/>
          <w:sz w:val="16"/>
          <w:szCs w:val="16"/>
        </w:rPr>
        <w:footnoteRef/>
      </w:r>
      <w:r w:rsidRPr="003F4B5A">
        <w:rPr>
          <w:sz w:val="16"/>
          <w:szCs w:val="16"/>
        </w:rPr>
        <w:t xml:space="preserve"> Valsts sociālo pabalstu likums.</w:t>
      </w:r>
    </w:p>
  </w:footnote>
  <w:footnote w:id="16">
    <w:p w14:paraId="5DA1B982" w14:textId="77777777" w:rsidR="00B33059" w:rsidRPr="007170F6" w:rsidRDefault="00B33059" w:rsidP="00AE3B17">
      <w:pPr>
        <w:pStyle w:val="FootnoteText"/>
      </w:pPr>
      <w:r w:rsidRPr="003F4B5A">
        <w:rPr>
          <w:rStyle w:val="FootnoteReference"/>
          <w:sz w:val="16"/>
          <w:szCs w:val="16"/>
        </w:rPr>
        <w:footnoteRef/>
      </w:r>
      <w:r w:rsidRPr="003F4B5A">
        <w:rPr>
          <w:sz w:val="16"/>
          <w:szCs w:val="16"/>
        </w:rPr>
        <w:t xml:space="preserve"> Sociālo pakalpojumu un sociālās palīdzības likums.</w:t>
      </w:r>
    </w:p>
  </w:footnote>
  <w:footnote w:id="17">
    <w:p w14:paraId="20569AA1" w14:textId="77777777" w:rsidR="00B33059" w:rsidRPr="00D84885" w:rsidRDefault="00B33059" w:rsidP="00D84885">
      <w:pPr>
        <w:pStyle w:val="FootnoteText"/>
        <w:ind w:left="0" w:firstLine="0"/>
        <w:rPr>
          <w:sz w:val="16"/>
          <w:szCs w:val="16"/>
        </w:rPr>
      </w:pPr>
      <w:r w:rsidRPr="00D84885">
        <w:rPr>
          <w:rStyle w:val="FootnoteReference"/>
          <w:sz w:val="16"/>
          <w:szCs w:val="16"/>
        </w:rPr>
        <w:footnoteRef/>
      </w:r>
      <w:r w:rsidRPr="00D84885">
        <w:rPr>
          <w:sz w:val="16"/>
          <w:szCs w:val="16"/>
        </w:rPr>
        <w:t xml:space="preserve"> Metode piedāvāta 2014. gadā MK atbalstītajā LM izstrādātajā koncepcijā "Par minimālā ienākuma līmeņa noteikšanu"</w:t>
      </w:r>
    </w:p>
  </w:footnote>
  <w:footnote w:id="18">
    <w:p w14:paraId="6B930ABD" w14:textId="2A7C467E" w:rsidR="00B33059" w:rsidRPr="00D84885" w:rsidRDefault="00B33059" w:rsidP="00D84885">
      <w:pPr>
        <w:pStyle w:val="FootnoteText"/>
        <w:ind w:left="0" w:firstLine="0"/>
        <w:rPr>
          <w:sz w:val="16"/>
          <w:szCs w:val="16"/>
        </w:rPr>
      </w:pPr>
      <w:r w:rsidRPr="00D84885">
        <w:rPr>
          <w:rStyle w:val="FootnoteReference"/>
          <w:sz w:val="16"/>
          <w:szCs w:val="16"/>
        </w:rPr>
        <w:footnoteRef/>
      </w:r>
      <w:r w:rsidRPr="00D84885">
        <w:rPr>
          <w:sz w:val="16"/>
          <w:szCs w:val="16"/>
        </w:rPr>
        <w:t xml:space="preserve"> pašvaldību saistošajos noteikumos nosakāms maznodrošinātas mājsaimniecības ienākumu slieksnis, kas būtu augstāks nekā trūcīgas mājsaimniecības ienākumu slieksnis, bet nepārsniegtu 436 </w:t>
      </w:r>
      <w:r w:rsidRPr="00D84885">
        <w:rPr>
          <w:sz w:val="16"/>
          <w:szCs w:val="16"/>
        </w:rPr>
        <w:t>euro pirmajai vai vienīgajai personai mājsaimniecībā un 305 euro pārējām personām mājsaimniecībā.</w:t>
      </w:r>
    </w:p>
  </w:footnote>
  <w:footnote w:id="19">
    <w:p w14:paraId="59BC7F75" w14:textId="77777777" w:rsidR="00BB1B51" w:rsidRPr="00BE3AB9" w:rsidRDefault="00BB1B51" w:rsidP="00BB1B51">
      <w:pPr>
        <w:pStyle w:val="FootnoteText"/>
      </w:pPr>
      <w:r w:rsidRPr="00BE3AB9">
        <w:rPr>
          <w:rStyle w:val="FootnoteReference"/>
          <w:sz w:val="18"/>
          <w:szCs w:val="18"/>
        </w:rPr>
        <w:footnoteRef/>
      </w:r>
      <w:r w:rsidRPr="00BE3AB9">
        <w:rPr>
          <w:sz w:val="18"/>
          <w:szCs w:val="18"/>
        </w:rPr>
        <w:t xml:space="preserve"> atbilstoši 07.09.2020. pēdējiem ESF+ regulas priekšlikuma grozījumu piedāvājumam – 85 % ES līdzfinansējuma likme</w:t>
      </w:r>
    </w:p>
  </w:footnote>
  <w:footnote w:id="20">
    <w:p w14:paraId="49AC4351" w14:textId="36C388B8" w:rsidR="000B5090" w:rsidRDefault="00BB1B51" w:rsidP="000B5090">
      <w:pPr>
        <w:pStyle w:val="FootnoteText"/>
        <w:rPr>
          <w:sz w:val="18"/>
          <w:szCs w:val="18"/>
        </w:rPr>
      </w:pPr>
      <w:r w:rsidRPr="00BE3AB9">
        <w:rPr>
          <w:rStyle w:val="FootnoteReference"/>
          <w:sz w:val="18"/>
          <w:szCs w:val="18"/>
        </w:rPr>
        <w:footnoteRef/>
      </w:r>
      <w:r w:rsidRPr="00BE3AB9">
        <w:rPr>
          <w:sz w:val="18"/>
          <w:szCs w:val="18"/>
        </w:rPr>
        <w:t xml:space="preserve"> ES līdzfinansējuma likmei 85 % atbilstoši 07.09.2020. pēdējiem ESF+ regulas prie</w:t>
      </w:r>
      <w:r w:rsidR="000B5090">
        <w:rPr>
          <w:sz w:val="18"/>
          <w:szCs w:val="18"/>
        </w:rPr>
        <w:t>kšlikuma grozījumu piedāvājumam</w:t>
      </w:r>
    </w:p>
    <w:p w14:paraId="7247DB12" w14:textId="77777777" w:rsidR="000B5090" w:rsidRPr="00BE3AB9" w:rsidRDefault="000B5090" w:rsidP="00BB1B51">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724979"/>
      <w:docPartObj>
        <w:docPartGallery w:val="Page Numbers (Top of Page)"/>
        <w:docPartUnique/>
      </w:docPartObj>
    </w:sdtPr>
    <w:sdtEndPr>
      <w:rPr>
        <w:noProof/>
      </w:rPr>
    </w:sdtEndPr>
    <w:sdtContent>
      <w:p w14:paraId="5CC43877" w14:textId="7FD340FB" w:rsidR="004B40B5" w:rsidRDefault="004B40B5">
        <w:pPr>
          <w:pStyle w:val="Header"/>
          <w:jc w:val="center"/>
          <w:rPr>
            <w:noProof/>
          </w:rPr>
        </w:pPr>
        <w:r>
          <w:fldChar w:fldCharType="begin"/>
        </w:r>
        <w:r>
          <w:instrText xml:space="preserve"> PAGE   \* MERGEFORMAT </w:instrText>
        </w:r>
        <w:r>
          <w:fldChar w:fldCharType="separate"/>
        </w:r>
        <w:r>
          <w:rPr>
            <w:noProof/>
          </w:rPr>
          <w:t>19</w:t>
        </w:r>
        <w:r>
          <w:rPr>
            <w:noProof/>
          </w:rPr>
          <w:fldChar w:fldCharType="end"/>
        </w:r>
      </w:p>
    </w:sdtContent>
  </w:sdt>
  <w:p w14:paraId="3071E245" w14:textId="77777777" w:rsidR="004B40B5" w:rsidRDefault="004B40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A72"/>
    <w:multiLevelType w:val="hybridMultilevel"/>
    <w:tmpl w:val="CBB68E22"/>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 w15:restartNumberingAfterBreak="0">
    <w:nsid w:val="0B5570C9"/>
    <w:multiLevelType w:val="hybridMultilevel"/>
    <w:tmpl w:val="EDD0E214"/>
    <w:lvl w:ilvl="0" w:tplc="ABAC9B14">
      <w:start w:val="1"/>
      <w:numFmt w:val="lowerLetter"/>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DCE4F2E"/>
    <w:multiLevelType w:val="hybridMultilevel"/>
    <w:tmpl w:val="AC2451AE"/>
    <w:lvl w:ilvl="0" w:tplc="D90AF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DD6351"/>
    <w:multiLevelType w:val="hybridMultilevel"/>
    <w:tmpl w:val="E86C2586"/>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15:restartNumberingAfterBreak="0">
    <w:nsid w:val="138A523A"/>
    <w:multiLevelType w:val="hybridMultilevel"/>
    <w:tmpl w:val="E3EC9642"/>
    <w:lvl w:ilvl="0" w:tplc="5A305D96">
      <w:start w:val="1"/>
      <w:numFmt w:val="decimal"/>
      <w:lvlText w:val="(%1)"/>
      <w:lvlJc w:val="left"/>
      <w:pPr>
        <w:ind w:left="720" w:hanging="360"/>
      </w:pPr>
      <w:rPr>
        <w:rFonts w:eastAsia="Calibri" w:hint="default"/>
      </w:rPr>
    </w:lvl>
    <w:lvl w:ilvl="1" w:tplc="FE2A4EC0">
      <w:start w:val="2021"/>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1C3163"/>
    <w:multiLevelType w:val="multilevel"/>
    <w:tmpl w:val="C15C8D46"/>
    <w:lvl w:ilvl="0">
      <w:start w:val="1"/>
      <w:numFmt w:val="decimal"/>
      <w:lvlText w:val="(%1)"/>
      <w:lvlJc w:val="left"/>
      <w:pPr>
        <w:tabs>
          <w:tab w:val="num" w:pos="142"/>
        </w:tabs>
        <w:ind w:left="502" w:hanging="360"/>
      </w:pPr>
      <w:rPr>
        <w:rFonts w:ascii="Times New Roman" w:eastAsia="SimSun" w:hAnsi="Times New Roman" w:cs="Times New Roman"/>
        <w:b w:val="0"/>
        <w:i w:val="0"/>
        <w:color w:val="auto"/>
        <w:sz w:val="24"/>
        <w:szCs w:val="24"/>
      </w:rPr>
    </w:lvl>
    <w:lvl w:ilvl="1">
      <w:start w:val="1"/>
      <w:numFmt w:val="decimal"/>
      <w:lvlText w:val="%2."/>
      <w:lvlJc w:val="left"/>
      <w:pPr>
        <w:tabs>
          <w:tab w:val="num" w:pos="0"/>
        </w:tabs>
        <w:ind w:left="1440" w:hanging="360"/>
      </w:pPr>
      <w:rPr>
        <w:rFonts w:hint="default"/>
        <w:szCs w:val="24"/>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1EE74780"/>
    <w:multiLevelType w:val="hybridMultilevel"/>
    <w:tmpl w:val="CAD49C5A"/>
    <w:lvl w:ilvl="0" w:tplc="A7CA5BC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1FA41A76"/>
    <w:multiLevelType w:val="hybridMultilevel"/>
    <w:tmpl w:val="8A46050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A95BAE"/>
    <w:multiLevelType w:val="hybridMultilevel"/>
    <w:tmpl w:val="519ADD6C"/>
    <w:lvl w:ilvl="0" w:tplc="4CF25B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9" w15:restartNumberingAfterBreak="0">
    <w:nsid w:val="223A4615"/>
    <w:multiLevelType w:val="multilevel"/>
    <w:tmpl w:val="0DB42A28"/>
    <w:lvl w:ilvl="0">
      <w:start w:val="1"/>
      <w:numFmt w:val="decimal"/>
      <w:lvlText w:val="%1."/>
      <w:lvlJc w:val="left"/>
      <w:pPr>
        <w:ind w:left="502" w:hanging="360"/>
      </w:pPr>
      <w:rPr>
        <w:i w:val="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2327428A"/>
    <w:multiLevelType w:val="hybridMultilevel"/>
    <w:tmpl w:val="1E284864"/>
    <w:lvl w:ilvl="0" w:tplc="F4DC42AC">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267E613E"/>
    <w:multiLevelType w:val="hybridMultilevel"/>
    <w:tmpl w:val="84808E58"/>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485F9B"/>
    <w:multiLevelType w:val="hybridMultilevel"/>
    <w:tmpl w:val="FBAA5214"/>
    <w:lvl w:ilvl="0" w:tplc="5A305D96">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393EBF"/>
    <w:multiLevelType w:val="hybridMultilevel"/>
    <w:tmpl w:val="4EBE53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DD25E1"/>
    <w:multiLevelType w:val="hybridMultilevel"/>
    <w:tmpl w:val="044428AA"/>
    <w:lvl w:ilvl="0" w:tplc="69B84ED8">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5" w15:restartNumberingAfterBreak="0">
    <w:nsid w:val="36133A12"/>
    <w:multiLevelType w:val="hybridMultilevel"/>
    <w:tmpl w:val="FDBCC6CE"/>
    <w:lvl w:ilvl="0" w:tplc="0B6C9D6A">
      <w:start w:val="1"/>
      <w:numFmt w:val="bullet"/>
      <w:lvlText w:val=""/>
      <w:lvlJc w:val="left"/>
      <w:pPr>
        <w:ind w:left="1287" w:hanging="360"/>
      </w:pPr>
      <w:rPr>
        <w:rFonts w:ascii="Symbol" w:hAnsi="Symbol" w:hint="default"/>
      </w:rPr>
    </w:lvl>
    <w:lvl w:ilvl="1" w:tplc="04260011">
      <w:start w:val="1"/>
      <w:numFmt w:val="decimal"/>
      <w:lvlText w:val="%2)"/>
      <w:lvlJc w:val="left"/>
      <w:pPr>
        <w:ind w:left="2007" w:hanging="360"/>
      </w:pPr>
      <w:rPr>
        <w:rFonts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3E3D78F4"/>
    <w:multiLevelType w:val="hybridMultilevel"/>
    <w:tmpl w:val="FD540FC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3F624CC8"/>
    <w:multiLevelType w:val="hybridMultilevel"/>
    <w:tmpl w:val="AC500A96"/>
    <w:lvl w:ilvl="0" w:tplc="82963266">
      <w:start w:val="1"/>
      <w:numFmt w:val="decimal"/>
      <w:lvlText w:val="%1)"/>
      <w:lvlJc w:val="righ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0A76F9"/>
    <w:multiLevelType w:val="hybridMultilevel"/>
    <w:tmpl w:val="283CD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186863"/>
    <w:multiLevelType w:val="hybridMultilevel"/>
    <w:tmpl w:val="CD00FFB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D46A3B"/>
    <w:multiLevelType w:val="hybridMultilevel"/>
    <w:tmpl w:val="4B9C0212"/>
    <w:lvl w:ilvl="0" w:tplc="0B6C9D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D201FD"/>
    <w:multiLevelType w:val="hybridMultilevel"/>
    <w:tmpl w:val="3A645D18"/>
    <w:lvl w:ilvl="0" w:tplc="98047F5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27774E6"/>
    <w:multiLevelType w:val="hybridMultilevel"/>
    <w:tmpl w:val="F526709E"/>
    <w:lvl w:ilvl="0" w:tplc="0B6C9D6A">
      <w:start w:val="1"/>
      <w:numFmt w:val="bullet"/>
      <w:lvlText w:val=""/>
      <w:lvlJc w:val="left"/>
      <w:pPr>
        <w:ind w:left="720" w:hanging="360"/>
      </w:pPr>
      <w:rPr>
        <w:rFonts w:ascii="Symbol" w:hAnsi="Symbol" w:hint="default"/>
      </w:rPr>
    </w:lvl>
    <w:lvl w:ilvl="1" w:tplc="04260011">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C20C27"/>
    <w:multiLevelType w:val="hybridMultilevel"/>
    <w:tmpl w:val="D09C8308"/>
    <w:lvl w:ilvl="0" w:tplc="018CD0F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15:restartNumberingAfterBreak="0">
    <w:nsid w:val="54103E71"/>
    <w:multiLevelType w:val="hybridMultilevel"/>
    <w:tmpl w:val="AB0A4898"/>
    <w:lvl w:ilvl="0" w:tplc="4736683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A8692C"/>
    <w:multiLevelType w:val="hybridMultilevel"/>
    <w:tmpl w:val="FDA4126E"/>
    <w:lvl w:ilvl="0" w:tplc="0B6C9D6A">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97D4A79"/>
    <w:multiLevelType w:val="hybridMultilevel"/>
    <w:tmpl w:val="CA441E1C"/>
    <w:lvl w:ilvl="0" w:tplc="4F5E5E1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AE22B2"/>
    <w:multiLevelType w:val="hybridMultilevel"/>
    <w:tmpl w:val="885EE4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42692E"/>
    <w:multiLevelType w:val="hybridMultilevel"/>
    <w:tmpl w:val="8D56994A"/>
    <w:lvl w:ilvl="0" w:tplc="04260011">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9" w15:restartNumberingAfterBreak="0">
    <w:nsid w:val="671B530C"/>
    <w:multiLevelType w:val="hybridMultilevel"/>
    <w:tmpl w:val="5FC8D0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7E46E2"/>
    <w:multiLevelType w:val="hybridMultilevel"/>
    <w:tmpl w:val="AC2451AE"/>
    <w:lvl w:ilvl="0" w:tplc="D90AF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A23F91"/>
    <w:multiLevelType w:val="hybridMultilevel"/>
    <w:tmpl w:val="A2C86F90"/>
    <w:lvl w:ilvl="0" w:tplc="0B6C9D6A">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2" w15:restartNumberingAfterBreak="0">
    <w:nsid w:val="75AC1915"/>
    <w:multiLevelType w:val="hybridMultilevel"/>
    <w:tmpl w:val="C38679AA"/>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54D2D"/>
    <w:multiLevelType w:val="multilevel"/>
    <w:tmpl w:val="2946BD96"/>
    <w:lvl w:ilvl="0">
      <w:start w:val="1"/>
      <w:numFmt w:val="decimal"/>
      <w:lvlText w:val="%1."/>
      <w:lvlJc w:val="left"/>
      <w:pPr>
        <w:ind w:left="720" w:hanging="360"/>
      </w:pPr>
      <w:rPr>
        <w:rFonts w:eastAsiaTheme="majorEastAsia"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DF574D6"/>
    <w:multiLevelType w:val="hybridMultilevel"/>
    <w:tmpl w:val="EE7C980C"/>
    <w:lvl w:ilvl="0" w:tplc="7A9E783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27"/>
  </w:num>
  <w:num w:numId="5">
    <w:abstractNumId w:val="28"/>
  </w:num>
  <w:num w:numId="6">
    <w:abstractNumId w:val="16"/>
  </w:num>
  <w:num w:numId="7">
    <w:abstractNumId w:val="8"/>
  </w:num>
  <w:num w:numId="8">
    <w:abstractNumId w:val="34"/>
  </w:num>
  <w:num w:numId="9">
    <w:abstractNumId w:val="31"/>
  </w:num>
  <w:num w:numId="10">
    <w:abstractNumId w:val="3"/>
  </w:num>
  <w:num w:numId="11">
    <w:abstractNumId w:val="30"/>
  </w:num>
  <w:num w:numId="12">
    <w:abstractNumId w:val="26"/>
  </w:num>
  <w:num w:numId="13">
    <w:abstractNumId w:val="4"/>
  </w:num>
  <w:num w:numId="14">
    <w:abstractNumId w:val="17"/>
  </w:num>
  <w:num w:numId="15">
    <w:abstractNumId w:val="22"/>
  </w:num>
  <w:num w:numId="16">
    <w:abstractNumId w:val="10"/>
  </w:num>
  <w:num w:numId="17">
    <w:abstractNumId w:val="15"/>
  </w:num>
  <w:num w:numId="18">
    <w:abstractNumId w:val="19"/>
  </w:num>
  <w:num w:numId="19">
    <w:abstractNumId w:val="13"/>
  </w:num>
  <w:num w:numId="20">
    <w:abstractNumId w:val="29"/>
  </w:num>
  <w:num w:numId="21">
    <w:abstractNumId w:val="32"/>
  </w:num>
  <w:num w:numId="22">
    <w:abstractNumId w:val="7"/>
  </w:num>
  <w:num w:numId="23">
    <w:abstractNumId w:val="24"/>
  </w:num>
  <w:num w:numId="24">
    <w:abstractNumId w:val="21"/>
  </w:num>
  <w:num w:numId="25">
    <w:abstractNumId w:val="23"/>
  </w:num>
  <w:num w:numId="26">
    <w:abstractNumId w:val="6"/>
  </w:num>
  <w:num w:numId="27">
    <w:abstractNumId w:val="5"/>
  </w:num>
  <w:num w:numId="28">
    <w:abstractNumId w:val="12"/>
  </w:num>
  <w:num w:numId="29">
    <w:abstractNumId w:val="1"/>
  </w:num>
  <w:num w:numId="30">
    <w:abstractNumId w:val="33"/>
  </w:num>
  <w:num w:numId="31">
    <w:abstractNumId w:val="14"/>
  </w:num>
  <w:num w:numId="32">
    <w:abstractNumId w:val="25"/>
  </w:num>
  <w:num w:numId="33">
    <w:abstractNumId w:val="20"/>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DB3"/>
    <w:rsid w:val="0000493A"/>
    <w:rsid w:val="00011E58"/>
    <w:rsid w:val="00012023"/>
    <w:rsid w:val="00017839"/>
    <w:rsid w:val="00022391"/>
    <w:rsid w:val="000240BB"/>
    <w:rsid w:val="00026797"/>
    <w:rsid w:val="00031449"/>
    <w:rsid w:val="000317BE"/>
    <w:rsid w:val="00056EC3"/>
    <w:rsid w:val="0006223A"/>
    <w:rsid w:val="00070624"/>
    <w:rsid w:val="00071427"/>
    <w:rsid w:val="0007411E"/>
    <w:rsid w:val="00087684"/>
    <w:rsid w:val="00090ED8"/>
    <w:rsid w:val="0009794D"/>
    <w:rsid w:val="000A0A81"/>
    <w:rsid w:val="000A575E"/>
    <w:rsid w:val="000B2D93"/>
    <w:rsid w:val="000B5090"/>
    <w:rsid w:val="000B7F0A"/>
    <w:rsid w:val="000C09B2"/>
    <w:rsid w:val="000C22F7"/>
    <w:rsid w:val="000D0773"/>
    <w:rsid w:val="000D5DBF"/>
    <w:rsid w:val="000D76A5"/>
    <w:rsid w:val="000E3B10"/>
    <w:rsid w:val="000F053A"/>
    <w:rsid w:val="001059AE"/>
    <w:rsid w:val="0011065D"/>
    <w:rsid w:val="00120FE5"/>
    <w:rsid w:val="00127002"/>
    <w:rsid w:val="0012789E"/>
    <w:rsid w:val="00137222"/>
    <w:rsid w:val="00141579"/>
    <w:rsid w:val="0014187C"/>
    <w:rsid w:val="00144975"/>
    <w:rsid w:val="00154C8A"/>
    <w:rsid w:val="00154FCC"/>
    <w:rsid w:val="00157984"/>
    <w:rsid w:val="001600B2"/>
    <w:rsid w:val="00162976"/>
    <w:rsid w:val="0017055F"/>
    <w:rsid w:val="001714EB"/>
    <w:rsid w:val="0017231E"/>
    <w:rsid w:val="00183144"/>
    <w:rsid w:val="00183FFE"/>
    <w:rsid w:val="001840D3"/>
    <w:rsid w:val="00194331"/>
    <w:rsid w:val="001A16BF"/>
    <w:rsid w:val="001B41CF"/>
    <w:rsid w:val="001B64DE"/>
    <w:rsid w:val="001D2160"/>
    <w:rsid w:val="001D322F"/>
    <w:rsid w:val="001D550C"/>
    <w:rsid w:val="001E7DF0"/>
    <w:rsid w:val="00202795"/>
    <w:rsid w:val="00220708"/>
    <w:rsid w:val="00223CF6"/>
    <w:rsid w:val="00225D19"/>
    <w:rsid w:val="00226E45"/>
    <w:rsid w:val="00235CD3"/>
    <w:rsid w:val="00240259"/>
    <w:rsid w:val="00245DD3"/>
    <w:rsid w:val="002538F6"/>
    <w:rsid w:val="00255527"/>
    <w:rsid w:val="00266617"/>
    <w:rsid w:val="002704FC"/>
    <w:rsid w:val="00275886"/>
    <w:rsid w:val="002858FB"/>
    <w:rsid w:val="00292CE3"/>
    <w:rsid w:val="00292E1C"/>
    <w:rsid w:val="002935A1"/>
    <w:rsid w:val="002A6C37"/>
    <w:rsid w:val="002A7967"/>
    <w:rsid w:val="002B2A02"/>
    <w:rsid w:val="002B2A41"/>
    <w:rsid w:val="002B2CC3"/>
    <w:rsid w:val="002B6AE9"/>
    <w:rsid w:val="002C1D7A"/>
    <w:rsid w:val="002C6A3C"/>
    <w:rsid w:val="002D5A02"/>
    <w:rsid w:val="002D5D74"/>
    <w:rsid w:val="002D5DF2"/>
    <w:rsid w:val="002E0DA5"/>
    <w:rsid w:val="002E58D0"/>
    <w:rsid w:val="002E5FB2"/>
    <w:rsid w:val="00302D5A"/>
    <w:rsid w:val="00307BE8"/>
    <w:rsid w:val="003107A0"/>
    <w:rsid w:val="003139A2"/>
    <w:rsid w:val="00317333"/>
    <w:rsid w:val="0032541C"/>
    <w:rsid w:val="00333A45"/>
    <w:rsid w:val="00336114"/>
    <w:rsid w:val="00340301"/>
    <w:rsid w:val="003418C5"/>
    <w:rsid w:val="00343564"/>
    <w:rsid w:val="00346955"/>
    <w:rsid w:val="00353C27"/>
    <w:rsid w:val="00360F18"/>
    <w:rsid w:val="00363EAD"/>
    <w:rsid w:val="00371895"/>
    <w:rsid w:val="003732AF"/>
    <w:rsid w:val="00374D61"/>
    <w:rsid w:val="00382AD1"/>
    <w:rsid w:val="00386D86"/>
    <w:rsid w:val="00391ADF"/>
    <w:rsid w:val="00395097"/>
    <w:rsid w:val="003A16BB"/>
    <w:rsid w:val="003A1F2A"/>
    <w:rsid w:val="003A51C1"/>
    <w:rsid w:val="003B6B61"/>
    <w:rsid w:val="003B7043"/>
    <w:rsid w:val="003C3761"/>
    <w:rsid w:val="003C67C2"/>
    <w:rsid w:val="003E6204"/>
    <w:rsid w:val="003F1853"/>
    <w:rsid w:val="003F29F7"/>
    <w:rsid w:val="003F4B5A"/>
    <w:rsid w:val="003F4D40"/>
    <w:rsid w:val="0040123E"/>
    <w:rsid w:val="00403EC9"/>
    <w:rsid w:val="00406403"/>
    <w:rsid w:val="004132F5"/>
    <w:rsid w:val="004148C0"/>
    <w:rsid w:val="004156D2"/>
    <w:rsid w:val="004159EA"/>
    <w:rsid w:val="0041792F"/>
    <w:rsid w:val="00420F40"/>
    <w:rsid w:val="0042702C"/>
    <w:rsid w:val="00430BEE"/>
    <w:rsid w:val="0043369F"/>
    <w:rsid w:val="00440D17"/>
    <w:rsid w:val="00445DF4"/>
    <w:rsid w:val="0044647F"/>
    <w:rsid w:val="00451064"/>
    <w:rsid w:val="004568B1"/>
    <w:rsid w:val="00465217"/>
    <w:rsid w:val="004716D2"/>
    <w:rsid w:val="00482835"/>
    <w:rsid w:val="00486440"/>
    <w:rsid w:val="0049511F"/>
    <w:rsid w:val="004951E2"/>
    <w:rsid w:val="004A0757"/>
    <w:rsid w:val="004A2D3B"/>
    <w:rsid w:val="004B40B5"/>
    <w:rsid w:val="004B57B2"/>
    <w:rsid w:val="004B6460"/>
    <w:rsid w:val="004C7E16"/>
    <w:rsid w:val="004E0BC7"/>
    <w:rsid w:val="004E6A2A"/>
    <w:rsid w:val="004E6D38"/>
    <w:rsid w:val="004F59C2"/>
    <w:rsid w:val="004F723A"/>
    <w:rsid w:val="005116D4"/>
    <w:rsid w:val="00516D57"/>
    <w:rsid w:val="005206F9"/>
    <w:rsid w:val="00530806"/>
    <w:rsid w:val="00531E57"/>
    <w:rsid w:val="005322C1"/>
    <w:rsid w:val="0054772D"/>
    <w:rsid w:val="00550280"/>
    <w:rsid w:val="0055226D"/>
    <w:rsid w:val="00552333"/>
    <w:rsid w:val="005536E0"/>
    <w:rsid w:val="0055391D"/>
    <w:rsid w:val="00571295"/>
    <w:rsid w:val="00575FD7"/>
    <w:rsid w:val="00593A98"/>
    <w:rsid w:val="005978C4"/>
    <w:rsid w:val="005A1F73"/>
    <w:rsid w:val="005A6B8E"/>
    <w:rsid w:val="005D75B3"/>
    <w:rsid w:val="005E7BE5"/>
    <w:rsid w:val="005E7E33"/>
    <w:rsid w:val="0060434A"/>
    <w:rsid w:val="00617C95"/>
    <w:rsid w:val="00624881"/>
    <w:rsid w:val="00626492"/>
    <w:rsid w:val="006275E5"/>
    <w:rsid w:val="0063447D"/>
    <w:rsid w:val="00637F2B"/>
    <w:rsid w:val="00641840"/>
    <w:rsid w:val="00642E7E"/>
    <w:rsid w:val="00645299"/>
    <w:rsid w:val="00657704"/>
    <w:rsid w:val="0066144D"/>
    <w:rsid w:val="00662D4B"/>
    <w:rsid w:val="00663FA8"/>
    <w:rsid w:val="0067192D"/>
    <w:rsid w:val="00673570"/>
    <w:rsid w:val="00685909"/>
    <w:rsid w:val="00693958"/>
    <w:rsid w:val="006B0944"/>
    <w:rsid w:val="006B0E3E"/>
    <w:rsid w:val="006B1BCE"/>
    <w:rsid w:val="006C0BC9"/>
    <w:rsid w:val="006C22F1"/>
    <w:rsid w:val="006F04F0"/>
    <w:rsid w:val="006F276E"/>
    <w:rsid w:val="006F2996"/>
    <w:rsid w:val="00706A16"/>
    <w:rsid w:val="00720103"/>
    <w:rsid w:val="00720666"/>
    <w:rsid w:val="00727EB2"/>
    <w:rsid w:val="00733CAA"/>
    <w:rsid w:val="00737B00"/>
    <w:rsid w:val="007425F0"/>
    <w:rsid w:val="00745446"/>
    <w:rsid w:val="0075158D"/>
    <w:rsid w:val="00756369"/>
    <w:rsid w:val="00763191"/>
    <w:rsid w:val="0076764F"/>
    <w:rsid w:val="007723FF"/>
    <w:rsid w:val="0077598E"/>
    <w:rsid w:val="007818E8"/>
    <w:rsid w:val="007C22EB"/>
    <w:rsid w:val="007D2B7D"/>
    <w:rsid w:val="007D6C7C"/>
    <w:rsid w:val="007E25F5"/>
    <w:rsid w:val="007E3289"/>
    <w:rsid w:val="008040FB"/>
    <w:rsid w:val="008056DA"/>
    <w:rsid w:val="008105CE"/>
    <w:rsid w:val="00824C2E"/>
    <w:rsid w:val="0083415C"/>
    <w:rsid w:val="008359B5"/>
    <w:rsid w:val="00845720"/>
    <w:rsid w:val="00845B6D"/>
    <w:rsid w:val="00850CD6"/>
    <w:rsid w:val="008666DC"/>
    <w:rsid w:val="00886826"/>
    <w:rsid w:val="00887902"/>
    <w:rsid w:val="00887B44"/>
    <w:rsid w:val="008B78E9"/>
    <w:rsid w:val="008C1381"/>
    <w:rsid w:val="008D73C0"/>
    <w:rsid w:val="008E3020"/>
    <w:rsid w:val="008E3BE1"/>
    <w:rsid w:val="008E6280"/>
    <w:rsid w:val="008F6977"/>
    <w:rsid w:val="00901065"/>
    <w:rsid w:val="00903D4E"/>
    <w:rsid w:val="0091096B"/>
    <w:rsid w:val="009157FB"/>
    <w:rsid w:val="00922EE4"/>
    <w:rsid w:val="0092434E"/>
    <w:rsid w:val="00937392"/>
    <w:rsid w:val="0094235B"/>
    <w:rsid w:val="00947445"/>
    <w:rsid w:val="00950741"/>
    <w:rsid w:val="00952C71"/>
    <w:rsid w:val="00953E4C"/>
    <w:rsid w:val="00955942"/>
    <w:rsid w:val="0095663F"/>
    <w:rsid w:val="00965E65"/>
    <w:rsid w:val="00970FAE"/>
    <w:rsid w:val="009734CA"/>
    <w:rsid w:val="0097772F"/>
    <w:rsid w:val="00983750"/>
    <w:rsid w:val="009926F1"/>
    <w:rsid w:val="00995AF9"/>
    <w:rsid w:val="00996BD4"/>
    <w:rsid w:val="00996D9B"/>
    <w:rsid w:val="00997206"/>
    <w:rsid w:val="009B03E1"/>
    <w:rsid w:val="009B25D5"/>
    <w:rsid w:val="009C6D79"/>
    <w:rsid w:val="009C7274"/>
    <w:rsid w:val="009D1AC8"/>
    <w:rsid w:val="009D7B5E"/>
    <w:rsid w:val="009E1894"/>
    <w:rsid w:val="009E418F"/>
    <w:rsid w:val="009E5A1E"/>
    <w:rsid w:val="009F126B"/>
    <w:rsid w:val="009F7587"/>
    <w:rsid w:val="00A03CFE"/>
    <w:rsid w:val="00A145B0"/>
    <w:rsid w:val="00A21D9C"/>
    <w:rsid w:val="00A24883"/>
    <w:rsid w:val="00A26006"/>
    <w:rsid w:val="00A41487"/>
    <w:rsid w:val="00A429FB"/>
    <w:rsid w:val="00A50120"/>
    <w:rsid w:val="00A5048D"/>
    <w:rsid w:val="00A54626"/>
    <w:rsid w:val="00A61272"/>
    <w:rsid w:val="00A62D01"/>
    <w:rsid w:val="00A648E3"/>
    <w:rsid w:val="00A66A7C"/>
    <w:rsid w:val="00A6784E"/>
    <w:rsid w:val="00A7328E"/>
    <w:rsid w:val="00A74DB3"/>
    <w:rsid w:val="00A74EB7"/>
    <w:rsid w:val="00A82F52"/>
    <w:rsid w:val="00A83CB4"/>
    <w:rsid w:val="00A86E57"/>
    <w:rsid w:val="00A9701B"/>
    <w:rsid w:val="00AB018E"/>
    <w:rsid w:val="00AB09E9"/>
    <w:rsid w:val="00AB0F65"/>
    <w:rsid w:val="00AB15CF"/>
    <w:rsid w:val="00AB4E25"/>
    <w:rsid w:val="00AC3A26"/>
    <w:rsid w:val="00AD05C5"/>
    <w:rsid w:val="00AD3CE2"/>
    <w:rsid w:val="00AD51BE"/>
    <w:rsid w:val="00AD6D75"/>
    <w:rsid w:val="00AE18CE"/>
    <w:rsid w:val="00AE1C23"/>
    <w:rsid w:val="00AE3ACE"/>
    <w:rsid w:val="00AE3B17"/>
    <w:rsid w:val="00AE3B29"/>
    <w:rsid w:val="00AF580F"/>
    <w:rsid w:val="00B00012"/>
    <w:rsid w:val="00B133D5"/>
    <w:rsid w:val="00B22D36"/>
    <w:rsid w:val="00B310FD"/>
    <w:rsid w:val="00B324E9"/>
    <w:rsid w:val="00B33059"/>
    <w:rsid w:val="00B33429"/>
    <w:rsid w:val="00B4279C"/>
    <w:rsid w:val="00B439CC"/>
    <w:rsid w:val="00B464A3"/>
    <w:rsid w:val="00B529CD"/>
    <w:rsid w:val="00B55B44"/>
    <w:rsid w:val="00B57FC3"/>
    <w:rsid w:val="00B65BDD"/>
    <w:rsid w:val="00B66155"/>
    <w:rsid w:val="00B67CBB"/>
    <w:rsid w:val="00B72576"/>
    <w:rsid w:val="00B970AC"/>
    <w:rsid w:val="00BA04CA"/>
    <w:rsid w:val="00BA04E4"/>
    <w:rsid w:val="00BA1297"/>
    <w:rsid w:val="00BA52E1"/>
    <w:rsid w:val="00BB0C2C"/>
    <w:rsid w:val="00BB1B51"/>
    <w:rsid w:val="00BC3761"/>
    <w:rsid w:val="00BC6B54"/>
    <w:rsid w:val="00BD79AC"/>
    <w:rsid w:val="00BE3AB9"/>
    <w:rsid w:val="00BE49E9"/>
    <w:rsid w:val="00BF7401"/>
    <w:rsid w:val="00C17F36"/>
    <w:rsid w:val="00C27E07"/>
    <w:rsid w:val="00C359B8"/>
    <w:rsid w:val="00C36492"/>
    <w:rsid w:val="00C37737"/>
    <w:rsid w:val="00C43130"/>
    <w:rsid w:val="00C603B2"/>
    <w:rsid w:val="00C83ED9"/>
    <w:rsid w:val="00C84AC9"/>
    <w:rsid w:val="00C87F56"/>
    <w:rsid w:val="00C917A3"/>
    <w:rsid w:val="00C92F98"/>
    <w:rsid w:val="00C97278"/>
    <w:rsid w:val="00CA77B2"/>
    <w:rsid w:val="00CB056F"/>
    <w:rsid w:val="00CB5AE8"/>
    <w:rsid w:val="00CC287A"/>
    <w:rsid w:val="00CC43B9"/>
    <w:rsid w:val="00CC5299"/>
    <w:rsid w:val="00CC6B98"/>
    <w:rsid w:val="00CD108F"/>
    <w:rsid w:val="00CD12CC"/>
    <w:rsid w:val="00CD1D14"/>
    <w:rsid w:val="00CE12C9"/>
    <w:rsid w:val="00CE2913"/>
    <w:rsid w:val="00CE7D43"/>
    <w:rsid w:val="00CF0FF2"/>
    <w:rsid w:val="00D00CCB"/>
    <w:rsid w:val="00D013E0"/>
    <w:rsid w:val="00D0471C"/>
    <w:rsid w:val="00D04DD4"/>
    <w:rsid w:val="00D10383"/>
    <w:rsid w:val="00D16087"/>
    <w:rsid w:val="00D22073"/>
    <w:rsid w:val="00D24523"/>
    <w:rsid w:val="00D2524F"/>
    <w:rsid w:val="00D27AF9"/>
    <w:rsid w:val="00D27FCE"/>
    <w:rsid w:val="00D33591"/>
    <w:rsid w:val="00D3425B"/>
    <w:rsid w:val="00D355DE"/>
    <w:rsid w:val="00D37781"/>
    <w:rsid w:val="00D4794F"/>
    <w:rsid w:val="00D51354"/>
    <w:rsid w:val="00D52263"/>
    <w:rsid w:val="00D55AF5"/>
    <w:rsid w:val="00D73C51"/>
    <w:rsid w:val="00D84885"/>
    <w:rsid w:val="00D85214"/>
    <w:rsid w:val="00D85B3E"/>
    <w:rsid w:val="00D865EB"/>
    <w:rsid w:val="00D94AEC"/>
    <w:rsid w:val="00DA1F37"/>
    <w:rsid w:val="00DB30CD"/>
    <w:rsid w:val="00DB63FE"/>
    <w:rsid w:val="00DC3E8B"/>
    <w:rsid w:val="00DC538F"/>
    <w:rsid w:val="00DC67EB"/>
    <w:rsid w:val="00DC700B"/>
    <w:rsid w:val="00DD4BEE"/>
    <w:rsid w:val="00DE2417"/>
    <w:rsid w:val="00DE30E0"/>
    <w:rsid w:val="00DE5C26"/>
    <w:rsid w:val="00DE6BEF"/>
    <w:rsid w:val="00DF0508"/>
    <w:rsid w:val="00DF1ABB"/>
    <w:rsid w:val="00DF72C5"/>
    <w:rsid w:val="00DF7AA3"/>
    <w:rsid w:val="00E002F3"/>
    <w:rsid w:val="00E02DDA"/>
    <w:rsid w:val="00E04B24"/>
    <w:rsid w:val="00E04E26"/>
    <w:rsid w:val="00E0684A"/>
    <w:rsid w:val="00E21B73"/>
    <w:rsid w:val="00E274C4"/>
    <w:rsid w:val="00E33363"/>
    <w:rsid w:val="00E349AA"/>
    <w:rsid w:val="00E34BA0"/>
    <w:rsid w:val="00E469B6"/>
    <w:rsid w:val="00E47920"/>
    <w:rsid w:val="00E6083D"/>
    <w:rsid w:val="00E76FA5"/>
    <w:rsid w:val="00E81112"/>
    <w:rsid w:val="00E81D0F"/>
    <w:rsid w:val="00E864D2"/>
    <w:rsid w:val="00EA324E"/>
    <w:rsid w:val="00EB17C9"/>
    <w:rsid w:val="00EB452F"/>
    <w:rsid w:val="00EC6FF6"/>
    <w:rsid w:val="00EE1F73"/>
    <w:rsid w:val="00EE3780"/>
    <w:rsid w:val="00EE4194"/>
    <w:rsid w:val="00EE4C12"/>
    <w:rsid w:val="00EF1F88"/>
    <w:rsid w:val="00F04323"/>
    <w:rsid w:val="00F0703E"/>
    <w:rsid w:val="00F15FBF"/>
    <w:rsid w:val="00F262A6"/>
    <w:rsid w:val="00F26C80"/>
    <w:rsid w:val="00F31500"/>
    <w:rsid w:val="00F47C5D"/>
    <w:rsid w:val="00F55AF4"/>
    <w:rsid w:val="00F57B7E"/>
    <w:rsid w:val="00F60800"/>
    <w:rsid w:val="00F61B06"/>
    <w:rsid w:val="00F710C2"/>
    <w:rsid w:val="00F837F9"/>
    <w:rsid w:val="00F85BA3"/>
    <w:rsid w:val="00F87835"/>
    <w:rsid w:val="00F9004D"/>
    <w:rsid w:val="00F9202B"/>
    <w:rsid w:val="00FA194F"/>
    <w:rsid w:val="00FA2BA2"/>
    <w:rsid w:val="00FA6931"/>
    <w:rsid w:val="00FB35B9"/>
    <w:rsid w:val="00FC5699"/>
    <w:rsid w:val="00FD31F5"/>
    <w:rsid w:val="00FD6936"/>
    <w:rsid w:val="00FE0124"/>
    <w:rsid w:val="00FE522D"/>
    <w:rsid w:val="00FE5404"/>
    <w:rsid w:val="00FF20EF"/>
    <w:rsid w:val="00FF3427"/>
    <w:rsid w:val="00FF6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0E19"/>
  <w15:chartTrackingRefBased/>
  <w15:docId w15:val="{7A020E0C-9A9D-4509-8C9C-CA7E12A2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944"/>
    <w:pPr>
      <w:spacing w:before="120" w:after="120" w:line="240" w:lineRule="auto"/>
      <w:jc w:val="both"/>
    </w:pPr>
    <w:rPr>
      <w:rFonts w:ascii="Times New Roman" w:eastAsia="Calibri" w:hAnsi="Times New Roman" w:cs="Times New Roman"/>
      <w:sz w:val="24"/>
      <w:szCs w:val="20"/>
      <w:lang w:eastAsia="lv-LV" w:bidi="lv-LV"/>
    </w:rPr>
  </w:style>
  <w:style w:type="paragraph" w:styleId="Heading1">
    <w:name w:val="heading 1"/>
    <w:basedOn w:val="Normal"/>
    <w:next w:val="Normal"/>
    <w:link w:val="Heading1Char"/>
    <w:uiPriority w:val="9"/>
    <w:qFormat/>
    <w:rsid w:val="000F0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2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aukums">
    <w:name w:val="Nosaukums"/>
    <w:basedOn w:val="Title"/>
    <w:link w:val="NosaukumsChar"/>
    <w:qFormat/>
    <w:rsid w:val="006B0944"/>
    <w:pPr>
      <w:spacing w:line="360" w:lineRule="auto"/>
      <w:jc w:val="center"/>
    </w:pPr>
    <w:rPr>
      <w:rFonts w:ascii="Calibri Light" w:eastAsia="Times New Roman" w:hAnsi="Calibri Light" w:cs="Times New Roman"/>
      <w:b/>
      <w:lang w:eastAsia="en-US" w:bidi="ar-SA"/>
    </w:rPr>
  </w:style>
  <w:style w:type="character" w:customStyle="1" w:styleId="NosaukumsChar">
    <w:name w:val="Nosaukums Char"/>
    <w:link w:val="Nosaukums"/>
    <w:rsid w:val="006B0944"/>
    <w:rPr>
      <w:rFonts w:ascii="Calibri Light" w:eastAsia="Times New Roman" w:hAnsi="Calibri Light" w:cs="Times New Roman"/>
      <w:b/>
      <w:spacing w:val="-10"/>
      <w:kern w:val="28"/>
      <w:sz w:val="56"/>
      <w:szCs w:val="56"/>
    </w:rPr>
  </w:style>
  <w:style w:type="paragraph" w:styleId="Title">
    <w:name w:val="Title"/>
    <w:basedOn w:val="Normal"/>
    <w:next w:val="Normal"/>
    <w:link w:val="TitleChar"/>
    <w:uiPriority w:val="10"/>
    <w:qFormat/>
    <w:rsid w:val="006B094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0944"/>
    <w:rPr>
      <w:rFonts w:asciiTheme="majorHAnsi" w:eastAsiaTheme="majorEastAsia" w:hAnsiTheme="majorHAnsi" w:cstheme="majorBidi"/>
      <w:spacing w:val="-10"/>
      <w:kern w:val="28"/>
      <w:sz w:val="56"/>
      <w:szCs w:val="56"/>
      <w:lang w:eastAsia="lv-LV" w:bidi="lv-LV"/>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C"/>
    <w:basedOn w:val="Normal"/>
    <w:link w:val="FootnoteTextChar"/>
    <w:uiPriority w:val="99"/>
    <w:unhideWhenUsed/>
    <w:qFormat/>
    <w:rsid w:val="00D27AF9"/>
    <w:pPr>
      <w:spacing w:before="0" w:after="0"/>
      <w:ind w:left="720" w:hanging="720"/>
    </w:pPr>
    <w:rPr>
      <w:sz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D27AF9"/>
    <w:rPr>
      <w:rFonts w:ascii="Times New Roman" w:eastAsia="Calibri" w:hAnsi="Times New Roman" w:cs="Times New Roman"/>
      <w:sz w:val="20"/>
      <w:szCs w:val="20"/>
      <w:lang w:eastAsia="lv-LV" w:bidi="lv-LV"/>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D27AF9"/>
    <w:rPr>
      <w:vertAlign w:val="superscript"/>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2"/>
    <w:basedOn w:val="Normal"/>
    <w:link w:val="ListParagraphChar"/>
    <w:uiPriority w:val="34"/>
    <w:qFormat/>
    <w:rsid w:val="00D27AF9"/>
    <w:pPr>
      <w:spacing w:before="0" w:after="200" w:line="276" w:lineRule="auto"/>
      <w:ind w:left="720"/>
      <w:contextualSpacing/>
      <w:jc w:val="left"/>
    </w:pPr>
    <w:rPr>
      <w:rFonts w:asciiTheme="minorHAnsi" w:eastAsiaTheme="minorHAnsi" w:hAnsiTheme="minorHAnsi" w:cstheme="minorBidi"/>
      <w:sz w:val="22"/>
      <w:szCs w:val="22"/>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D27AF9"/>
    <w:rPr>
      <w:lang w:eastAsia="lv-LV" w:bidi="lv-LV"/>
    </w:rPr>
  </w:style>
  <w:style w:type="character" w:styleId="Hyperlink">
    <w:name w:val="Hyperlink"/>
    <w:uiPriority w:val="99"/>
    <w:unhideWhenUsed/>
    <w:rsid w:val="00D27AF9"/>
    <w:rPr>
      <w:color w:val="0000FF"/>
      <w:u w:val="singl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D27AF9"/>
    <w:pPr>
      <w:spacing w:before="0" w:after="160" w:line="240" w:lineRule="exact"/>
    </w:pPr>
    <w:rPr>
      <w:rFonts w:asciiTheme="minorHAnsi" w:eastAsiaTheme="minorHAnsi" w:hAnsiTheme="minorHAnsi" w:cstheme="minorBidi"/>
      <w:sz w:val="22"/>
      <w:szCs w:val="22"/>
      <w:vertAlign w:val="superscript"/>
      <w:lang w:eastAsia="en-US" w:bidi="ar-SA"/>
    </w:rPr>
  </w:style>
  <w:style w:type="character" w:customStyle="1" w:styleId="Heading1Char">
    <w:name w:val="Heading 1 Char"/>
    <w:basedOn w:val="DefaultParagraphFont"/>
    <w:link w:val="Heading1"/>
    <w:uiPriority w:val="9"/>
    <w:rsid w:val="000F053A"/>
    <w:rPr>
      <w:rFonts w:asciiTheme="majorHAnsi" w:eastAsiaTheme="majorEastAsia" w:hAnsiTheme="majorHAnsi" w:cstheme="majorBidi"/>
      <w:color w:val="2E74B5" w:themeColor="accent1" w:themeShade="BF"/>
      <w:sz w:val="32"/>
      <w:szCs w:val="32"/>
      <w:lang w:eastAsia="lv-LV" w:bidi="lv-LV"/>
    </w:rPr>
  </w:style>
  <w:style w:type="paragraph" w:styleId="TOCHeading">
    <w:name w:val="TOC Heading"/>
    <w:basedOn w:val="Heading1"/>
    <w:next w:val="Normal"/>
    <w:uiPriority w:val="39"/>
    <w:unhideWhenUsed/>
    <w:qFormat/>
    <w:rsid w:val="00593A98"/>
    <w:pPr>
      <w:spacing w:line="259" w:lineRule="auto"/>
      <w:jc w:val="left"/>
      <w:outlineLvl w:val="9"/>
    </w:pPr>
    <w:rPr>
      <w:lang w:val="en-US" w:eastAsia="en-US" w:bidi="ar-SA"/>
    </w:rPr>
  </w:style>
  <w:style w:type="paragraph" w:styleId="TOC1">
    <w:name w:val="toc 1"/>
    <w:basedOn w:val="Normal"/>
    <w:next w:val="Normal"/>
    <w:autoRedefine/>
    <w:uiPriority w:val="39"/>
    <w:unhideWhenUsed/>
    <w:rsid w:val="00DB63FE"/>
    <w:pPr>
      <w:tabs>
        <w:tab w:val="left" w:pos="851"/>
        <w:tab w:val="right" w:leader="dot" w:pos="8919"/>
      </w:tabs>
      <w:spacing w:after="100"/>
      <w:ind w:left="851" w:hanging="567"/>
    </w:pPr>
  </w:style>
  <w:style w:type="character" w:customStyle="1" w:styleId="Heading2Char">
    <w:name w:val="Heading 2 Char"/>
    <w:basedOn w:val="DefaultParagraphFont"/>
    <w:link w:val="Heading2"/>
    <w:uiPriority w:val="9"/>
    <w:rsid w:val="00240259"/>
    <w:rPr>
      <w:rFonts w:asciiTheme="majorHAnsi" w:eastAsiaTheme="majorEastAsia" w:hAnsiTheme="majorHAnsi" w:cstheme="majorBidi"/>
      <w:color w:val="2E74B5" w:themeColor="accent1" w:themeShade="BF"/>
      <w:sz w:val="26"/>
      <w:szCs w:val="26"/>
      <w:lang w:eastAsia="lv-LV" w:bidi="lv-LV"/>
    </w:rPr>
  </w:style>
  <w:style w:type="paragraph" w:styleId="TOC2">
    <w:name w:val="toc 2"/>
    <w:basedOn w:val="Normal"/>
    <w:next w:val="Normal"/>
    <w:autoRedefine/>
    <w:uiPriority w:val="39"/>
    <w:unhideWhenUsed/>
    <w:rsid w:val="003A16BB"/>
    <w:pPr>
      <w:spacing w:after="100"/>
      <w:ind w:left="240"/>
    </w:pPr>
  </w:style>
  <w:style w:type="table" w:styleId="TableGrid">
    <w:name w:val="Table Grid"/>
    <w:basedOn w:val="TableNormal"/>
    <w:uiPriority w:val="59"/>
    <w:unhideWhenUsed/>
    <w:rsid w:val="00A82F52"/>
    <w:pPr>
      <w:spacing w:after="0" w:line="240" w:lineRule="auto"/>
    </w:pPr>
    <w:rPr>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6B8E"/>
    <w:rPr>
      <w:sz w:val="16"/>
      <w:szCs w:val="16"/>
    </w:rPr>
  </w:style>
  <w:style w:type="paragraph" w:styleId="CommentText">
    <w:name w:val="annotation text"/>
    <w:basedOn w:val="Normal"/>
    <w:link w:val="CommentTextChar"/>
    <w:uiPriority w:val="99"/>
    <w:semiHidden/>
    <w:unhideWhenUsed/>
    <w:rsid w:val="005A6B8E"/>
    <w:rPr>
      <w:sz w:val="20"/>
    </w:rPr>
  </w:style>
  <w:style w:type="character" w:customStyle="1" w:styleId="CommentTextChar">
    <w:name w:val="Comment Text Char"/>
    <w:basedOn w:val="DefaultParagraphFont"/>
    <w:link w:val="CommentText"/>
    <w:uiPriority w:val="99"/>
    <w:semiHidden/>
    <w:rsid w:val="005A6B8E"/>
    <w:rPr>
      <w:rFonts w:ascii="Times New Roman" w:eastAsia="Calibri" w:hAnsi="Times New Roman" w:cs="Times New Roman"/>
      <w:sz w:val="20"/>
      <w:szCs w:val="20"/>
      <w:lang w:eastAsia="lv-LV" w:bidi="lv-LV"/>
    </w:rPr>
  </w:style>
  <w:style w:type="paragraph" w:styleId="CommentSubject">
    <w:name w:val="annotation subject"/>
    <w:basedOn w:val="CommentText"/>
    <w:next w:val="CommentText"/>
    <w:link w:val="CommentSubjectChar"/>
    <w:uiPriority w:val="99"/>
    <w:semiHidden/>
    <w:unhideWhenUsed/>
    <w:rsid w:val="005A6B8E"/>
    <w:rPr>
      <w:b/>
      <w:bCs/>
    </w:rPr>
  </w:style>
  <w:style w:type="character" w:customStyle="1" w:styleId="CommentSubjectChar">
    <w:name w:val="Comment Subject Char"/>
    <w:basedOn w:val="CommentTextChar"/>
    <w:link w:val="CommentSubject"/>
    <w:uiPriority w:val="99"/>
    <w:semiHidden/>
    <w:rsid w:val="005A6B8E"/>
    <w:rPr>
      <w:rFonts w:ascii="Times New Roman" w:eastAsia="Calibri" w:hAnsi="Times New Roman" w:cs="Times New Roman"/>
      <w:b/>
      <w:bCs/>
      <w:sz w:val="20"/>
      <w:szCs w:val="20"/>
      <w:lang w:eastAsia="lv-LV" w:bidi="lv-LV"/>
    </w:rPr>
  </w:style>
  <w:style w:type="paragraph" w:styleId="BalloonText">
    <w:name w:val="Balloon Text"/>
    <w:basedOn w:val="Normal"/>
    <w:link w:val="BalloonTextChar"/>
    <w:uiPriority w:val="99"/>
    <w:semiHidden/>
    <w:unhideWhenUsed/>
    <w:rsid w:val="005A6B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B8E"/>
    <w:rPr>
      <w:rFonts w:ascii="Segoe UI" w:eastAsia="Calibri" w:hAnsi="Segoe UI" w:cs="Segoe UI"/>
      <w:sz w:val="18"/>
      <w:szCs w:val="18"/>
      <w:lang w:eastAsia="lv-LV" w:bidi="lv-LV"/>
    </w:rPr>
  </w:style>
  <w:style w:type="paragraph" w:styleId="Header">
    <w:name w:val="header"/>
    <w:basedOn w:val="Normal"/>
    <w:link w:val="HeaderChar"/>
    <w:uiPriority w:val="99"/>
    <w:unhideWhenUsed/>
    <w:rsid w:val="004148C0"/>
    <w:pPr>
      <w:tabs>
        <w:tab w:val="center" w:pos="4153"/>
        <w:tab w:val="right" w:pos="8306"/>
      </w:tabs>
      <w:spacing w:before="0" w:after="0"/>
    </w:pPr>
  </w:style>
  <w:style w:type="character" w:customStyle="1" w:styleId="HeaderChar">
    <w:name w:val="Header Char"/>
    <w:basedOn w:val="DefaultParagraphFont"/>
    <w:link w:val="Header"/>
    <w:uiPriority w:val="99"/>
    <w:rsid w:val="004148C0"/>
    <w:rPr>
      <w:rFonts w:ascii="Times New Roman" w:eastAsia="Calibri" w:hAnsi="Times New Roman" w:cs="Times New Roman"/>
      <w:sz w:val="24"/>
      <w:szCs w:val="20"/>
      <w:lang w:eastAsia="lv-LV" w:bidi="lv-LV"/>
    </w:rPr>
  </w:style>
  <w:style w:type="paragraph" w:styleId="Footer">
    <w:name w:val="footer"/>
    <w:basedOn w:val="Normal"/>
    <w:link w:val="FooterChar"/>
    <w:uiPriority w:val="99"/>
    <w:unhideWhenUsed/>
    <w:rsid w:val="004148C0"/>
    <w:pPr>
      <w:tabs>
        <w:tab w:val="center" w:pos="4153"/>
        <w:tab w:val="right" w:pos="8306"/>
      </w:tabs>
      <w:spacing w:before="0" w:after="0"/>
    </w:pPr>
  </w:style>
  <w:style w:type="character" w:customStyle="1" w:styleId="FooterChar">
    <w:name w:val="Footer Char"/>
    <w:basedOn w:val="DefaultParagraphFont"/>
    <w:link w:val="Footer"/>
    <w:uiPriority w:val="99"/>
    <w:rsid w:val="004148C0"/>
    <w:rPr>
      <w:rFonts w:ascii="Times New Roman" w:eastAsia="Calibri" w:hAnsi="Times New Roman" w:cs="Times New Roman"/>
      <w:sz w:val="24"/>
      <w:szCs w:val="20"/>
      <w:lang w:eastAsia="lv-LV" w:bidi="lv-LV"/>
    </w:rPr>
  </w:style>
  <w:style w:type="character" w:styleId="FollowedHyperlink">
    <w:name w:val="FollowedHyperlink"/>
    <w:basedOn w:val="DefaultParagraphFont"/>
    <w:uiPriority w:val="99"/>
    <w:semiHidden/>
    <w:unhideWhenUsed/>
    <w:rsid w:val="002D5D74"/>
    <w:rPr>
      <w:color w:val="954F72" w:themeColor="followedHyperlink"/>
      <w:u w:val="single"/>
    </w:rPr>
  </w:style>
  <w:style w:type="table" w:customStyle="1" w:styleId="TableGrid1">
    <w:name w:val="Table Grid1"/>
    <w:basedOn w:val="TableNormal"/>
    <w:next w:val="TableGrid"/>
    <w:uiPriority w:val="59"/>
    <w:unhideWhenUsed/>
    <w:rsid w:val="004156D2"/>
    <w:pPr>
      <w:spacing w:after="0" w:line="240" w:lineRule="auto"/>
    </w:pPr>
    <w:rPr>
      <w:lang w:eastAsia="lv-LV" w:bidi="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8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m.gov.lv/lv/esf-programmas-materialas-nenodrosinatibas-mazinasanai-2021-2027-gadam-projek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sb.gov.lv/lv/statistika/statistikas-temas/socialie-procesi/nabadziba/meklet-tema/433-nabadzibas-risks-un-sociala-atstumtiba-latvija" TargetMode="External"/><Relationship Id="rId2" Type="http://schemas.openxmlformats.org/officeDocument/2006/relationships/hyperlink" Target="https://data1.csb.gov.lv/pxweb/lv/sociala/sociala__nabadz_nevienl__monetara_nab/NIG050.px" TargetMode="External"/><Relationship Id="rId1" Type="http://schemas.openxmlformats.org/officeDocument/2006/relationships/hyperlink" Target="https://www.csb.gov.lv/lv/statistika/statistikas-temas/socialie-procesi/nabadziba/meklet-tema/433-nabadzibas-risks-un-sociala-atstumtiba-latvija" TargetMode="External"/><Relationship Id="rId5" Type="http://schemas.openxmlformats.org/officeDocument/2006/relationships/hyperlink" Target="https://www.pkc.gov.lv/lv/nap2027" TargetMode="External"/><Relationship Id="rId4" Type="http://schemas.openxmlformats.org/officeDocument/2006/relationships/hyperlink" Target="http://www.lm.gov.lv/lv/publikacijas-petijumi-un-statistika/statistika/valsts-statistika-socialo-pakalpojumu-un-socialas-palidzibas-j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5B8E-919A-4FDA-87BF-078BAACC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19</Pages>
  <Words>29756</Words>
  <Characters>16961</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Aurika Stratane</dc:creator>
  <cp:keywords/>
  <dc:description/>
  <cp:lastModifiedBy>Leontine Babkina</cp:lastModifiedBy>
  <cp:revision>477</cp:revision>
  <dcterms:created xsi:type="dcterms:W3CDTF">2020-12-09T07:09:00Z</dcterms:created>
  <dcterms:modified xsi:type="dcterms:W3CDTF">2021-06-01T05:30:00Z</dcterms:modified>
</cp:coreProperties>
</file>