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3B6A" w14:textId="0E246B04" w:rsidR="00943516" w:rsidRPr="002A34A7" w:rsidRDefault="00943516" w:rsidP="00EB0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62A3512" w14:textId="77777777" w:rsidR="00EB031F" w:rsidRPr="002A34A7" w:rsidRDefault="00EB031F" w:rsidP="00EB0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CC7C8F4" w14:textId="4B40077C" w:rsidR="00EB031F" w:rsidRPr="002A34A7" w:rsidRDefault="00EB031F" w:rsidP="00EB031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A34A7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4226BB" w:rsidRPr="004226BB">
        <w:rPr>
          <w:rFonts w:ascii="Times New Roman" w:hAnsi="Times New Roman"/>
          <w:sz w:val="28"/>
          <w:szCs w:val="28"/>
        </w:rPr>
        <w:t>2. jūnijā</w:t>
      </w:r>
      <w:r w:rsidRPr="002A34A7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4226BB">
        <w:rPr>
          <w:rFonts w:ascii="Times New Roman" w:eastAsia="Times New Roman" w:hAnsi="Times New Roman"/>
          <w:sz w:val="28"/>
          <w:szCs w:val="28"/>
        </w:rPr>
        <w:t> 381</w:t>
      </w:r>
    </w:p>
    <w:p w14:paraId="57750D62" w14:textId="60003C46" w:rsidR="00EB031F" w:rsidRPr="002A34A7" w:rsidRDefault="00EB031F" w:rsidP="00EB031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A34A7">
        <w:rPr>
          <w:rFonts w:ascii="Times New Roman" w:eastAsia="Times New Roman" w:hAnsi="Times New Roman"/>
          <w:sz w:val="28"/>
          <w:szCs w:val="28"/>
        </w:rPr>
        <w:t>Rīgā</w:t>
      </w:r>
      <w:r w:rsidRPr="002A34A7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226BB">
        <w:rPr>
          <w:rFonts w:ascii="Times New Roman" w:eastAsia="Times New Roman" w:hAnsi="Times New Roman"/>
          <w:sz w:val="28"/>
          <w:szCs w:val="28"/>
        </w:rPr>
        <w:t> 45 48</w:t>
      </w:r>
      <w:bookmarkStart w:id="0" w:name="_GoBack"/>
      <w:bookmarkEnd w:id="0"/>
      <w:r w:rsidRPr="002A34A7">
        <w:rPr>
          <w:rFonts w:ascii="Times New Roman" w:eastAsia="Times New Roman" w:hAnsi="Times New Roman"/>
          <w:sz w:val="28"/>
          <w:szCs w:val="28"/>
        </w:rPr>
        <w:t>. §)</w:t>
      </w:r>
    </w:p>
    <w:p w14:paraId="0A37501D" w14:textId="77777777" w:rsidR="00692011" w:rsidRPr="002A34A7" w:rsidRDefault="00692011" w:rsidP="004F7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91FA52" w14:textId="57AA95C7" w:rsidR="00692011" w:rsidRPr="002A34A7" w:rsidRDefault="5A049ABD" w:rsidP="00EB031F">
      <w:pPr>
        <w:pStyle w:val="NoSpacing"/>
        <w:jc w:val="center"/>
        <w:rPr>
          <w:b/>
          <w:bCs/>
          <w:sz w:val="28"/>
          <w:szCs w:val="28"/>
          <w:lang w:val="lv-LV"/>
        </w:rPr>
      </w:pPr>
      <w:r w:rsidRPr="002A34A7">
        <w:rPr>
          <w:b/>
          <w:bCs/>
          <w:sz w:val="28"/>
          <w:szCs w:val="28"/>
          <w:lang w:val="lv-LV"/>
        </w:rPr>
        <w:t>Par atbalstītajiem pašvaldību investīciju projektiem jaunas pirmsskolas izglītības iestādes būvniecībai vai esošas pirmsskolas izglītības iestādes paplašināšanai, kuriem piešķirams valsts budžeta aizdevums</w:t>
      </w:r>
    </w:p>
    <w:p w14:paraId="5DAB6C7B" w14:textId="77777777" w:rsidR="00692011" w:rsidRPr="002A34A7" w:rsidRDefault="00692011" w:rsidP="004F7361">
      <w:pPr>
        <w:pStyle w:val="NoSpacing"/>
        <w:ind w:firstLine="720"/>
        <w:jc w:val="both"/>
        <w:rPr>
          <w:sz w:val="28"/>
          <w:szCs w:val="28"/>
          <w:lang w:val="lv-LV"/>
        </w:rPr>
      </w:pPr>
    </w:p>
    <w:p w14:paraId="4F48A169" w14:textId="3956D3A4" w:rsidR="0069064F" w:rsidRPr="002A34A7" w:rsidRDefault="00943516" w:rsidP="004F73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A34A7">
        <w:rPr>
          <w:rFonts w:ascii="Times New Roman" w:eastAsia="Times New Roman" w:hAnsi="Times New Roman"/>
          <w:sz w:val="28"/>
          <w:szCs w:val="28"/>
        </w:rPr>
        <w:t>1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>Pamatojoties uz Ministru kabineta 202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1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13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aprīļa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 xml:space="preserve"> noteikumu Nr.</w:t>
      </w:r>
      <w:r w:rsidR="00EB031F" w:rsidRPr="002A34A7">
        <w:rPr>
          <w:rFonts w:ascii="Times New Roman" w:eastAsia="Times New Roman" w:hAnsi="Times New Roman"/>
          <w:sz w:val="28"/>
          <w:szCs w:val="28"/>
        </w:rPr>
        <w:t>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240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34A7">
        <w:rPr>
          <w:rFonts w:ascii="Times New Roman" w:eastAsia="Times New Roman" w:hAnsi="Times New Roman"/>
          <w:sz w:val="28"/>
          <w:szCs w:val="28"/>
        </w:rPr>
        <w:t>"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Kārtība, kādā izvērtē pašvaldību investīciju projektus jaunu pirmsskolas izglītības iestāžu būvniecībai vai esošo pirmsskolas izglītības iestāžu paplašināšanai</w:t>
      </w:r>
      <w:r w:rsidRPr="002A34A7">
        <w:rPr>
          <w:rFonts w:ascii="Times New Roman" w:eastAsia="Times New Roman" w:hAnsi="Times New Roman"/>
          <w:sz w:val="28"/>
          <w:szCs w:val="28"/>
        </w:rPr>
        <w:t>"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 xml:space="preserve"> 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8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 xml:space="preserve">punktu, apstiprināt pašvaldību </w:t>
      </w:r>
      <w:r w:rsidRPr="002A34A7">
        <w:rPr>
          <w:rFonts w:ascii="Times New Roman" w:eastAsia="Times New Roman" w:hAnsi="Times New Roman"/>
          <w:sz w:val="28"/>
          <w:szCs w:val="28"/>
        </w:rPr>
        <w:t xml:space="preserve">iesniegto 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 xml:space="preserve">investīciju projektu </w:t>
      </w:r>
      <w:r w:rsidRPr="002A34A7">
        <w:rPr>
          <w:rFonts w:ascii="Times New Roman" w:eastAsia="Times New Roman" w:hAnsi="Times New Roman"/>
          <w:sz w:val="28"/>
          <w:szCs w:val="28"/>
        </w:rPr>
        <w:t xml:space="preserve">sarakstu 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>jaunas pirmsskolas izglītības iestādes būvniecībai vai esošas pirmsskolas izglītības iestādes paplašināšanai (pielikums):</w:t>
      </w:r>
    </w:p>
    <w:p w14:paraId="48463AF2" w14:textId="7E994BA1" w:rsidR="0069064F" w:rsidRPr="002A34A7" w:rsidRDefault="008100D7" w:rsidP="004F73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A34A7">
        <w:rPr>
          <w:rFonts w:ascii="Times New Roman" w:eastAsia="Times New Roman" w:hAnsi="Times New Roman"/>
          <w:sz w:val="28"/>
          <w:szCs w:val="28"/>
        </w:rPr>
        <w:t>1.1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 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>202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1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 xml:space="preserve">gadā </w:t>
      </w:r>
      <w:r w:rsidR="002151DA" w:rsidRPr="002A34A7">
        <w:rPr>
          <w:rFonts w:ascii="Times New Roman" w:hAnsi="Times New Roman"/>
          <w:sz w:val="28"/>
          <w:szCs w:val="28"/>
        </w:rPr>
        <w:t xml:space="preserve">– 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7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196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777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>,</w:t>
      </w:r>
      <w:r w:rsidR="00644AC9" w:rsidRPr="002A34A7">
        <w:rPr>
          <w:rFonts w:ascii="Times New Roman" w:eastAsia="Times New Roman" w:hAnsi="Times New Roman"/>
          <w:sz w:val="28"/>
          <w:szCs w:val="28"/>
        </w:rPr>
        <w:t>4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0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640C3A" w:rsidRPr="002A34A7">
        <w:rPr>
          <w:rFonts w:ascii="Times New Roman" w:eastAsia="Times New Roman" w:hAnsi="Times New Roman"/>
          <w:i/>
          <w:sz w:val="28"/>
          <w:szCs w:val="28"/>
        </w:rPr>
        <w:t>euro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 xml:space="preserve"> apmērā 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no likuma </w:t>
      </w:r>
      <w:r w:rsidR="00943516" w:rsidRPr="002A34A7">
        <w:rPr>
          <w:rFonts w:ascii="Times New Roman" w:eastAsia="Times New Roman" w:hAnsi="Times New Roman"/>
          <w:sz w:val="28"/>
          <w:szCs w:val="28"/>
        </w:rPr>
        <w:t>"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Par valsts budžetu </w:t>
      </w:r>
      <w:r w:rsidR="00191917" w:rsidRPr="002A34A7">
        <w:rPr>
          <w:rFonts w:ascii="Times New Roman" w:eastAsia="Times New Roman" w:hAnsi="Times New Roman"/>
          <w:spacing w:val="-2"/>
          <w:sz w:val="28"/>
          <w:szCs w:val="28"/>
        </w:rPr>
        <w:t>2021</w:t>
      </w:r>
      <w:r w:rsidR="004F7361" w:rsidRPr="002A34A7">
        <w:rPr>
          <w:rFonts w:ascii="Times New Roman" w:eastAsia="Times New Roman" w:hAnsi="Times New Roman"/>
          <w:spacing w:val="-2"/>
          <w:sz w:val="28"/>
          <w:szCs w:val="28"/>
        </w:rPr>
        <w:t>. </w:t>
      </w:r>
      <w:r w:rsidR="00191917" w:rsidRPr="002A34A7">
        <w:rPr>
          <w:rFonts w:ascii="Times New Roman" w:eastAsia="Times New Roman" w:hAnsi="Times New Roman"/>
          <w:spacing w:val="-2"/>
          <w:sz w:val="28"/>
          <w:szCs w:val="28"/>
        </w:rPr>
        <w:t>gadam</w:t>
      </w:r>
      <w:r w:rsidR="00943516" w:rsidRPr="002A34A7">
        <w:rPr>
          <w:rFonts w:ascii="Times New Roman" w:eastAsia="Times New Roman" w:hAnsi="Times New Roman"/>
          <w:spacing w:val="-2"/>
          <w:sz w:val="28"/>
          <w:szCs w:val="28"/>
        </w:rPr>
        <w:t>"</w:t>
      </w:r>
      <w:r w:rsidR="00191917" w:rsidRPr="002A34A7">
        <w:rPr>
          <w:rFonts w:ascii="Times New Roman" w:eastAsia="Times New Roman" w:hAnsi="Times New Roman"/>
          <w:spacing w:val="-2"/>
          <w:sz w:val="28"/>
          <w:szCs w:val="28"/>
        </w:rPr>
        <w:t xml:space="preserve"> 12</w:t>
      </w:r>
      <w:r w:rsidR="004F7361" w:rsidRPr="002A34A7">
        <w:rPr>
          <w:rFonts w:ascii="Times New Roman" w:eastAsia="Times New Roman" w:hAnsi="Times New Roman"/>
          <w:spacing w:val="-2"/>
          <w:sz w:val="28"/>
          <w:szCs w:val="28"/>
        </w:rPr>
        <w:t>. </w:t>
      </w:r>
      <w:r w:rsidR="00191917" w:rsidRPr="002A34A7">
        <w:rPr>
          <w:rFonts w:ascii="Times New Roman" w:eastAsia="Times New Roman" w:hAnsi="Times New Roman"/>
          <w:spacing w:val="-2"/>
          <w:sz w:val="28"/>
          <w:szCs w:val="28"/>
        </w:rPr>
        <w:t xml:space="preserve">panta trešajā daļā </w:t>
      </w:r>
      <w:r w:rsidR="002151DA" w:rsidRPr="002A34A7">
        <w:rPr>
          <w:rFonts w:ascii="Times New Roman" w:eastAsia="Times New Roman" w:hAnsi="Times New Roman"/>
          <w:spacing w:val="-2"/>
          <w:sz w:val="28"/>
          <w:szCs w:val="28"/>
        </w:rPr>
        <w:t xml:space="preserve">noteiktā </w:t>
      </w:r>
      <w:r w:rsidR="00191917" w:rsidRPr="002A34A7">
        <w:rPr>
          <w:rFonts w:ascii="Times New Roman" w:eastAsia="Times New Roman" w:hAnsi="Times New Roman"/>
          <w:spacing w:val="-2"/>
          <w:sz w:val="28"/>
          <w:szCs w:val="28"/>
        </w:rPr>
        <w:t>pašvaldību aizņēmumu palielinājuma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 150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000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000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191917" w:rsidRPr="002A34A7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 apmērā;</w:t>
      </w:r>
    </w:p>
    <w:p w14:paraId="49504123" w14:textId="59F7501B" w:rsidR="0069064F" w:rsidRPr="002A34A7" w:rsidRDefault="008100D7" w:rsidP="004F73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lk71378480"/>
      <w:r w:rsidRPr="002A34A7">
        <w:rPr>
          <w:rFonts w:ascii="Times New Roman" w:eastAsia="Times New Roman" w:hAnsi="Times New Roman"/>
          <w:sz w:val="28"/>
          <w:szCs w:val="28"/>
        </w:rPr>
        <w:t>1.2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 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>202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2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 xml:space="preserve">gadā </w:t>
      </w:r>
      <w:r w:rsidR="002151DA" w:rsidRPr="002A34A7">
        <w:rPr>
          <w:rFonts w:ascii="Times New Roman" w:hAnsi="Times New Roman"/>
          <w:sz w:val="28"/>
          <w:szCs w:val="28"/>
        </w:rPr>
        <w:t xml:space="preserve">– </w:t>
      </w:r>
      <w:r w:rsidR="00644AC9" w:rsidRPr="002A34A7">
        <w:rPr>
          <w:rFonts w:ascii="Times New Roman" w:eastAsia="Times New Roman" w:hAnsi="Times New Roman"/>
          <w:sz w:val="28"/>
          <w:szCs w:val="28"/>
        </w:rPr>
        <w:t>5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644AC9" w:rsidRPr="002A34A7">
        <w:rPr>
          <w:rFonts w:ascii="Times New Roman" w:eastAsia="Times New Roman" w:hAnsi="Times New Roman"/>
          <w:sz w:val="28"/>
          <w:szCs w:val="28"/>
        </w:rPr>
        <w:t>62</w:t>
      </w:r>
      <w:r w:rsidR="00BF0C83" w:rsidRPr="002A34A7">
        <w:rPr>
          <w:rFonts w:ascii="Times New Roman" w:eastAsia="Times New Roman" w:hAnsi="Times New Roman"/>
          <w:sz w:val="28"/>
          <w:szCs w:val="28"/>
        </w:rPr>
        <w:t>0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644AC9" w:rsidRPr="002A34A7">
        <w:rPr>
          <w:rFonts w:ascii="Times New Roman" w:eastAsia="Times New Roman" w:hAnsi="Times New Roman"/>
          <w:sz w:val="28"/>
          <w:szCs w:val="28"/>
        </w:rPr>
        <w:t>109,80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640C3A" w:rsidRPr="002A34A7">
        <w:rPr>
          <w:rFonts w:ascii="Times New Roman" w:eastAsia="Times New Roman" w:hAnsi="Times New Roman"/>
          <w:i/>
          <w:sz w:val="28"/>
          <w:szCs w:val="28"/>
        </w:rPr>
        <w:t>euro</w:t>
      </w:r>
      <w:r w:rsidR="00640C3A" w:rsidRPr="002A34A7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 no likuma </w:t>
      </w:r>
      <w:r w:rsidR="00943516" w:rsidRPr="002A34A7">
        <w:rPr>
          <w:rFonts w:ascii="Times New Roman" w:eastAsia="Times New Roman" w:hAnsi="Times New Roman"/>
          <w:sz w:val="28"/>
          <w:szCs w:val="28"/>
        </w:rPr>
        <w:t>"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Par vidēja termiņa budžeta ietvaru 2021., 2022. un 2023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gadam</w:t>
      </w:r>
      <w:r w:rsidR="00943516" w:rsidRPr="002A34A7">
        <w:rPr>
          <w:rFonts w:ascii="Times New Roman" w:eastAsia="Times New Roman" w:hAnsi="Times New Roman"/>
          <w:sz w:val="28"/>
          <w:szCs w:val="28"/>
        </w:rPr>
        <w:t>"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 14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pantā noteiktā pašvaldību </w:t>
      </w:r>
      <w:r w:rsidR="00700ECE" w:rsidRPr="002A34A7">
        <w:rPr>
          <w:rFonts w:ascii="Times New Roman" w:eastAsia="Times New Roman" w:hAnsi="Times New Roman"/>
          <w:sz w:val="28"/>
          <w:szCs w:val="28"/>
        </w:rPr>
        <w:t xml:space="preserve">kopējā 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aizņēmumu palielinājuma 118 138 258 </w:t>
      </w:r>
      <w:r w:rsidR="00191917" w:rsidRPr="002A34A7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 apmērā;</w:t>
      </w:r>
    </w:p>
    <w:bookmarkEnd w:id="1"/>
    <w:p w14:paraId="2EEE41C3" w14:textId="45ECA1EC" w:rsidR="00191917" w:rsidRPr="002A34A7" w:rsidRDefault="00191917" w:rsidP="004F73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A34A7">
        <w:rPr>
          <w:rFonts w:ascii="Times New Roman" w:eastAsia="Times New Roman" w:hAnsi="Times New Roman"/>
          <w:sz w:val="28"/>
          <w:szCs w:val="28"/>
        </w:rPr>
        <w:t>1.3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 </w:t>
      </w:r>
      <w:r w:rsidRPr="002A34A7">
        <w:rPr>
          <w:rFonts w:ascii="Times New Roman" w:eastAsia="Times New Roman" w:hAnsi="Times New Roman"/>
          <w:sz w:val="28"/>
          <w:szCs w:val="28"/>
        </w:rPr>
        <w:t>2023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Pr="002A34A7">
        <w:rPr>
          <w:rFonts w:ascii="Times New Roman" w:eastAsia="Times New Roman" w:hAnsi="Times New Roman"/>
          <w:sz w:val="28"/>
          <w:szCs w:val="28"/>
        </w:rPr>
        <w:t xml:space="preserve">gadā </w:t>
      </w:r>
      <w:r w:rsidR="002151DA" w:rsidRPr="002A34A7">
        <w:rPr>
          <w:rFonts w:ascii="Times New Roman" w:hAnsi="Times New Roman"/>
          <w:sz w:val="28"/>
          <w:szCs w:val="28"/>
        </w:rPr>
        <w:t xml:space="preserve">– </w:t>
      </w:r>
      <w:r w:rsidR="00644AC9" w:rsidRPr="002A34A7">
        <w:rPr>
          <w:rFonts w:ascii="Times New Roman" w:eastAsia="Times New Roman" w:hAnsi="Times New Roman"/>
          <w:sz w:val="28"/>
          <w:szCs w:val="28"/>
        </w:rPr>
        <w:t>1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644AC9" w:rsidRPr="002A34A7">
        <w:rPr>
          <w:rFonts w:ascii="Times New Roman" w:eastAsia="Times New Roman" w:hAnsi="Times New Roman"/>
          <w:sz w:val="28"/>
          <w:szCs w:val="28"/>
        </w:rPr>
        <w:t>626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="00644AC9" w:rsidRPr="002A34A7">
        <w:rPr>
          <w:rFonts w:ascii="Times New Roman" w:eastAsia="Times New Roman" w:hAnsi="Times New Roman"/>
          <w:sz w:val="28"/>
          <w:szCs w:val="28"/>
        </w:rPr>
        <w:t>412,80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Pr="002A34A7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r w:rsidRPr="002A34A7">
        <w:rPr>
          <w:rFonts w:ascii="Times New Roman" w:eastAsia="Times New Roman" w:hAnsi="Times New Roman"/>
          <w:sz w:val="28"/>
          <w:szCs w:val="28"/>
        </w:rPr>
        <w:t xml:space="preserve"> apmērā no likuma </w:t>
      </w:r>
      <w:r w:rsidR="00943516" w:rsidRPr="002A34A7">
        <w:rPr>
          <w:rFonts w:ascii="Times New Roman" w:eastAsia="Times New Roman" w:hAnsi="Times New Roman"/>
          <w:sz w:val="28"/>
          <w:szCs w:val="28"/>
        </w:rPr>
        <w:t>"</w:t>
      </w:r>
      <w:r w:rsidRPr="002A34A7">
        <w:rPr>
          <w:rFonts w:ascii="Times New Roman" w:eastAsia="Times New Roman" w:hAnsi="Times New Roman"/>
          <w:sz w:val="28"/>
          <w:szCs w:val="28"/>
        </w:rPr>
        <w:t>Par vidēja termiņa budžeta ietvaru 2021., 2022. un 2023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Pr="002A34A7">
        <w:rPr>
          <w:rFonts w:ascii="Times New Roman" w:eastAsia="Times New Roman" w:hAnsi="Times New Roman"/>
          <w:sz w:val="28"/>
          <w:szCs w:val="28"/>
        </w:rPr>
        <w:t>gadam</w:t>
      </w:r>
      <w:r w:rsidR="00943516" w:rsidRPr="002A34A7">
        <w:rPr>
          <w:rFonts w:ascii="Times New Roman" w:eastAsia="Times New Roman" w:hAnsi="Times New Roman"/>
          <w:sz w:val="28"/>
          <w:szCs w:val="28"/>
        </w:rPr>
        <w:t>"</w:t>
      </w:r>
      <w:r w:rsidRPr="002A34A7">
        <w:rPr>
          <w:rFonts w:ascii="Times New Roman" w:eastAsia="Times New Roman" w:hAnsi="Times New Roman"/>
          <w:sz w:val="28"/>
          <w:szCs w:val="28"/>
        </w:rPr>
        <w:t xml:space="preserve"> 14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Pr="002A34A7">
        <w:rPr>
          <w:rFonts w:ascii="Times New Roman" w:eastAsia="Times New Roman" w:hAnsi="Times New Roman"/>
          <w:sz w:val="28"/>
          <w:szCs w:val="28"/>
        </w:rPr>
        <w:t xml:space="preserve">pantā noteiktā pašvaldību </w:t>
      </w:r>
      <w:r w:rsidR="00700ECE" w:rsidRPr="002A34A7">
        <w:rPr>
          <w:rFonts w:ascii="Times New Roman" w:eastAsia="Times New Roman" w:hAnsi="Times New Roman"/>
          <w:sz w:val="28"/>
          <w:szCs w:val="28"/>
        </w:rPr>
        <w:t xml:space="preserve">kopējā </w:t>
      </w:r>
      <w:r w:rsidRPr="002A34A7">
        <w:rPr>
          <w:rFonts w:ascii="Times New Roman" w:eastAsia="Times New Roman" w:hAnsi="Times New Roman"/>
          <w:sz w:val="28"/>
          <w:szCs w:val="28"/>
        </w:rPr>
        <w:t>aizņēmumu palielinājuma 118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Pr="002A34A7">
        <w:rPr>
          <w:rFonts w:ascii="Times New Roman" w:eastAsia="Times New Roman" w:hAnsi="Times New Roman"/>
          <w:sz w:val="28"/>
          <w:szCs w:val="28"/>
        </w:rPr>
        <w:t>138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Pr="002A34A7">
        <w:rPr>
          <w:rFonts w:ascii="Times New Roman" w:eastAsia="Times New Roman" w:hAnsi="Times New Roman"/>
          <w:sz w:val="28"/>
          <w:szCs w:val="28"/>
        </w:rPr>
        <w:t>258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 </w:t>
      </w:r>
      <w:r w:rsidRPr="002A34A7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r w:rsidRPr="002A34A7">
        <w:rPr>
          <w:rFonts w:ascii="Times New Roman" w:eastAsia="Times New Roman" w:hAnsi="Times New Roman"/>
          <w:sz w:val="28"/>
          <w:szCs w:val="28"/>
        </w:rPr>
        <w:t xml:space="preserve"> apmērā.</w:t>
      </w:r>
    </w:p>
    <w:p w14:paraId="00C6221C" w14:textId="77777777" w:rsidR="00943516" w:rsidRPr="002A34A7" w:rsidRDefault="00943516" w:rsidP="004F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D4B6E2" w14:textId="4C1707E5" w:rsidR="00BE4C6D" w:rsidRPr="002A34A7" w:rsidRDefault="00943516" w:rsidP="004F736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A34A7">
        <w:rPr>
          <w:rFonts w:ascii="Times New Roman" w:hAnsi="Times New Roman"/>
          <w:sz w:val="28"/>
          <w:szCs w:val="28"/>
        </w:rPr>
        <w:t>2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Jautājumu par pašvaldību kopējā aizņēmumu limita palielināšanas iespējām 2022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gadā un 2023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gadā skatīt likumprojekta </w:t>
      </w:r>
      <w:r w:rsidRPr="002A34A7">
        <w:rPr>
          <w:rFonts w:ascii="Times New Roman" w:eastAsia="Times New Roman" w:hAnsi="Times New Roman"/>
          <w:sz w:val="28"/>
          <w:szCs w:val="28"/>
        </w:rPr>
        <w:t>"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Par valsts budžetu 2022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gadam</w:t>
      </w:r>
      <w:r w:rsidRPr="002A34A7">
        <w:rPr>
          <w:rFonts w:ascii="Times New Roman" w:eastAsia="Times New Roman" w:hAnsi="Times New Roman"/>
          <w:sz w:val="28"/>
          <w:szCs w:val="28"/>
        </w:rPr>
        <w:t>"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 un likumprojekta </w:t>
      </w:r>
      <w:r w:rsidRPr="002A34A7">
        <w:rPr>
          <w:rFonts w:ascii="Times New Roman" w:eastAsia="Times New Roman" w:hAnsi="Times New Roman"/>
          <w:sz w:val="28"/>
          <w:szCs w:val="28"/>
        </w:rPr>
        <w:t>"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Par vidēja termiņa budžeta ietvaru 2022., 2023. un 2024</w:t>
      </w:r>
      <w:r w:rsidR="004F7361" w:rsidRPr="002A34A7">
        <w:rPr>
          <w:rFonts w:ascii="Times New Roman" w:eastAsia="Times New Roman" w:hAnsi="Times New Roman"/>
          <w:sz w:val="28"/>
          <w:szCs w:val="28"/>
        </w:rPr>
        <w:t>. 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>gadam</w:t>
      </w:r>
      <w:r w:rsidRPr="002A34A7">
        <w:rPr>
          <w:rFonts w:ascii="Times New Roman" w:eastAsia="Times New Roman" w:hAnsi="Times New Roman"/>
          <w:sz w:val="28"/>
          <w:szCs w:val="28"/>
        </w:rPr>
        <w:t>"</w:t>
      </w:r>
      <w:r w:rsidR="00191917" w:rsidRPr="002A34A7">
        <w:rPr>
          <w:rFonts w:ascii="Times New Roman" w:eastAsia="Times New Roman" w:hAnsi="Times New Roman"/>
          <w:sz w:val="28"/>
          <w:szCs w:val="28"/>
        </w:rPr>
        <w:t xml:space="preserve"> izstrādes procesā.</w:t>
      </w:r>
    </w:p>
    <w:p w14:paraId="35E6F730" w14:textId="77777777" w:rsidR="00EB031F" w:rsidRPr="002A34A7" w:rsidRDefault="00EB031F" w:rsidP="004F7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A5AB4D" w14:textId="77777777" w:rsidR="00EB031F" w:rsidRPr="002A34A7" w:rsidRDefault="00EB031F" w:rsidP="004F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A99207" w14:textId="77777777" w:rsidR="00EB031F" w:rsidRPr="002A34A7" w:rsidRDefault="00EB031F" w:rsidP="004F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253BD22" w14:textId="77777777" w:rsidR="00EB031F" w:rsidRPr="002A34A7" w:rsidRDefault="00EB031F" w:rsidP="004F7361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34A7">
        <w:rPr>
          <w:rFonts w:ascii="Times New Roman" w:hAnsi="Times New Roman"/>
          <w:sz w:val="28"/>
          <w:szCs w:val="28"/>
        </w:rPr>
        <w:t>Ministru prezidents</w:t>
      </w:r>
      <w:r w:rsidRPr="002A34A7">
        <w:rPr>
          <w:rFonts w:ascii="Times New Roman" w:hAnsi="Times New Roman"/>
          <w:sz w:val="28"/>
          <w:szCs w:val="28"/>
        </w:rPr>
        <w:tab/>
        <w:t xml:space="preserve">A. K. Kariņš </w:t>
      </w:r>
    </w:p>
    <w:p w14:paraId="518B89BB" w14:textId="77777777" w:rsidR="00EB031F" w:rsidRPr="002A34A7" w:rsidRDefault="00EB031F" w:rsidP="004F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12FB69A" w14:textId="77777777" w:rsidR="00EB031F" w:rsidRPr="002A34A7" w:rsidRDefault="00EB031F" w:rsidP="004F73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E7D32D2" w14:textId="77777777" w:rsidR="00EB031F" w:rsidRPr="002A34A7" w:rsidRDefault="00EB031F" w:rsidP="004F7361">
      <w:pPr>
        <w:pStyle w:val="Header"/>
        <w:tabs>
          <w:tab w:val="clear" w:pos="4153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4138C50" w14:textId="77777777" w:rsidR="00EB031F" w:rsidRPr="002A34A7" w:rsidRDefault="00EB031F" w:rsidP="004F7361">
      <w:pPr>
        <w:pStyle w:val="Header"/>
        <w:tabs>
          <w:tab w:val="clear" w:pos="415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A34A7">
        <w:rPr>
          <w:rFonts w:ascii="Times New Roman" w:hAnsi="Times New Roman"/>
          <w:sz w:val="28"/>
          <w:szCs w:val="28"/>
        </w:rPr>
        <w:t>Vides aizsardzības un</w:t>
      </w:r>
    </w:p>
    <w:p w14:paraId="6CFAB3B9" w14:textId="77777777" w:rsidR="00EB031F" w:rsidRPr="002A34A7" w:rsidRDefault="00EB031F" w:rsidP="004F7361">
      <w:pPr>
        <w:pStyle w:val="Header"/>
        <w:tabs>
          <w:tab w:val="clear" w:pos="4153"/>
          <w:tab w:val="left" w:pos="652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A34A7">
        <w:rPr>
          <w:rFonts w:ascii="Times New Roman" w:hAnsi="Times New Roman"/>
          <w:sz w:val="28"/>
          <w:szCs w:val="28"/>
        </w:rPr>
        <w:t>reģionālās attīstības ministrs</w:t>
      </w:r>
      <w:r w:rsidRPr="002A34A7">
        <w:rPr>
          <w:rFonts w:ascii="Times New Roman" w:hAnsi="Times New Roman"/>
          <w:sz w:val="28"/>
          <w:szCs w:val="28"/>
        </w:rPr>
        <w:tab/>
        <w:t>A. T. Plešs</w:t>
      </w:r>
    </w:p>
    <w:sectPr w:rsidR="00EB031F" w:rsidRPr="002A34A7" w:rsidSect="00EB031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F049" w14:textId="77777777" w:rsidR="008844EA" w:rsidRDefault="008844EA">
      <w:r>
        <w:separator/>
      </w:r>
    </w:p>
  </w:endnote>
  <w:endnote w:type="continuationSeparator" w:id="0">
    <w:p w14:paraId="296E2261" w14:textId="77777777" w:rsidR="008844EA" w:rsidRDefault="008844EA">
      <w:r>
        <w:continuationSeparator/>
      </w:r>
    </w:p>
  </w:endnote>
  <w:endnote w:type="continuationNotice" w:id="1">
    <w:p w14:paraId="34F1EBDC" w14:textId="77777777" w:rsidR="008844EA" w:rsidRDefault="008844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Cambria"/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DB70" w14:textId="6791F195" w:rsidR="00B30BF2" w:rsidRPr="001A0C11" w:rsidRDefault="00B30BF2" w:rsidP="001A0C11">
    <w:pPr>
      <w:pStyle w:val="NoSpacing"/>
      <w:jc w:val="both"/>
      <w:rPr>
        <w:sz w:val="20"/>
        <w:szCs w:val="20"/>
        <w:lang w:val="lv-LV"/>
      </w:rPr>
    </w:pPr>
    <w:r w:rsidRPr="001529F5">
      <w:rPr>
        <w:sz w:val="20"/>
        <w:szCs w:val="20"/>
        <w:lang w:val="lv-LV"/>
      </w:rPr>
      <w:t>M</w:t>
    </w:r>
    <w:r>
      <w:rPr>
        <w:sz w:val="20"/>
        <w:szCs w:val="20"/>
        <w:lang w:val="lv-LV"/>
      </w:rPr>
      <w:t>KRik_0309</w:t>
    </w:r>
    <w:r w:rsidRPr="001529F5">
      <w:rPr>
        <w:sz w:val="20"/>
        <w:szCs w:val="20"/>
        <w:lang w:val="lv-LV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7BEC" w14:textId="19FD72A1" w:rsidR="00EB031F" w:rsidRPr="00EB031F" w:rsidRDefault="00EB031F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R1215_1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CFECC" w14:textId="77777777" w:rsidR="008844EA" w:rsidRDefault="008844EA">
      <w:r>
        <w:separator/>
      </w:r>
    </w:p>
  </w:footnote>
  <w:footnote w:type="continuationSeparator" w:id="0">
    <w:p w14:paraId="39A12A85" w14:textId="77777777" w:rsidR="008844EA" w:rsidRDefault="008844EA">
      <w:r>
        <w:continuationSeparator/>
      </w:r>
    </w:p>
  </w:footnote>
  <w:footnote w:type="continuationNotice" w:id="1">
    <w:p w14:paraId="620FC4EE" w14:textId="77777777" w:rsidR="008844EA" w:rsidRDefault="008844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B30BF2" w:rsidRDefault="00B30BF2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B30BF2" w:rsidRDefault="00B30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B30BF2" w:rsidRPr="00E94597" w:rsidRDefault="00B30BF2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0E27B00A" w14:textId="77777777" w:rsidR="00B30BF2" w:rsidRPr="003F743C" w:rsidRDefault="00B30BF2">
    <w:pPr>
      <w:pStyle w:val="Header"/>
      <w:jc w:val="center"/>
      <w:rPr>
        <w:rFonts w:ascii="Times New Roman" w:hAnsi="Times New Roman"/>
        <w:sz w:val="24"/>
        <w:szCs w:val="24"/>
      </w:rPr>
    </w:pPr>
  </w:p>
  <w:p w14:paraId="60061E4C" w14:textId="77777777" w:rsidR="00B30BF2" w:rsidRDefault="00B30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0F94C965" w:rsidR="00B30BF2" w:rsidRDefault="00B30BF2" w:rsidP="00EB031F">
    <w:pPr>
      <w:pStyle w:val="Header"/>
      <w:rPr>
        <w:rFonts w:ascii="Times New Roman" w:hAnsi="Times New Roman"/>
        <w:sz w:val="24"/>
        <w:szCs w:val="24"/>
      </w:rPr>
    </w:pPr>
  </w:p>
  <w:p w14:paraId="32650077" w14:textId="77777777" w:rsidR="00EB031F" w:rsidRDefault="00EB031F">
    <w:pPr>
      <w:pStyle w:val="Header"/>
    </w:pPr>
    <w:r>
      <w:rPr>
        <w:noProof/>
      </w:rPr>
      <w:drawing>
        <wp:inline distT="0" distB="0" distL="0" distR="0" wp14:anchorId="67CF936B" wp14:editId="215766E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6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7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05D20"/>
    <w:rsid w:val="00013404"/>
    <w:rsid w:val="00014D61"/>
    <w:rsid w:val="0002121B"/>
    <w:rsid w:val="000328C3"/>
    <w:rsid w:val="000402AD"/>
    <w:rsid w:val="00072DC4"/>
    <w:rsid w:val="00090240"/>
    <w:rsid w:val="000931B6"/>
    <w:rsid w:val="000A7DF9"/>
    <w:rsid w:val="000C05A4"/>
    <w:rsid w:val="000C35E5"/>
    <w:rsid w:val="000C3EB4"/>
    <w:rsid w:val="000D5268"/>
    <w:rsid w:val="001033CA"/>
    <w:rsid w:val="001240C1"/>
    <w:rsid w:val="001529F5"/>
    <w:rsid w:val="00154024"/>
    <w:rsid w:val="001744E2"/>
    <w:rsid w:val="00191917"/>
    <w:rsid w:val="001A0C11"/>
    <w:rsid w:val="001C2C35"/>
    <w:rsid w:val="001D5543"/>
    <w:rsid w:val="001E3B4F"/>
    <w:rsid w:val="001E47C5"/>
    <w:rsid w:val="00201295"/>
    <w:rsid w:val="00204DCC"/>
    <w:rsid w:val="002151DA"/>
    <w:rsid w:val="00230F88"/>
    <w:rsid w:val="00240E94"/>
    <w:rsid w:val="00257E84"/>
    <w:rsid w:val="002632B3"/>
    <w:rsid w:val="00281594"/>
    <w:rsid w:val="00286503"/>
    <w:rsid w:val="002A34A7"/>
    <w:rsid w:val="002A62B9"/>
    <w:rsid w:val="002B1E57"/>
    <w:rsid w:val="002B730D"/>
    <w:rsid w:val="002C174B"/>
    <w:rsid w:val="00305E98"/>
    <w:rsid w:val="0030623F"/>
    <w:rsid w:val="00307BBF"/>
    <w:rsid w:val="003228E0"/>
    <w:rsid w:val="00331304"/>
    <w:rsid w:val="00350D33"/>
    <w:rsid w:val="00365CFD"/>
    <w:rsid w:val="003723C8"/>
    <w:rsid w:val="003A0E25"/>
    <w:rsid w:val="003C345D"/>
    <w:rsid w:val="003C401E"/>
    <w:rsid w:val="003F3B6D"/>
    <w:rsid w:val="004226BB"/>
    <w:rsid w:val="00423585"/>
    <w:rsid w:val="00461357"/>
    <w:rsid w:val="00464CE1"/>
    <w:rsid w:val="00473CF9"/>
    <w:rsid w:val="004758A8"/>
    <w:rsid w:val="004A3748"/>
    <w:rsid w:val="004C05C1"/>
    <w:rsid w:val="004C06C5"/>
    <w:rsid w:val="004C777D"/>
    <w:rsid w:val="004C789F"/>
    <w:rsid w:val="004D63B4"/>
    <w:rsid w:val="004F7361"/>
    <w:rsid w:val="005421CF"/>
    <w:rsid w:val="005454FB"/>
    <w:rsid w:val="005468D6"/>
    <w:rsid w:val="005552A4"/>
    <w:rsid w:val="005555A2"/>
    <w:rsid w:val="00561993"/>
    <w:rsid w:val="005B6727"/>
    <w:rsid w:val="005C7065"/>
    <w:rsid w:val="005D5AB9"/>
    <w:rsid w:val="006027E0"/>
    <w:rsid w:val="006137F9"/>
    <w:rsid w:val="00637442"/>
    <w:rsid w:val="00640C3A"/>
    <w:rsid w:val="00644AC9"/>
    <w:rsid w:val="00675F9A"/>
    <w:rsid w:val="00685DE5"/>
    <w:rsid w:val="0069064F"/>
    <w:rsid w:val="00691AD0"/>
    <w:rsid w:val="00692011"/>
    <w:rsid w:val="006C2DEE"/>
    <w:rsid w:val="006C5C1E"/>
    <w:rsid w:val="006E55CC"/>
    <w:rsid w:val="006F06DB"/>
    <w:rsid w:val="006F760C"/>
    <w:rsid w:val="00700ECE"/>
    <w:rsid w:val="00703267"/>
    <w:rsid w:val="00716F5D"/>
    <w:rsid w:val="0072169D"/>
    <w:rsid w:val="00727D24"/>
    <w:rsid w:val="00743998"/>
    <w:rsid w:val="007537C9"/>
    <w:rsid w:val="00761479"/>
    <w:rsid w:val="0078046D"/>
    <w:rsid w:val="0079227D"/>
    <w:rsid w:val="007F0423"/>
    <w:rsid w:val="007F5802"/>
    <w:rsid w:val="00800F1F"/>
    <w:rsid w:val="008100D7"/>
    <w:rsid w:val="00831F9F"/>
    <w:rsid w:val="00841AEC"/>
    <w:rsid w:val="008600B6"/>
    <w:rsid w:val="008844EA"/>
    <w:rsid w:val="0089439C"/>
    <w:rsid w:val="008B3009"/>
    <w:rsid w:val="008F0E9E"/>
    <w:rsid w:val="008F1652"/>
    <w:rsid w:val="00910320"/>
    <w:rsid w:val="00920E42"/>
    <w:rsid w:val="00930759"/>
    <w:rsid w:val="00931F10"/>
    <w:rsid w:val="009400F6"/>
    <w:rsid w:val="0094069E"/>
    <w:rsid w:val="00943516"/>
    <w:rsid w:val="00945288"/>
    <w:rsid w:val="009457AF"/>
    <w:rsid w:val="00953239"/>
    <w:rsid w:val="00967443"/>
    <w:rsid w:val="00980E5A"/>
    <w:rsid w:val="00997E98"/>
    <w:rsid w:val="009F773C"/>
    <w:rsid w:val="00A21AE8"/>
    <w:rsid w:val="00A44A64"/>
    <w:rsid w:val="00A771E3"/>
    <w:rsid w:val="00AE75BE"/>
    <w:rsid w:val="00B00317"/>
    <w:rsid w:val="00B0036E"/>
    <w:rsid w:val="00B01354"/>
    <w:rsid w:val="00B13422"/>
    <w:rsid w:val="00B20C46"/>
    <w:rsid w:val="00B25E36"/>
    <w:rsid w:val="00B27669"/>
    <w:rsid w:val="00B30BF2"/>
    <w:rsid w:val="00B54E90"/>
    <w:rsid w:val="00B5619C"/>
    <w:rsid w:val="00B80A00"/>
    <w:rsid w:val="00B96338"/>
    <w:rsid w:val="00BE4C6D"/>
    <w:rsid w:val="00BF0C83"/>
    <w:rsid w:val="00BF244A"/>
    <w:rsid w:val="00C104BF"/>
    <w:rsid w:val="00C14D4D"/>
    <w:rsid w:val="00C36DED"/>
    <w:rsid w:val="00C50CF3"/>
    <w:rsid w:val="00C52CD0"/>
    <w:rsid w:val="00C543EE"/>
    <w:rsid w:val="00C57AB2"/>
    <w:rsid w:val="00C608B5"/>
    <w:rsid w:val="00CA6674"/>
    <w:rsid w:val="00CF13FC"/>
    <w:rsid w:val="00D34CB9"/>
    <w:rsid w:val="00D71889"/>
    <w:rsid w:val="00D723EB"/>
    <w:rsid w:val="00D84F47"/>
    <w:rsid w:val="00D94F87"/>
    <w:rsid w:val="00DA5EB4"/>
    <w:rsid w:val="00DC072C"/>
    <w:rsid w:val="00DC3643"/>
    <w:rsid w:val="00DC7394"/>
    <w:rsid w:val="00DD5036"/>
    <w:rsid w:val="00DE6788"/>
    <w:rsid w:val="00DF3CD1"/>
    <w:rsid w:val="00E03F3E"/>
    <w:rsid w:val="00E632C2"/>
    <w:rsid w:val="00E643E8"/>
    <w:rsid w:val="00E94F69"/>
    <w:rsid w:val="00EA16E2"/>
    <w:rsid w:val="00EB031F"/>
    <w:rsid w:val="00ED25B1"/>
    <w:rsid w:val="00EE55DF"/>
    <w:rsid w:val="00EE6020"/>
    <w:rsid w:val="00F032B0"/>
    <w:rsid w:val="00F21BF0"/>
    <w:rsid w:val="00F32A66"/>
    <w:rsid w:val="00F448F6"/>
    <w:rsid w:val="00F77DE0"/>
    <w:rsid w:val="00F915B1"/>
    <w:rsid w:val="00FA4062"/>
    <w:rsid w:val="00FA6A07"/>
    <w:rsid w:val="00FB69C3"/>
    <w:rsid w:val="00FE55E1"/>
    <w:rsid w:val="00FE71E6"/>
    <w:rsid w:val="00FF0C95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A4133"/>
  <w15:chartTrackingRefBased/>
  <w15:docId w15:val="{11F67C88-A440-4111-8ADB-3D7B411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,Normal numbered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  <w:style w:type="paragraph" w:customStyle="1" w:styleId="xmsonormal">
    <w:name w:val="x_msonormal"/>
    <w:basedOn w:val="Normal"/>
    <w:rsid w:val="00191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333C-F9C7-4366-9854-93DA906A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atbalstītajiem pašvaldību investīciju projektiem jaunas pirmsskolas izglītības iestādes būvniecībai vai esošas pirmsskolas izglītības iestādes paplašināšanai, kuriem piešķirams valsts budžeta aizdevums</vt:lpstr>
    </vt:vector>
  </TitlesOfParts>
  <Company>Vides aizsardzības un reģionālās attīstības ministrija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atbalstītajiem pašvaldību investīciju projektiem jaunas pirmsskolas izglītības iestādes būvniecībai vai esošas pirmsskolas izglītības iestādes paplašināšanai, kuriem piešķirams valsts budžeta aizdevums</dc:title>
  <dc:subject>Ministru kabineta rīkojums</dc:subject>
  <dc:creator>Jānis Ilgavižs</dc:creator>
  <cp:keywords/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Leontine Babkina</cp:lastModifiedBy>
  <cp:revision>14</cp:revision>
  <dcterms:created xsi:type="dcterms:W3CDTF">2021-05-25T09:23:00Z</dcterms:created>
  <dcterms:modified xsi:type="dcterms:W3CDTF">2021-06-03T08:05:00Z</dcterms:modified>
  <cp:category>Reģionālā politika</cp:category>
</cp:coreProperties>
</file>