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3B45" w:rsidR="006D6FD0" w:rsidP="006D6FD0" w:rsidRDefault="00C80C53" w14:paraId="265ADA71" w14:textId="0803E40D">
      <w:pPr>
        <w:bidi/>
        <w:jc w:val="center"/>
        <w:rPr>
          <w:bCs/>
          <w:sz w:val="28"/>
          <w:szCs w:val="28"/>
        </w:rPr>
      </w:pPr>
      <w:r w:rsidRPr="00723B45">
        <w:rPr>
          <w:rFonts w:hint="cs"/>
          <w:bCs/>
          <w:sz w:val="28"/>
          <w:szCs w:val="28"/>
          <w:rtl/>
        </w:rPr>
        <w:t>Informatīvais ziņojums</w:t>
      </w:r>
    </w:p>
    <w:p w:rsidRPr="00723B45" w:rsidR="006D6FD0" w:rsidP="006D6FD0" w:rsidRDefault="00C80C53" w14:paraId="067AEC22" w14:textId="4549688D">
      <w:pPr>
        <w:jc w:val="center"/>
        <w:rPr>
          <w:b/>
          <w:sz w:val="28"/>
          <w:szCs w:val="28"/>
        </w:rPr>
      </w:pPr>
      <w:bookmarkStart w:name="_Hlk524000675" w:id="0"/>
      <w:r w:rsidRPr="00723B45">
        <w:rPr>
          <w:b/>
          <w:sz w:val="28"/>
          <w:szCs w:val="28"/>
        </w:rPr>
        <w:t>“</w:t>
      </w:r>
      <w:r w:rsidRPr="00723B45" w:rsidR="006D6FD0">
        <w:rPr>
          <w:b/>
          <w:sz w:val="28"/>
          <w:szCs w:val="28"/>
        </w:rPr>
        <w:t xml:space="preserve">Par nepieciešamo papildu finansējumu sabiedriskā transporta pakalpojumu </w:t>
      </w:r>
      <w:r w:rsidRPr="00723B45" w:rsidR="001935CB">
        <w:rPr>
          <w:b/>
          <w:sz w:val="28"/>
          <w:szCs w:val="28"/>
        </w:rPr>
        <w:t>sniegšan</w:t>
      </w:r>
      <w:r w:rsidRPr="00723B45" w:rsidR="00723B45">
        <w:rPr>
          <w:b/>
          <w:sz w:val="28"/>
          <w:szCs w:val="28"/>
        </w:rPr>
        <w:t>ai</w:t>
      </w:r>
      <w:r w:rsidRPr="00723B45" w:rsidR="001935CB">
        <w:rPr>
          <w:b/>
          <w:sz w:val="28"/>
          <w:szCs w:val="28"/>
        </w:rPr>
        <w:t xml:space="preserve"> </w:t>
      </w:r>
      <w:r w:rsidRPr="00723B45" w:rsidR="006D6FD0">
        <w:rPr>
          <w:b/>
          <w:sz w:val="28"/>
          <w:szCs w:val="28"/>
        </w:rPr>
        <w:t>202</w:t>
      </w:r>
      <w:r w:rsidRPr="00723B45" w:rsidR="00723B45">
        <w:rPr>
          <w:b/>
          <w:sz w:val="28"/>
          <w:szCs w:val="28"/>
        </w:rPr>
        <w:t>1</w:t>
      </w:r>
      <w:r w:rsidRPr="00723B45" w:rsidR="006D6FD0">
        <w:rPr>
          <w:b/>
          <w:sz w:val="28"/>
          <w:szCs w:val="28"/>
        </w:rPr>
        <w:t>.gadā</w:t>
      </w:r>
      <w:r w:rsidRPr="00723B45">
        <w:rPr>
          <w:b/>
          <w:sz w:val="28"/>
          <w:szCs w:val="28"/>
        </w:rPr>
        <w:t>”</w:t>
      </w:r>
    </w:p>
    <w:p w:rsidRPr="00570EB2" w:rsidR="006D6FD0" w:rsidP="006D6FD0" w:rsidRDefault="006D6FD0" w14:paraId="34C187FA" w14:textId="77777777">
      <w:pPr>
        <w:jc w:val="center"/>
        <w:rPr>
          <w:b/>
          <w:sz w:val="26"/>
          <w:szCs w:val="26"/>
        </w:rPr>
      </w:pPr>
    </w:p>
    <w:bookmarkEnd w:id="0"/>
    <w:p w:rsidRPr="00851FA2" w:rsidR="004A05BC" w:rsidP="004A05BC" w:rsidRDefault="006D6FD0" w14:paraId="5BD4AAD4" w14:textId="127BF6F0">
      <w:pPr>
        <w:ind w:firstLine="709"/>
        <w:jc w:val="both"/>
        <w:rPr>
          <w:sz w:val="28"/>
          <w:szCs w:val="28"/>
        </w:rPr>
      </w:pPr>
      <w:r w:rsidRPr="00851FA2">
        <w:rPr>
          <w:sz w:val="28"/>
          <w:szCs w:val="28"/>
        </w:rPr>
        <w:t>Lai atbilstoši Sabiedriskā transporta pakalpojumu likumā noteiktajam nodrošinātu iedzīvotājiem pieejamus sabiedriskā transporta pakalpojumus, VSIA “Autotransporta direkcija” (turpmāk – Autotransporta direkcija) organizē sabiedriskā transporta pakalpojumus reģionālās nozīmes maršrutos, kā arī nodrošina sabiedriskajam transportam no valsts budžeta iedalīto finanšu līdzekļu administrēšanu un piešķiršanu sabiedriskā transporta pakalpojumu sniedzējiem (20</w:t>
      </w:r>
      <w:r w:rsidRPr="00851FA2" w:rsidR="00252BAD">
        <w:rPr>
          <w:sz w:val="28"/>
          <w:szCs w:val="28"/>
        </w:rPr>
        <w:t>20</w:t>
      </w:r>
      <w:r w:rsidRPr="00851FA2">
        <w:rPr>
          <w:sz w:val="28"/>
          <w:szCs w:val="28"/>
        </w:rPr>
        <w:t>.gadā darbojas 2</w:t>
      </w:r>
      <w:r w:rsidRPr="00851FA2" w:rsidR="00252BAD">
        <w:rPr>
          <w:sz w:val="28"/>
          <w:szCs w:val="28"/>
        </w:rPr>
        <w:t>6</w:t>
      </w:r>
      <w:r w:rsidRPr="00851FA2">
        <w:rPr>
          <w:sz w:val="28"/>
          <w:szCs w:val="28"/>
        </w:rPr>
        <w:t xml:space="preserve"> pārvadātāji, ar kuriem noslēgti 5</w:t>
      </w:r>
      <w:r w:rsidRPr="00851FA2" w:rsidR="00252BAD">
        <w:rPr>
          <w:sz w:val="28"/>
          <w:szCs w:val="28"/>
        </w:rPr>
        <w:t>2</w:t>
      </w:r>
      <w:r w:rsidRPr="00851FA2">
        <w:rPr>
          <w:sz w:val="28"/>
          <w:szCs w:val="28"/>
        </w:rPr>
        <w:t xml:space="preserve"> līgumi par pasažieru pārvadājumiem ar autobusiem, un divi pārvadātāji, kas veic pasažieru pārvadājumus pa dzelzceļu) un republikas pilsētu pašvaldībām par pārvadājumiem, kas ir ārpus pilsētas administratīvās teritorijas, ja maršruta daļa ir vairāk kā 30% no kopējā maršruta garuma, un par personām ar invaliditāti pārvadāšanu. </w:t>
      </w:r>
      <w:r w:rsidRPr="00851FA2" w:rsidR="00B67B42">
        <w:rPr>
          <w:sz w:val="28"/>
          <w:szCs w:val="28"/>
        </w:rPr>
        <w:t>A</w:t>
      </w:r>
      <w:r w:rsidRPr="00851FA2" w:rsidR="004A05BC">
        <w:rPr>
          <w:sz w:val="28"/>
          <w:szCs w:val="28"/>
        </w:rPr>
        <w:t>tbilstoši Sabiedriskā transporta pakalpojumu likumā noteiktajam iedzīvotājiem pieejam</w:t>
      </w:r>
      <w:r w:rsidRPr="00851FA2" w:rsidR="00B67B42">
        <w:rPr>
          <w:sz w:val="28"/>
          <w:szCs w:val="28"/>
        </w:rPr>
        <w:t>i</w:t>
      </w:r>
      <w:r w:rsidRPr="00851FA2" w:rsidR="004A05BC">
        <w:rPr>
          <w:sz w:val="28"/>
          <w:szCs w:val="28"/>
        </w:rPr>
        <w:t xml:space="preserve"> </w:t>
      </w:r>
      <w:r w:rsidRPr="00851FA2" w:rsidR="004F312D">
        <w:rPr>
          <w:sz w:val="28"/>
          <w:szCs w:val="28"/>
        </w:rPr>
        <w:t>un iedzīvotāju pieprasījumam atbilstoš</w:t>
      </w:r>
      <w:r w:rsidRPr="00851FA2" w:rsidR="00B67B42">
        <w:rPr>
          <w:sz w:val="28"/>
          <w:szCs w:val="28"/>
        </w:rPr>
        <w:t>i</w:t>
      </w:r>
      <w:r w:rsidRPr="00851FA2" w:rsidR="004F312D">
        <w:rPr>
          <w:sz w:val="28"/>
          <w:szCs w:val="28"/>
        </w:rPr>
        <w:t xml:space="preserve"> </w:t>
      </w:r>
      <w:r w:rsidRPr="00851FA2" w:rsidR="004A05BC">
        <w:rPr>
          <w:sz w:val="28"/>
          <w:szCs w:val="28"/>
        </w:rPr>
        <w:t>sabiedriskā transporta pakalpojum</w:t>
      </w:r>
      <w:r w:rsidRPr="00851FA2" w:rsidR="00B67B42">
        <w:rPr>
          <w:sz w:val="28"/>
          <w:szCs w:val="28"/>
        </w:rPr>
        <w:t xml:space="preserve">i tiek sniegti </w:t>
      </w:r>
      <w:r w:rsidRPr="00851FA2" w:rsidR="004A05BC">
        <w:rPr>
          <w:sz w:val="28"/>
          <w:szCs w:val="28"/>
        </w:rPr>
        <w:t>reģionālās nozīmes maršrutu tīkl</w:t>
      </w:r>
      <w:r w:rsidRPr="00851FA2" w:rsidR="00B67B42">
        <w:rPr>
          <w:sz w:val="28"/>
          <w:szCs w:val="28"/>
        </w:rPr>
        <w:t>ā</w:t>
      </w:r>
      <w:r w:rsidRPr="00851FA2" w:rsidR="004A05BC">
        <w:rPr>
          <w:sz w:val="28"/>
          <w:szCs w:val="28"/>
        </w:rPr>
        <w:t>, k</w:t>
      </w:r>
      <w:r w:rsidRPr="00851FA2" w:rsidR="00B67B42">
        <w:rPr>
          <w:sz w:val="28"/>
          <w:szCs w:val="28"/>
        </w:rPr>
        <w:t xml:space="preserve">ura </w:t>
      </w:r>
      <w:r w:rsidRPr="00723B45" w:rsidR="00B67B42">
        <w:rPr>
          <w:sz w:val="28"/>
          <w:szCs w:val="28"/>
        </w:rPr>
        <w:t>apjoms</w:t>
      </w:r>
      <w:r w:rsidRPr="00723B45" w:rsidR="004A05BC">
        <w:rPr>
          <w:sz w:val="28"/>
          <w:szCs w:val="28"/>
        </w:rPr>
        <w:t xml:space="preserve"> 2020.gadā </w:t>
      </w:r>
      <w:r w:rsidRPr="00723B45" w:rsidR="00851FA2">
        <w:rPr>
          <w:sz w:val="28"/>
          <w:szCs w:val="28"/>
        </w:rPr>
        <w:t>bija</w:t>
      </w:r>
      <w:r w:rsidRPr="00723B45" w:rsidR="00B67B42">
        <w:rPr>
          <w:sz w:val="28"/>
          <w:szCs w:val="28"/>
        </w:rPr>
        <w:t xml:space="preserve"> </w:t>
      </w:r>
      <w:r w:rsidRPr="00723B45" w:rsidR="007C7546">
        <w:rPr>
          <w:sz w:val="28"/>
          <w:szCs w:val="28"/>
        </w:rPr>
        <w:t xml:space="preserve">paredzēts </w:t>
      </w:r>
      <w:r w:rsidRPr="00723B45" w:rsidR="002C50E3">
        <w:rPr>
          <w:sz w:val="28"/>
          <w:szCs w:val="28"/>
        </w:rPr>
        <w:t>84,74</w:t>
      </w:r>
      <w:r w:rsidRPr="00723B45" w:rsidR="004A05BC">
        <w:rPr>
          <w:sz w:val="28"/>
          <w:szCs w:val="28"/>
        </w:rPr>
        <w:t xml:space="preserve"> milj. km.</w:t>
      </w:r>
      <w:r w:rsidRPr="00851FA2" w:rsidR="004A05BC">
        <w:rPr>
          <w:sz w:val="28"/>
          <w:szCs w:val="28"/>
        </w:rPr>
        <w:t xml:space="preserve"> </w:t>
      </w:r>
    </w:p>
    <w:p w:rsidRPr="00851FA2" w:rsidR="006D6FD0" w:rsidP="006D6FD0" w:rsidRDefault="006D6FD0" w14:paraId="7AC88A1B" w14:textId="6C50271B">
      <w:pPr>
        <w:ind w:firstLine="709"/>
        <w:jc w:val="both"/>
        <w:rPr>
          <w:sz w:val="28"/>
          <w:szCs w:val="28"/>
        </w:rPr>
      </w:pPr>
      <w:r w:rsidRPr="00851FA2">
        <w:rPr>
          <w:sz w:val="28"/>
          <w:szCs w:val="28"/>
        </w:rPr>
        <w:t>Pamatojoties uz Sabiedriskā transporta pakalpojumu likumu un saskaņā ar Ministru kabineta 2015.gada 28.jūlija noteikumu Nr.435 “Kārtība, kādā nosaka un kompensē ar sabiedriskā transporta pakalpojumu sniegšanu saistītos zaudējumus un izdevumus un nosaka sabiedriskā transporta pakalpojuma tarifu” (turpmāk – Ministru kabineta noteikumi Nr.435) 2.1.apakšpunktu, sabiedriskā transporta pakalpojumu sniedzējiem kompensē zaudējumus, kas radušies, ja ar sabiedriskā transporta pakalpojumu pasūtījuma līguma izpildi saistītās nepieciešamās izmaksas pārsniedz gūtos ieņēmumus.</w:t>
      </w:r>
    </w:p>
    <w:p w:rsidRPr="00851FA2" w:rsidR="007C7546" w:rsidP="006D6FD0" w:rsidRDefault="007C7546" w14:paraId="59F92C12" w14:textId="2E944D77">
      <w:pPr>
        <w:ind w:firstLine="709"/>
        <w:jc w:val="both"/>
        <w:rPr>
          <w:sz w:val="28"/>
          <w:szCs w:val="28"/>
        </w:rPr>
      </w:pPr>
      <w:r w:rsidRPr="00851FA2">
        <w:rPr>
          <w:sz w:val="28"/>
          <w:szCs w:val="28"/>
        </w:rPr>
        <w:t xml:space="preserve">Sabiedriskā transporta pakalpojumu pasūtījuma līgumi reģionālās nozīmes </w:t>
      </w:r>
      <w:r w:rsidRPr="0040016B">
        <w:rPr>
          <w:sz w:val="28"/>
          <w:szCs w:val="28"/>
        </w:rPr>
        <w:t xml:space="preserve">autobusu maršrutos, kuri lielākoties tika slēgti 2009.gadā </w:t>
      </w:r>
      <w:r w:rsidRPr="0040016B" w:rsidR="001935CB">
        <w:rPr>
          <w:sz w:val="28"/>
          <w:szCs w:val="28"/>
        </w:rPr>
        <w:t xml:space="preserve">bija </w:t>
      </w:r>
      <w:r w:rsidRPr="0040016B">
        <w:rPr>
          <w:sz w:val="28"/>
          <w:szCs w:val="28"/>
        </w:rPr>
        <w:t xml:space="preserve">spēkā līdz 2020. gada 31. decembrim. </w:t>
      </w:r>
      <w:r w:rsidRPr="0040016B" w:rsidR="009A6409">
        <w:rPr>
          <w:sz w:val="28"/>
          <w:szCs w:val="28"/>
        </w:rPr>
        <w:t>V</w:t>
      </w:r>
      <w:r w:rsidRPr="0040016B">
        <w:rPr>
          <w:sz w:val="28"/>
          <w:szCs w:val="28"/>
        </w:rPr>
        <w:t xml:space="preserve">ismaz </w:t>
      </w:r>
      <w:r w:rsidRPr="0040016B" w:rsidR="002462EA">
        <w:rPr>
          <w:sz w:val="28"/>
          <w:szCs w:val="28"/>
        </w:rPr>
        <w:t>57% no visiem noslēgtajiem sabiedriskā transporta pakalpojumu līgumiem reģionālās nozīmes pārvadājumos ir slēgti uz koncesijas nosacījumiem, līdz ar to minētajos līgumos kompensējamie</w:t>
      </w:r>
      <w:r w:rsidRPr="00851FA2" w:rsidR="002462EA">
        <w:rPr>
          <w:sz w:val="28"/>
          <w:szCs w:val="28"/>
        </w:rPr>
        <w:t xml:space="preserve"> zaudējumi (starpība starp faktiskajām izmaksām un ieņēmumiem) ir atkarīgi no ekonomikas svārstību rezultāta.</w:t>
      </w:r>
    </w:p>
    <w:p w:rsidR="006D6FD0" w:rsidP="006D6FD0" w:rsidRDefault="00D86E9A" w14:paraId="7A672338" w14:textId="5811764A">
      <w:pPr>
        <w:ind w:firstLine="709"/>
        <w:jc w:val="both"/>
        <w:rPr>
          <w:sz w:val="28"/>
          <w:szCs w:val="28"/>
        </w:rPr>
      </w:pPr>
      <w:r>
        <w:rPr>
          <w:sz w:val="28"/>
          <w:szCs w:val="28"/>
        </w:rPr>
        <w:t>2020.gadā v</w:t>
      </w:r>
      <w:r w:rsidRPr="00851FA2" w:rsidR="006D6FD0">
        <w:rPr>
          <w:sz w:val="28"/>
          <w:szCs w:val="28"/>
        </w:rPr>
        <w:t xml:space="preserve">alsts budžeta programmā 31.00.00 “Sabiedriskais transports” </w:t>
      </w:r>
      <w:r>
        <w:rPr>
          <w:sz w:val="28"/>
          <w:szCs w:val="28"/>
        </w:rPr>
        <w:t xml:space="preserve">bija </w:t>
      </w:r>
      <w:r w:rsidRPr="00851FA2" w:rsidR="006D6FD0">
        <w:rPr>
          <w:sz w:val="28"/>
          <w:szCs w:val="28"/>
        </w:rPr>
        <w:t>izveidota apakšprogramma 31.06.00 “Dotācija zaudējumu segšanai sabiedriskā transporta pakalpojumu sniedzējiem” (turpmāk – apakšprogramma 31.06.00) un apakšprogramma 31.07.00 “Dotācija sabiedriskā transporta pakalpojumu sniedzējiem ar braukšanas maksas atvieglojumiem saistīto zaudējumu segšanai” (turpmāk – apakšprogramma 31.07.00), no kurām Satiksmes ministrija atbilstoši finansēšanas plānam un Sabiedriskā transporta padomes lēmumiem katru mēnesi pārskait</w:t>
      </w:r>
      <w:r>
        <w:rPr>
          <w:sz w:val="28"/>
          <w:szCs w:val="28"/>
        </w:rPr>
        <w:t>īja</w:t>
      </w:r>
      <w:r w:rsidRPr="00851FA2" w:rsidR="006D6FD0">
        <w:rPr>
          <w:sz w:val="28"/>
          <w:szCs w:val="28"/>
        </w:rPr>
        <w:t xml:space="preserve"> finansējumu pārvadātājiem un vienu reizi ceturksnī – republikas pilsētu pašvaldībām.</w:t>
      </w:r>
    </w:p>
    <w:p w:rsidRPr="00C63F4D" w:rsidR="00D86E9A" w:rsidP="00D86E9A" w:rsidRDefault="00D86E9A" w14:paraId="3F4359FE" w14:textId="30F3CB6D">
      <w:pPr>
        <w:pStyle w:val="ListParagraph"/>
        <w:ind w:left="0" w:firstLine="709"/>
        <w:jc w:val="both"/>
        <w:rPr>
          <w:sz w:val="28"/>
          <w:szCs w:val="28"/>
        </w:rPr>
      </w:pPr>
      <w:r w:rsidRPr="00C63F4D">
        <w:rPr>
          <w:sz w:val="28"/>
          <w:szCs w:val="28"/>
        </w:rPr>
        <w:lastRenderedPageBreak/>
        <w:t>Sākot ar 2021.gadu</w:t>
      </w:r>
      <w:r w:rsidR="0098100B">
        <w:rPr>
          <w:sz w:val="28"/>
          <w:szCs w:val="28"/>
        </w:rPr>
        <w:t>,</w:t>
      </w:r>
      <w:r w:rsidRPr="00C63F4D">
        <w:rPr>
          <w:sz w:val="28"/>
          <w:szCs w:val="28"/>
        </w:rPr>
        <w:t xml:space="preserve"> </w:t>
      </w:r>
      <w:r>
        <w:rPr>
          <w:sz w:val="28"/>
          <w:szCs w:val="28"/>
        </w:rPr>
        <w:t xml:space="preserve">apakšprogramma </w:t>
      </w:r>
      <w:r w:rsidRPr="00C63F4D">
        <w:rPr>
          <w:sz w:val="28"/>
          <w:szCs w:val="28"/>
        </w:rPr>
        <w:t xml:space="preserve">31.07.00 atsevišķi nepastāv, jo tā ir apvienota ar </w:t>
      </w:r>
      <w:r>
        <w:rPr>
          <w:sz w:val="28"/>
          <w:szCs w:val="28"/>
        </w:rPr>
        <w:t xml:space="preserve">apakšprogrammu </w:t>
      </w:r>
      <w:r w:rsidRPr="00C63F4D">
        <w:rPr>
          <w:sz w:val="28"/>
          <w:szCs w:val="28"/>
        </w:rPr>
        <w:t>31.06.00</w:t>
      </w:r>
      <w:r>
        <w:rPr>
          <w:sz w:val="28"/>
          <w:szCs w:val="28"/>
        </w:rPr>
        <w:t>, kurā tiek plānots finansējums zaudējumu segšanai sabiedriskā transporta pakalpojumu sniedzējiem, t.sk. ar braukšanas maksas atvieglojumiem saistīto zaudējumu segšanai</w:t>
      </w:r>
      <w:r w:rsidRPr="00C63F4D">
        <w:rPr>
          <w:sz w:val="28"/>
          <w:szCs w:val="28"/>
        </w:rPr>
        <w:t xml:space="preserve">. </w:t>
      </w:r>
    </w:p>
    <w:p w:rsidRPr="00D05516" w:rsidR="006D6FD0" w:rsidP="006D6FD0" w:rsidRDefault="006D6FD0" w14:paraId="61BF0D75" w14:textId="77777777">
      <w:pPr>
        <w:pStyle w:val="tv213"/>
        <w:shd w:val="clear" w:color="auto" w:fill="FFFFFF"/>
        <w:spacing w:before="0" w:beforeAutospacing="0" w:after="0" w:afterAutospacing="0" w:line="293" w:lineRule="atLeast"/>
        <w:ind w:firstLine="709"/>
        <w:jc w:val="both"/>
        <w:rPr>
          <w:sz w:val="28"/>
          <w:szCs w:val="28"/>
        </w:rPr>
      </w:pPr>
      <w:r w:rsidRPr="00851FA2">
        <w:rPr>
          <w:sz w:val="28"/>
          <w:szCs w:val="28"/>
        </w:rPr>
        <w:t xml:space="preserve">Atbilstoši Ministru kabineta noteikumu Nr.435 17.punktā noteiktajam, ja gadskārtējā valsts budžeta likumā piešķirtie valsts budžeta līdzekļi nav </w:t>
      </w:r>
      <w:r w:rsidRPr="00D05516">
        <w:rPr>
          <w:sz w:val="28"/>
          <w:szCs w:val="28"/>
        </w:rPr>
        <w:t>pietiekami sabiedriskā transporta pakalpojumu sniegšanā radušos zaudējumu segšanai, Sabiedriskā transporta padome pārskata:</w:t>
      </w:r>
    </w:p>
    <w:p w:rsidRPr="00D05516" w:rsidR="006D6FD0" w:rsidP="006D6FD0" w:rsidRDefault="006D6FD0" w14:paraId="797433EB" w14:textId="77777777">
      <w:pPr>
        <w:shd w:val="clear" w:color="auto" w:fill="FFFFFF"/>
        <w:spacing w:line="293" w:lineRule="atLeast"/>
        <w:ind w:firstLine="709"/>
        <w:jc w:val="both"/>
        <w:rPr>
          <w:sz w:val="28"/>
          <w:szCs w:val="28"/>
        </w:rPr>
      </w:pPr>
      <w:r w:rsidRPr="00D05516">
        <w:rPr>
          <w:sz w:val="28"/>
          <w:szCs w:val="28"/>
        </w:rPr>
        <w:t>1) plānotā reģionālās nozīmes maršrutu tīkla apjomus nākamajam gadam (kilometrus);</w:t>
      </w:r>
    </w:p>
    <w:p w:rsidRPr="00D05516" w:rsidR="006D6FD0" w:rsidP="006D6FD0" w:rsidRDefault="006D6FD0" w14:paraId="79F8A638" w14:textId="77777777">
      <w:pPr>
        <w:shd w:val="clear" w:color="auto" w:fill="FFFFFF"/>
        <w:spacing w:line="293" w:lineRule="atLeast"/>
        <w:ind w:left="600" w:firstLine="109"/>
        <w:jc w:val="both"/>
        <w:rPr>
          <w:sz w:val="28"/>
          <w:szCs w:val="28"/>
        </w:rPr>
      </w:pPr>
      <w:r w:rsidRPr="00D05516">
        <w:rPr>
          <w:sz w:val="28"/>
          <w:szCs w:val="28"/>
        </w:rPr>
        <w:t>2) plānotos tarifus nākamajam gadam (braukšanas maksu);</w:t>
      </w:r>
    </w:p>
    <w:p w:rsidRPr="00D05516" w:rsidR="006D6FD0" w:rsidP="006D6FD0" w:rsidRDefault="006D6FD0" w14:paraId="530DA941" w14:textId="77777777">
      <w:pPr>
        <w:shd w:val="clear" w:color="auto" w:fill="FFFFFF"/>
        <w:spacing w:line="293" w:lineRule="atLeast"/>
        <w:ind w:firstLine="709"/>
        <w:jc w:val="both"/>
        <w:rPr>
          <w:sz w:val="28"/>
          <w:szCs w:val="28"/>
        </w:rPr>
      </w:pPr>
      <w:r w:rsidRPr="00D05516">
        <w:rPr>
          <w:sz w:val="28"/>
          <w:szCs w:val="28"/>
        </w:rPr>
        <w:t>3) sabiedriskā transporta pakalpojumu pasūtījuma līgumos un normatīvajos aktos paredzētās, bet ieviešanas termiņus nesasniegušās kvalitātes prasības sabiedriskā transporta pakalpojumam.</w:t>
      </w:r>
    </w:p>
    <w:p w:rsidRPr="00D05516" w:rsidR="006D6FD0" w:rsidP="006D6FD0" w:rsidRDefault="006D6FD0" w14:paraId="4E2306A4" w14:textId="77777777">
      <w:pPr>
        <w:shd w:val="clear" w:color="auto" w:fill="FFFFFF"/>
        <w:spacing w:line="293" w:lineRule="atLeast"/>
        <w:ind w:firstLine="709"/>
        <w:jc w:val="both"/>
        <w:rPr>
          <w:sz w:val="28"/>
          <w:szCs w:val="28"/>
        </w:rPr>
      </w:pPr>
      <w:bookmarkStart w:name="p18" w:id="1"/>
      <w:bookmarkStart w:name="p-560635" w:id="2"/>
      <w:bookmarkEnd w:id="1"/>
      <w:bookmarkEnd w:id="2"/>
      <w:r w:rsidRPr="00D05516">
        <w:rPr>
          <w:sz w:val="28"/>
          <w:szCs w:val="28"/>
        </w:rPr>
        <w:t>Saskaņā ar Ministru kabineta noteikumu Nr.435 18.punktu, ja pēc minēto pasākumu veikšanas Satiksmes ministrijas valsts budžeta programmā 31.00.00 “Sabiedriskais transports” nepietiek līdzekļu, lai pilnībā kompensētu zaudējumus un izdevumus, par nepieciešamo reģionālās nozīmes maršrutu tīkla apjomu, finansējuma apmēru un finansējuma avotu lemj Ministru kabinets.</w:t>
      </w:r>
    </w:p>
    <w:p w:rsidRPr="00D05516" w:rsidR="006D6FD0" w:rsidP="006D6FD0" w:rsidRDefault="006D6FD0" w14:paraId="30C2AE3A" w14:textId="0A6C8C6D">
      <w:pPr>
        <w:shd w:val="clear" w:color="auto" w:fill="FFFFFF"/>
        <w:spacing w:line="293" w:lineRule="atLeast"/>
        <w:ind w:firstLine="709"/>
        <w:jc w:val="both"/>
        <w:rPr>
          <w:iCs/>
          <w:sz w:val="28"/>
          <w:szCs w:val="28"/>
        </w:rPr>
      </w:pPr>
      <w:r w:rsidRPr="00D05516">
        <w:rPr>
          <w:sz w:val="28"/>
          <w:szCs w:val="28"/>
        </w:rPr>
        <w:t xml:space="preserve">Ņemot vērā </w:t>
      </w:r>
      <w:r w:rsidRPr="00D05516" w:rsidR="00EC5FC6">
        <w:rPr>
          <w:sz w:val="28"/>
          <w:szCs w:val="28"/>
        </w:rPr>
        <w:t>iepriekšminēto</w:t>
      </w:r>
      <w:r w:rsidR="00EB101D">
        <w:rPr>
          <w:sz w:val="28"/>
          <w:szCs w:val="28"/>
        </w:rPr>
        <w:t>,</w:t>
      </w:r>
      <w:r w:rsidRPr="00D05516" w:rsidR="00EC5FC6">
        <w:rPr>
          <w:sz w:val="28"/>
          <w:szCs w:val="28"/>
        </w:rPr>
        <w:t xml:space="preserve"> </w:t>
      </w:r>
      <w:r w:rsidRPr="00D05516">
        <w:rPr>
          <w:sz w:val="28"/>
          <w:szCs w:val="28"/>
        </w:rPr>
        <w:t xml:space="preserve">Satiksmes ministrija </w:t>
      </w:r>
      <w:r w:rsidRPr="00D05516" w:rsidR="00EC5FC6">
        <w:rPr>
          <w:sz w:val="28"/>
          <w:szCs w:val="28"/>
        </w:rPr>
        <w:t xml:space="preserve">sadarbībā </w:t>
      </w:r>
      <w:r w:rsidRPr="00D05516">
        <w:rPr>
          <w:sz w:val="28"/>
          <w:szCs w:val="28"/>
        </w:rPr>
        <w:t xml:space="preserve">ar Autotransporta direkciju ir sagatavojusi </w:t>
      </w:r>
      <w:r w:rsidRPr="00D05516" w:rsidR="00F8300A">
        <w:rPr>
          <w:sz w:val="28"/>
          <w:szCs w:val="28"/>
        </w:rPr>
        <w:t>i</w:t>
      </w:r>
      <w:r w:rsidRPr="00D05516">
        <w:rPr>
          <w:sz w:val="28"/>
          <w:szCs w:val="28"/>
        </w:rPr>
        <w:t xml:space="preserve">nformatīvo ziņojumu ar </w:t>
      </w:r>
      <w:r w:rsidRPr="00D05516">
        <w:rPr>
          <w:iCs/>
          <w:sz w:val="28"/>
          <w:szCs w:val="28"/>
        </w:rPr>
        <w:t>lūgumu piešķirt papildu finansējumu</w:t>
      </w:r>
      <w:r w:rsidR="00F618A1">
        <w:rPr>
          <w:iCs/>
          <w:sz w:val="28"/>
          <w:szCs w:val="28"/>
        </w:rPr>
        <w:t>,</w:t>
      </w:r>
      <w:r w:rsidRPr="00D05516">
        <w:rPr>
          <w:iCs/>
          <w:sz w:val="28"/>
          <w:szCs w:val="28"/>
        </w:rPr>
        <w:t xml:space="preserve"> </w:t>
      </w:r>
      <w:r w:rsidRPr="00D05516" w:rsidR="00F44F42">
        <w:rPr>
          <w:iCs/>
          <w:sz w:val="28"/>
          <w:szCs w:val="28"/>
        </w:rPr>
        <w:t xml:space="preserve">lai pilnībā norēķinātos </w:t>
      </w:r>
      <w:r w:rsidRPr="00D05516" w:rsidR="009232E9">
        <w:rPr>
          <w:iCs/>
          <w:sz w:val="28"/>
          <w:szCs w:val="28"/>
        </w:rPr>
        <w:t xml:space="preserve">par </w:t>
      </w:r>
      <w:r w:rsidRPr="00D05516">
        <w:rPr>
          <w:iCs/>
          <w:sz w:val="28"/>
          <w:szCs w:val="28"/>
        </w:rPr>
        <w:t>sabiedriskā transporta pakalpojum</w:t>
      </w:r>
      <w:r w:rsidRPr="00D05516" w:rsidR="009232E9">
        <w:rPr>
          <w:iCs/>
          <w:sz w:val="28"/>
          <w:szCs w:val="28"/>
        </w:rPr>
        <w:t>iem</w:t>
      </w:r>
      <w:r w:rsidR="0098100B">
        <w:rPr>
          <w:iCs/>
          <w:sz w:val="28"/>
          <w:szCs w:val="28"/>
        </w:rPr>
        <w:t xml:space="preserve"> </w:t>
      </w:r>
      <w:r w:rsidRPr="00D05516" w:rsidR="0098100B">
        <w:rPr>
          <w:iCs/>
          <w:sz w:val="28"/>
          <w:szCs w:val="28"/>
        </w:rPr>
        <w:t>2020.gadā</w:t>
      </w:r>
      <w:r w:rsidR="00BA4470">
        <w:rPr>
          <w:iCs/>
          <w:sz w:val="28"/>
          <w:szCs w:val="28"/>
        </w:rPr>
        <w:t>, kā arī daļēji segtu radušos zaudējumus 2021.gadā, ievērojot Covid-19 pandēmijas apkarošanas ietekmi uz sabiedriskā transporta pakalpojuma nozari</w:t>
      </w:r>
      <w:r w:rsidRPr="00D05516" w:rsidR="009232E9">
        <w:rPr>
          <w:iCs/>
          <w:sz w:val="28"/>
          <w:szCs w:val="28"/>
        </w:rPr>
        <w:t>.</w:t>
      </w:r>
    </w:p>
    <w:p w:rsidRPr="00D05516" w:rsidR="00252BAD" w:rsidP="00B50CF5" w:rsidRDefault="00252BAD" w14:paraId="21164456" w14:textId="6E48507C">
      <w:pPr>
        <w:shd w:val="clear" w:color="auto" w:fill="FFFFFF"/>
        <w:spacing w:line="293" w:lineRule="atLeast"/>
        <w:ind w:firstLine="709"/>
        <w:jc w:val="both"/>
        <w:rPr>
          <w:iCs/>
          <w:sz w:val="28"/>
          <w:szCs w:val="28"/>
        </w:rPr>
      </w:pPr>
    </w:p>
    <w:p w:rsidRPr="00D05516" w:rsidR="00B50CF5" w:rsidP="001B4C5F" w:rsidRDefault="00B50CF5" w14:paraId="46A35BEC" w14:textId="09F2E506">
      <w:pPr>
        <w:pStyle w:val="ListParagraph"/>
        <w:numPr>
          <w:ilvl w:val="0"/>
          <w:numId w:val="2"/>
        </w:numPr>
        <w:ind w:left="284" w:hanging="284"/>
        <w:jc w:val="both"/>
        <w:rPr>
          <w:b/>
          <w:sz w:val="28"/>
          <w:szCs w:val="28"/>
        </w:rPr>
      </w:pPr>
      <w:r w:rsidRPr="00D05516">
        <w:rPr>
          <w:b/>
          <w:sz w:val="28"/>
          <w:szCs w:val="28"/>
        </w:rPr>
        <w:t xml:space="preserve">Valsts budžeta finansējums sabiedriskā transporta pakalpojumu sniegšanai </w:t>
      </w:r>
      <w:r w:rsidR="00D05516">
        <w:rPr>
          <w:b/>
          <w:sz w:val="28"/>
          <w:szCs w:val="28"/>
        </w:rPr>
        <w:t>2020.gadā</w:t>
      </w:r>
    </w:p>
    <w:p w:rsidRPr="00D05516" w:rsidR="00B50CF5" w:rsidP="00B50CF5" w:rsidRDefault="00B50CF5" w14:paraId="040A4168" w14:textId="77777777">
      <w:pPr>
        <w:ind w:firstLine="709"/>
        <w:jc w:val="both"/>
        <w:rPr>
          <w:sz w:val="28"/>
          <w:szCs w:val="28"/>
        </w:rPr>
      </w:pPr>
    </w:p>
    <w:p w:rsidR="00DB41C6" w:rsidP="00DB41C6" w:rsidRDefault="00094352" w14:paraId="5C4AE061" w14:textId="0765422F">
      <w:pPr>
        <w:ind w:firstLine="709"/>
        <w:jc w:val="both"/>
        <w:rPr>
          <w:sz w:val="28"/>
          <w:szCs w:val="28"/>
        </w:rPr>
      </w:pPr>
      <w:r w:rsidRPr="0040016B">
        <w:rPr>
          <w:sz w:val="28"/>
          <w:szCs w:val="28"/>
        </w:rPr>
        <w:t xml:space="preserve">Sabiedriskā transporta pakalpojumu </w:t>
      </w:r>
      <w:r w:rsidRPr="0040016B" w:rsidR="0089476D">
        <w:rPr>
          <w:sz w:val="28"/>
          <w:szCs w:val="28"/>
        </w:rPr>
        <w:t xml:space="preserve">nodrošināšanai </w:t>
      </w:r>
      <w:r w:rsidRPr="0040016B" w:rsidR="00B50CF5">
        <w:rPr>
          <w:sz w:val="28"/>
          <w:szCs w:val="28"/>
        </w:rPr>
        <w:t>reģionālās nozīmes pārvadājumos ar autobusiem, reģionālās nozīmes pārvadājumos ar vilcien</w:t>
      </w:r>
      <w:r w:rsidRPr="0040016B" w:rsidR="00B67B42">
        <w:rPr>
          <w:sz w:val="28"/>
          <w:szCs w:val="28"/>
        </w:rPr>
        <w:t>iem</w:t>
      </w:r>
      <w:r w:rsidRPr="0040016B" w:rsidR="00B50CF5">
        <w:rPr>
          <w:sz w:val="28"/>
          <w:szCs w:val="28"/>
        </w:rPr>
        <w:t>,</w:t>
      </w:r>
      <w:r w:rsidRPr="00D05516" w:rsidR="00B50CF5">
        <w:rPr>
          <w:sz w:val="28"/>
          <w:szCs w:val="28"/>
        </w:rPr>
        <w:t xml:space="preserve"> un republikas pilsēt</w:t>
      </w:r>
      <w:r w:rsidRPr="00D05516" w:rsidR="00B67B42">
        <w:rPr>
          <w:sz w:val="28"/>
          <w:szCs w:val="28"/>
        </w:rPr>
        <w:t>ām</w:t>
      </w:r>
      <w:r w:rsidRPr="00D05516" w:rsidR="00B50CF5">
        <w:rPr>
          <w:sz w:val="28"/>
          <w:szCs w:val="28"/>
        </w:rPr>
        <w:t xml:space="preserve"> pārvadājumos maršrutu daļ</w:t>
      </w:r>
      <w:r w:rsidRPr="00D05516" w:rsidR="00B67B42">
        <w:rPr>
          <w:sz w:val="28"/>
          <w:szCs w:val="28"/>
        </w:rPr>
        <w:t>ā</w:t>
      </w:r>
      <w:r w:rsidRPr="00D05516" w:rsidR="00B50CF5">
        <w:rPr>
          <w:sz w:val="28"/>
          <w:szCs w:val="28"/>
        </w:rPr>
        <w:t xml:space="preserve">, kas ir ārpus pilsētas administratīvās teritorijas, ja šī maršruta daļa ir vairāk kā 30% no </w:t>
      </w:r>
      <w:r w:rsidRPr="00D05516" w:rsidR="006E4F6D">
        <w:rPr>
          <w:sz w:val="28"/>
          <w:szCs w:val="28"/>
        </w:rPr>
        <w:t>k</w:t>
      </w:r>
      <w:r w:rsidRPr="00D05516" w:rsidR="00B50CF5">
        <w:rPr>
          <w:sz w:val="28"/>
          <w:szCs w:val="28"/>
        </w:rPr>
        <w:t>opējā maršruta garuma, un personu ar invaliditāti pārvadāšanu, –</w:t>
      </w:r>
      <w:r w:rsidRPr="00D05516" w:rsidR="00DB41C6">
        <w:rPr>
          <w:sz w:val="28"/>
          <w:szCs w:val="28"/>
        </w:rPr>
        <w:t xml:space="preserve"> atbilstoši likumam “Par valsts budžetu 2020.gadam” valsts budžeta programmā</w:t>
      </w:r>
      <w:r w:rsidRPr="00851FA2" w:rsidR="00DB41C6">
        <w:rPr>
          <w:sz w:val="28"/>
          <w:szCs w:val="28"/>
        </w:rPr>
        <w:t xml:space="preserve"> 31.00.00 </w:t>
      </w:r>
      <w:r w:rsidRPr="00851FA2" w:rsidR="00B67B42">
        <w:rPr>
          <w:sz w:val="28"/>
          <w:szCs w:val="28"/>
        </w:rPr>
        <w:t>“</w:t>
      </w:r>
      <w:r w:rsidRPr="00851FA2" w:rsidR="00DB41C6">
        <w:rPr>
          <w:iCs/>
          <w:sz w:val="28"/>
          <w:szCs w:val="28"/>
        </w:rPr>
        <w:t>Sabiedriskais transports</w:t>
      </w:r>
      <w:r w:rsidRPr="00851FA2" w:rsidR="00B67B42">
        <w:rPr>
          <w:iCs/>
          <w:sz w:val="28"/>
          <w:szCs w:val="28"/>
        </w:rPr>
        <w:t>”</w:t>
      </w:r>
      <w:r w:rsidRPr="00851FA2" w:rsidR="00DB41C6">
        <w:rPr>
          <w:sz w:val="28"/>
          <w:szCs w:val="28"/>
        </w:rPr>
        <w:t xml:space="preserve"> apakšprogrammā 31.06.00 un apakšprogrammā 31.07.00 </w:t>
      </w:r>
      <w:r w:rsidRPr="00851FA2" w:rsidR="001935CB">
        <w:rPr>
          <w:sz w:val="28"/>
          <w:szCs w:val="28"/>
        </w:rPr>
        <w:t xml:space="preserve">bija </w:t>
      </w:r>
      <w:r w:rsidRPr="00851FA2" w:rsidR="00DB41C6">
        <w:rPr>
          <w:sz w:val="28"/>
          <w:szCs w:val="28"/>
        </w:rPr>
        <w:t>paredzēt</w:t>
      </w:r>
      <w:r w:rsidRPr="00851FA2" w:rsidR="00DF4F50">
        <w:rPr>
          <w:sz w:val="28"/>
          <w:szCs w:val="28"/>
        </w:rPr>
        <w:t xml:space="preserve">s finansējums – </w:t>
      </w:r>
      <w:r w:rsidRPr="00851FA2" w:rsidR="00DB41C6">
        <w:rPr>
          <w:sz w:val="28"/>
          <w:szCs w:val="28"/>
        </w:rPr>
        <w:t xml:space="preserve">attiecīgi 40 953 076 </w:t>
      </w:r>
      <w:proofErr w:type="spellStart"/>
      <w:r w:rsidRPr="00851FA2" w:rsidR="00C80C53">
        <w:rPr>
          <w:i/>
          <w:iCs/>
          <w:sz w:val="28"/>
          <w:szCs w:val="28"/>
        </w:rPr>
        <w:t>euro</w:t>
      </w:r>
      <w:proofErr w:type="spellEnd"/>
      <w:r w:rsidRPr="00851FA2" w:rsidR="00C80C53">
        <w:rPr>
          <w:sz w:val="28"/>
          <w:szCs w:val="28"/>
        </w:rPr>
        <w:t xml:space="preserve"> </w:t>
      </w:r>
      <w:r w:rsidRPr="00851FA2" w:rsidR="00DB41C6">
        <w:rPr>
          <w:sz w:val="28"/>
          <w:szCs w:val="28"/>
        </w:rPr>
        <w:t xml:space="preserve"> un 20 650 442 </w:t>
      </w:r>
      <w:proofErr w:type="spellStart"/>
      <w:r w:rsidRPr="00851FA2" w:rsidR="00C80C53">
        <w:rPr>
          <w:i/>
          <w:iCs/>
          <w:sz w:val="28"/>
          <w:szCs w:val="28"/>
        </w:rPr>
        <w:t>euro</w:t>
      </w:r>
      <w:proofErr w:type="spellEnd"/>
      <w:r w:rsidR="00D05516">
        <w:rPr>
          <w:sz w:val="28"/>
          <w:szCs w:val="28"/>
        </w:rPr>
        <w:t>.</w:t>
      </w:r>
      <w:r w:rsidR="00F7782E">
        <w:rPr>
          <w:sz w:val="28"/>
          <w:szCs w:val="28"/>
        </w:rPr>
        <w:t xml:space="preserve"> </w:t>
      </w:r>
    </w:p>
    <w:p w:rsidRPr="00E4769F" w:rsidR="00BA4470" w:rsidP="00BA4470" w:rsidRDefault="00BA4470" w14:paraId="4F767F78" w14:textId="2D4C29D3">
      <w:pPr>
        <w:ind w:firstLine="720"/>
        <w:jc w:val="both"/>
        <w:rPr>
          <w:sz w:val="28"/>
          <w:szCs w:val="28"/>
        </w:rPr>
      </w:pPr>
      <w:r w:rsidRPr="00875A4A">
        <w:rPr>
          <w:sz w:val="28"/>
          <w:szCs w:val="28"/>
        </w:rPr>
        <w:t>Vienlaikus saskaņā ar Likuma par budžetu un finanšu vadību 9.panta trīspadsmitās daļas 1.punktu, Ministru kabineta 2018.gada 17.jūlija noteikumiem Nr.421 “Kārtība, kādā veic gadskārtējā valsts budžeta likumā noteiktās apropriācijas izmaiņas” un Ministru kabineta 2020.gada 22.septembra rīkojumu Nr. 537 “Par apropriācijas pārdali</w:t>
      </w:r>
      <w:r w:rsidRPr="00E4769F">
        <w:rPr>
          <w:sz w:val="28"/>
          <w:szCs w:val="28"/>
        </w:rPr>
        <w:t xml:space="preserve">” ir apstiprināta apakšprogrammā 31.07.00 EKK 7460 “Pārējie valsts budžeta uzturēšanas izdevumu </w:t>
      </w:r>
      <w:proofErr w:type="spellStart"/>
      <w:r w:rsidRPr="00E4769F">
        <w:rPr>
          <w:sz w:val="28"/>
          <w:szCs w:val="28"/>
        </w:rPr>
        <w:t>transferti</w:t>
      </w:r>
      <w:proofErr w:type="spellEnd"/>
      <w:r w:rsidRPr="00E4769F">
        <w:rPr>
          <w:sz w:val="28"/>
          <w:szCs w:val="28"/>
        </w:rPr>
        <w:t xml:space="preserve"> pašvaldībām” plānoto neapgūto valsts budžeta līdzekļu 3 077 517 </w:t>
      </w:r>
      <w:proofErr w:type="spellStart"/>
      <w:r w:rsidRPr="00C63F4D" w:rsidR="00C63F4D">
        <w:rPr>
          <w:i/>
          <w:iCs/>
          <w:sz w:val="28"/>
          <w:szCs w:val="28"/>
        </w:rPr>
        <w:t>euro</w:t>
      </w:r>
      <w:proofErr w:type="spellEnd"/>
      <w:r w:rsidR="00C63F4D">
        <w:rPr>
          <w:i/>
          <w:iCs/>
          <w:sz w:val="28"/>
          <w:szCs w:val="28"/>
        </w:rPr>
        <w:t xml:space="preserve"> </w:t>
      </w:r>
      <w:r w:rsidRPr="00E4769F">
        <w:rPr>
          <w:sz w:val="28"/>
          <w:szCs w:val="28"/>
        </w:rPr>
        <w:t xml:space="preserve"> apropriācijas pārdale </w:t>
      </w:r>
      <w:r w:rsidRPr="00E4769F">
        <w:rPr>
          <w:sz w:val="28"/>
          <w:szCs w:val="28"/>
        </w:rPr>
        <w:lastRenderedPageBreak/>
        <w:t>uz</w:t>
      </w:r>
      <w:r>
        <w:rPr>
          <w:sz w:val="28"/>
          <w:szCs w:val="28"/>
        </w:rPr>
        <w:t xml:space="preserve"> a</w:t>
      </w:r>
      <w:r w:rsidRPr="00E4769F">
        <w:rPr>
          <w:sz w:val="28"/>
          <w:szCs w:val="28"/>
        </w:rPr>
        <w:t>pakšprogrammu 31.06.00</w:t>
      </w:r>
      <w:r>
        <w:rPr>
          <w:sz w:val="28"/>
          <w:szCs w:val="28"/>
        </w:rPr>
        <w:t xml:space="preserve">, kā rezultātā kopējais 2020.gadā finansējums apakšprogrammā 31.06.00 bija 44 030 593 </w:t>
      </w:r>
      <w:proofErr w:type="spellStart"/>
      <w:r w:rsidRPr="00C63F4D">
        <w:rPr>
          <w:i/>
          <w:iCs/>
          <w:sz w:val="28"/>
          <w:szCs w:val="28"/>
        </w:rPr>
        <w:t>euro</w:t>
      </w:r>
      <w:proofErr w:type="spellEnd"/>
      <w:r>
        <w:rPr>
          <w:sz w:val="28"/>
          <w:szCs w:val="28"/>
        </w:rPr>
        <w:t xml:space="preserve"> un attiecīgi apakšprogrammā 31.07.00 – 17 572 925 </w:t>
      </w:r>
      <w:proofErr w:type="spellStart"/>
      <w:r w:rsidRPr="00C63F4D">
        <w:rPr>
          <w:i/>
          <w:iCs/>
          <w:sz w:val="28"/>
          <w:szCs w:val="28"/>
        </w:rPr>
        <w:t>euro</w:t>
      </w:r>
      <w:proofErr w:type="spellEnd"/>
      <w:r w:rsidRPr="00E4769F">
        <w:rPr>
          <w:sz w:val="28"/>
          <w:szCs w:val="28"/>
        </w:rPr>
        <w:t>.</w:t>
      </w:r>
    </w:p>
    <w:p w:rsidRPr="00851FA2" w:rsidR="00BA4470" w:rsidP="00DB41C6" w:rsidRDefault="00BA4470" w14:paraId="47843392" w14:textId="77777777">
      <w:pPr>
        <w:ind w:firstLine="709"/>
        <w:jc w:val="both"/>
        <w:rPr>
          <w:sz w:val="28"/>
          <w:szCs w:val="28"/>
        </w:rPr>
      </w:pPr>
    </w:p>
    <w:p w:rsidRPr="00851FA2" w:rsidR="00DE309D" w:rsidP="00851FA2" w:rsidRDefault="00DE309D" w14:paraId="50A95D64" w14:textId="77777777">
      <w:pPr>
        <w:pStyle w:val="BodyText"/>
        <w:ind w:firstLine="720"/>
        <w:rPr>
          <w:b/>
          <w:bCs/>
          <w:sz w:val="28"/>
          <w:szCs w:val="28"/>
        </w:rPr>
      </w:pPr>
      <w:r w:rsidRPr="00851FA2">
        <w:rPr>
          <w:b/>
          <w:bCs/>
          <w:sz w:val="28"/>
          <w:szCs w:val="28"/>
        </w:rPr>
        <w:t>Ārkārtējās situācijas apstākļos un pārvietošanās ierobežojumu rezultātā radītā finansiālā ietekme</w:t>
      </w:r>
    </w:p>
    <w:p w:rsidRPr="00DE309D" w:rsidR="00DE309D" w:rsidP="00DE309D" w:rsidRDefault="00DE309D" w14:paraId="0C70956E" w14:textId="4A0D44A8">
      <w:pPr>
        <w:ind w:firstLine="709"/>
        <w:jc w:val="both"/>
        <w:rPr>
          <w:sz w:val="28"/>
          <w:szCs w:val="28"/>
        </w:rPr>
      </w:pPr>
      <w:r w:rsidRPr="00DE309D">
        <w:rPr>
          <w:sz w:val="28"/>
          <w:szCs w:val="28"/>
        </w:rPr>
        <w:t>Ievērojot ar Ministru kabineta</w:t>
      </w:r>
      <w:r w:rsidR="0089476D">
        <w:rPr>
          <w:sz w:val="28"/>
          <w:szCs w:val="28"/>
        </w:rPr>
        <w:t xml:space="preserve"> 2020.gada 12.marta </w:t>
      </w:r>
      <w:r w:rsidRPr="00DE309D">
        <w:rPr>
          <w:sz w:val="28"/>
          <w:szCs w:val="28"/>
        </w:rPr>
        <w:t xml:space="preserve"> rīkojumu Nr.103 “Par ārkārtējās situācijas izsludināšanu” izsludināto ārkārtējās situācijas stāvokli no 2020. gada 12. marta līdz 9.jūnijam un ar Ministru kabineta</w:t>
      </w:r>
      <w:r w:rsidR="0089476D">
        <w:rPr>
          <w:sz w:val="28"/>
          <w:szCs w:val="28"/>
        </w:rPr>
        <w:t xml:space="preserve"> 2020.gada 6.novembra</w:t>
      </w:r>
      <w:r w:rsidRPr="00DE309D">
        <w:rPr>
          <w:sz w:val="28"/>
          <w:szCs w:val="28"/>
        </w:rPr>
        <w:t xml:space="preserve"> rīkojumu Nr.655 “Par ārkārtējās situācijas izsludināšanu” izsludināto atkārtoto ārkārtējās situācijas stāvokli no 2020.gada 9.novembra, un ārkārtējās situācijas laikā noteiktos ierobežojošos pasākumus vīrusa infekcijas Covid-19 izplatības ierobežošanai, salīdzinot 2020.gada 12 mēnešu rezultātus ar tādu pašu periodu pērn, vērojams būtisks pasažieru skaita samazinājums.</w:t>
      </w:r>
    </w:p>
    <w:p w:rsidRPr="00DE309D" w:rsidR="00DE309D" w:rsidP="00DE309D" w:rsidRDefault="00DE309D" w14:paraId="5621571B" w14:textId="77777777">
      <w:pPr>
        <w:pStyle w:val="BodyText"/>
        <w:ind w:firstLine="720"/>
        <w:jc w:val="both"/>
        <w:rPr>
          <w:b/>
          <w:bCs/>
          <w:sz w:val="28"/>
          <w:szCs w:val="28"/>
        </w:rPr>
      </w:pPr>
      <w:r w:rsidRPr="00DE309D">
        <w:rPr>
          <w:sz w:val="28"/>
          <w:szCs w:val="28"/>
        </w:rPr>
        <w:t>Reģionālajos pārvadājumos ar autobusiem pasažieru skaits 2020.gada 12 mēnešos salīdzinājumā ar 2019.gada 12 mēnešiem mazinājies par 31,66%, bet vilcienu satiksmē par 30,37%.</w:t>
      </w:r>
    </w:p>
    <w:p w:rsidR="00851FA2" w:rsidP="00DE309D" w:rsidRDefault="00851FA2" w14:paraId="305E4BCA" w14:textId="77777777">
      <w:pPr>
        <w:pStyle w:val="BodyText"/>
        <w:ind w:firstLine="720"/>
        <w:jc w:val="both"/>
        <w:rPr>
          <w:b/>
          <w:bCs/>
          <w:sz w:val="28"/>
          <w:szCs w:val="28"/>
          <w:highlight w:val="yellow"/>
        </w:rPr>
      </w:pPr>
    </w:p>
    <w:tbl>
      <w:tblPr>
        <w:tblStyle w:val="TableGrid"/>
        <w:tblW w:w="0" w:type="auto"/>
        <w:tblLook w:val="04A0" w:firstRow="1" w:lastRow="0" w:firstColumn="1" w:lastColumn="0" w:noHBand="0" w:noVBand="1"/>
      </w:tblPr>
      <w:tblGrid>
        <w:gridCol w:w="4618"/>
        <w:gridCol w:w="4347"/>
      </w:tblGrid>
      <w:tr w:rsidR="00DE309D" w:rsidTr="00C659FA" w14:paraId="7AD5B100" w14:textId="77777777">
        <w:trPr>
          <w:trHeight w:val="5181"/>
        </w:trPr>
        <w:tc>
          <w:tcPr>
            <w:tcW w:w="4618" w:type="dxa"/>
          </w:tcPr>
          <w:p w:rsidR="00DE309D" w:rsidP="000F45D1" w:rsidRDefault="00DE309D" w14:paraId="6CCEE9F9" w14:textId="77777777">
            <w:pPr>
              <w:pStyle w:val="BodyText"/>
              <w:jc w:val="both"/>
              <w:rPr>
                <w:b/>
                <w:bCs/>
                <w:sz w:val="28"/>
                <w:szCs w:val="28"/>
                <w:highlight w:val="yellow"/>
              </w:rPr>
            </w:pPr>
            <w:r>
              <w:rPr>
                <w:noProof/>
                <w:lang w:eastAsia="lv-LV"/>
              </w:rPr>
              <w:drawing>
                <wp:inline distT="0" distB="0" distL="0" distR="0" wp14:anchorId="3CF15A1D" wp14:editId="121AD731">
                  <wp:extent cx="2790825" cy="3171825"/>
                  <wp:effectExtent l="0" t="0" r="0" b="0"/>
                  <wp:docPr id="4" name="Chart 4">
                    <a:extLst xmlns:a="http://schemas.openxmlformats.org/drawingml/2006/main">
                      <a:ext uri="{FF2B5EF4-FFF2-40B4-BE49-F238E27FC236}">
                        <a16:creationId xmlns:a16="http://schemas.microsoft.com/office/drawing/2014/main" id="{485E8818-5D17-49D5-9D70-067D96C878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347" w:type="dxa"/>
          </w:tcPr>
          <w:p w:rsidR="00DE309D" w:rsidP="000F45D1" w:rsidRDefault="00DE309D" w14:paraId="58F2EF5D" w14:textId="77777777">
            <w:pPr>
              <w:pStyle w:val="BodyText"/>
              <w:jc w:val="both"/>
              <w:rPr>
                <w:b/>
                <w:bCs/>
                <w:sz w:val="28"/>
                <w:szCs w:val="28"/>
                <w:highlight w:val="yellow"/>
              </w:rPr>
            </w:pPr>
            <w:r>
              <w:rPr>
                <w:noProof/>
                <w:lang w:eastAsia="lv-LV"/>
              </w:rPr>
              <w:drawing>
                <wp:inline distT="0" distB="0" distL="0" distR="0" wp14:anchorId="2ABE1F4F" wp14:editId="5AC3EF7E">
                  <wp:extent cx="2619375" cy="3152775"/>
                  <wp:effectExtent l="0" t="0" r="0" b="0"/>
                  <wp:docPr id="5" name="Chart 5">
                    <a:extLst xmlns:a="http://schemas.openxmlformats.org/drawingml/2006/main">
                      <a:ext uri="{FF2B5EF4-FFF2-40B4-BE49-F238E27FC236}">
                        <a16:creationId xmlns:a16="http://schemas.microsoft.com/office/drawing/2014/main" id="{604330B2-BFC3-473F-8464-E17A9C63C5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Pr="00C659FA" w:rsidR="00DE309D" w:rsidP="00C659FA" w:rsidRDefault="00EF4357" w14:paraId="72F4549E" w14:textId="25520F5C">
      <w:pPr>
        <w:jc w:val="center"/>
        <w:rPr>
          <w:bCs/>
        </w:rPr>
      </w:pPr>
      <w:r w:rsidRPr="00C659FA">
        <w:rPr>
          <w:bCs/>
        </w:rPr>
        <w:t>Attēls Nr.1</w:t>
      </w:r>
    </w:p>
    <w:p w:rsidRPr="00C659FA" w:rsidR="00EF4357" w:rsidP="00C659FA" w:rsidRDefault="00EF4357" w14:paraId="58241104" w14:textId="1B000A84">
      <w:pPr>
        <w:jc w:val="center"/>
        <w:rPr>
          <w:bCs/>
        </w:rPr>
      </w:pPr>
      <w:r>
        <w:rPr>
          <w:bCs/>
        </w:rPr>
        <w:t>Pārvadāto pasažieru skaits 2019. un 2020.gada 12 mēnešos, milj. braucienu</w:t>
      </w:r>
    </w:p>
    <w:p w:rsidR="00EF4357" w:rsidP="00DE309D" w:rsidRDefault="00EF4357" w14:paraId="72558A21" w14:textId="77777777">
      <w:pPr>
        <w:ind w:firstLine="709"/>
        <w:jc w:val="center"/>
        <w:rPr>
          <w:b/>
        </w:rPr>
      </w:pPr>
    </w:p>
    <w:p w:rsidRPr="008F38F2" w:rsidR="00DE309D" w:rsidP="00DE309D" w:rsidRDefault="00DE309D" w14:paraId="225F28E9" w14:textId="12150A1A">
      <w:pPr>
        <w:pStyle w:val="BodyText"/>
        <w:ind w:firstLine="709"/>
        <w:jc w:val="both"/>
        <w:rPr>
          <w:b/>
          <w:bCs/>
          <w:sz w:val="28"/>
          <w:szCs w:val="28"/>
        </w:rPr>
      </w:pPr>
      <w:r w:rsidRPr="008F38F2">
        <w:rPr>
          <w:sz w:val="28"/>
          <w:szCs w:val="28"/>
        </w:rPr>
        <w:t>Balstoties uz apzināto informāciju no pārvadātājiem</w:t>
      </w:r>
      <w:r w:rsidR="00B127C4">
        <w:rPr>
          <w:sz w:val="28"/>
          <w:szCs w:val="28"/>
        </w:rPr>
        <w:t>,</w:t>
      </w:r>
      <w:r w:rsidRPr="008F38F2">
        <w:rPr>
          <w:sz w:val="28"/>
          <w:szCs w:val="28"/>
        </w:rPr>
        <w:t xml:space="preserve"> ir secināms, ka 2020.gadā biļešu ieņēmumu samazinājums pārvadājumos ar autobusiem ir 11,8 milj. </w:t>
      </w:r>
      <w:proofErr w:type="spellStart"/>
      <w:r w:rsidRPr="000B6D89" w:rsidR="000B6D89">
        <w:rPr>
          <w:i/>
          <w:iCs/>
          <w:sz w:val="28"/>
          <w:szCs w:val="28"/>
        </w:rPr>
        <w:t>e</w:t>
      </w:r>
      <w:r w:rsidR="000B6D89">
        <w:rPr>
          <w:i/>
          <w:iCs/>
          <w:sz w:val="28"/>
          <w:szCs w:val="28"/>
        </w:rPr>
        <w:t>u</w:t>
      </w:r>
      <w:r w:rsidRPr="000B6D89" w:rsidR="000B6D89">
        <w:rPr>
          <w:i/>
          <w:iCs/>
          <w:sz w:val="28"/>
          <w:szCs w:val="28"/>
        </w:rPr>
        <w:t>ro</w:t>
      </w:r>
      <w:proofErr w:type="spellEnd"/>
      <w:r w:rsidR="000B6D89">
        <w:rPr>
          <w:sz w:val="28"/>
          <w:szCs w:val="28"/>
        </w:rPr>
        <w:t xml:space="preserve"> </w:t>
      </w:r>
      <w:r w:rsidRPr="008F38F2">
        <w:rPr>
          <w:sz w:val="28"/>
          <w:szCs w:val="28"/>
        </w:rPr>
        <w:t xml:space="preserve"> un pārvadājumos ar vilcieniem </w:t>
      </w:r>
      <w:r w:rsidR="00B127C4">
        <w:rPr>
          <w:sz w:val="28"/>
          <w:szCs w:val="28"/>
        </w:rPr>
        <w:t xml:space="preserve">- </w:t>
      </w:r>
      <w:r w:rsidRPr="008F38F2">
        <w:rPr>
          <w:sz w:val="28"/>
          <w:szCs w:val="28"/>
        </w:rPr>
        <w:t xml:space="preserve">5,2 milj. </w:t>
      </w:r>
      <w:proofErr w:type="spellStart"/>
      <w:r w:rsidRPr="000B6D89" w:rsidR="000B6D89">
        <w:rPr>
          <w:i/>
          <w:iCs/>
          <w:sz w:val="28"/>
          <w:szCs w:val="28"/>
        </w:rPr>
        <w:t>e</w:t>
      </w:r>
      <w:r w:rsidR="000B6D89">
        <w:rPr>
          <w:i/>
          <w:iCs/>
          <w:sz w:val="28"/>
          <w:szCs w:val="28"/>
        </w:rPr>
        <w:t>u</w:t>
      </w:r>
      <w:r w:rsidRPr="000B6D89" w:rsidR="000B6D89">
        <w:rPr>
          <w:i/>
          <w:iCs/>
          <w:sz w:val="28"/>
          <w:szCs w:val="28"/>
        </w:rPr>
        <w:t>ro</w:t>
      </w:r>
      <w:proofErr w:type="spellEnd"/>
      <w:r w:rsidRPr="008F38F2">
        <w:rPr>
          <w:sz w:val="28"/>
          <w:szCs w:val="28"/>
        </w:rPr>
        <w:t xml:space="preserve">, salīdzinot ar 2019.gadu. </w:t>
      </w:r>
    </w:p>
    <w:p w:rsidRPr="008F38F2" w:rsidR="00DE309D" w:rsidP="00DE309D" w:rsidRDefault="00DE309D" w14:paraId="37B141B2" w14:textId="7445922B">
      <w:pPr>
        <w:pStyle w:val="BodyText"/>
        <w:ind w:firstLine="709"/>
        <w:jc w:val="both"/>
        <w:rPr>
          <w:b/>
          <w:bCs/>
          <w:sz w:val="28"/>
          <w:szCs w:val="28"/>
        </w:rPr>
      </w:pPr>
      <w:r w:rsidRPr="008F38F2">
        <w:rPr>
          <w:sz w:val="28"/>
          <w:szCs w:val="28"/>
        </w:rPr>
        <w:t xml:space="preserve">Ņemot vērā pieaugošo zaudējumu apmēru sakarā ar ieņēmumu sarukumu, </w:t>
      </w:r>
      <w:r w:rsidRPr="008F38F2">
        <w:rPr>
          <w:iCs/>
          <w:sz w:val="28"/>
          <w:szCs w:val="28"/>
        </w:rPr>
        <w:t>2020.gada augustā s</w:t>
      </w:r>
      <w:r w:rsidRPr="008F38F2">
        <w:rPr>
          <w:sz w:val="28"/>
          <w:szCs w:val="28"/>
        </w:rPr>
        <w:t xml:space="preserve">askaņā ar Ministru kabineta 2020.gada 15.jūlija rīkojumu Nr.381 “Par finanšu līdzekļu piešķiršanu no valsts budžeta programmas 02.00.00 “Līdzekļi neparedzētiem gadījumiem”” un Finanšu ministrijas 2020.gada </w:t>
      </w:r>
      <w:r w:rsidRPr="008F38F2">
        <w:rPr>
          <w:sz w:val="28"/>
          <w:szCs w:val="28"/>
        </w:rPr>
        <w:lastRenderedPageBreak/>
        <w:t xml:space="preserve">7.augusta rīkojumu Nr. 289 “Par līdzekļu piešķiršanu” Satiksmes ministrijai no valsts budžeta programmas 02.00.00 “Līdzekļi neparedzētiem gadījumiem” tika piešķirts finansējums </w:t>
      </w:r>
      <w:r w:rsidRPr="002F57D4" w:rsidR="002F57D4">
        <w:rPr>
          <w:sz w:val="28"/>
          <w:szCs w:val="28"/>
        </w:rPr>
        <w:t xml:space="preserve">6 341 758 </w:t>
      </w:r>
      <w:proofErr w:type="spellStart"/>
      <w:r w:rsidRPr="002F57D4" w:rsidR="002F57D4">
        <w:rPr>
          <w:i/>
          <w:sz w:val="28"/>
          <w:szCs w:val="28"/>
        </w:rPr>
        <w:t>euro</w:t>
      </w:r>
      <w:proofErr w:type="spellEnd"/>
      <w:r w:rsidR="002F57D4">
        <w:rPr>
          <w:sz w:val="28"/>
          <w:szCs w:val="28"/>
        </w:rPr>
        <w:t>, t.sk.</w:t>
      </w:r>
      <w:r w:rsidRPr="002F57D4" w:rsidR="002F57D4">
        <w:rPr>
          <w:sz w:val="28"/>
          <w:szCs w:val="28"/>
        </w:rPr>
        <w:t xml:space="preserve"> </w:t>
      </w:r>
      <w:r w:rsidRPr="008F38F2">
        <w:rPr>
          <w:sz w:val="28"/>
          <w:szCs w:val="28"/>
        </w:rPr>
        <w:t xml:space="preserve">6 325 393 </w:t>
      </w:r>
      <w:proofErr w:type="spellStart"/>
      <w:r w:rsidRPr="000B6D89" w:rsidR="000B6D89">
        <w:rPr>
          <w:i/>
          <w:iCs/>
          <w:sz w:val="28"/>
          <w:szCs w:val="28"/>
        </w:rPr>
        <w:t>e</w:t>
      </w:r>
      <w:r w:rsidR="000B6D89">
        <w:rPr>
          <w:i/>
          <w:iCs/>
          <w:sz w:val="28"/>
          <w:szCs w:val="28"/>
        </w:rPr>
        <w:t>u</w:t>
      </w:r>
      <w:r w:rsidRPr="000B6D89" w:rsidR="000B6D89">
        <w:rPr>
          <w:i/>
          <w:iCs/>
          <w:sz w:val="28"/>
          <w:szCs w:val="28"/>
        </w:rPr>
        <w:t>ro</w:t>
      </w:r>
      <w:proofErr w:type="spellEnd"/>
      <w:r w:rsidRPr="008F38F2">
        <w:rPr>
          <w:sz w:val="28"/>
          <w:szCs w:val="28"/>
        </w:rPr>
        <w:t xml:space="preserve">, lai kompensētu zaudējumus, kas radušies reģionālās nozīmes pārvadājumos ar autobusiem un vilcieniem sakarā ar Covid-19 izplatības ierobežošanai noteiktajiem drošības un sociālās </w:t>
      </w:r>
      <w:proofErr w:type="spellStart"/>
      <w:r w:rsidRPr="008F38F2">
        <w:rPr>
          <w:sz w:val="28"/>
          <w:szCs w:val="28"/>
        </w:rPr>
        <w:t>distancēšanās</w:t>
      </w:r>
      <w:proofErr w:type="spellEnd"/>
      <w:r w:rsidRPr="008F38F2">
        <w:rPr>
          <w:sz w:val="28"/>
          <w:szCs w:val="28"/>
        </w:rPr>
        <w:t xml:space="preserve"> pasākumiem sabiedriskajā transportā ārkārtējās situācijas laikā no 2020.gada 13.marta līdz 9.jūnijam, kā arī ārkārtējās situācijas seku mazināšanai</w:t>
      </w:r>
      <w:r w:rsidR="002F57D4">
        <w:rPr>
          <w:sz w:val="28"/>
          <w:szCs w:val="28"/>
        </w:rPr>
        <w:t xml:space="preserve">, un </w:t>
      </w:r>
      <w:r w:rsidRPr="002F57D4" w:rsidR="002F57D4">
        <w:rPr>
          <w:sz w:val="28"/>
          <w:szCs w:val="28"/>
        </w:rPr>
        <w:t xml:space="preserve">16 365 </w:t>
      </w:r>
      <w:proofErr w:type="spellStart"/>
      <w:r w:rsidRPr="002F57D4" w:rsidR="002F57D4">
        <w:rPr>
          <w:i/>
          <w:sz w:val="28"/>
          <w:szCs w:val="28"/>
        </w:rPr>
        <w:t>euro</w:t>
      </w:r>
      <w:proofErr w:type="spellEnd"/>
      <w:r w:rsidRPr="002F57D4" w:rsidR="002F57D4">
        <w:rPr>
          <w:sz w:val="28"/>
          <w:szCs w:val="28"/>
        </w:rPr>
        <w:t>, lai kompensētu Autotransporta direkcija izdevumus saistībā ar pasažieru pārvadājumu pakalpojuma nodrošināšanu personām, kas ierodas no ārvalstīm ar repatriācijas reisiem</w:t>
      </w:r>
      <w:r w:rsidRPr="008F38F2">
        <w:rPr>
          <w:sz w:val="28"/>
          <w:szCs w:val="28"/>
        </w:rPr>
        <w:t>.</w:t>
      </w:r>
    </w:p>
    <w:p w:rsidR="00DE309D" w:rsidP="00DE309D" w:rsidRDefault="00DE309D" w14:paraId="26321558" w14:textId="7393BFC0">
      <w:pPr>
        <w:ind w:firstLine="720"/>
        <w:jc w:val="both"/>
        <w:rPr>
          <w:bCs/>
          <w:sz w:val="28"/>
          <w:szCs w:val="28"/>
        </w:rPr>
      </w:pPr>
      <w:r w:rsidRPr="008F38F2">
        <w:rPr>
          <w:sz w:val="28"/>
          <w:szCs w:val="28"/>
        </w:rPr>
        <w:t xml:space="preserve">Savukārt saskaņā ar Ministru kabineta 2020.gada 24.novembra rīkojumu Nr.669 “Par finanšu līdzekļu piešķiršanu no valsts budžeta programmas 02.00.00 “Līdzekļi neparedzētiem gadījumiem”” un Finanšu ministrijas 2020.gada 30.novembra rīkojumu Nr.498 “Par līdzekļu piešķiršanu” sakarā ar </w:t>
      </w:r>
      <w:r w:rsidRPr="008F38F2">
        <w:rPr>
          <w:bCs/>
          <w:sz w:val="28"/>
          <w:szCs w:val="28"/>
        </w:rPr>
        <w:t xml:space="preserve">pieaugošo zaudējumu apjomu 2020.gadā sabiedriskā transporta pakalpojumu nodrošināšanai papildu piešķirts finansējums 18 174 612 </w:t>
      </w:r>
      <w:proofErr w:type="spellStart"/>
      <w:r w:rsidRPr="000B6D89" w:rsidR="000B6D89">
        <w:rPr>
          <w:i/>
          <w:iCs/>
          <w:sz w:val="28"/>
          <w:szCs w:val="28"/>
        </w:rPr>
        <w:t>e</w:t>
      </w:r>
      <w:r w:rsidR="000B6D89">
        <w:rPr>
          <w:i/>
          <w:iCs/>
          <w:sz w:val="28"/>
          <w:szCs w:val="28"/>
        </w:rPr>
        <w:t>u</w:t>
      </w:r>
      <w:r w:rsidRPr="000B6D89" w:rsidR="000B6D89">
        <w:rPr>
          <w:i/>
          <w:iCs/>
          <w:sz w:val="28"/>
          <w:szCs w:val="28"/>
        </w:rPr>
        <w:t>ro</w:t>
      </w:r>
      <w:proofErr w:type="spellEnd"/>
      <w:r w:rsidRPr="008F38F2">
        <w:rPr>
          <w:bCs/>
          <w:sz w:val="28"/>
          <w:szCs w:val="28"/>
        </w:rPr>
        <w:t xml:space="preserve">, </w:t>
      </w:r>
      <w:r w:rsidR="00B127C4">
        <w:rPr>
          <w:bCs/>
          <w:sz w:val="28"/>
          <w:szCs w:val="28"/>
        </w:rPr>
        <w:t xml:space="preserve">tai skaitā </w:t>
      </w:r>
      <w:r w:rsidRPr="008F38F2" w:rsidR="00B127C4">
        <w:rPr>
          <w:bCs/>
          <w:sz w:val="28"/>
          <w:szCs w:val="28"/>
        </w:rPr>
        <w:t>9 355</w:t>
      </w:r>
      <w:r w:rsidR="00B127C4">
        <w:rPr>
          <w:bCs/>
          <w:sz w:val="28"/>
          <w:szCs w:val="28"/>
        </w:rPr>
        <w:t> </w:t>
      </w:r>
      <w:r w:rsidRPr="008F38F2" w:rsidR="00B127C4">
        <w:rPr>
          <w:bCs/>
          <w:sz w:val="28"/>
          <w:szCs w:val="28"/>
        </w:rPr>
        <w:t>197</w:t>
      </w:r>
      <w:r w:rsidR="00B127C4">
        <w:rPr>
          <w:bCs/>
          <w:sz w:val="28"/>
          <w:szCs w:val="28"/>
        </w:rPr>
        <w:t xml:space="preserve"> </w:t>
      </w:r>
      <w:r w:rsidRPr="008F38F2" w:rsidR="00B127C4">
        <w:rPr>
          <w:bCs/>
          <w:sz w:val="28"/>
          <w:szCs w:val="28"/>
        </w:rPr>
        <w:t xml:space="preserve"> </w:t>
      </w:r>
      <w:proofErr w:type="spellStart"/>
      <w:r w:rsidRPr="000B6D89" w:rsidR="00B127C4">
        <w:rPr>
          <w:i/>
          <w:iCs/>
          <w:sz w:val="28"/>
          <w:szCs w:val="28"/>
        </w:rPr>
        <w:t>e</w:t>
      </w:r>
      <w:r w:rsidR="00B127C4">
        <w:rPr>
          <w:i/>
          <w:iCs/>
          <w:sz w:val="28"/>
          <w:szCs w:val="28"/>
        </w:rPr>
        <w:t>u</w:t>
      </w:r>
      <w:r w:rsidRPr="000B6D89" w:rsidR="00B127C4">
        <w:rPr>
          <w:i/>
          <w:iCs/>
          <w:sz w:val="28"/>
          <w:szCs w:val="28"/>
        </w:rPr>
        <w:t>ro</w:t>
      </w:r>
      <w:proofErr w:type="spellEnd"/>
      <w:r w:rsidRPr="008F38F2">
        <w:rPr>
          <w:bCs/>
          <w:sz w:val="28"/>
          <w:szCs w:val="28"/>
        </w:rPr>
        <w:t xml:space="preserve"> par Covid-19 infekcijas izplatības mazināšanu un </w:t>
      </w:r>
      <w:r w:rsidRPr="008F38F2" w:rsidR="00B127C4">
        <w:rPr>
          <w:bCs/>
          <w:sz w:val="28"/>
          <w:szCs w:val="28"/>
        </w:rPr>
        <w:t xml:space="preserve">pasažieru skaita mazināšanos </w:t>
      </w:r>
      <w:r w:rsidRPr="008F38F2">
        <w:rPr>
          <w:bCs/>
          <w:sz w:val="28"/>
          <w:szCs w:val="28"/>
        </w:rPr>
        <w:t>ierobežojošo pasākumu seku rezultātā .</w:t>
      </w:r>
    </w:p>
    <w:p w:rsidRPr="00EE4870" w:rsidR="009E119A" w:rsidP="009E119A" w:rsidRDefault="009E119A" w14:paraId="49D525FE" w14:textId="77777777">
      <w:pPr>
        <w:ind w:firstLine="709"/>
        <w:jc w:val="right"/>
        <w:rPr>
          <w:bCs/>
        </w:rPr>
      </w:pPr>
      <w:r w:rsidRPr="00EE4870">
        <w:rPr>
          <w:bCs/>
        </w:rPr>
        <w:t>Tabula Nr.1</w:t>
      </w:r>
    </w:p>
    <w:p w:rsidR="009E119A" w:rsidP="009E119A" w:rsidRDefault="009E119A" w14:paraId="1608042B" w14:textId="6C1BBFCD">
      <w:pPr>
        <w:ind w:firstLine="709"/>
        <w:jc w:val="right"/>
        <w:rPr>
          <w:b/>
        </w:rPr>
      </w:pPr>
      <w:r>
        <w:rPr>
          <w:b/>
        </w:rPr>
        <w:t xml:space="preserve">2020.gadā izlietotais finansējums sabiedriskā </w:t>
      </w:r>
    </w:p>
    <w:p w:rsidRPr="00807A83" w:rsidR="009E119A" w:rsidP="009E119A" w:rsidRDefault="009E119A" w14:paraId="7D27BFFC" w14:textId="73261991">
      <w:pPr>
        <w:ind w:firstLine="709"/>
        <w:jc w:val="right"/>
        <w:rPr>
          <w:b/>
        </w:rPr>
      </w:pPr>
      <w:r>
        <w:rPr>
          <w:b/>
        </w:rPr>
        <w:t xml:space="preserve">transporta pakalpojumu nodrošināšanai, </w:t>
      </w:r>
      <w:proofErr w:type="spellStart"/>
      <w:r w:rsidRPr="00C85A4F">
        <w:rPr>
          <w:b/>
          <w:i/>
          <w:iCs/>
        </w:rPr>
        <w:t>euro</w:t>
      </w:r>
      <w:proofErr w:type="spellEnd"/>
    </w:p>
    <w:p w:rsidR="009E119A" w:rsidP="00DE309D" w:rsidRDefault="009E119A" w14:paraId="723F75AD" w14:textId="77777777">
      <w:pPr>
        <w:ind w:firstLine="720"/>
        <w:jc w:val="both"/>
        <w:rPr>
          <w:bCs/>
          <w:sz w:val="28"/>
          <w:szCs w:val="28"/>
        </w:rPr>
      </w:pPr>
    </w:p>
    <w:tbl>
      <w:tblPr>
        <w:tblW w:w="9781" w:type="dxa"/>
        <w:tblInd w:w="-431" w:type="dxa"/>
        <w:tblLayout w:type="fixed"/>
        <w:tblLook w:val="04A0" w:firstRow="1" w:lastRow="0" w:firstColumn="1" w:lastColumn="0" w:noHBand="0" w:noVBand="1"/>
      </w:tblPr>
      <w:tblGrid>
        <w:gridCol w:w="1560"/>
        <w:gridCol w:w="1417"/>
        <w:gridCol w:w="1418"/>
        <w:gridCol w:w="1417"/>
        <w:gridCol w:w="1276"/>
        <w:gridCol w:w="1276"/>
        <w:gridCol w:w="1417"/>
      </w:tblGrid>
      <w:tr w:rsidRPr="009E119A" w:rsidR="009E119A" w:rsidTr="00C85A4F" w14:paraId="276E7E67" w14:textId="77777777">
        <w:trPr>
          <w:trHeight w:val="1485"/>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E119A" w:rsidR="009E119A" w:rsidP="009E119A" w:rsidRDefault="009E119A" w14:paraId="5F62E203" w14:textId="77777777">
            <w:pPr>
              <w:rPr>
                <w:b/>
                <w:bCs/>
                <w:color w:val="000000"/>
                <w:sz w:val="20"/>
                <w:szCs w:val="20"/>
              </w:rPr>
            </w:pPr>
            <w:r w:rsidRPr="009E119A">
              <w:rPr>
                <w:b/>
                <w:bCs/>
                <w:color w:val="000000"/>
                <w:sz w:val="20"/>
                <w:szCs w:val="20"/>
              </w:rPr>
              <w:t>Pārvadājumu veids</w:t>
            </w:r>
          </w:p>
        </w:tc>
        <w:tc>
          <w:tcPr>
            <w:tcW w:w="1417" w:type="dxa"/>
            <w:tcBorders>
              <w:top w:val="single" w:color="auto" w:sz="4" w:space="0"/>
              <w:left w:val="nil"/>
              <w:bottom w:val="single" w:color="auto" w:sz="4" w:space="0"/>
              <w:right w:val="single" w:color="auto" w:sz="4" w:space="0"/>
            </w:tcBorders>
            <w:shd w:val="clear" w:color="auto" w:fill="auto"/>
            <w:vAlign w:val="center"/>
            <w:hideMark/>
          </w:tcPr>
          <w:p w:rsidRPr="009E119A" w:rsidR="009E119A" w:rsidP="009E119A" w:rsidRDefault="009E119A" w14:paraId="6F8581D3" w14:textId="7CD15192">
            <w:pPr>
              <w:jc w:val="center"/>
              <w:rPr>
                <w:b/>
                <w:bCs/>
                <w:color w:val="000000"/>
                <w:sz w:val="20"/>
                <w:szCs w:val="20"/>
              </w:rPr>
            </w:pPr>
            <w:r>
              <w:rPr>
                <w:b/>
                <w:bCs/>
                <w:color w:val="000000"/>
                <w:sz w:val="20"/>
                <w:szCs w:val="20"/>
              </w:rPr>
              <w:t>31.06.00 apakšprogramma</w:t>
            </w:r>
          </w:p>
        </w:tc>
        <w:tc>
          <w:tcPr>
            <w:tcW w:w="1418" w:type="dxa"/>
            <w:tcBorders>
              <w:top w:val="single" w:color="auto" w:sz="4" w:space="0"/>
              <w:left w:val="nil"/>
              <w:bottom w:val="single" w:color="auto" w:sz="4" w:space="0"/>
              <w:right w:val="single" w:color="auto" w:sz="4" w:space="0"/>
            </w:tcBorders>
            <w:shd w:val="clear" w:color="auto" w:fill="auto"/>
            <w:vAlign w:val="center"/>
            <w:hideMark/>
          </w:tcPr>
          <w:p w:rsidRPr="009E119A" w:rsidR="009E119A" w:rsidP="009E119A" w:rsidRDefault="009E119A" w14:paraId="6FD27BB4" w14:textId="733DA609">
            <w:pPr>
              <w:jc w:val="center"/>
              <w:rPr>
                <w:b/>
                <w:bCs/>
                <w:color w:val="000000"/>
                <w:sz w:val="20"/>
                <w:szCs w:val="20"/>
              </w:rPr>
            </w:pPr>
            <w:r>
              <w:rPr>
                <w:b/>
                <w:bCs/>
                <w:color w:val="000000"/>
                <w:sz w:val="20"/>
                <w:szCs w:val="20"/>
              </w:rPr>
              <w:t>31.07.00 apakšprogramma</w:t>
            </w:r>
            <w:r w:rsidRPr="009E119A">
              <w:rPr>
                <w:b/>
                <w:bCs/>
                <w:color w:val="000000"/>
                <w:sz w:val="20"/>
                <w:szCs w:val="20"/>
              </w:rPr>
              <w:t xml:space="preserve"> </w:t>
            </w:r>
          </w:p>
        </w:tc>
        <w:tc>
          <w:tcPr>
            <w:tcW w:w="1417" w:type="dxa"/>
            <w:tcBorders>
              <w:top w:val="single" w:color="auto" w:sz="4" w:space="0"/>
              <w:left w:val="nil"/>
              <w:bottom w:val="single" w:color="auto" w:sz="4" w:space="0"/>
              <w:right w:val="single" w:color="auto" w:sz="4" w:space="0"/>
            </w:tcBorders>
            <w:shd w:val="clear" w:color="auto" w:fill="auto"/>
            <w:vAlign w:val="center"/>
            <w:hideMark/>
          </w:tcPr>
          <w:p w:rsidRPr="009E119A" w:rsidR="009E119A" w:rsidP="009E119A" w:rsidRDefault="009E119A" w14:paraId="78E09290" w14:textId="1C9316A0">
            <w:pPr>
              <w:jc w:val="center"/>
              <w:rPr>
                <w:b/>
                <w:bCs/>
                <w:color w:val="000000"/>
                <w:sz w:val="20"/>
                <w:szCs w:val="20"/>
              </w:rPr>
            </w:pPr>
            <w:r w:rsidRPr="009E119A">
              <w:rPr>
                <w:b/>
                <w:bCs/>
                <w:color w:val="000000"/>
                <w:sz w:val="20"/>
                <w:szCs w:val="20"/>
              </w:rPr>
              <w:t xml:space="preserve">Norēķini par </w:t>
            </w:r>
            <w:r w:rsidR="00D10508">
              <w:rPr>
                <w:b/>
                <w:bCs/>
                <w:color w:val="000000"/>
                <w:sz w:val="20"/>
                <w:szCs w:val="20"/>
              </w:rPr>
              <w:t xml:space="preserve">nesegtajiem zaudējumiem </w:t>
            </w:r>
            <w:r w:rsidRPr="009E119A">
              <w:rPr>
                <w:b/>
                <w:bCs/>
                <w:color w:val="000000"/>
                <w:sz w:val="20"/>
                <w:szCs w:val="20"/>
              </w:rPr>
              <w:t>iepriekšēj</w:t>
            </w:r>
            <w:r w:rsidR="00D10508">
              <w:rPr>
                <w:b/>
                <w:bCs/>
                <w:color w:val="000000"/>
                <w:sz w:val="20"/>
                <w:szCs w:val="20"/>
              </w:rPr>
              <w:t>os</w:t>
            </w:r>
            <w:r w:rsidRPr="009E119A">
              <w:rPr>
                <w:b/>
                <w:bCs/>
                <w:color w:val="000000"/>
                <w:sz w:val="20"/>
                <w:szCs w:val="20"/>
              </w:rPr>
              <w:t xml:space="preserve"> period</w:t>
            </w:r>
            <w:r w:rsidR="00D10508">
              <w:rPr>
                <w:b/>
                <w:bCs/>
                <w:color w:val="000000"/>
                <w:sz w:val="20"/>
                <w:szCs w:val="20"/>
              </w:rPr>
              <w:t>os</w:t>
            </w:r>
            <w:r w:rsidRPr="009E119A">
              <w:rPr>
                <w:b/>
                <w:bCs/>
                <w:color w:val="000000"/>
                <w:sz w:val="20"/>
                <w:szCs w:val="20"/>
              </w:rPr>
              <w:t xml:space="preserve"> </w:t>
            </w:r>
            <w:r>
              <w:rPr>
                <w:b/>
                <w:bCs/>
                <w:color w:val="000000"/>
                <w:sz w:val="20"/>
                <w:szCs w:val="20"/>
              </w:rPr>
              <w:t xml:space="preserve">no 31.06.00 un 31.07.00 apakšprogrammas </w:t>
            </w:r>
            <w:r w:rsidRPr="009E119A">
              <w:rPr>
                <w:b/>
                <w:bCs/>
                <w:color w:val="000000"/>
                <w:sz w:val="20"/>
                <w:szCs w:val="20"/>
              </w:rPr>
              <w:t>(2019.gadu)</w:t>
            </w:r>
          </w:p>
        </w:tc>
        <w:tc>
          <w:tcPr>
            <w:tcW w:w="1276" w:type="dxa"/>
            <w:tcBorders>
              <w:top w:val="single" w:color="auto" w:sz="4" w:space="0"/>
              <w:left w:val="nil"/>
              <w:bottom w:val="single" w:color="auto" w:sz="4" w:space="0"/>
              <w:right w:val="single" w:color="auto" w:sz="4" w:space="0"/>
            </w:tcBorders>
            <w:shd w:val="clear" w:color="auto" w:fill="auto"/>
            <w:vAlign w:val="center"/>
            <w:hideMark/>
          </w:tcPr>
          <w:p w:rsidRPr="009E119A" w:rsidR="009E119A" w:rsidP="009E119A" w:rsidRDefault="009E119A" w14:paraId="5A6386FC" w14:textId="77777777">
            <w:pPr>
              <w:jc w:val="center"/>
              <w:rPr>
                <w:b/>
                <w:bCs/>
                <w:color w:val="000000"/>
                <w:sz w:val="20"/>
                <w:szCs w:val="20"/>
              </w:rPr>
            </w:pPr>
            <w:r w:rsidRPr="009E119A">
              <w:rPr>
                <w:b/>
                <w:bCs/>
                <w:color w:val="000000"/>
                <w:sz w:val="20"/>
                <w:szCs w:val="20"/>
              </w:rPr>
              <w:t>Papildu finansējums (</w:t>
            </w:r>
            <w:r w:rsidRPr="009E119A">
              <w:rPr>
                <w:b/>
                <w:bCs/>
                <w:i/>
                <w:iCs/>
                <w:color w:val="000000"/>
                <w:sz w:val="20"/>
                <w:szCs w:val="20"/>
              </w:rPr>
              <w:t>Līdzekļi neparedzētiem gadījumiem MK 15.07.2020. rīkojums Nr.381)</w:t>
            </w:r>
          </w:p>
        </w:tc>
        <w:tc>
          <w:tcPr>
            <w:tcW w:w="1276" w:type="dxa"/>
            <w:tcBorders>
              <w:top w:val="single" w:color="auto" w:sz="4" w:space="0"/>
              <w:left w:val="nil"/>
              <w:bottom w:val="single" w:color="auto" w:sz="4" w:space="0"/>
              <w:right w:val="single" w:color="auto" w:sz="4" w:space="0"/>
            </w:tcBorders>
            <w:shd w:val="clear" w:color="auto" w:fill="auto"/>
            <w:vAlign w:val="center"/>
            <w:hideMark/>
          </w:tcPr>
          <w:p w:rsidRPr="009E119A" w:rsidR="009E119A" w:rsidP="009E119A" w:rsidRDefault="009E119A" w14:paraId="373E684F" w14:textId="77777777">
            <w:pPr>
              <w:jc w:val="center"/>
              <w:rPr>
                <w:b/>
                <w:bCs/>
                <w:color w:val="000000"/>
                <w:sz w:val="20"/>
                <w:szCs w:val="20"/>
              </w:rPr>
            </w:pPr>
            <w:r w:rsidRPr="009E119A">
              <w:rPr>
                <w:b/>
                <w:bCs/>
                <w:color w:val="000000"/>
                <w:sz w:val="20"/>
                <w:szCs w:val="20"/>
              </w:rPr>
              <w:t>Papildu finansējums (</w:t>
            </w:r>
            <w:r w:rsidRPr="009E119A">
              <w:rPr>
                <w:b/>
                <w:bCs/>
                <w:i/>
                <w:iCs/>
                <w:color w:val="000000"/>
                <w:sz w:val="20"/>
                <w:szCs w:val="20"/>
              </w:rPr>
              <w:t>Līdzekļi neparedzētiem gadījumiem MK 24.11.2020. rīkojums Nr.669)</w:t>
            </w:r>
          </w:p>
        </w:tc>
        <w:tc>
          <w:tcPr>
            <w:tcW w:w="1417" w:type="dxa"/>
            <w:tcBorders>
              <w:top w:val="single" w:color="auto" w:sz="4" w:space="0"/>
              <w:left w:val="nil"/>
              <w:bottom w:val="single" w:color="auto" w:sz="4" w:space="0"/>
              <w:right w:val="single" w:color="auto" w:sz="4" w:space="0"/>
            </w:tcBorders>
            <w:shd w:val="clear" w:color="auto" w:fill="auto"/>
            <w:vAlign w:val="center"/>
            <w:hideMark/>
          </w:tcPr>
          <w:p w:rsidRPr="009E119A" w:rsidR="009E119A" w:rsidP="009E119A" w:rsidRDefault="009E119A" w14:paraId="703474B7" w14:textId="54541914">
            <w:pPr>
              <w:jc w:val="center"/>
              <w:rPr>
                <w:b/>
                <w:bCs/>
                <w:color w:val="000000"/>
                <w:sz w:val="20"/>
                <w:szCs w:val="20"/>
              </w:rPr>
            </w:pPr>
            <w:r w:rsidRPr="009E119A">
              <w:rPr>
                <w:b/>
                <w:bCs/>
                <w:color w:val="000000"/>
                <w:sz w:val="20"/>
                <w:szCs w:val="20"/>
              </w:rPr>
              <w:t>Kopā pārskaitīt</w:t>
            </w:r>
            <w:r>
              <w:rPr>
                <w:b/>
                <w:bCs/>
                <w:color w:val="000000"/>
                <w:sz w:val="20"/>
                <w:szCs w:val="20"/>
              </w:rPr>
              <w:t>s</w:t>
            </w:r>
          </w:p>
        </w:tc>
      </w:tr>
      <w:tr w:rsidRPr="009E119A" w:rsidR="009E119A" w:rsidTr="00C85A4F" w14:paraId="150310D0" w14:textId="77777777">
        <w:trPr>
          <w:trHeight w:val="1200"/>
        </w:trPr>
        <w:tc>
          <w:tcPr>
            <w:tcW w:w="1560" w:type="dxa"/>
            <w:tcBorders>
              <w:top w:val="nil"/>
              <w:left w:val="single" w:color="auto" w:sz="4" w:space="0"/>
              <w:bottom w:val="single" w:color="auto" w:sz="4" w:space="0"/>
              <w:right w:val="single" w:color="auto" w:sz="4" w:space="0"/>
            </w:tcBorders>
            <w:shd w:val="clear" w:color="auto" w:fill="auto"/>
            <w:vAlign w:val="center"/>
            <w:hideMark/>
          </w:tcPr>
          <w:p w:rsidRPr="009E119A" w:rsidR="009E119A" w:rsidP="009E119A" w:rsidRDefault="009E119A" w14:paraId="54F3FAE0" w14:textId="77777777">
            <w:pPr>
              <w:rPr>
                <w:color w:val="000000"/>
                <w:sz w:val="20"/>
                <w:szCs w:val="20"/>
              </w:rPr>
            </w:pPr>
            <w:r w:rsidRPr="009E119A">
              <w:rPr>
                <w:color w:val="000000"/>
                <w:sz w:val="20"/>
                <w:szCs w:val="20"/>
              </w:rPr>
              <w:t>Reģionālās nozīmes pārvadājumi ar autobusiem</w:t>
            </w:r>
          </w:p>
        </w:tc>
        <w:tc>
          <w:tcPr>
            <w:tcW w:w="1417"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2EEC4BD4" w14:textId="1FA7ED88">
            <w:pPr>
              <w:jc w:val="center"/>
              <w:rPr>
                <w:color w:val="000000"/>
                <w:sz w:val="20"/>
                <w:szCs w:val="20"/>
              </w:rPr>
            </w:pPr>
            <w:r w:rsidRPr="009E119A">
              <w:rPr>
                <w:color w:val="000000"/>
                <w:sz w:val="20"/>
                <w:szCs w:val="20"/>
              </w:rPr>
              <w:t>33 192 189</w:t>
            </w:r>
            <w:r>
              <w:rPr>
                <w:color w:val="000000"/>
                <w:sz w:val="20"/>
                <w:szCs w:val="20"/>
              </w:rPr>
              <w:t>,</w:t>
            </w:r>
            <w:r w:rsidRPr="009E119A">
              <w:rPr>
                <w:color w:val="000000"/>
                <w:sz w:val="20"/>
                <w:szCs w:val="20"/>
              </w:rPr>
              <w:t>48</w:t>
            </w:r>
          </w:p>
        </w:tc>
        <w:tc>
          <w:tcPr>
            <w:tcW w:w="1418"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3A25BF6F" w14:textId="0C1EADAD">
            <w:pPr>
              <w:jc w:val="center"/>
              <w:rPr>
                <w:color w:val="000000"/>
                <w:sz w:val="20"/>
                <w:szCs w:val="20"/>
              </w:rPr>
            </w:pPr>
            <w:r w:rsidRPr="009E119A">
              <w:rPr>
                <w:color w:val="000000"/>
                <w:sz w:val="20"/>
                <w:szCs w:val="20"/>
              </w:rPr>
              <w:t>6 853 287</w:t>
            </w:r>
            <w:r>
              <w:rPr>
                <w:color w:val="000000"/>
                <w:sz w:val="20"/>
                <w:szCs w:val="20"/>
              </w:rPr>
              <w:t>,</w:t>
            </w:r>
            <w:r w:rsidRPr="009E119A">
              <w:rPr>
                <w:color w:val="000000"/>
                <w:sz w:val="20"/>
                <w:szCs w:val="20"/>
              </w:rPr>
              <w:t>80</w:t>
            </w:r>
          </w:p>
        </w:tc>
        <w:tc>
          <w:tcPr>
            <w:tcW w:w="1417"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552DE0BC" w14:textId="7017DDAD">
            <w:pPr>
              <w:jc w:val="center"/>
              <w:rPr>
                <w:color w:val="000000"/>
                <w:sz w:val="20"/>
                <w:szCs w:val="20"/>
              </w:rPr>
            </w:pPr>
            <w:r w:rsidRPr="009E119A">
              <w:rPr>
                <w:color w:val="000000"/>
                <w:sz w:val="20"/>
                <w:szCs w:val="20"/>
              </w:rPr>
              <w:t>675 818</w:t>
            </w:r>
            <w:r>
              <w:rPr>
                <w:color w:val="000000"/>
                <w:sz w:val="20"/>
                <w:szCs w:val="20"/>
              </w:rPr>
              <w:t>,</w:t>
            </w:r>
            <w:r w:rsidRPr="009E119A">
              <w:rPr>
                <w:color w:val="000000"/>
                <w:sz w:val="20"/>
                <w:szCs w:val="20"/>
              </w:rPr>
              <w:t>52</w:t>
            </w:r>
          </w:p>
        </w:tc>
        <w:tc>
          <w:tcPr>
            <w:tcW w:w="1276"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5C137D36" w14:textId="77777777">
            <w:pPr>
              <w:jc w:val="center"/>
              <w:rPr>
                <w:color w:val="000000"/>
                <w:sz w:val="20"/>
                <w:szCs w:val="20"/>
              </w:rPr>
            </w:pPr>
            <w:r w:rsidRPr="009E119A">
              <w:rPr>
                <w:color w:val="000000"/>
                <w:sz w:val="20"/>
                <w:szCs w:val="20"/>
              </w:rPr>
              <w:t>3 335 346</w:t>
            </w:r>
          </w:p>
        </w:tc>
        <w:tc>
          <w:tcPr>
            <w:tcW w:w="1276" w:type="dxa"/>
            <w:tcBorders>
              <w:top w:val="nil"/>
              <w:left w:val="nil"/>
              <w:bottom w:val="single" w:color="auto" w:sz="4" w:space="0"/>
              <w:right w:val="single" w:color="auto" w:sz="4" w:space="0"/>
            </w:tcBorders>
            <w:shd w:val="clear" w:color="auto" w:fill="auto"/>
            <w:noWrap/>
            <w:vAlign w:val="center"/>
            <w:hideMark/>
          </w:tcPr>
          <w:p w:rsidRPr="009E119A" w:rsidR="009E119A" w:rsidP="009E119A" w:rsidRDefault="009E119A" w14:paraId="72B7768D" w14:textId="77777777">
            <w:pPr>
              <w:jc w:val="center"/>
              <w:rPr>
                <w:color w:val="000000"/>
                <w:sz w:val="20"/>
                <w:szCs w:val="20"/>
              </w:rPr>
            </w:pPr>
            <w:r w:rsidRPr="009E119A">
              <w:rPr>
                <w:color w:val="000000"/>
                <w:sz w:val="20"/>
                <w:szCs w:val="20"/>
              </w:rPr>
              <w:t>11 798 402</w:t>
            </w:r>
          </w:p>
        </w:tc>
        <w:tc>
          <w:tcPr>
            <w:tcW w:w="1417"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034BFBAF" w14:textId="4171D77A">
            <w:pPr>
              <w:jc w:val="center"/>
              <w:rPr>
                <w:b/>
                <w:bCs/>
                <w:color w:val="000000"/>
                <w:sz w:val="20"/>
                <w:szCs w:val="20"/>
              </w:rPr>
            </w:pPr>
            <w:r w:rsidRPr="009E119A">
              <w:rPr>
                <w:b/>
                <w:bCs/>
                <w:color w:val="000000"/>
                <w:sz w:val="20"/>
                <w:szCs w:val="20"/>
              </w:rPr>
              <w:t>55 855 043</w:t>
            </w:r>
            <w:r>
              <w:rPr>
                <w:b/>
                <w:bCs/>
                <w:color w:val="000000"/>
                <w:sz w:val="20"/>
                <w:szCs w:val="20"/>
              </w:rPr>
              <w:t>,</w:t>
            </w:r>
            <w:r w:rsidRPr="009E119A">
              <w:rPr>
                <w:b/>
                <w:bCs/>
                <w:color w:val="000000"/>
                <w:sz w:val="20"/>
                <w:szCs w:val="20"/>
              </w:rPr>
              <w:t>80</w:t>
            </w:r>
          </w:p>
        </w:tc>
      </w:tr>
      <w:tr w:rsidRPr="009E119A" w:rsidR="009E119A" w:rsidTr="00C85A4F" w14:paraId="6BA338B7" w14:textId="77777777">
        <w:trPr>
          <w:trHeight w:val="1200"/>
        </w:trPr>
        <w:tc>
          <w:tcPr>
            <w:tcW w:w="1560" w:type="dxa"/>
            <w:tcBorders>
              <w:top w:val="nil"/>
              <w:left w:val="single" w:color="auto" w:sz="4" w:space="0"/>
              <w:bottom w:val="single" w:color="auto" w:sz="4" w:space="0"/>
              <w:right w:val="single" w:color="auto" w:sz="4" w:space="0"/>
            </w:tcBorders>
            <w:shd w:val="clear" w:color="auto" w:fill="auto"/>
            <w:vAlign w:val="center"/>
            <w:hideMark/>
          </w:tcPr>
          <w:p w:rsidRPr="009E119A" w:rsidR="009E119A" w:rsidP="009E119A" w:rsidRDefault="009E119A" w14:paraId="31A8C3CC" w14:textId="77777777">
            <w:pPr>
              <w:rPr>
                <w:color w:val="000000"/>
                <w:sz w:val="20"/>
                <w:szCs w:val="20"/>
              </w:rPr>
            </w:pPr>
            <w:r w:rsidRPr="009E119A">
              <w:rPr>
                <w:color w:val="000000"/>
                <w:sz w:val="20"/>
                <w:szCs w:val="20"/>
              </w:rPr>
              <w:t>Reģionālās nozīmes pārvadājumi pa dzelzceļu</w:t>
            </w:r>
          </w:p>
        </w:tc>
        <w:tc>
          <w:tcPr>
            <w:tcW w:w="1417"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326C377C" w14:textId="77777777">
            <w:pPr>
              <w:jc w:val="center"/>
              <w:rPr>
                <w:color w:val="000000"/>
                <w:sz w:val="20"/>
                <w:szCs w:val="20"/>
              </w:rPr>
            </w:pPr>
            <w:r w:rsidRPr="009E119A">
              <w:rPr>
                <w:color w:val="000000"/>
                <w:sz w:val="20"/>
                <w:szCs w:val="20"/>
              </w:rPr>
              <w:t>7 716 551</w:t>
            </w:r>
          </w:p>
        </w:tc>
        <w:tc>
          <w:tcPr>
            <w:tcW w:w="1418"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7C9969BC" w14:textId="77777777">
            <w:pPr>
              <w:jc w:val="center"/>
              <w:rPr>
                <w:color w:val="000000"/>
                <w:sz w:val="20"/>
                <w:szCs w:val="20"/>
              </w:rPr>
            </w:pPr>
            <w:r w:rsidRPr="009E119A">
              <w:rPr>
                <w:color w:val="000000"/>
                <w:sz w:val="20"/>
                <w:szCs w:val="20"/>
              </w:rPr>
              <w:t>2 545 573</w:t>
            </w:r>
          </w:p>
        </w:tc>
        <w:tc>
          <w:tcPr>
            <w:tcW w:w="1417"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247A3B66" w14:textId="68A860CD">
            <w:pPr>
              <w:jc w:val="center"/>
              <w:rPr>
                <w:color w:val="000000"/>
                <w:sz w:val="20"/>
                <w:szCs w:val="20"/>
              </w:rPr>
            </w:pPr>
            <w:r w:rsidRPr="009E119A">
              <w:rPr>
                <w:color w:val="000000"/>
                <w:sz w:val="20"/>
                <w:szCs w:val="20"/>
              </w:rPr>
              <w:t>1 921</w:t>
            </w:r>
            <w:r>
              <w:rPr>
                <w:color w:val="000000"/>
                <w:sz w:val="20"/>
                <w:szCs w:val="20"/>
              </w:rPr>
              <w:t>,</w:t>
            </w:r>
            <w:r w:rsidRPr="009E119A">
              <w:rPr>
                <w:color w:val="000000"/>
                <w:sz w:val="20"/>
                <w:szCs w:val="20"/>
              </w:rPr>
              <w:t>20</w:t>
            </w:r>
          </w:p>
        </w:tc>
        <w:tc>
          <w:tcPr>
            <w:tcW w:w="1276"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00457354" w14:textId="77777777">
            <w:pPr>
              <w:jc w:val="center"/>
              <w:rPr>
                <w:color w:val="000000"/>
                <w:sz w:val="20"/>
                <w:szCs w:val="20"/>
              </w:rPr>
            </w:pPr>
            <w:r w:rsidRPr="009E119A">
              <w:rPr>
                <w:color w:val="000000"/>
                <w:sz w:val="20"/>
                <w:szCs w:val="20"/>
              </w:rPr>
              <w:t>2 990 047</w:t>
            </w:r>
          </w:p>
        </w:tc>
        <w:tc>
          <w:tcPr>
            <w:tcW w:w="1276" w:type="dxa"/>
            <w:tcBorders>
              <w:top w:val="nil"/>
              <w:left w:val="nil"/>
              <w:bottom w:val="single" w:color="auto" w:sz="4" w:space="0"/>
              <w:right w:val="single" w:color="auto" w:sz="4" w:space="0"/>
            </w:tcBorders>
            <w:shd w:val="clear" w:color="auto" w:fill="auto"/>
            <w:noWrap/>
            <w:vAlign w:val="center"/>
            <w:hideMark/>
          </w:tcPr>
          <w:p w:rsidRPr="009E119A" w:rsidR="009E119A" w:rsidP="009E119A" w:rsidRDefault="009E119A" w14:paraId="036604A2" w14:textId="77777777">
            <w:pPr>
              <w:jc w:val="center"/>
              <w:rPr>
                <w:color w:val="000000"/>
                <w:sz w:val="20"/>
                <w:szCs w:val="20"/>
              </w:rPr>
            </w:pPr>
            <w:r w:rsidRPr="009E119A">
              <w:rPr>
                <w:color w:val="000000"/>
                <w:sz w:val="20"/>
                <w:szCs w:val="20"/>
              </w:rPr>
              <w:t>6 376 210</w:t>
            </w:r>
          </w:p>
        </w:tc>
        <w:tc>
          <w:tcPr>
            <w:tcW w:w="1417"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7BCC6748" w14:textId="1018F14B">
            <w:pPr>
              <w:jc w:val="center"/>
              <w:rPr>
                <w:b/>
                <w:bCs/>
                <w:color w:val="000000"/>
                <w:sz w:val="20"/>
                <w:szCs w:val="20"/>
              </w:rPr>
            </w:pPr>
            <w:r w:rsidRPr="009E119A">
              <w:rPr>
                <w:b/>
                <w:bCs/>
                <w:color w:val="000000"/>
                <w:sz w:val="20"/>
                <w:szCs w:val="20"/>
              </w:rPr>
              <w:t>19 630 302</w:t>
            </w:r>
            <w:r>
              <w:rPr>
                <w:b/>
                <w:bCs/>
                <w:color w:val="000000"/>
                <w:sz w:val="20"/>
                <w:szCs w:val="20"/>
              </w:rPr>
              <w:t>,</w:t>
            </w:r>
            <w:r w:rsidRPr="009E119A">
              <w:rPr>
                <w:b/>
                <w:bCs/>
                <w:color w:val="000000"/>
                <w:sz w:val="20"/>
                <w:szCs w:val="20"/>
              </w:rPr>
              <w:t>20</w:t>
            </w:r>
          </w:p>
        </w:tc>
      </w:tr>
      <w:tr w:rsidRPr="009E119A" w:rsidR="009E119A" w:rsidTr="00C85A4F" w14:paraId="10D578BD" w14:textId="77777777">
        <w:trPr>
          <w:trHeight w:val="1500"/>
        </w:trPr>
        <w:tc>
          <w:tcPr>
            <w:tcW w:w="1560" w:type="dxa"/>
            <w:tcBorders>
              <w:top w:val="nil"/>
              <w:left w:val="single" w:color="auto" w:sz="4" w:space="0"/>
              <w:bottom w:val="single" w:color="auto" w:sz="4" w:space="0"/>
              <w:right w:val="single" w:color="auto" w:sz="4" w:space="0"/>
            </w:tcBorders>
            <w:shd w:val="clear" w:color="auto" w:fill="auto"/>
            <w:vAlign w:val="center"/>
            <w:hideMark/>
          </w:tcPr>
          <w:p w:rsidRPr="009E119A" w:rsidR="009E119A" w:rsidP="009E119A" w:rsidRDefault="009E119A" w14:paraId="6FC3AC67" w14:textId="77777777">
            <w:pPr>
              <w:rPr>
                <w:color w:val="000000"/>
                <w:sz w:val="20"/>
                <w:szCs w:val="20"/>
              </w:rPr>
            </w:pPr>
            <w:r w:rsidRPr="009E119A">
              <w:rPr>
                <w:color w:val="000000"/>
                <w:sz w:val="20"/>
                <w:szCs w:val="20"/>
              </w:rPr>
              <w:t>Pilsētu nozīmes pārvadājumi republikas pilsētās</w:t>
            </w:r>
          </w:p>
        </w:tc>
        <w:tc>
          <w:tcPr>
            <w:tcW w:w="1417"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40B9E939" w14:textId="5E478501">
            <w:pPr>
              <w:jc w:val="center"/>
              <w:rPr>
                <w:color w:val="000000"/>
                <w:sz w:val="20"/>
                <w:szCs w:val="20"/>
              </w:rPr>
            </w:pPr>
            <w:r w:rsidRPr="009E119A">
              <w:rPr>
                <w:color w:val="000000"/>
                <w:sz w:val="20"/>
                <w:szCs w:val="20"/>
              </w:rPr>
              <w:t>2 409 509</w:t>
            </w:r>
            <w:r>
              <w:rPr>
                <w:color w:val="000000"/>
                <w:sz w:val="20"/>
                <w:szCs w:val="20"/>
              </w:rPr>
              <w:t>,</w:t>
            </w:r>
            <w:r w:rsidRPr="009E119A">
              <w:rPr>
                <w:color w:val="000000"/>
                <w:sz w:val="20"/>
                <w:szCs w:val="20"/>
              </w:rPr>
              <w:t>36</w:t>
            </w:r>
          </w:p>
        </w:tc>
        <w:tc>
          <w:tcPr>
            <w:tcW w:w="1418"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373508A6" w14:textId="77777777">
            <w:pPr>
              <w:jc w:val="center"/>
              <w:rPr>
                <w:color w:val="000000"/>
                <w:sz w:val="20"/>
                <w:szCs w:val="20"/>
              </w:rPr>
            </w:pPr>
            <w:r w:rsidRPr="009E119A">
              <w:rPr>
                <w:color w:val="000000"/>
                <w:sz w:val="20"/>
                <w:szCs w:val="20"/>
              </w:rPr>
              <w:t>8 172 143</w:t>
            </w:r>
          </w:p>
        </w:tc>
        <w:tc>
          <w:tcPr>
            <w:tcW w:w="1417"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08999316" w14:textId="6ECC3F87">
            <w:pPr>
              <w:jc w:val="center"/>
              <w:rPr>
                <w:color w:val="000000"/>
                <w:sz w:val="20"/>
                <w:szCs w:val="20"/>
              </w:rPr>
            </w:pPr>
            <w:r w:rsidRPr="009E119A">
              <w:rPr>
                <w:color w:val="000000"/>
                <w:sz w:val="20"/>
                <w:szCs w:val="20"/>
              </w:rPr>
              <w:t>36 524</w:t>
            </w:r>
            <w:r>
              <w:rPr>
                <w:color w:val="000000"/>
                <w:sz w:val="20"/>
                <w:szCs w:val="20"/>
              </w:rPr>
              <w:t>,</w:t>
            </w:r>
            <w:r w:rsidRPr="009E119A">
              <w:rPr>
                <w:color w:val="000000"/>
                <w:sz w:val="20"/>
                <w:szCs w:val="20"/>
              </w:rPr>
              <w:t>64</w:t>
            </w:r>
          </w:p>
        </w:tc>
        <w:tc>
          <w:tcPr>
            <w:tcW w:w="1276"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06AC711D" w14:textId="77777777">
            <w:pPr>
              <w:jc w:val="center"/>
              <w:rPr>
                <w:b/>
                <w:bCs/>
                <w:color w:val="000000"/>
                <w:sz w:val="20"/>
                <w:szCs w:val="20"/>
              </w:rPr>
            </w:pPr>
            <w:r w:rsidRPr="009E119A">
              <w:rPr>
                <w:b/>
                <w:bCs/>
                <w:color w:val="000000"/>
                <w:sz w:val="20"/>
                <w:szCs w:val="20"/>
              </w:rPr>
              <w:t> </w:t>
            </w:r>
          </w:p>
        </w:tc>
        <w:tc>
          <w:tcPr>
            <w:tcW w:w="1276" w:type="dxa"/>
            <w:tcBorders>
              <w:top w:val="nil"/>
              <w:left w:val="nil"/>
              <w:bottom w:val="single" w:color="auto" w:sz="4" w:space="0"/>
              <w:right w:val="single" w:color="auto" w:sz="4" w:space="0"/>
            </w:tcBorders>
            <w:shd w:val="clear" w:color="auto" w:fill="auto"/>
            <w:noWrap/>
            <w:vAlign w:val="center"/>
            <w:hideMark/>
          </w:tcPr>
          <w:p w:rsidRPr="009E119A" w:rsidR="009E119A" w:rsidP="009E119A" w:rsidRDefault="009E119A" w14:paraId="207C08E7" w14:textId="77777777">
            <w:pPr>
              <w:jc w:val="center"/>
              <w:rPr>
                <w:color w:val="000000"/>
                <w:sz w:val="20"/>
                <w:szCs w:val="20"/>
              </w:rPr>
            </w:pPr>
            <w:r w:rsidRPr="009E119A">
              <w:rPr>
                <w:color w:val="000000"/>
                <w:sz w:val="20"/>
                <w:szCs w:val="20"/>
              </w:rPr>
              <w:t> </w:t>
            </w:r>
          </w:p>
        </w:tc>
        <w:tc>
          <w:tcPr>
            <w:tcW w:w="1417" w:type="dxa"/>
            <w:tcBorders>
              <w:top w:val="nil"/>
              <w:left w:val="nil"/>
              <w:bottom w:val="single" w:color="auto" w:sz="4" w:space="0"/>
              <w:right w:val="single" w:color="auto" w:sz="4" w:space="0"/>
            </w:tcBorders>
            <w:shd w:val="clear" w:color="auto" w:fill="auto"/>
            <w:vAlign w:val="center"/>
            <w:hideMark/>
          </w:tcPr>
          <w:p w:rsidRPr="009E119A" w:rsidR="009E119A" w:rsidP="009E119A" w:rsidRDefault="009E119A" w14:paraId="516E5591" w14:textId="2F3E2376">
            <w:pPr>
              <w:jc w:val="center"/>
              <w:rPr>
                <w:b/>
                <w:bCs/>
                <w:color w:val="000000"/>
                <w:sz w:val="20"/>
                <w:szCs w:val="20"/>
              </w:rPr>
            </w:pPr>
            <w:r w:rsidRPr="009E119A">
              <w:rPr>
                <w:b/>
                <w:bCs/>
                <w:color w:val="000000"/>
                <w:sz w:val="20"/>
                <w:szCs w:val="20"/>
              </w:rPr>
              <w:t>10 618 177</w:t>
            </w:r>
            <w:r>
              <w:rPr>
                <w:b/>
                <w:bCs/>
                <w:color w:val="000000"/>
                <w:sz w:val="20"/>
                <w:szCs w:val="20"/>
              </w:rPr>
              <w:t>,</w:t>
            </w:r>
            <w:r w:rsidRPr="009E119A">
              <w:rPr>
                <w:b/>
                <w:bCs/>
                <w:color w:val="000000"/>
                <w:sz w:val="20"/>
                <w:szCs w:val="20"/>
              </w:rPr>
              <w:t>00</w:t>
            </w:r>
          </w:p>
        </w:tc>
      </w:tr>
      <w:tr w:rsidRPr="009E119A" w:rsidR="009E119A" w:rsidTr="009E119A" w14:paraId="14907D1E" w14:textId="77777777">
        <w:trPr>
          <w:trHeight w:val="300"/>
        </w:trPr>
        <w:tc>
          <w:tcPr>
            <w:tcW w:w="1560" w:type="dxa"/>
            <w:tcBorders>
              <w:top w:val="nil"/>
              <w:left w:val="single" w:color="auto" w:sz="4" w:space="0"/>
              <w:bottom w:val="single" w:color="auto" w:sz="4" w:space="0"/>
              <w:right w:val="single" w:color="auto" w:sz="4" w:space="0"/>
            </w:tcBorders>
            <w:shd w:val="clear" w:color="auto" w:fill="auto"/>
            <w:noWrap/>
            <w:vAlign w:val="bottom"/>
            <w:hideMark/>
          </w:tcPr>
          <w:p w:rsidRPr="009E119A" w:rsidR="009E119A" w:rsidP="009E119A" w:rsidRDefault="009E119A" w14:paraId="6885B510" w14:textId="3EF81BD5">
            <w:pPr>
              <w:rPr>
                <w:color w:val="000000"/>
                <w:sz w:val="20"/>
                <w:szCs w:val="20"/>
              </w:rPr>
            </w:pPr>
            <w:r w:rsidRPr="009E119A">
              <w:rPr>
                <w:color w:val="000000"/>
                <w:sz w:val="20"/>
                <w:szCs w:val="20"/>
              </w:rPr>
              <w:t> </w:t>
            </w:r>
            <w:r>
              <w:rPr>
                <w:color w:val="000000"/>
                <w:sz w:val="20"/>
                <w:szCs w:val="20"/>
              </w:rPr>
              <w:t>Pavisam kopā</w:t>
            </w:r>
          </w:p>
        </w:tc>
        <w:tc>
          <w:tcPr>
            <w:tcW w:w="1417" w:type="dxa"/>
            <w:tcBorders>
              <w:top w:val="nil"/>
              <w:left w:val="nil"/>
              <w:bottom w:val="single" w:color="auto" w:sz="4" w:space="0"/>
              <w:right w:val="single" w:color="auto" w:sz="4" w:space="0"/>
            </w:tcBorders>
            <w:shd w:val="clear" w:color="auto" w:fill="auto"/>
            <w:noWrap/>
            <w:vAlign w:val="bottom"/>
            <w:hideMark/>
          </w:tcPr>
          <w:p w:rsidRPr="009E119A" w:rsidR="009E119A" w:rsidP="009E119A" w:rsidRDefault="009E119A" w14:paraId="6C800ED0" w14:textId="1154FCD6">
            <w:pPr>
              <w:jc w:val="center"/>
              <w:rPr>
                <w:color w:val="000000"/>
                <w:sz w:val="20"/>
                <w:szCs w:val="20"/>
              </w:rPr>
            </w:pPr>
            <w:r w:rsidRPr="009E119A">
              <w:rPr>
                <w:color w:val="000000"/>
                <w:sz w:val="20"/>
                <w:szCs w:val="20"/>
              </w:rPr>
              <w:t>43 318 249</w:t>
            </w:r>
            <w:r>
              <w:rPr>
                <w:color w:val="000000"/>
                <w:sz w:val="20"/>
                <w:szCs w:val="20"/>
              </w:rPr>
              <w:t>,</w:t>
            </w:r>
            <w:r w:rsidRPr="009E119A">
              <w:rPr>
                <w:color w:val="000000"/>
                <w:sz w:val="20"/>
                <w:szCs w:val="20"/>
              </w:rPr>
              <w:t>84</w:t>
            </w:r>
          </w:p>
        </w:tc>
        <w:tc>
          <w:tcPr>
            <w:tcW w:w="1418" w:type="dxa"/>
            <w:tcBorders>
              <w:top w:val="nil"/>
              <w:left w:val="nil"/>
              <w:bottom w:val="single" w:color="auto" w:sz="4" w:space="0"/>
              <w:right w:val="single" w:color="auto" w:sz="4" w:space="0"/>
            </w:tcBorders>
            <w:shd w:val="clear" w:color="auto" w:fill="auto"/>
            <w:noWrap/>
            <w:vAlign w:val="bottom"/>
            <w:hideMark/>
          </w:tcPr>
          <w:p w:rsidRPr="009E119A" w:rsidR="009E119A" w:rsidP="009E119A" w:rsidRDefault="009E119A" w14:paraId="07C51FE7" w14:textId="7D3464D3">
            <w:pPr>
              <w:jc w:val="center"/>
              <w:rPr>
                <w:color w:val="000000"/>
                <w:sz w:val="20"/>
                <w:szCs w:val="20"/>
              </w:rPr>
            </w:pPr>
            <w:r w:rsidRPr="009E119A">
              <w:rPr>
                <w:color w:val="000000"/>
                <w:sz w:val="20"/>
                <w:szCs w:val="20"/>
              </w:rPr>
              <w:t>17 571 003</w:t>
            </w:r>
            <w:r>
              <w:rPr>
                <w:color w:val="000000"/>
                <w:sz w:val="20"/>
                <w:szCs w:val="20"/>
              </w:rPr>
              <w:t>,</w:t>
            </w:r>
            <w:r w:rsidRPr="009E119A">
              <w:rPr>
                <w:color w:val="000000"/>
                <w:sz w:val="20"/>
                <w:szCs w:val="20"/>
              </w:rPr>
              <w:t>80</w:t>
            </w:r>
          </w:p>
        </w:tc>
        <w:tc>
          <w:tcPr>
            <w:tcW w:w="1417" w:type="dxa"/>
            <w:tcBorders>
              <w:top w:val="nil"/>
              <w:left w:val="nil"/>
              <w:bottom w:val="single" w:color="auto" w:sz="4" w:space="0"/>
              <w:right w:val="single" w:color="auto" w:sz="4" w:space="0"/>
            </w:tcBorders>
            <w:shd w:val="clear" w:color="auto" w:fill="auto"/>
            <w:noWrap/>
            <w:vAlign w:val="bottom"/>
            <w:hideMark/>
          </w:tcPr>
          <w:p w:rsidRPr="009E119A" w:rsidR="009E119A" w:rsidP="009E119A" w:rsidRDefault="009E119A" w14:paraId="30658868" w14:textId="2EE22EEE">
            <w:pPr>
              <w:jc w:val="center"/>
              <w:rPr>
                <w:color w:val="000000"/>
                <w:sz w:val="20"/>
                <w:szCs w:val="20"/>
              </w:rPr>
            </w:pPr>
            <w:r w:rsidRPr="009E119A">
              <w:rPr>
                <w:color w:val="000000"/>
                <w:sz w:val="20"/>
                <w:szCs w:val="20"/>
              </w:rPr>
              <w:t>714 264</w:t>
            </w:r>
            <w:r>
              <w:rPr>
                <w:color w:val="000000"/>
                <w:sz w:val="20"/>
                <w:szCs w:val="20"/>
              </w:rPr>
              <w:t>,</w:t>
            </w:r>
            <w:r w:rsidRPr="009E119A">
              <w:rPr>
                <w:color w:val="000000"/>
                <w:sz w:val="20"/>
                <w:szCs w:val="20"/>
              </w:rPr>
              <w:t>36</w:t>
            </w:r>
          </w:p>
        </w:tc>
        <w:tc>
          <w:tcPr>
            <w:tcW w:w="1276" w:type="dxa"/>
            <w:tcBorders>
              <w:top w:val="nil"/>
              <w:left w:val="nil"/>
              <w:bottom w:val="single" w:color="auto" w:sz="4" w:space="0"/>
              <w:right w:val="single" w:color="auto" w:sz="4" w:space="0"/>
            </w:tcBorders>
            <w:shd w:val="clear" w:color="auto" w:fill="auto"/>
            <w:noWrap/>
            <w:vAlign w:val="bottom"/>
            <w:hideMark/>
          </w:tcPr>
          <w:p w:rsidRPr="009E119A" w:rsidR="009E119A" w:rsidP="009E119A" w:rsidRDefault="009E119A" w14:paraId="422ECD0E" w14:textId="4D362E8A">
            <w:pPr>
              <w:jc w:val="center"/>
              <w:rPr>
                <w:color w:val="000000"/>
                <w:sz w:val="20"/>
                <w:szCs w:val="20"/>
              </w:rPr>
            </w:pPr>
            <w:r w:rsidRPr="009E119A">
              <w:rPr>
                <w:color w:val="000000"/>
                <w:sz w:val="20"/>
                <w:szCs w:val="20"/>
              </w:rPr>
              <w:t>6 325 393</w:t>
            </w:r>
          </w:p>
        </w:tc>
        <w:tc>
          <w:tcPr>
            <w:tcW w:w="1276" w:type="dxa"/>
            <w:tcBorders>
              <w:top w:val="nil"/>
              <w:left w:val="nil"/>
              <w:bottom w:val="single" w:color="auto" w:sz="4" w:space="0"/>
              <w:right w:val="single" w:color="auto" w:sz="4" w:space="0"/>
            </w:tcBorders>
            <w:shd w:val="clear" w:color="auto" w:fill="auto"/>
            <w:noWrap/>
            <w:vAlign w:val="bottom"/>
            <w:hideMark/>
          </w:tcPr>
          <w:p w:rsidRPr="009E119A" w:rsidR="009E119A" w:rsidP="009E119A" w:rsidRDefault="009E119A" w14:paraId="187D72AC" w14:textId="01C063F0">
            <w:pPr>
              <w:jc w:val="center"/>
              <w:rPr>
                <w:color w:val="000000"/>
                <w:sz w:val="20"/>
                <w:szCs w:val="20"/>
              </w:rPr>
            </w:pPr>
            <w:r w:rsidRPr="009E119A">
              <w:rPr>
                <w:color w:val="000000"/>
                <w:sz w:val="20"/>
                <w:szCs w:val="20"/>
              </w:rPr>
              <w:t>18 174 612</w:t>
            </w:r>
          </w:p>
        </w:tc>
        <w:tc>
          <w:tcPr>
            <w:tcW w:w="1417" w:type="dxa"/>
            <w:tcBorders>
              <w:top w:val="nil"/>
              <w:left w:val="nil"/>
              <w:bottom w:val="single" w:color="auto" w:sz="4" w:space="0"/>
              <w:right w:val="single" w:color="auto" w:sz="4" w:space="0"/>
            </w:tcBorders>
            <w:shd w:val="clear" w:color="auto" w:fill="auto"/>
            <w:noWrap/>
            <w:vAlign w:val="bottom"/>
            <w:hideMark/>
          </w:tcPr>
          <w:p w:rsidRPr="009E119A" w:rsidR="009E119A" w:rsidP="009E119A" w:rsidRDefault="009E119A" w14:paraId="1FA4E922" w14:textId="4F9ACE85">
            <w:pPr>
              <w:jc w:val="center"/>
              <w:rPr>
                <w:color w:val="000000"/>
                <w:sz w:val="20"/>
                <w:szCs w:val="20"/>
              </w:rPr>
            </w:pPr>
            <w:r w:rsidRPr="009E119A">
              <w:rPr>
                <w:color w:val="000000"/>
                <w:sz w:val="20"/>
                <w:szCs w:val="20"/>
              </w:rPr>
              <w:t>86 103 523</w:t>
            </w:r>
            <w:r>
              <w:rPr>
                <w:color w:val="000000"/>
                <w:sz w:val="20"/>
                <w:szCs w:val="20"/>
              </w:rPr>
              <w:t>,</w:t>
            </w:r>
            <w:r w:rsidRPr="009E119A">
              <w:rPr>
                <w:color w:val="000000"/>
                <w:sz w:val="20"/>
                <w:szCs w:val="20"/>
              </w:rPr>
              <w:t>00</w:t>
            </w:r>
          </w:p>
        </w:tc>
      </w:tr>
    </w:tbl>
    <w:p w:rsidR="009E119A" w:rsidP="00C85A4F" w:rsidRDefault="009E119A" w14:paraId="09435A93" w14:textId="77F65E30">
      <w:pPr>
        <w:jc w:val="both"/>
        <w:rPr>
          <w:bCs/>
          <w:sz w:val="28"/>
          <w:szCs w:val="28"/>
        </w:rPr>
      </w:pPr>
    </w:p>
    <w:p w:rsidRPr="008F38F2" w:rsidR="009E119A" w:rsidP="00DE309D" w:rsidRDefault="009E119A" w14:paraId="41885EC2" w14:textId="77777777">
      <w:pPr>
        <w:ind w:firstLine="720"/>
        <w:jc w:val="both"/>
        <w:rPr>
          <w:bCs/>
          <w:sz w:val="28"/>
          <w:szCs w:val="28"/>
        </w:rPr>
      </w:pPr>
    </w:p>
    <w:p w:rsidR="004F070A" w:rsidP="00DE309D" w:rsidRDefault="00DE309D" w14:paraId="63C14AFF" w14:textId="2719E9D7">
      <w:pPr>
        <w:ind w:firstLine="709"/>
        <w:jc w:val="both"/>
        <w:rPr>
          <w:color w:val="000000"/>
          <w:sz w:val="28"/>
          <w:szCs w:val="28"/>
        </w:rPr>
      </w:pPr>
      <w:r w:rsidRPr="008F38F2">
        <w:rPr>
          <w:sz w:val="28"/>
          <w:szCs w:val="28"/>
        </w:rPr>
        <w:lastRenderedPageBreak/>
        <w:t>Kopā 2020.gadā pārskaitītas dotācijas par sabiedriskā transporta pakalpojumu nodrošināšanu</w:t>
      </w:r>
      <w:r w:rsidR="00B97094">
        <w:rPr>
          <w:sz w:val="28"/>
          <w:szCs w:val="28"/>
        </w:rPr>
        <w:t xml:space="preserve"> </w:t>
      </w:r>
      <w:r w:rsidR="001356E5">
        <w:rPr>
          <w:sz w:val="28"/>
          <w:szCs w:val="28"/>
        </w:rPr>
        <w:t>86 103 523</w:t>
      </w:r>
      <w:r w:rsidR="000B6D89">
        <w:rPr>
          <w:sz w:val="28"/>
          <w:szCs w:val="28"/>
        </w:rPr>
        <w:t xml:space="preserve"> </w:t>
      </w:r>
      <w:proofErr w:type="spellStart"/>
      <w:r w:rsidRPr="000B6D89" w:rsidR="000B6D89">
        <w:rPr>
          <w:i/>
          <w:iCs/>
          <w:sz w:val="28"/>
          <w:szCs w:val="28"/>
        </w:rPr>
        <w:t>e</w:t>
      </w:r>
      <w:r w:rsidR="000B6D89">
        <w:rPr>
          <w:i/>
          <w:iCs/>
          <w:sz w:val="28"/>
          <w:szCs w:val="28"/>
        </w:rPr>
        <w:t>u</w:t>
      </w:r>
      <w:r w:rsidRPr="000B6D89" w:rsidR="000B6D89">
        <w:rPr>
          <w:i/>
          <w:iCs/>
          <w:sz w:val="28"/>
          <w:szCs w:val="28"/>
        </w:rPr>
        <w:t>ro</w:t>
      </w:r>
      <w:proofErr w:type="spellEnd"/>
      <w:r w:rsidRPr="008F38F2">
        <w:rPr>
          <w:sz w:val="28"/>
          <w:szCs w:val="28"/>
        </w:rPr>
        <w:t xml:space="preserve"> apmērā, tajā skaitā norēķinos par iepriekšējo pārskata (2019.gada) periodu </w:t>
      </w:r>
      <w:r w:rsidRPr="008F38F2">
        <w:rPr>
          <w:color w:val="000000"/>
          <w:sz w:val="28"/>
          <w:szCs w:val="28"/>
        </w:rPr>
        <w:t xml:space="preserve">714 264,36 </w:t>
      </w:r>
      <w:proofErr w:type="spellStart"/>
      <w:r w:rsidRPr="000B6D89" w:rsidR="000B6D89">
        <w:rPr>
          <w:i/>
          <w:iCs/>
          <w:sz w:val="28"/>
          <w:szCs w:val="28"/>
        </w:rPr>
        <w:t>e</w:t>
      </w:r>
      <w:r w:rsidR="000B6D89">
        <w:rPr>
          <w:i/>
          <w:iCs/>
          <w:sz w:val="28"/>
          <w:szCs w:val="28"/>
        </w:rPr>
        <w:t>u</w:t>
      </w:r>
      <w:r w:rsidRPr="000B6D89" w:rsidR="000B6D89">
        <w:rPr>
          <w:i/>
          <w:iCs/>
          <w:sz w:val="28"/>
          <w:szCs w:val="28"/>
        </w:rPr>
        <w:t>ro</w:t>
      </w:r>
      <w:proofErr w:type="spellEnd"/>
      <w:r w:rsidRPr="008F38F2">
        <w:rPr>
          <w:color w:val="000000"/>
          <w:sz w:val="28"/>
          <w:szCs w:val="28"/>
        </w:rPr>
        <w:t xml:space="preserve">. </w:t>
      </w:r>
    </w:p>
    <w:p w:rsidRPr="008F38F2" w:rsidR="00DE309D" w:rsidP="00DE309D" w:rsidRDefault="00DE309D" w14:paraId="6A6995FA" w14:textId="5DC3049D">
      <w:pPr>
        <w:ind w:firstLine="709"/>
        <w:jc w:val="both"/>
        <w:rPr>
          <w:sz w:val="28"/>
          <w:szCs w:val="28"/>
        </w:rPr>
      </w:pPr>
      <w:r w:rsidRPr="008F38F2">
        <w:rPr>
          <w:color w:val="000000"/>
          <w:sz w:val="28"/>
          <w:szCs w:val="28"/>
        </w:rPr>
        <w:t xml:space="preserve">Neskatoties uz papildu finansējuma apjomu, 2020.gada nogalē pasliktinoties epidemioloģiskai situācijai, kuras rezultātā pasažieru skaits atkārtoti būtiski samazinājās, 2020.gadā nesegto zaudējumu apmērs (pēc datiem uz 2021.gada 1.martu) ir 2 348 784,73 </w:t>
      </w:r>
      <w:proofErr w:type="spellStart"/>
      <w:r w:rsidRPr="000B6D89" w:rsidR="000B6D89">
        <w:rPr>
          <w:i/>
          <w:iCs/>
          <w:sz w:val="28"/>
          <w:szCs w:val="28"/>
        </w:rPr>
        <w:t>e</w:t>
      </w:r>
      <w:r w:rsidR="000B6D89">
        <w:rPr>
          <w:i/>
          <w:iCs/>
          <w:sz w:val="28"/>
          <w:szCs w:val="28"/>
        </w:rPr>
        <w:t>u</w:t>
      </w:r>
      <w:r w:rsidRPr="000B6D89" w:rsidR="000B6D89">
        <w:rPr>
          <w:i/>
          <w:iCs/>
          <w:sz w:val="28"/>
          <w:szCs w:val="28"/>
        </w:rPr>
        <w:t>ro</w:t>
      </w:r>
      <w:proofErr w:type="spellEnd"/>
      <w:r w:rsidRPr="008F38F2">
        <w:rPr>
          <w:color w:val="000000"/>
          <w:sz w:val="28"/>
          <w:szCs w:val="28"/>
        </w:rPr>
        <w:t xml:space="preserve"> (skat. Tabulu Nr.</w:t>
      </w:r>
      <w:r w:rsidR="001356E5">
        <w:rPr>
          <w:color w:val="000000"/>
          <w:sz w:val="28"/>
          <w:szCs w:val="28"/>
        </w:rPr>
        <w:t>2</w:t>
      </w:r>
      <w:r w:rsidRPr="008F38F2">
        <w:rPr>
          <w:color w:val="000000"/>
          <w:sz w:val="28"/>
          <w:szCs w:val="28"/>
        </w:rPr>
        <w:t>)</w:t>
      </w:r>
    </w:p>
    <w:p w:rsidR="00DE309D" w:rsidP="00DE309D" w:rsidRDefault="00DE309D" w14:paraId="6FAB7CD2" w14:textId="77777777">
      <w:pPr>
        <w:pStyle w:val="BodyText"/>
        <w:ind w:firstLine="709"/>
        <w:jc w:val="both"/>
        <w:rPr>
          <w:b/>
          <w:bCs/>
          <w:sz w:val="28"/>
          <w:szCs w:val="28"/>
        </w:rPr>
      </w:pPr>
    </w:p>
    <w:p w:rsidRPr="00EE4870" w:rsidR="00DE309D" w:rsidP="00DE309D" w:rsidRDefault="00DE309D" w14:paraId="20E07ECD" w14:textId="63A70256">
      <w:pPr>
        <w:ind w:firstLine="709"/>
        <w:jc w:val="right"/>
        <w:rPr>
          <w:bCs/>
        </w:rPr>
      </w:pPr>
      <w:r w:rsidRPr="00EE4870">
        <w:rPr>
          <w:bCs/>
        </w:rPr>
        <w:t>Tabula Nr.</w:t>
      </w:r>
      <w:r w:rsidR="009E119A">
        <w:rPr>
          <w:bCs/>
        </w:rPr>
        <w:t>2</w:t>
      </w:r>
    </w:p>
    <w:p w:rsidR="00DE309D" w:rsidP="00DE309D" w:rsidRDefault="00DE309D" w14:paraId="5F6D3159" w14:textId="77777777">
      <w:pPr>
        <w:ind w:firstLine="709"/>
        <w:jc w:val="right"/>
        <w:rPr>
          <w:b/>
        </w:rPr>
      </w:pPr>
      <w:r>
        <w:rPr>
          <w:b/>
        </w:rPr>
        <w:t>Reģionālās nozīmes pārvadājumos 2020.gada f</w:t>
      </w:r>
      <w:r w:rsidRPr="00807A83">
        <w:rPr>
          <w:b/>
        </w:rPr>
        <w:t xml:space="preserve">aktiskā </w:t>
      </w:r>
    </w:p>
    <w:p w:rsidRPr="00807A83" w:rsidR="00DE309D" w:rsidP="00DE309D" w:rsidRDefault="00DE309D" w14:paraId="7B0B09FB" w14:textId="77777777">
      <w:pPr>
        <w:ind w:firstLine="709"/>
        <w:jc w:val="right"/>
        <w:rPr>
          <w:b/>
        </w:rPr>
      </w:pPr>
      <w:r w:rsidRPr="00807A83">
        <w:rPr>
          <w:b/>
        </w:rPr>
        <w:t>sabiedriskā transporta pakalpojumu līguma izpilde</w:t>
      </w:r>
    </w:p>
    <w:tbl>
      <w:tblPr>
        <w:tblW w:w="9067" w:type="dxa"/>
        <w:tblLook w:val="04A0" w:firstRow="1" w:lastRow="0" w:firstColumn="1" w:lastColumn="0" w:noHBand="0" w:noVBand="1"/>
      </w:tblPr>
      <w:tblGrid>
        <w:gridCol w:w="890"/>
        <w:gridCol w:w="3925"/>
        <w:gridCol w:w="2126"/>
        <w:gridCol w:w="2126"/>
      </w:tblGrid>
      <w:tr w:rsidRPr="003F0DDB" w:rsidR="00DE309D" w:rsidTr="000F45D1" w14:paraId="6640F1B4" w14:textId="77777777">
        <w:trPr>
          <w:trHeight w:val="630"/>
        </w:trPr>
        <w:tc>
          <w:tcPr>
            <w:tcW w:w="8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F0DDB" w:rsidR="00DE309D" w:rsidP="000F45D1" w:rsidRDefault="00DE309D" w14:paraId="718ADC8A" w14:textId="77777777">
            <w:proofErr w:type="spellStart"/>
            <w:r w:rsidRPr="003F0DDB">
              <w:t>Nr.p.k</w:t>
            </w:r>
            <w:proofErr w:type="spellEnd"/>
            <w:r w:rsidRPr="003F0DDB">
              <w:t>.</w:t>
            </w:r>
          </w:p>
        </w:tc>
        <w:tc>
          <w:tcPr>
            <w:tcW w:w="3925" w:type="dxa"/>
            <w:tcBorders>
              <w:top w:val="single" w:color="auto" w:sz="4" w:space="0"/>
              <w:left w:val="nil"/>
              <w:bottom w:val="single" w:color="auto" w:sz="4" w:space="0"/>
              <w:right w:val="single" w:color="auto" w:sz="4" w:space="0"/>
            </w:tcBorders>
            <w:shd w:val="clear" w:color="auto" w:fill="auto"/>
            <w:vAlign w:val="center"/>
            <w:hideMark/>
          </w:tcPr>
          <w:p w:rsidRPr="003F0DDB" w:rsidR="00DE309D" w:rsidP="000F45D1" w:rsidRDefault="00DE309D" w14:paraId="773B8BCC" w14:textId="77777777">
            <w:pPr>
              <w:rPr>
                <w:b/>
                <w:bCs/>
              </w:rPr>
            </w:pPr>
            <w:r w:rsidRPr="003F0DDB">
              <w:rPr>
                <w:b/>
                <w:bCs/>
              </w:rPr>
              <w:t>Rādītāja nosaukums</w:t>
            </w:r>
          </w:p>
        </w:tc>
        <w:tc>
          <w:tcPr>
            <w:tcW w:w="2126" w:type="dxa"/>
            <w:tcBorders>
              <w:top w:val="single" w:color="auto" w:sz="4" w:space="0"/>
              <w:left w:val="nil"/>
              <w:bottom w:val="single" w:color="auto" w:sz="4" w:space="0"/>
              <w:right w:val="single" w:color="auto" w:sz="4" w:space="0"/>
            </w:tcBorders>
            <w:shd w:val="clear" w:color="auto" w:fill="auto"/>
            <w:vAlign w:val="center"/>
            <w:hideMark/>
          </w:tcPr>
          <w:p w:rsidRPr="003F0DDB" w:rsidR="00DE309D" w:rsidP="000F45D1" w:rsidRDefault="00DE309D" w14:paraId="426F0014" w14:textId="77777777">
            <w:pPr>
              <w:jc w:val="center"/>
              <w:rPr>
                <w:b/>
                <w:bCs/>
              </w:rPr>
            </w:pPr>
            <w:r w:rsidRPr="003F0DDB">
              <w:rPr>
                <w:b/>
                <w:bCs/>
              </w:rPr>
              <w:t xml:space="preserve">Autobusu pārvadājumi </w:t>
            </w:r>
          </w:p>
        </w:tc>
        <w:tc>
          <w:tcPr>
            <w:tcW w:w="2126" w:type="dxa"/>
            <w:tcBorders>
              <w:top w:val="single" w:color="auto" w:sz="4" w:space="0"/>
              <w:left w:val="nil"/>
              <w:bottom w:val="single" w:color="auto" w:sz="4" w:space="0"/>
              <w:right w:val="single" w:color="auto" w:sz="4" w:space="0"/>
            </w:tcBorders>
            <w:shd w:val="clear" w:color="auto" w:fill="auto"/>
            <w:vAlign w:val="center"/>
            <w:hideMark/>
          </w:tcPr>
          <w:p w:rsidRPr="003F0DDB" w:rsidR="00DE309D" w:rsidP="000F45D1" w:rsidRDefault="00DE309D" w14:paraId="3762D98E" w14:textId="77777777">
            <w:pPr>
              <w:jc w:val="center"/>
              <w:rPr>
                <w:b/>
                <w:bCs/>
              </w:rPr>
            </w:pPr>
            <w:r w:rsidRPr="003F0DDB">
              <w:rPr>
                <w:b/>
                <w:bCs/>
              </w:rPr>
              <w:t>Vilcienu pārvadājumi</w:t>
            </w:r>
          </w:p>
        </w:tc>
      </w:tr>
      <w:tr w:rsidRPr="00E7050F" w:rsidR="00DE309D" w:rsidTr="000F45D1" w14:paraId="16668CC2" w14:textId="77777777">
        <w:trPr>
          <w:trHeight w:val="31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64856D6A" w14:textId="77777777">
            <w:pPr>
              <w:jc w:val="center"/>
              <w:rPr>
                <w:sz w:val="22"/>
                <w:szCs w:val="22"/>
              </w:rPr>
            </w:pPr>
            <w:r w:rsidRPr="00C659FA">
              <w:rPr>
                <w:sz w:val="22"/>
                <w:szCs w:val="22"/>
              </w:rPr>
              <w:t>1</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6DC37257" w14:textId="47FC0693">
            <w:pPr>
              <w:rPr>
                <w:sz w:val="22"/>
                <w:szCs w:val="22"/>
              </w:rPr>
            </w:pPr>
            <w:r w:rsidRPr="00C659FA">
              <w:rPr>
                <w:sz w:val="22"/>
                <w:szCs w:val="22"/>
              </w:rPr>
              <w:t xml:space="preserve">Ieņēmumi, </w:t>
            </w:r>
            <w:proofErr w:type="spellStart"/>
            <w:r w:rsidRPr="00C659FA" w:rsidR="000B6D89">
              <w:rPr>
                <w:i/>
                <w:iCs/>
                <w:sz w:val="22"/>
                <w:szCs w:val="22"/>
              </w:rPr>
              <w:t>euro</w:t>
            </w:r>
            <w:proofErr w:type="spellEnd"/>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7E0676F4" w14:textId="19119BE0">
            <w:pPr>
              <w:jc w:val="center"/>
              <w:rPr>
                <w:sz w:val="22"/>
                <w:szCs w:val="22"/>
              </w:rPr>
            </w:pPr>
            <w:r w:rsidRPr="00C659FA">
              <w:rPr>
                <w:sz w:val="22"/>
                <w:szCs w:val="22"/>
              </w:rPr>
              <w:t>24 711 613</w:t>
            </w:r>
            <w:r w:rsidR="00403489">
              <w:rPr>
                <w:sz w:val="22"/>
                <w:szCs w:val="22"/>
              </w:rPr>
              <w:t>,</w:t>
            </w:r>
            <w:r w:rsidRPr="00C659FA">
              <w:rPr>
                <w:sz w:val="22"/>
                <w:szCs w:val="22"/>
              </w:rPr>
              <w:t>60</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590E5883" w14:textId="539592CD">
            <w:pPr>
              <w:jc w:val="center"/>
              <w:rPr>
                <w:sz w:val="22"/>
                <w:szCs w:val="22"/>
              </w:rPr>
            </w:pPr>
            <w:r w:rsidRPr="00C659FA">
              <w:rPr>
                <w:sz w:val="22"/>
                <w:szCs w:val="22"/>
              </w:rPr>
              <w:t>15 072 047</w:t>
            </w:r>
            <w:r w:rsidR="00403489">
              <w:rPr>
                <w:sz w:val="22"/>
                <w:szCs w:val="22"/>
              </w:rPr>
              <w:t>,</w:t>
            </w:r>
            <w:r w:rsidRPr="00C659FA">
              <w:rPr>
                <w:sz w:val="22"/>
                <w:szCs w:val="22"/>
              </w:rPr>
              <w:t>45</w:t>
            </w:r>
          </w:p>
        </w:tc>
      </w:tr>
      <w:tr w:rsidRPr="00E7050F" w:rsidR="00DE309D" w:rsidTr="000F45D1" w14:paraId="3F0B3A0E" w14:textId="77777777">
        <w:trPr>
          <w:trHeight w:val="31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7732A8EB" w14:textId="77777777">
            <w:pPr>
              <w:jc w:val="center"/>
              <w:rPr>
                <w:sz w:val="22"/>
                <w:szCs w:val="22"/>
              </w:rPr>
            </w:pPr>
            <w:r w:rsidRPr="00C659FA">
              <w:rPr>
                <w:sz w:val="22"/>
                <w:szCs w:val="22"/>
              </w:rPr>
              <w:t>1.1.</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6D873348" w14:textId="6018B119">
            <w:pPr>
              <w:rPr>
                <w:sz w:val="22"/>
                <w:szCs w:val="22"/>
              </w:rPr>
            </w:pPr>
            <w:r w:rsidRPr="00C659FA">
              <w:rPr>
                <w:sz w:val="22"/>
                <w:szCs w:val="22"/>
              </w:rPr>
              <w:t xml:space="preserve">t.sk. ieņēmumi no biļešu pārdošanas, </w:t>
            </w:r>
            <w:proofErr w:type="spellStart"/>
            <w:r w:rsidRPr="00C659FA" w:rsidR="000B6D89">
              <w:rPr>
                <w:i/>
                <w:iCs/>
                <w:sz w:val="22"/>
                <w:szCs w:val="22"/>
              </w:rPr>
              <w:t>euro</w:t>
            </w:r>
            <w:proofErr w:type="spellEnd"/>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76C7515B" w14:textId="2C2DA5AE">
            <w:pPr>
              <w:jc w:val="center"/>
              <w:rPr>
                <w:sz w:val="22"/>
                <w:szCs w:val="22"/>
              </w:rPr>
            </w:pPr>
            <w:r w:rsidRPr="00C659FA">
              <w:rPr>
                <w:sz w:val="22"/>
                <w:szCs w:val="22"/>
              </w:rPr>
              <w:t>24 470 242</w:t>
            </w:r>
            <w:r w:rsidR="00403489">
              <w:rPr>
                <w:sz w:val="22"/>
                <w:szCs w:val="22"/>
              </w:rPr>
              <w:t>,</w:t>
            </w:r>
            <w:r w:rsidRPr="00C659FA">
              <w:rPr>
                <w:sz w:val="22"/>
                <w:szCs w:val="22"/>
              </w:rPr>
              <w:t>10</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5789082B" w14:textId="6E39CA91">
            <w:pPr>
              <w:jc w:val="center"/>
              <w:rPr>
                <w:sz w:val="22"/>
                <w:szCs w:val="22"/>
              </w:rPr>
            </w:pPr>
            <w:r w:rsidRPr="00C659FA">
              <w:rPr>
                <w:sz w:val="22"/>
                <w:szCs w:val="22"/>
              </w:rPr>
              <w:t>14 667 823</w:t>
            </w:r>
            <w:r w:rsidR="00403489">
              <w:rPr>
                <w:sz w:val="22"/>
                <w:szCs w:val="22"/>
              </w:rPr>
              <w:t>,</w:t>
            </w:r>
            <w:r w:rsidRPr="00C659FA">
              <w:rPr>
                <w:sz w:val="22"/>
                <w:szCs w:val="22"/>
              </w:rPr>
              <w:t>02</w:t>
            </w:r>
          </w:p>
        </w:tc>
      </w:tr>
      <w:tr w:rsidRPr="00E7050F" w:rsidR="00DE309D" w:rsidTr="000F45D1" w14:paraId="47E04103" w14:textId="77777777">
        <w:trPr>
          <w:trHeight w:val="570"/>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2CBEFC29" w14:textId="77777777">
            <w:pPr>
              <w:jc w:val="center"/>
              <w:rPr>
                <w:sz w:val="22"/>
                <w:szCs w:val="22"/>
              </w:rPr>
            </w:pPr>
            <w:r w:rsidRPr="00C659FA">
              <w:rPr>
                <w:sz w:val="22"/>
                <w:szCs w:val="22"/>
              </w:rPr>
              <w:t>2</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35DC78E7" w14:textId="74DD65F7">
            <w:pPr>
              <w:rPr>
                <w:sz w:val="22"/>
                <w:szCs w:val="22"/>
              </w:rPr>
            </w:pPr>
            <w:r w:rsidRPr="00C659FA">
              <w:rPr>
                <w:sz w:val="22"/>
                <w:szCs w:val="22"/>
              </w:rPr>
              <w:t xml:space="preserve">Izdevumi (izņemot dzelzceļa infrastruktūras maksa), </w:t>
            </w:r>
            <w:proofErr w:type="spellStart"/>
            <w:r w:rsidRPr="00C659FA" w:rsidR="000B6D89">
              <w:rPr>
                <w:i/>
                <w:iCs/>
                <w:sz w:val="22"/>
                <w:szCs w:val="22"/>
              </w:rPr>
              <w:t>euro</w:t>
            </w:r>
            <w:proofErr w:type="spellEnd"/>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6616FEBF" w14:textId="3A1D0C05">
            <w:pPr>
              <w:jc w:val="center"/>
              <w:rPr>
                <w:sz w:val="22"/>
                <w:szCs w:val="22"/>
              </w:rPr>
            </w:pPr>
            <w:r w:rsidRPr="00C659FA">
              <w:rPr>
                <w:sz w:val="22"/>
                <w:szCs w:val="22"/>
              </w:rPr>
              <w:t>77 965 404</w:t>
            </w:r>
            <w:r w:rsidR="00403489">
              <w:rPr>
                <w:sz w:val="22"/>
                <w:szCs w:val="22"/>
              </w:rPr>
              <w:t>,</w:t>
            </w:r>
            <w:r w:rsidRPr="00C659FA">
              <w:rPr>
                <w:sz w:val="22"/>
                <w:szCs w:val="22"/>
              </w:rPr>
              <w:t>23</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1B37D482" w14:textId="0762F2A9">
            <w:pPr>
              <w:jc w:val="center"/>
              <w:rPr>
                <w:sz w:val="22"/>
                <w:szCs w:val="22"/>
              </w:rPr>
            </w:pPr>
            <w:r w:rsidRPr="00C659FA">
              <w:rPr>
                <w:sz w:val="22"/>
                <w:szCs w:val="22"/>
              </w:rPr>
              <w:t>34 805 079</w:t>
            </w:r>
            <w:r w:rsidR="00403489">
              <w:rPr>
                <w:sz w:val="22"/>
                <w:szCs w:val="22"/>
              </w:rPr>
              <w:t>,</w:t>
            </w:r>
            <w:r w:rsidRPr="00C659FA">
              <w:rPr>
                <w:sz w:val="22"/>
                <w:szCs w:val="22"/>
              </w:rPr>
              <w:t>66</w:t>
            </w:r>
          </w:p>
        </w:tc>
      </w:tr>
      <w:tr w:rsidRPr="00E7050F" w:rsidR="00DE309D" w:rsidTr="000F45D1" w14:paraId="3D82CCFD" w14:textId="77777777">
        <w:trPr>
          <w:trHeight w:val="31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012AFC5E" w14:textId="77777777">
            <w:pPr>
              <w:jc w:val="center"/>
              <w:rPr>
                <w:sz w:val="22"/>
                <w:szCs w:val="22"/>
              </w:rPr>
            </w:pPr>
            <w:r w:rsidRPr="00C659FA">
              <w:rPr>
                <w:sz w:val="22"/>
                <w:szCs w:val="22"/>
              </w:rPr>
              <w:t>3</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69204151" w14:textId="77777777">
            <w:pPr>
              <w:rPr>
                <w:sz w:val="22"/>
                <w:szCs w:val="22"/>
              </w:rPr>
            </w:pPr>
            <w:r w:rsidRPr="00C659FA">
              <w:rPr>
                <w:sz w:val="22"/>
                <w:szCs w:val="22"/>
              </w:rPr>
              <w:t>Nobraukums maršrutu tīklā, kilometri</w:t>
            </w:r>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1576AFD9" w14:textId="7A0404DF">
            <w:pPr>
              <w:jc w:val="center"/>
              <w:rPr>
                <w:sz w:val="22"/>
                <w:szCs w:val="22"/>
              </w:rPr>
            </w:pPr>
            <w:r w:rsidRPr="00C659FA">
              <w:rPr>
                <w:sz w:val="22"/>
                <w:szCs w:val="22"/>
              </w:rPr>
              <w:t>73 924 939</w:t>
            </w:r>
            <w:r w:rsidR="00403489">
              <w:rPr>
                <w:sz w:val="22"/>
                <w:szCs w:val="22"/>
              </w:rPr>
              <w:t>,</w:t>
            </w:r>
            <w:r w:rsidRPr="00C659FA">
              <w:rPr>
                <w:sz w:val="22"/>
                <w:szCs w:val="22"/>
              </w:rPr>
              <w:t>56</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0544DA99" w14:textId="77777777">
            <w:pPr>
              <w:jc w:val="center"/>
              <w:rPr>
                <w:sz w:val="22"/>
                <w:szCs w:val="22"/>
              </w:rPr>
            </w:pPr>
            <w:r w:rsidRPr="00C659FA">
              <w:rPr>
                <w:sz w:val="22"/>
                <w:szCs w:val="22"/>
              </w:rPr>
              <w:t> </w:t>
            </w:r>
          </w:p>
        </w:tc>
      </w:tr>
      <w:tr w:rsidRPr="00E7050F" w:rsidR="00DE309D" w:rsidTr="000F45D1" w14:paraId="3D4F3278" w14:textId="77777777">
        <w:trPr>
          <w:trHeight w:val="31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5DFEE298" w14:textId="77777777">
            <w:pPr>
              <w:jc w:val="center"/>
              <w:rPr>
                <w:sz w:val="22"/>
                <w:szCs w:val="22"/>
              </w:rPr>
            </w:pPr>
            <w:r w:rsidRPr="00C659FA">
              <w:rPr>
                <w:sz w:val="22"/>
                <w:szCs w:val="22"/>
              </w:rPr>
              <w:t>4</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1647D583" w14:textId="77777777">
            <w:pPr>
              <w:rPr>
                <w:sz w:val="22"/>
                <w:szCs w:val="22"/>
              </w:rPr>
            </w:pPr>
            <w:r w:rsidRPr="00C659FA">
              <w:rPr>
                <w:sz w:val="22"/>
                <w:szCs w:val="22"/>
              </w:rPr>
              <w:t>Nobraukums maršrutu tīklā, vagonkilometri</w:t>
            </w:r>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5CD6B278" w14:textId="77777777">
            <w:pPr>
              <w:jc w:val="center"/>
              <w:rPr>
                <w:sz w:val="22"/>
                <w:szCs w:val="22"/>
              </w:rPr>
            </w:pPr>
            <w:r w:rsidRPr="00C659FA">
              <w:rPr>
                <w:sz w:val="22"/>
                <w:szCs w:val="22"/>
              </w:rPr>
              <w:t> </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3389820E" w14:textId="282C9D66">
            <w:pPr>
              <w:jc w:val="center"/>
              <w:rPr>
                <w:sz w:val="22"/>
                <w:szCs w:val="22"/>
              </w:rPr>
            </w:pPr>
            <w:r w:rsidRPr="00C659FA">
              <w:rPr>
                <w:sz w:val="22"/>
                <w:szCs w:val="22"/>
              </w:rPr>
              <w:t>26 075 246</w:t>
            </w:r>
            <w:r w:rsidR="00403489">
              <w:rPr>
                <w:sz w:val="22"/>
                <w:szCs w:val="22"/>
              </w:rPr>
              <w:t>,</w:t>
            </w:r>
            <w:r w:rsidRPr="00C659FA">
              <w:rPr>
                <w:sz w:val="22"/>
                <w:szCs w:val="22"/>
              </w:rPr>
              <w:t>00</w:t>
            </w:r>
          </w:p>
        </w:tc>
      </w:tr>
      <w:tr w:rsidRPr="00E7050F" w:rsidR="00DE309D" w:rsidTr="000F45D1" w14:paraId="6851AF4E" w14:textId="77777777">
        <w:trPr>
          <w:trHeight w:val="630"/>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22500834" w14:textId="77777777">
            <w:pPr>
              <w:jc w:val="center"/>
              <w:rPr>
                <w:sz w:val="22"/>
                <w:szCs w:val="22"/>
              </w:rPr>
            </w:pPr>
            <w:r w:rsidRPr="00C659FA">
              <w:rPr>
                <w:sz w:val="22"/>
                <w:szCs w:val="22"/>
              </w:rPr>
              <w:t>5</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735767DD" w14:textId="05C46819">
            <w:pPr>
              <w:rPr>
                <w:sz w:val="22"/>
                <w:szCs w:val="22"/>
              </w:rPr>
            </w:pPr>
            <w:r w:rsidRPr="00C659FA">
              <w:rPr>
                <w:sz w:val="22"/>
                <w:szCs w:val="22"/>
              </w:rPr>
              <w:t xml:space="preserve">Kompensējamais PVN par braukšanas maksas atvieglojumiem, </w:t>
            </w:r>
            <w:proofErr w:type="spellStart"/>
            <w:r w:rsidRPr="00C659FA" w:rsidR="000B6D89">
              <w:rPr>
                <w:i/>
                <w:iCs/>
                <w:sz w:val="22"/>
                <w:szCs w:val="22"/>
              </w:rPr>
              <w:t>euro</w:t>
            </w:r>
            <w:proofErr w:type="spellEnd"/>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7B38733B" w14:textId="529F0B30">
            <w:pPr>
              <w:jc w:val="center"/>
              <w:rPr>
                <w:sz w:val="22"/>
                <w:szCs w:val="22"/>
              </w:rPr>
            </w:pPr>
            <w:r w:rsidRPr="00C659FA">
              <w:rPr>
                <w:sz w:val="22"/>
                <w:szCs w:val="22"/>
              </w:rPr>
              <w:t>833 057</w:t>
            </w:r>
            <w:r w:rsidR="00403489">
              <w:rPr>
                <w:sz w:val="22"/>
                <w:szCs w:val="22"/>
              </w:rPr>
              <w:t>,</w:t>
            </w:r>
            <w:r w:rsidRPr="00C659FA">
              <w:rPr>
                <w:sz w:val="22"/>
                <w:szCs w:val="22"/>
              </w:rPr>
              <w:t>51</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3FA998A4" w14:textId="3A7D0A51">
            <w:pPr>
              <w:jc w:val="center"/>
              <w:rPr>
                <w:sz w:val="22"/>
                <w:szCs w:val="22"/>
              </w:rPr>
            </w:pPr>
            <w:r w:rsidRPr="00C659FA">
              <w:rPr>
                <w:sz w:val="22"/>
                <w:szCs w:val="22"/>
              </w:rPr>
              <w:t>258 860</w:t>
            </w:r>
            <w:r w:rsidR="00403489">
              <w:rPr>
                <w:sz w:val="22"/>
                <w:szCs w:val="22"/>
              </w:rPr>
              <w:t>,</w:t>
            </w:r>
            <w:r w:rsidRPr="00C659FA">
              <w:rPr>
                <w:sz w:val="22"/>
                <w:szCs w:val="22"/>
              </w:rPr>
              <w:t>09</w:t>
            </w:r>
          </w:p>
        </w:tc>
      </w:tr>
      <w:tr w:rsidRPr="00E7050F" w:rsidR="00DE309D" w:rsidTr="000F45D1" w14:paraId="54E12CB6" w14:textId="77777777">
        <w:trPr>
          <w:trHeight w:val="31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20BF3A79" w14:textId="77777777">
            <w:pPr>
              <w:jc w:val="center"/>
              <w:rPr>
                <w:sz w:val="22"/>
                <w:szCs w:val="22"/>
              </w:rPr>
            </w:pPr>
            <w:r w:rsidRPr="00C659FA">
              <w:rPr>
                <w:sz w:val="22"/>
                <w:szCs w:val="22"/>
              </w:rPr>
              <w:t>6</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63330674" w14:textId="4E0FCFA1">
            <w:pPr>
              <w:rPr>
                <w:sz w:val="22"/>
                <w:szCs w:val="22"/>
              </w:rPr>
            </w:pPr>
            <w:r w:rsidRPr="00C659FA">
              <w:rPr>
                <w:sz w:val="22"/>
                <w:szCs w:val="22"/>
              </w:rPr>
              <w:t>Aprēķinātā peļņa</w:t>
            </w:r>
            <w:r w:rsidR="009B4B19">
              <w:rPr>
                <w:sz w:val="22"/>
                <w:szCs w:val="22"/>
              </w:rPr>
              <w:t xml:space="preserve"> atbilstoši M</w:t>
            </w:r>
            <w:r w:rsidR="001F14E2">
              <w:rPr>
                <w:sz w:val="22"/>
                <w:szCs w:val="22"/>
              </w:rPr>
              <w:t>inistru kabineta</w:t>
            </w:r>
            <w:r w:rsidR="009B4B19">
              <w:rPr>
                <w:sz w:val="22"/>
                <w:szCs w:val="22"/>
              </w:rPr>
              <w:t xml:space="preserve"> noteikumos Nr.435 un sabiedriskā transporta pakalpojumu līgumos noteiktajai kārtībai</w:t>
            </w:r>
            <w:r w:rsidRPr="00C659FA">
              <w:rPr>
                <w:sz w:val="22"/>
                <w:szCs w:val="22"/>
              </w:rPr>
              <w:t xml:space="preserve">, </w:t>
            </w:r>
            <w:proofErr w:type="spellStart"/>
            <w:r w:rsidRPr="00C659FA" w:rsidR="000B6D89">
              <w:rPr>
                <w:i/>
                <w:iCs/>
                <w:sz w:val="22"/>
                <w:szCs w:val="22"/>
              </w:rPr>
              <w:t>euro</w:t>
            </w:r>
            <w:proofErr w:type="spellEnd"/>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378B6975" w14:textId="6A01875C">
            <w:pPr>
              <w:jc w:val="center"/>
              <w:rPr>
                <w:sz w:val="22"/>
                <w:szCs w:val="22"/>
              </w:rPr>
            </w:pPr>
            <w:r w:rsidRPr="00C659FA">
              <w:rPr>
                <w:sz w:val="22"/>
                <w:szCs w:val="22"/>
              </w:rPr>
              <w:t>2 593 053</w:t>
            </w:r>
            <w:r w:rsidR="00403489">
              <w:rPr>
                <w:sz w:val="22"/>
                <w:szCs w:val="22"/>
              </w:rPr>
              <w:t>,</w:t>
            </w:r>
            <w:r w:rsidRPr="00C659FA">
              <w:rPr>
                <w:sz w:val="22"/>
                <w:szCs w:val="22"/>
              </w:rPr>
              <w:t>87</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7A5974C2" w14:textId="57B2CEA1">
            <w:pPr>
              <w:jc w:val="center"/>
              <w:rPr>
                <w:sz w:val="22"/>
                <w:szCs w:val="22"/>
              </w:rPr>
            </w:pPr>
            <w:r w:rsidRPr="00C659FA">
              <w:rPr>
                <w:sz w:val="22"/>
                <w:szCs w:val="22"/>
              </w:rPr>
              <w:t>1 075 010</w:t>
            </w:r>
            <w:r w:rsidR="00403489">
              <w:rPr>
                <w:sz w:val="22"/>
                <w:szCs w:val="22"/>
              </w:rPr>
              <w:t>,</w:t>
            </w:r>
            <w:r w:rsidRPr="00C659FA">
              <w:rPr>
                <w:sz w:val="22"/>
                <w:szCs w:val="22"/>
              </w:rPr>
              <w:t>74</w:t>
            </w:r>
          </w:p>
        </w:tc>
      </w:tr>
      <w:tr w:rsidRPr="00E7050F" w:rsidR="00DE309D" w:rsidTr="000F45D1" w14:paraId="1E684846" w14:textId="77777777">
        <w:trPr>
          <w:trHeight w:val="94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5D7D343B" w14:textId="77777777">
            <w:pPr>
              <w:jc w:val="center"/>
              <w:rPr>
                <w:sz w:val="22"/>
                <w:szCs w:val="22"/>
              </w:rPr>
            </w:pPr>
            <w:r w:rsidRPr="00C659FA">
              <w:rPr>
                <w:sz w:val="22"/>
                <w:szCs w:val="22"/>
              </w:rPr>
              <w:t>7</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2749ADC7" w14:textId="4239EB94">
            <w:pPr>
              <w:rPr>
                <w:sz w:val="22"/>
                <w:szCs w:val="22"/>
              </w:rPr>
            </w:pPr>
            <w:r w:rsidRPr="00C659FA">
              <w:rPr>
                <w:sz w:val="22"/>
                <w:szCs w:val="22"/>
              </w:rPr>
              <w:t>Aprēķinātā zaudējumu kompensācija</w:t>
            </w:r>
            <w:r w:rsidR="009B4B19">
              <w:rPr>
                <w:rStyle w:val="FootnoteReference"/>
                <w:sz w:val="22"/>
                <w:szCs w:val="22"/>
              </w:rPr>
              <w:footnoteReference w:id="1"/>
            </w:r>
            <w:r w:rsidRPr="00C659FA">
              <w:rPr>
                <w:sz w:val="22"/>
                <w:szCs w:val="22"/>
              </w:rPr>
              <w:t xml:space="preserve"> atbilstoši sabiedriskā transporta pakalpojumu līgumos noteiktajam, </w:t>
            </w:r>
            <w:proofErr w:type="spellStart"/>
            <w:r w:rsidRPr="00C659FA" w:rsidR="000B6D89">
              <w:rPr>
                <w:i/>
                <w:iCs/>
                <w:sz w:val="22"/>
                <w:szCs w:val="22"/>
              </w:rPr>
              <w:t>euro</w:t>
            </w:r>
            <w:proofErr w:type="spellEnd"/>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509C65D0" w14:textId="5F192A6C">
            <w:pPr>
              <w:jc w:val="center"/>
              <w:rPr>
                <w:sz w:val="22"/>
                <w:szCs w:val="22"/>
              </w:rPr>
            </w:pPr>
            <w:r w:rsidRPr="00C659FA">
              <w:rPr>
                <w:sz w:val="22"/>
                <w:szCs w:val="22"/>
              </w:rPr>
              <w:t>57 231 145</w:t>
            </w:r>
            <w:r w:rsidR="00403489">
              <w:rPr>
                <w:sz w:val="22"/>
                <w:szCs w:val="22"/>
              </w:rPr>
              <w:t>,</w:t>
            </w:r>
            <w:r w:rsidRPr="00C659FA">
              <w:rPr>
                <w:sz w:val="22"/>
                <w:szCs w:val="22"/>
              </w:rPr>
              <w:t>20</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1AFAB116" w14:textId="637D4C45">
            <w:pPr>
              <w:jc w:val="center"/>
              <w:rPr>
                <w:sz w:val="22"/>
                <w:szCs w:val="22"/>
              </w:rPr>
            </w:pPr>
            <w:r w:rsidRPr="00C659FA">
              <w:rPr>
                <w:sz w:val="22"/>
                <w:szCs w:val="22"/>
              </w:rPr>
              <w:t>20 767 977</w:t>
            </w:r>
            <w:r w:rsidR="00403489">
              <w:rPr>
                <w:sz w:val="22"/>
                <w:szCs w:val="22"/>
              </w:rPr>
              <w:t>,</w:t>
            </w:r>
            <w:r w:rsidRPr="00C659FA">
              <w:rPr>
                <w:sz w:val="22"/>
                <w:szCs w:val="22"/>
              </w:rPr>
              <w:t>36</w:t>
            </w:r>
          </w:p>
        </w:tc>
      </w:tr>
      <w:tr w:rsidRPr="00E7050F" w:rsidR="00DE309D" w:rsidTr="000F45D1" w14:paraId="37443D57" w14:textId="77777777">
        <w:trPr>
          <w:trHeight w:val="40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21A97083" w14:textId="77777777">
            <w:pPr>
              <w:jc w:val="center"/>
              <w:rPr>
                <w:sz w:val="22"/>
                <w:szCs w:val="22"/>
              </w:rPr>
            </w:pPr>
            <w:r w:rsidRPr="00C659FA">
              <w:rPr>
                <w:sz w:val="22"/>
                <w:szCs w:val="22"/>
              </w:rPr>
              <w:t>8</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7C4E0536" w14:textId="4DA46832">
            <w:pPr>
              <w:rPr>
                <w:sz w:val="22"/>
                <w:szCs w:val="22"/>
              </w:rPr>
            </w:pPr>
            <w:r w:rsidRPr="00C659FA">
              <w:rPr>
                <w:sz w:val="22"/>
                <w:szCs w:val="22"/>
              </w:rPr>
              <w:t xml:space="preserve">Pārskaitītas dotācijas zaudējumu segšanai, </w:t>
            </w:r>
            <w:proofErr w:type="spellStart"/>
            <w:r w:rsidRPr="00C659FA" w:rsidR="000B6D89">
              <w:rPr>
                <w:i/>
                <w:iCs/>
                <w:sz w:val="22"/>
                <w:szCs w:val="22"/>
              </w:rPr>
              <w:t>euro</w:t>
            </w:r>
            <w:proofErr w:type="spellEnd"/>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582AEE96" w14:textId="58E3E781">
            <w:pPr>
              <w:jc w:val="center"/>
              <w:rPr>
                <w:sz w:val="22"/>
                <w:szCs w:val="22"/>
              </w:rPr>
            </w:pPr>
            <w:r w:rsidRPr="00C659FA">
              <w:rPr>
                <w:sz w:val="22"/>
                <w:szCs w:val="22"/>
              </w:rPr>
              <w:t>33 192 189</w:t>
            </w:r>
            <w:r w:rsidR="00403489">
              <w:rPr>
                <w:sz w:val="22"/>
                <w:szCs w:val="22"/>
              </w:rPr>
              <w:t>,</w:t>
            </w:r>
            <w:r w:rsidRPr="00C659FA">
              <w:rPr>
                <w:sz w:val="22"/>
                <w:szCs w:val="22"/>
              </w:rPr>
              <w:t>48</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020FE802" w14:textId="3A35240B">
            <w:pPr>
              <w:jc w:val="center"/>
              <w:rPr>
                <w:sz w:val="22"/>
                <w:szCs w:val="22"/>
              </w:rPr>
            </w:pPr>
            <w:r w:rsidRPr="00C659FA">
              <w:rPr>
                <w:sz w:val="22"/>
                <w:szCs w:val="22"/>
              </w:rPr>
              <w:t>7 716 551</w:t>
            </w:r>
            <w:r w:rsidR="00403489">
              <w:rPr>
                <w:sz w:val="22"/>
                <w:szCs w:val="22"/>
              </w:rPr>
              <w:t>,</w:t>
            </w:r>
            <w:r w:rsidRPr="00C659FA">
              <w:rPr>
                <w:sz w:val="22"/>
                <w:szCs w:val="22"/>
              </w:rPr>
              <w:t>00</w:t>
            </w:r>
          </w:p>
        </w:tc>
      </w:tr>
      <w:tr w:rsidRPr="00E7050F" w:rsidR="00DE309D" w:rsidTr="000F45D1" w14:paraId="668945F5" w14:textId="77777777">
        <w:trPr>
          <w:trHeight w:val="630"/>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4FF1F751" w14:textId="77777777">
            <w:pPr>
              <w:jc w:val="center"/>
              <w:rPr>
                <w:sz w:val="22"/>
                <w:szCs w:val="22"/>
              </w:rPr>
            </w:pPr>
            <w:r w:rsidRPr="00C659FA">
              <w:rPr>
                <w:sz w:val="22"/>
                <w:szCs w:val="22"/>
              </w:rPr>
              <w:t>9</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10A9BE90" w14:textId="4A36A95A">
            <w:pPr>
              <w:rPr>
                <w:sz w:val="22"/>
                <w:szCs w:val="22"/>
              </w:rPr>
            </w:pPr>
            <w:r w:rsidRPr="00C659FA">
              <w:rPr>
                <w:sz w:val="22"/>
                <w:szCs w:val="22"/>
              </w:rPr>
              <w:t xml:space="preserve">Pārskaitītas kompensācijas par braukšanas maksas atvieglojumiem, </w:t>
            </w:r>
            <w:proofErr w:type="spellStart"/>
            <w:r w:rsidRPr="00C659FA" w:rsidR="000B6D89">
              <w:rPr>
                <w:i/>
                <w:iCs/>
                <w:sz w:val="22"/>
                <w:szCs w:val="22"/>
              </w:rPr>
              <w:t>euro</w:t>
            </w:r>
            <w:proofErr w:type="spellEnd"/>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5B004F83" w14:textId="23B48E38">
            <w:pPr>
              <w:jc w:val="center"/>
              <w:rPr>
                <w:sz w:val="22"/>
                <w:szCs w:val="22"/>
              </w:rPr>
            </w:pPr>
            <w:r w:rsidRPr="00C659FA">
              <w:rPr>
                <w:sz w:val="22"/>
                <w:szCs w:val="22"/>
              </w:rPr>
              <w:t>6 853 287</w:t>
            </w:r>
            <w:r w:rsidR="00403489">
              <w:rPr>
                <w:sz w:val="22"/>
                <w:szCs w:val="22"/>
              </w:rPr>
              <w:t>,</w:t>
            </w:r>
            <w:r w:rsidRPr="00C659FA">
              <w:rPr>
                <w:sz w:val="22"/>
                <w:szCs w:val="22"/>
              </w:rPr>
              <w:t>80</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35F72D15" w14:textId="60C0B41D">
            <w:pPr>
              <w:jc w:val="center"/>
              <w:rPr>
                <w:sz w:val="22"/>
                <w:szCs w:val="22"/>
              </w:rPr>
            </w:pPr>
            <w:r w:rsidRPr="00C659FA">
              <w:rPr>
                <w:sz w:val="22"/>
                <w:szCs w:val="22"/>
              </w:rPr>
              <w:t>2 545 573</w:t>
            </w:r>
            <w:r w:rsidR="00403489">
              <w:rPr>
                <w:sz w:val="22"/>
                <w:szCs w:val="22"/>
              </w:rPr>
              <w:t>,</w:t>
            </w:r>
            <w:r w:rsidRPr="00C659FA">
              <w:rPr>
                <w:sz w:val="22"/>
                <w:szCs w:val="22"/>
              </w:rPr>
              <w:t>00</w:t>
            </w:r>
          </w:p>
        </w:tc>
      </w:tr>
      <w:tr w:rsidRPr="00E7050F" w:rsidR="00DE309D" w:rsidTr="000F45D1" w14:paraId="66606E35" w14:textId="77777777">
        <w:trPr>
          <w:trHeight w:val="630"/>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3B4DC536" w14:textId="77777777">
            <w:pPr>
              <w:jc w:val="center"/>
              <w:rPr>
                <w:sz w:val="22"/>
                <w:szCs w:val="22"/>
              </w:rPr>
            </w:pPr>
            <w:r w:rsidRPr="00C659FA">
              <w:rPr>
                <w:sz w:val="22"/>
                <w:szCs w:val="22"/>
              </w:rPr>
              <w:t>10</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3193701A" w14:textId="6AA31D1C">
            <w:pPr>
              <w:rPr>
                <w:sz w:val="22"/>
                <w:szCs w:val="22"/>
              </w:rPr>
            </w:pPr>
            <w:r w:rsidRPr="00C659FA">
              <w:rPr>
                <w:sz w:val="22"/>
                <w:szCs w:val="22"/>
              </w:rPr>
              <w:t xml:space="preserve">Pārskaitītās dotācijas no Līdzekļiem neparedzētiem gadījumiem, </w:t>
            </w:r>
            <w:proofErr w:type="spellStart"/>
            <w:r w:rsidRPr="00C659FA" w:rsidR="000B6D89">
              <w:rPr>
                <w:i/>
                <w:iCs/>
                <w:sz w:val="22"/>
                <w:szCs w:val="22"/>
              </w:rPr>
              <w:t>euro</w:t>
            </w:r>
            <w:proofErr w:type="spellEnd"/>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004053DD" w14:textId="5BCA9819">
            <w:pPr>
              <w:jc w:val="center"/>
              <w:rPr>
                <w:sz w:val="22"/>
                <w:szCs w:val="22"/>
              </w:rPr>
            </w:pPr>
            <w:r w:rsidRPr="00C659FA">
              <w:rPr>
                <w:sz w:val="22"/>
                <w:szCs w:val="22"/>
              </w:rPr>
              <w:t>15 133 748</w:t>
            </w:r>
            <w:r w:rsidR="00403489">
              <w:rPr>
                <w:sz w:val="22"/>
                <w:szCs w:val="22"/>
              </w:rPr>
              <w:t>,</w:t>
            </w:r>
            <w:r w:rsidRPr="00C659FA">
              <w:rPr>
                <w:sz w:val="22"/>
                <w:szCs w:val="22"/>
              </w:rPr>
              <w:t>00</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3EDE0486" w14:textId="0639CF94">
            <w:pPr>
              <w:jc w:val="center"/>
              <w:rPr>
                <w:sz w:val="22"/>
                <w:szCs w:val="22"/>
              </w:rPr>
            </w:pPr>
            <w:r w:rsidRPr="00C659FA">
              <w:rPr>
                <w:sz w:val="22"/>
                <w:szCs w:val="22"/>
              </w:rPr>
              <w:t>9 366 257</w:t>
            </w:r>
            <w:r w:rsidR="00403489">
              <w:rPr>
                <w:sz w:val="22"/>
                <w:szCs w:val="22"/>
              </w:rPr>
              <w:t>,</w:t>
            </w:r>
            <w:r w:rsidRPr="00C659FA">
              <w:rPr>
                <w:sz w:val="22"/>
                <w:szCs w:val="22"/>
              </w:rPr>
              <w:t>00</w:t>
            </w:r>
          </w:p>
        </w:tc>
      </w:tr>
      <w:tr w:rsidRPr="00E7050F" w:rsidR="00DE309D" w:rsidTr="000F45D1" w14:paraId="3F492263" w14:textId="77777777">
        <w:trPr>
          <w:trHeight w:val="31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C659FA" w:rsidR="00DE309D" w:rsidP="000F45D1" w:rsidRDefault="00DE309D" w14:paraId="1C70D434" w14:textId="77777777">
            <w:pPr>
              <w:jc w:val="center"/>
              <w:rPr>
                <w:sz w:val="22"/>
                <w:szCs w:val="22"/>
              </w:rPr>
            </w:pPr>
            <w:r w:rsidRPr="00C659FA">
              <w:rPr>
                <w:sz w:val="22"/>
                <w:szCs w:val="22"/>
              </w:rPr>
              <w:t>11</w:t>
            </w:r>
          </w:p>
        </w:tc>
        <w:tc>
          <w:tcPr>
            <w:tcW w:w="3925"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10508" w14:paraId="2F89866A" w14:textId="72DD01BB">
            <w:pPr>
              <w:rPr>
                <w:sz w:val="22"/>
                <w:szCs w:val="22"/>
              </w:rPr>
            </w:pPr>
            <w:r>
              <w:rPr>
                <w:sz w:val="22"/>
                <w:szCs w:val="22"/>
              </w:rPr>
              <w:t>Atsevišķos līgumos dotāciju avansa maksājumos aprēķinātā p</w:t>
            </w:r>
            <w:r w:rsidRPr="00C659FA" w:rsidR="00DE309D">
              <w:rPr>
                <w:sz w:val="22"/>
                <w:szCs w:val="22"/>
              </w:rPr>
              <w:t xml:space="preserve">ārmaksa par 2019.gadu, </w:t>
            </w:r>
            <w:proofErr w:type="spellStart"/>
            <w:r w:rsidRPr="00C659FA" w:rsidR="000B6D89">
              <w:rPr>
                <w:i/>
                <w:iCs/>
                <w:sz w:val="22"/>
                <w:szCs w:val="22"/>
              </w:rPr>
              <w:t>euro</w:t>
            </w:r>
            <w:proofErr w:type="spellEnd"/>
          </w:p>
        </w:tc>
        <w:tc>
          <w:tcPr>
            <w:tcW w:w="2126" w:type="dxa"/>
            <w:tcBorders>
              <w:top w:val="nil"/>
              <w:left w:val="nil"/>
              <w:bottom w:val="single" w:color="auto" w:sz="4" w:space="0"/>
              <w:right w:val="single" w:color="auto" w:sz="4" w:space="0"/>
            </w:tcBorders>
            <w:shd w:val="clear" w:color="auto" w:fill="auto"/>
            <w:noWrap/>
            <w:vAlign w:val="center"/>
            <w:hideMark/>
          </w:tcPr>
          <w:p w:rsidRPr="00C659FA" w:rsidR="00DE309D" w:rsidP="000F45D1" w:rsidRDefault="00DE309D" w14:paraId="49F65AD6" w14:textId="23986024">
            <w:pPr>
              <w:jc w:val="center"/>
              <w:rPr>
                <w:sz w:val="22"/>
                <w:szCs w:val="22"/>
              </w:rPr>
            </w:pPr>
            <w:r w:rsidRPr="00C659FA">
              <w:rPr>
                <w:sz w:val="22"/>
                <w:szCs w:val="22"/>
              </w:rPr>
              <w:t>117 459</w:t>
            </w:r>
            <w:r w:rsidR="00403489">
              <w:rPr>
                <w:sz w:val="22"/>
                <w:szCs w:val="22"/>
              </w:rPr>
              <w:t>,</w:t>
            </w:r>
            <w:r w:rsidRPr="00C659FA">
              <w:rPr>
                <w:sz w:val="22"/>
                <w:szCs w:val="22"/>
              </w:rPr>
              <w:t>88</w:t>
            </w:r>
          </w:p>
        </w:tc>
        <w:tc>
          <w:tcPr>
            <w:tcW w:w="2126" w:type="dxa"/>
            <w:tcBorders>
              <w:top w:val="nil"/>
              <w:left w:val="nil"/>
              <w:bottom w:val="single" w:color="auto" w:sz="4" w:space="0"/>
              <w:right w:val="single" w:color="auto" w:sz="4" w:space="0"/>
            </w:tcBorders>
            <w:shd w:val="clear" w:color="auto" w:fill="auto"/>
            <w:vAlign w:val="center"/>
            <w:hideMark/>
          </w:tcPr>
          <w:p w:rsidRPr="00C659FA" w:rsidR="00DE309D" w:rsidP="000F45D1" w:rsidRDefault="00DE309D" w14:paraId="0B07A4C7" w14:textId="27AD0CA3">
            <w:pPr>
              <w:jc w:val="center"/>
              <w:rPr>
                <w:sz w:val="22"/>
                <w:szCs w:val="22"/>
              </w:rPr>
            </w:pPr>
            <w:r w:rsidRPr="00C659FA">
              <w:rPr>
                <w:sz w:val="22"/>
                <w:szCs w:val="22"/>
              </w:rPr>
              <w:t>725 271</w:t>
            </w:r>
            <w:r w:rsidR="00403489">
              <w:rPr>
                <w:sz w:val="22"/>
                <w:szCs w:val="22"/>
              </w:rPr>
              <w:t>,</w:t>
            </w:r>
            <w:r w:rsidRPr="00C659FA">
              <w:rPr>
                <w:sz w:val="22"/>
                <w:szCs w:val="22"/>
              </w:rPr>
              <w:t>67</w:t>
            </w:r>
          </w:p>
        </w:tc>
      </w:tr>
      <w:tr w:rsidRPr="003F0DDB" w:rsidR="00DE309D" w:rsidTr="000F45D1" w14:paraId="31CB8AA0" w14:textId="77777777">
        <w:trPr>
          <w:trHeight w:val="630"/>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3F0DDB" w:rsidR="00DE309D" w:rsidP="000F45D1" w:rsidRDefault="00DE309D" w14:paraId="73B8FD5D" w14:textId="77777777">
            <w:pPr>
              <w:jc w:val="center"/>
              <w:rPr>
                <w:sz w:val="20"/>
                <w:szCs w:val="20"/>
              </w:rPr>
            </w:pPr>
            <w:r w:rsidRPr="003F0DDB">
              <w:rPr>
                <w:sz w:val="20"/>
                <w:szCs w:val="20"/>
              </w:rPr>
              <w:t>12</w:t>
            </w:r>
          </w:p>
        </w:tc>
        <w:tc>
          <w:tcPr>
            <w:tcW w:w="3925" w:type="dxa"/>
            <w:tcBorders>
              <w:top w:val="nil"/>
              <w:left w:val="nil"/>
              <w:bottom w:val="single" w:color="auto" w:sz="4" w:space="0"/>
              <w:right w:val="single" w:color="auto" w:sz="4" w:space="0"/>
            </w:tcBorders>
            <w:shd w:val="clear" w:color="auto" w:fill="auto"/>
            <w:vAlign w:val="center"/>
            <w:hideMark/>
          </w:tcPr>
          <w:p w:rsidRPr="003F0DDB" w:rsidR="00DE309D" w:rsidP="000F45D1" w:rsidRDefault="00DE309D" w14:paraId="1ADCCAFA" w14:textId="59CD6510">
            <w:pPr>
              <w:rPr>
                <w:b/>
                <w:bCs/>
              </w:rPr>
            </w:pPr>
            <w:r w:rsidRPr="003F0DDB">
              <w:rPr>
                <w:b/>
                <w:bCs/>
              </w:rPr>
              <w:t xml:space="preserve">Iztrūkums (-) / pārmaksa (+) </w:t>
            </w:r>
            <w:r w:rsidRPr="00E7050F">
              <w:rPr>
                <w:b/>
                <w:bCs/>
              </w:rPr>
              <w:t xml:space="preserve">zaudējumu segšanai par 2020.gadu, </w:t>
            </w:r>
            <w:proofErr w:type="spellStart"/>
            <w:r w:rsidRPr="00C659FA" w:rsidR="000B6D89">
              <w:rPr>
                <w:i/>
                <w:iCs/>
              </w:rPr>
              <w:t>euro</w:t>
            </w:r>
            <w:proofErr w:type="spellEnd"/>
            <w:r w:rsidRPr="003F0DDB">
              <w:rPr>
                <w:b/>
                <w:bCs/>
              </w:rPr>
              <w:t xml:space="preserve"> </w:t>
            </w:r>
            <w:r w:rsidRPr="003F0DDB">
              <w:rPr>
                <w:b/>
                <w:bCs/>
                <w:color w:val="767171" w:themeColor="background2" w:themeShade="80"/>
                <w:sz w:val="18"/>
                <w:szCs w:val="18"/>
              </w:rPr>
              <w:t>(8</w:t>
            </w:r>
            <w:r>
              <w:rPr>
                <w:b/>
                <w:bCs/>
                <w:color w:val="767171" w:themeColor="background2" w:themeShade="80"/>
                <w:sz w:val="18"/>
                <w:szCs w:val="18"/>
              </w:rPr>
              <w:t>.rinda</w:t>
            </w:r>
            <w:r w:rsidRPr="003F0DDB">
              <w:rPr>
                <w:b/>
                <w:bCs/>
                <w:color w:val="767171" w:themeColor="background2" w:themeShade="80"/>
                <w:sz w:val="18"/>
                <w:szCs w:val="18"/>
              </w:rPr>
              <w:t>+9</w:t>
            </w:r>
            <w:r>
              <w:rPr>
                <w:b/>
                <w:bCs/>
                <w:color w:val="767171" w:themeColor="background2" w:themeShade="80"/>
                <w:sz w:val="18"/>
                <w:szCs w:val="18"/>
              </w:rPr>
              <w:t>.rinda</w:t>
            </w:r>
            <w:r w:rsidRPr="003F0DDB">
              <w:rPr>
                <w:b/>
                <w:bCs/>
                <w:color w:val="767171" w:themeColor="background2" w:themeShade="80"/>
                <w:sz w:val="18"/>
                <w:szCs w:val="18"/>
              </w:rPr>
              <w:t>+10</w:t>
            </w:r>
            <w:r>
              <w:rPr>
                <w:b/>
                <w:bCs/>
                <w:color w:val="767171" w:themeColor="background2" w:themeShade="80"/>
                <w:sz w:val="18"/>
                <w:szCs w:val="18"/>
              </w:rPr>
              <w:t>.rinda</w:t>
            </w:r>
            <w:r w:rsidR="002079E8">
              <w:rPr>
                <w:b/>
                <w:bCs/>
                <w:color w:val="767171" w:themeColor="background2" w:themeShade="80"/>
                <w:sz w:val="18"/>
                <w:szCs w:val="18"/>
              </w:rPr>
              <w:t>) – (7</w:t>
            </w:r>
            <w:r>
              <w:rPr>
                <w:b/>
                <w:bCs/>
                <w:color w:val="767171" w:themeColor="background2" w:themeShade="80"/>
                <w:sz w:val="18"/>
                <w:szCs w:val="18"/>
              </w:rPr>
              <w:t>.rinda</w:t>
            </w:r>
            <w:r w:rsidRPr="003F0DDB">
              <w:rPr>
                <w:b/>
                <w:bCs/>
                <w:color w:val="767171" w:themeColor="background2" w:themeShade="80"/>
                <w:sz w:val="18"/>
                <w:szCs w:val="18"/>
              </w:rPr>
              <w:t>-</w:t>
            </w:r>
            <w:r w:rsidR="002079E8">
              <w:rPr>
                <w:b/>
                <w:bCs/>
                <w:color w:val="767171" w:themeColor="background2" w:themeShade="80"/>
                <w:sz w:val="18"/>
                <w:szCs w:val="18"/>
              </w:rPr>
              <w:t>11</w:t>
            </w:r>
            <w:r>
              <w:rPr>
                <w:b/>
                <w:bCs/>
                <w:color w:val="767171" w:themeColor="background2" w:themeShade="80"/>
                <w:sz w:val="18"/>
                <w:szCs w:val="18"/>
              </w:rPr>
              <w:t>.rinda</w:t>
            </w:r>
            <w:r w:rsidRPr="003F0DDB">
              <w:rPr>
                <w:b/>
                <w:bCs/>
                <w:color w:val="767171" w:themeColor="background2" w:themeShade="80"/>
                <w:sz w:val="18"/>
                <w:szCs w:val="18"/>
              </w:rPr>
              <w:t>)</w:t>
            </w:r>
            <w:r w:rsidRPr="003F0DDB">
              <w:rPr>
                <w:b/>
                <w:bCs/>
                <w:color w:val="767171" w:themeColor="background2" w:themeShade="80"/>
                <w:sz w:val="16"/>
                <w:szCs w:val="16"/>
              </w:rPr>
              <w:t xml:space="preserve"> </w:t>
            </w:r>
          </w:p>
        </w:tc>
        <w:tc>
          <w:tcPr>
            <w:tcW w:w="2126" w:type="dxa"/>
            <w:tcBorders>
              <w:top w:val="nil"/>
              <w:left w:val="nil"/>
              <w:bottom w:val="single" w:color="auto" w:sz="4" w:space="0"/>
              <w:right w:val="single" w:color="auto" w:sz="4" w:space="0"/>
            </w:tcBorders>
            <w:shd w:val="clear" w:color="auto" w:fill="auto"/>
            <w:noWrap/>
            <w:vAlign w:val="center"/>
            <w:hideMark/>
          </w:tcPr>
          <w:p w:rsidRPr="003F0DDB" w:rsidR="00DE309D" w:rsidP="000F45D1" w:rsidRDefault="00DE309D" w14:paraId="2363ABC5" w14:textId="37AAFCB7">
            <w:pPr>
              <w:jc w:val="center"/>
              <w:rPr>
                <w:b/>
                <w:bCs/>
              </w:rPr>
            </w:pPr>
            <w:r w:rsidRPr="003F0DDB">
              <w:rPr>
                <w:b/>
                <w:bCs/>
              </w:rPr>
              <w:t>-1 934 460</w:t>
            </w:r>
            <w:r w:rsidR="00403489">
              <w:rPr>
                <w:b/>
                <w:bCs/>
              </w:rPr>
              <w:t>,</w:t>
            </w:r>
            <w:r w:rsidRPr="003F0DDB">
              <w:rPr>
                <w:b/>
                <w:bCs/>
              </w:rPr>
              <w:t>04</w:t>
            </w:r>
          </w:p>
        </w:tc>
        <w:tc>
          <w:tcPr>
            <w:tcW w:w="2126" w:type="dxa"/>
            <w:tcBorders>
              <w:top w:val="nil"/>
              <w:left w:val="nil"/>
              <w:bottom w:val="single" w:color="auto" w:sz="4" w:space="0"/>
              <w:right w:val="single" w:color="auto" w:sz="4" w:space="0"/>
            </w:tcBorders>
            <w:shd w:val="clear" w:color="auto" w:fill="auto"/>
            <w:vAlign w:val="center"/>
            <w:hideMark/>
          </w:tcPr>
          <w:p w:rsidRPr="003F0DDB" w:rsidR="00DE309D" w:rsidP="000F45D1" w:rsidRDefault="00DE309D" w14:paraId="41C15AF7" w14:textId="35ADD385">
            <w:pPr>
              <w:jc w:val="center"/>
              <w:rPr>
                <w:b/>
                <w:bCs/>
              </w:rPr>
            </w:pPr>
            <w:r w:rsidRPr="003F0DDB">
              <w:rPr>
                <w:b/>
                <w:bCs/>
              </w:rPr>
              <w:t>-414 324</w:t>
            </w:r>
            <w:r w:rsidR="00403489">
              <w:rPr>
                <w:b/>
                <w:bCs/>
              </w:rPr>
              <w:t>,</w:t>
            </w:r>
            <w:r w:rsidRPr="003F0DDB">
              <w:rPr>
                <w:b/>
                <w:bCs/>
              </w:rPr>
              <w:t>69</w:t>
            </w:r>
          </w:p>
        </w:tc>
      </w:tr>
    </w:tbl>
    <w:p w:rsidR="00DE309D" w:rsidP="00DE309D" w:rsidRDefault="00DE309D" w14:paraId="6891EE3F" w14:textId="77777777">
      <w:pPr>
        <w:ind w:firstLine="709"/>
        <w:jc w:val="both"/>
        <w:rPr>
          <w:sz w:val="28"/>
          <w:szCs w:val="28"/>
        </w:rPr>
      </w:pPr>
    </w:p>
    <w:p w:rsidRPr="008148FA" w:rsidR="001356E5" w:rsidP="001F14E2" w:rsidRDefault="001356E5" w14:paraId="7A945690" w14:textId="1D94EA62">
      <w:pPr>
        <w:pStyle w:val="BodyText"/>
        <w:tabs>
          <w:tab w:val="left" w:pos="7655"/>
        </w:tabs>
        <w:ind w:firstLine="709"/>
        <w:jc w:val="both"/>
        <w:rPr>
          <w:sz w:val="28"/>
          <w:szCs w:val="28"/>
        </w:rPr>
      </w:pPr>
      <w:r>
        <w:rPr>
          <w:sz w:val="28"/>
          <w:szCs w:val="28"/>
        </w:rPr>
        <w:lastRenderedPageBreak/>
        <w:t xml:space="preserve">Attiecībā uz republikas pilsētām situācija </w:t>
      </w:r>
      <w:r w:rsidR="00F81EDC">
        <w:rPr>
          <w:sz w:val="28"/>
          <w:szCs w:val="28"/>
        </w:rPr>
        <w:t xml:space="preserve">Covid-19 </w:t>
      </w:r>
      <w:r>
        <w:rPr>
          <w:sz w:val="28"/>
          <w:szCs w:val="28"/>
        </w:rPr>
        <w:t xml:space="preserve">pandēmijas apkarošanas ietekmē veidojās sekojoši. </w:t>
      </w:r>
      <w:r w:rsidRPr="008F38F2" w:rsidR="00DE309D">
        <w:rPr>
          <w:sz w:val="28"/>
          <w:szCs w:val="28"/>
        </w:rPr>
        <w:t>2020.gadā republikas pilsētu pašvaldībās izmaksātā dotācija par personu ar invaliditāti pārvadāšanu</w:t>
      </w:r>
      <w:r w:rsidR="00F81EDC">
        <w:rPr>
          <w:sz w:val="28"/>
          <w:szCs w:val="28"/>
        </w:rPr>
        <w:t xml:space="preserve"> pārsniedza faktiski kompensējamo zaudējumu apmēru, jo, samazinoties pasažieru skaitam pilsētu pārvadājumos, samazinājās arī personu ar invaliditāti braucienu apjoms, tādējādi </w:t>
      </w:r>
      <w:r w:rsidRPr="00B97094" w:rsidR="00F81EDC">
        <w:rPr>
          <w:sz w:val="28"/>
          <w:szCs w:val="28"/>
        </w:rPr>
        <w:t>uz 2020.gada 31.decembri ir aprēķināta</w:t>
      </w:r>
      <w:r w:rsidRPr="00B97094" w:rsidR="00DE309D">
        <w:rPr>
          <w:sz w:val="28"/>
          <w:szCs w:val="28"/>
        </w:rPr>
        <w:t xml:space="preserve"> pārmaksa 772 028 </w:t>
      </w:r>
      <w:proofErr w:type="spellStart"/>
      <w:r w:rsidRPr="00B97094" w:rsidR="000B6D89">
        <w:rPr>
          <w:i/>
          <w:iCs/>
          <w:sz w:val="28"/>
          <w:szCs w:val="28"/>
        </w:rPr>
        <w:t>euro</w:t>
      </w:r>
      <w:proofErr w:type="spellEnd"/>
      <w:r w:rsidRPr="00B97094">
        <w:rPr>
          <w:sz w:val="28"/>
          <w:szCs w:val="28"/>
        </w:rPr>
        <w:t xml:space="preserve">. Savukārt pilsētas nozīmes maršrutos, kuriem vairāk nekā 30% no kopējā maršruta garuma ir ārpus pilsētas administratīvās teritorijas, ar dotācijas avansa maksājumu no apakšprogrammas 31.06.00 ir kompensēti 93%, veidojot iztrūkumu par 2020.gadu 95 tūkst. </w:t>
      </w:r>
      <w:proofErr w:type="spellStart"/>
      <w:r w:rsidRPr="00B97094" w:rsidR="00F81EDC">
        <w:rPr>
          <w:i/>
          <w:iCs/>
          <w:sz w:val="28"/>
          <w:szCs w:val="28"/>
        </w:rPr>
        <w:t>euro</w:t>
      </w:r>
      <w:proofErr w:type="spellEnd"/>
      <w:r w:rsidRPr="00B97094">
        <w:rPr>
          <w:sz w:val="28"/>
          <w:szCs w:val="28"/>
        </w:rPr>
        <w:t xml:space="preserve"> apmērā. Ievērojot </w:t>
      </w:r>
      <w:r w:rsidRPr="00B97094" w:rsidR="009B4B19">
        <w:rPr>
          <w:sz w:val="28"/>
          <w:szCs w:val="28"/>
        </w:rPr>
        <w:t xml:space="preserve">2021.gada finansējuma ietvaru </w:t>
      </w:r>
      <w:r w:rsidRPr="002079E8" w:rsidR="009B4B19">
        <w:rPr>
          <w:sz w:val="28"/>
          <w:szCs w:val="28"/>
        </w:rPr>
        <w:t>apakšpr</w:t>
      </w:r>
      <w:r w:rsidRPr="00F81EDC" w:rsidR="009B4B19">
        <w:rPr>
          <w:sz w:val="28"/>
          <w:szCs w:val="28"/>
        </w:rPr>
        <w:t>ogrammā 31.06.00 republikas pilsētām, plānojams, ka minēt</w:t>
      </w:r>
      <w:r w:rsidRPr="00F81EDC" w:rsidR="000F45D1">
        <w:rPr>
          <w:sz w:val="28"/>
          <w:szCs w:val="28"/>
        </w:rPr>
        <w:t>ais</w:t>
      </w:r>
      <w:r w:rsidRPr="00F81EDC" w:rsidR="009B4B19">
        <w:rPr>
          <w:sz w:val="28"/>
          <w:szCs w:val="28"/>
        </w:rPr>
        <w:t xml:space="preserve"> nesegto zaudējumu apjom</w:t>
      </w:r>
      <w:r w:rsidRPr="00F81EDC" w:rsidR="000F45D1">
        <w:rPr>
          <w:sz w:val="28"/>
          <w:szCs w:val="28"/>
        </w:rPr>
        <w:t>s tiks</w:t>
      </w:r>
      <w:r w:rsidRPr="00F81EDC" w:rsidR="009B4B19">
        <w:rPr>
          <w:sz w:val="28"/>
          <w:szCs w:val="28"/>
        </w:rPr>
        <w:t xml:space="preserve"> kompensēt</w:t>
      </w:r>
      <w:r w:rsidRPr="00F81EDC" w:rsidR="000F45D1">
        <w:rPr>
          <w:sz w:val="28"/>
          <w:szCs w:val="28"/>
        </w:rPr>
        <w:t>s</w:t>
      </w:r>
      <w:r w:rsidRPr="003F68A8" w:rsidR="009B4B19">
        <w:rPr>
          <w:sz w:val="28"/>
          <w:szCs w:val="28"/>
        </w:rPr>
        <w:t xml:space="preserve"> no 2021.gada </w:t>
      </w:r>
      <w:r w:rsidRPr="00403489" w:rsidR="009B4B19">
        <w:rPr>
          <w:sz w:val="28"/>
          <w:szCs w:val="28"/>
        </w:rPr>
        <w:t xml:space="preserve">valsts budžetā paredzētā </w:t>
      </w:r>
      <w:r w:rsidRPr="0067599A" w:rsidR="009B4B19">
        <w:rPr>
          <w:sz w:val="28"/>
          <w:szCs w:val="28"/>
        </w:rPr>
        <w:t>finansējuma.</w:t>
      </w:r>
    </w:p>
    <w:p w:rsidRPr="00C85A4F" w:rsidR="001F14E2" w:rsidP="001F14E2" w:rsidRDefault="00B127C4" w14:paraId="54344AFD" w14:textId="74F061ED">
      <w:pPr>
        <w:pStyle w:val="BodyText"/>
        <w:tabs>
          <w:tab w:val="left" w:pos="7655"/>
        </w:tabs>
        <w:ind w:firstLine="709"/>
        <w:jc w:val="both"/>
        <w:rPr>
          <w:sz w:val="28"/>
          <w:szCs w:val="28"/>
        </w:rPr>
      </w:pPr>
      <w:r>
        <w:rPr>
          <w:sz w:val="28"/>
          <w:szCs w:val="28"/>
        </w:rPr>
        <w:t>Ievērojot minēto</w:t>
      </w:r>
      <w:r w:rsidRPr="001F14E2" w:rsidR="001F14E2">
        <w:rPr>
          <w:sz w:val="28"/>
          <w:szCs w:val="28"/>
        </w:rPr>
        <w:t>, tā kā republikas pilsētu pārvadājumos par personu ar invaliditāti 2020.gadā ir aprēķināts finansējuma pārpalikums, tad atbilstoši Ministru kabineta noteikumu Nr.435 21.punktā noteiktajam regulējumam, j</w:t>
      </w:r>
      <w:r w:rsidRPr="00C85A4F" w:rsidR="001F14E2">
        <w:rPr>
          <w:sz w:val="28"/>
          <w:szCs w:val="28"/>
        </w:rPr>
        <w:t>a republikas pilsētas pašvaldība vai Autotransporta direkcija pēc kompensāciju izmaksas par pārskata periodu (ceturksni, kalendāra gadu) ir ietaupījusi no valsts budžeta piešķirto finansējumu, republikas pilsētas pašvaldība vai Autotransporta direkcija minētos līdzekļus novirza zaudējumu segšanai nākamajos pārskata periodos (ceturksnī, kalendāra gadā).</w:t>
      </w:r>
    </w:p>
    <w:p w:rsidRPr="00C85A4F" w:rsidR="001F14E2" w:rsidP="00C85A4F" w:rsidRDefault="00F81EDC" w14:paraId="39679C4F" w14:textId="18E43031">
      <w:pPr>
        <w:ind w:firstLine="709"/>
        <w:jc w:val="both"/>
        <w:rPr>
          <w:sz w:val="28"/>
          <w:szCs w:val="28"/>
        </w:rPr>
      </w:pPr>
      <w:r>
        <w:rPr>
          <w:sz w:val="28"/>
          <w:szCs w:val="28"/>
        </w:rPr>
        <w:t>Līdz ar to s</w:t>
      </w:r>
      <w:r w:rsidRPr="00C85A4F" w:rsidR="001F14E2">
        <w:rPr>
          <w:sz w:val="28"/>
          <w:szCs w:val="28"/>
        </w:rPr>
        <w:t>askaņā ar Likuma par budžetu un finanšu vadību 9.panta trīspadsmitās daļas 1.punktu un Ministru kabineta 2018.gada 17.jūlija noteikumiem Nr.421 “Kārtība, kādā veic gadskārtējā valsts budžeta likumā noteiktās apropriācijas izmaiņas” un M</w:t>
      </w:r>
      <w:r w:rsidR="001F14E2">
        <w:rPr>
          <w:sz w:val="28"/>
          <w:szCs w:val="28"/>
        </w:rPr>
        <w:t xml:space="preserve">inistru kabineta </w:t>
      </w:r>
      <w:r w:rsidRPr="00C85A4F" w:rsidR="001F14E2">
        <w:rPr>
          <w:sz w:val="28"/>
          <w:szCs w:val="28"/>
        </w:rPr>
        <w:t xml:space="preserve">noteikumu Nr.435 21.punktu </w:t>
      </w:r>
      <w:r w:rsidR="001F14E2">
        <w:rPr>
          <w:sz w:val="28"/>
          <w:szCs w:val="28"/>
        </w:rPr>
        <w:t xml:space="preserve">tiks rosināta minētā 772 028 </w:t>
      </w:r>
      <w:proofErr w:type="spellStart"/>
      <w:r w:rsidRPr="00C85A4F" w:rsidR="001F14E2">
        <w:rPr>
          <w:i/>
          <w:iCs/>
          <w:sz w:val="28"/>
          <w:szCs w:val="28"/>
        </w:rPr>
        <w:t>euro</w:t>
      </w:r>
      <w:proofErr w:type="spellEnd"/>
      <w:r w:rsidR="001F14E2">
        <w:rPr>
          <w:sz w:val="28"/>
          <w:szCs w:val="28"/>
        </w:rPr>
        <w:t xml:space="preserve"> finansējuma </w:t>
      </w:r>
      <w:r w:rsidRPr="00F61F14" w:rsidR="00615221">
        <w:rPr>
          <w:sz w:val="28"/>
          <w:szCs w:val="28"/>
        </w:rPr>
        <w:t>apropriācijas</w:t>
      </w:r>
      <w:r w:rsidR="00615221">
        <w:rPr>
          <w:sz w:val="28"/>
          <w:szCs w:val="28"/>
        </w:rPr>
        <w:t xml:space="preserve"> </w:t>
      </w:r>
      <w:r w:rsidR="001F14E2">
        <w:rPr>
          <w:sz w:val="28"/>
          <w:szCs w:val="28"/>
        </w:rPr>
        <w:t xml:space="preserve">pārdale </w:t>
      </w:r>
      <w:r w:rsidR="00615221">
        <w:rPr>
          <w:sz w:val="28"/>
          <w:szCs w:val="28"/>
        </w:rPr>
        <w:t xml:space="preserve">starp ekonomiskās klasifikācijas kodiem, tādējādi daļēji sedzot 2020.gadā aprēķinātos nekompensētos zaudējumus. Līdz ar to kopējais papildu finansējums 2020.gada nesegto zaudējumu kompensēšanai reģionālās nozīmes pārvadājumos ir nepieciešams 1 576 756 </w:t>
      </w:r>
      <w:proofErr w:type="spellStart"/>
      <w:r w:rsidRPr="00C85A4F" w:rsidR="00615221">
        <w:rPr>
          <w:i/>
          <w:iCs/>
          <w:sz w:val="28"/>
          <w:szCs w:val="28"/>
        </w:rPr>
        <w:t>euro</w:t>
      </w:r>
      <w:proofErr w:type="spellEnd"/>
      <w:r w:rsidR="00615221">
        <w:rPr>
          <w:sz w:val="28"/>
          <w:szCs w:val="28"/>
        </w:rPr>
        <w:t>.</w:t>
      </w:r>
    </w:p>
    <w:p w:rsidRPr="001F14E2" w:rsidR="001F14E2" w:rsidP="001F14E2" w:rsidRDefault="001F14E2" w14:paraId="23B387A5" w14:textId="77777777">
      <w:pPr>
        <w:pStyle w:val="BodyText"/>
        <w:tabs>
          <w:tab w:val="left" w:pos="7655"/>
        </w:tabs>
        <w:ind w:firstLine="709"/>
        <w:jc w:val="both"/>
        <w:rPr>
          <w:b/>
          <w:bCs/>
          <w:sz w:val="28"/>
          <w:szCs w:val="28"/>
        </w:rPr>
      </w:pPr>
    </w:p>
    <w:p w:rsidRPr="00A72BCC" w:rsidR="00A72BCC" w:rsidP="00DE309D" w:rsidRDefault="001356E5" w14:paraId="19EC6EDE" w14:textId="167C1D50">
      <w:pPr>
        <w:ind w:firstLine="709"/>
        <w:jc w:val="both"/>
      </w:pPr>
      <w:r w:rsidRPr="001F14E2">
        <w:rPr>
          <w:sz w:val="28"/>
          <w:szCs w:val="28"/>
        </w:rPr>
        <w:t xml:space="preserve"> </w:t>
      </w:r>
    </w:p>
    <w:p w:rsidRPr="00C659FA" w:rsidR="00A72BCC" w:rsidP="00C659FA" w:rsidRDefault="00A72BCC" w14:paraId="27E4533E" w14:textId="062440EB">
      <w:pPr>
        <w:pStyle w:val="ListParagraph"/>
        <w:numPr>
          <w:ilvl w:val="0"/>
          <w:numId w:val="2"/>
        </w:numPr>
        <w:ind w:left="0" w:firstLine="0"/>
        <w:jc w:val="both"/>
        <w:rPr>
          <w:b/>
          <w:bCs/>
          <w:sz w:val="28"/>
          <w:szCs w:val="28"/>
        </w:rPr>
      </w:pPr>
      <w:r w:rsidRPr="00C659FA">
        <w:rPr>
          <w:b/>
          <w:bCs/>
          <w:sz w:val="28"/>
          <w:szCs w:val="28"/>
        </w:rPr>
        <w:t xml:space="preserve">Par kompensējamiem zaudējumiem reģionālās nozīmes pārvadājumos 2021.gadā </w:t>
      </w:r>
    </w:p>
    <w:p w:rsidRPr="00A72BCC" w:rsidR="00A72BCC" w:rsidP="00A72BCC" w:rsidRDefault="00A72BCC" w14:paraId="7D5A36AE" w14:textId="77777777">
      <w:pPr>
        <w:ind w:firstLine="709"/>
        <w:jc w:val="both"/>
        <w:rPr>
          <w:sz w:val="28"/>
          <w:szCs w:val="28"/>
        </w:rPr>
      </w:pPr>
    </w:p>
    <w:p w:rsidRPr="00A72BCC" w:rsidR="00A72BCC" w:rsidP="00A72BCC" w:rsidRDefault="00A72BCC" w14:paraId="08F0A428" w14:textId="77777777">
      <w:pPr>
        <w:ind w:firstLine="709"/>
        <w:jc w:val="both"/>
        <w:rPr>
          <w:sz w:val="28"/>
          <w:szCs w:val="28"/>
        </w:rPr>
      </w:pPr>
      <w:r w:rsidRPr="00A72BCC">
        <w:rPr>
          <w:sz w:val="28"/>
          <w:szCs w:val="28"/>
        </w:rPr>
        <w:t xml:space="preserve">Ievērojot to, ka 2021.gadā vismaz līdz aprīlim ir spēkā ārkārtējās situācijas stāvoklis Covid-19 pandēmijas ierobežošanai, tad minētā situācija atstāj būtisku ietekmi uz kopējiem pasažieru pārvadājumiem. </w:t>
      </w:r>
    </w:p>
    <w:p w:rsidRPr="00851FA2" w:rsidR="00646D09" w:rsidP="00646D09" w:rsidRDefault="00646D09" w14:paraId="74E3E3EB" w14:textId="00023E1E">
      <w:pPr>
        <w:ind w:firstLine="709"/>
        <w:jc w:val="both"/>
        <w:rPr>
          <w:sz w:val="28"/>
          <w:szCs w:val="28"/>
        </w:rPr>
      </w:pPr>
      <w:r>
        <w:rPr>
          <w:sz w:val="28"/>
          <w:szCs w:val="28"/>
        </w:rPr>
        <w:t xml:space="preserve">Līdzīgi kā 2020.gadā, arī 2021.gadā </w:t>
      </w:r>
      <w:r w:rsidRPr="00D05516">
        <w:rPr>
          <w:sz w:val="28"/>
          <w:szCs w:val="28"/>
        </w:rPr>
        <w:t>atbilstoši likumam “Par valsts budžetu 2020.gadam” valsts budžeta programmā</w:t>
      </w:r>
      <w:r w:rsidRPr="00851FA2">
        <w:rPr>
          <w:sz w:val="28"/>
          <w:szCs w:val="28"/>
        </w:rPr>
        <w:t xml:space="preserve"> 31.00.00 “</w:t>
      </w:r>
      <w:r w:rsidRPr="00851FA2">
        <w:rPr>
          <w:iCs/>
          <w:sz w:val="28"/>
          <w:szCs w:val="28"/>
        </w:rPr>
        <w:t>Sabiedriskais transports”</w:t>
      </w:r>
      <w:r w:rsidRPr="00851FA2">
        <w:rPr>
          <w:sz w:val="28"/>
          <w:szCs w:val="28"/>
        </w:rPr>
        <w:t xml:space="preserve"> apakšprogrammā 31.06.00 </w:t>
      </w:r>
      <w:r>
        <w:rPr>
          <w:sz w:val="28"/>
          <w:szCs w:val="28"/>
        </w:rPr>
        <w:t>ir</w:t>
      </w:r>
      <w:r w:rsidRPr="00851FA2">
        <w:rPr>
          <w:sz w:val="28"/>
          <w:szCs w:val="28"/>
        </w:rPr>
        <w:t xml:space="preserve"> paredzēts </w:t>
      </w:r>
      <w:r>
        <w:rPr>
          <w:sz w:val="28"/>
          <w:szCs w:val="28"/>
        </w:rPr>
        <w:t xml:space="preserve">kopējais finansējums sabiedriskā transporta pakalpojumu nodrošināšanai reģionālās nozīmes pārvadājumos un </w:t>
      </w:r>
      <w:r w:rsidRPr="00D05516">
        <w:rPr>
          <w:sz w:val="28"/>
          <w:szCs w:val="28"/>
        </w:rPr>
        <w:t>republikas pilsētām pārvadājumos maršrutu daļā, kas ir ārpus pilsētas administratīvās teritorijas, ja šī maršruta daļa ir vairāk kā 30% no kopējā maršruta garuma, un personu ar invaliditāti pārvadāšanu,</w:t>
      </w:r>
      <w:r>
        <w:rPr>
          <w:sz w:val="28"/>
          <w:szCs w:val="28"/>
        </w:rPr>
        <w:t xml:space="preserve"> 61 603 </w:t>
      </w:r>
      <w:r w:rsidR="00F81EDC">
        <w:rPr>
          <w:sz w:val="28"/>
          <w:szCs w:val="28"/>
        </w:rPr>
        <w:t xml:space="preserve">518 </w:t>
      </w:r>
      <w:proofErr w:type="spellStart"/>
      <w:r w:rsidRPr="00851FA2">
        <w:rPr>
          <w:i/>
          <w:iCs/>
          <w:sz w:val="28"/>
          <w:szCs w:val="28"/>
        </w:rPr>
        <w:t>euro</w:t>
      </w:r>
      <w:proofErr w:type="spellEnd"/>
      <w:r>
        <w:rPr>
          <w:sz w:val="28"/>
          <w:szCs w:val="28"/>
        </w:rPr>
        <w:t>.</w:t>
      </w:r>
    </w:p>
    <w:p w:rsidR="00646D09" w:rsidP="00A72BCC" w:rsidRDefault="00646D09" w14:paraId="7EE4F577" w14:textId="475E8A87">
      <w:pPr>
        <w:ind w:firstLine="709"/>
        <w:jc w:val="both"/>
        <w:rPr>
          <w:sz w:val="28"/>
          <w:szCs w:val="28"/>
        </w:rPr>
      </w:pPr>
      <w:r>
        <w:rPr>
          <w:sz w:val="28"/>
          <w:szCs w:val="28"/>
        </w:rPr>
        <w:lastRenderedPageBreak/>
        <w:t>Pamatojoties uz 2020.gada datiem, kā arī sekojot kopējām tendencēm pilsētas pārvadājumos, Autotransporta direkcija prognozē, ka attiecībā uz šo no valsts budžeta kompensējamo zaudējumu daļu finansējums būs pietiekams, pat izskatot iespēju pie faktisko rezultātu saņemšanas apropriācijas pārdali  reģionālās nozīmes pārvadājumu finansēšanu.</w:t>
      </w:r>
    </w:p>
    <w:p w:rsidR="00646D09" w:rsidP="00A72BCC" w:rsidRDefault="00676A8F" w14:paraId="7C554BEF" w14:textId="012BBCFA">
      <w:pPr>
        <w:ind w:firstLine="709"/>
        <w:jc w:val="both"/>
        <w:rPr>
          <w:sz w:val="28"/>
          <w:szCs w:val="28"/>
        </w:rPr>
      </w:pPr>
      <w:r>
        <w:rPr>
          <w:sz w:val="28"/>
          <w:szCs w:val="28"/>
        </w:rPr>
        <w:t xml:space="preserve">Tomēr attiecībā uz reģionālās nozīmes pārvadājumiem situācija, salīdzinājumā ar 2020.gadu, kad tika piešķirts papildu finansējums reģionālās nozīmes pārvadājumos vismaz 24,5 milj. </w:t>
      </w:r>
      <w:proofErr w:type="spellStart"/>
      <w:r w:rsidRPr="00C659FA">
        <w:rPr>
          <w:i/>
          <w:iCs/>
          <w:sz w:val="28"/>
          <w:szCs w:val="28"/>
        </w:rPr>
        <w:t>euro</w:t>
      </w:r>
      <w:proofErr w:type="spellEnd"/>
      <w:r>
        <w:rPr>
          <w:sz w:val="28"/>
          <w:szCs w:val="28"/>
        </w:rPr>
        <w:t>, ir pasliktinājusies.</w:t>
      </w:r>
    </w:p>
    <w:p w:rsidRPr="00A72BCC" w:rsidR="00A72BCC" w:rsidP="00A72BCC" w:rsidRDefault="00A72BCC" w14:paraId="37002612" w14:textId="057735AD">
      <w:pPr>
        <w:ind w:firstLine="709"/>
        <w:jc w:val="both"/>
        <w:rPr>
          <w:sz w:val="28"/>
          <w:szCs w:val="28"/>
        </w:rPr>
      </w:pPr>
      <w:r w:rsidRPr="00A72BCC">
        <w:rPr>
          <w:sz w:val="28"/>
          <w:szCs w:val="28"/>
        </w:rPr>
        <w:t xml:space="preserve">Modelējot 2021.gada attīstības scenārijus, </w:t>
      </w:r>
      <w:r w:rsidR="00646D09">
        <w:rPr>
          <w:sz w:val="28"/>
          <w:szCs w:val="28"/>
        </w:rPr>
        <w:t xml:space="preserve">jo faktiskā situācija 2021.gadā ir ļoti mainīga, </w:t>
      </w:r>
      <w:r w:rsidRPr="00A72BCC">
        <w:rPr>
          <w:sz w:val="28"/>
          <w:szCs w:val="28"/>
        </w:rPr>
        <w:t xml:space="preserve">Autotransporta direkcija ir aprēķinājusi, ka kopējais nepieciešamais papildu finansējums reģionālās nozīmes pārvadājumos varētu sasniegt 31 765 481 </w:t>
      </w:r>
      <w:proofErr w:type="spellStart"/>
      <w:r w:rsidRPr="00C659FA" w:rsidR="00676A8F">
        <w:rPr>
          <w:i/>
          <w:iCs/>
          <w:sz w:val="28"/>
          <w:szCs w:val="28"/>
        </w:rPr>
        <w:t>euro</w:t>
      </w:r>
      <w:proofErr w:type="spellEnd"/>
      <w:r w:rsidRPr="00A72BCC">
        <w:rPr>
          <w:sz w:val="28"/>
          <w:szCs w:val="28"/>
        </w:rPr>
        <w:t>.</w:t>
      </w:r>
    </w:p>
    <w:p w:rsidRPr="00A72BCC" w:rsidR="00A72BCC" w:rsidP="00711FAF" w:rsidRDefault="00A72BCC" w14:paraId="1BC16206" w14:textId="77777777">
      <w:pPr>
        <w:ind w:firstLine="567"/>
        <w:jc w:val="both"/>
        <w:rPr>
          <w:sz w:val="28"/>
          <w:szCs w:val="28"/>
        </w:rPr>
      </w:pPr>
      <w:r w:rsidRPr="00A72BCC">
        <w:rPr>
          <w:sz w:val="28"/>
          <w:szCs w:val="28"/>
        </w:rPr>
        <w:t>Minētā papildu nepieciešamā finansējums summa veidojas sekojoši:</w:t>
      </w:r>
    </w:p>
    <w:p w:rsidRPr="00E12E7A" w:rsidR="00A72BCC" w:rsidP="00711FAF" w:rsidRDefault="00A72BCC" w14:paraId="64DA3FB8" w14:textId="7D8ECECB">
      <w:pPr>
        <w:pStyle w:val="BodyText"/>
        <w:numPr>
          <w:ilvl w:val="0"/>
          <w:numId w:val="16"/>
        </w:numPr>
        <w:ind w:left="0" w:firstLine="567"/>
        <w:jc w:val="both"/>
        <w:rPr>
          <w:b/>
          <w:bCs/>
          <w:sz w:val="28"/>
          <w:szCs w:val="28"/>
        </w:rPr>
      </w:pPr>
      <w:r w:rsidRPr="00A72BCC">
        <w:rPr>
          <w:sz w:val="28"/>
          <w:szCs w:val="28"/>
        </w:rPr>
        <w:t xml:space="preserve">17 069 496 </w:t>
      </w:r>
      <w:proofErr w:type="spellStart"/>
      <w:r w:rsidRPr="00C659FA" w:rsidR="00676A8F">
        <w:rPr>
          <w:i/>
          <w:iCs/>
          <w:sz w:val="28"/>
          <w:szCs w:val="28"/>
        </w:rPr>
        <w:t>euro</w:t>
      </w:r>
      <w:proofErr w:type="spellEnd"/>
      <w:r w:rsidRPr="00A72BCC" w:rsidR="00676A8F">
        <w:rPr>
          <w:sz w:val="28"/>
          <w:szCs w:val="28"/>
        </w:rPr>
        <w:t xml:space="preserve"> </w:t>
      </w:r>
      <w:r w:rsidRPr="00A72BCC">
        <w:rPr>
          <w:sz w:val="28"/>
          <w:szCs w:val="28"/>
        </w:rPr>
        <w:t xml:space="preserve">– biļešu ieņēmumu samazinājums saistībā ar pasažieru skaita kritumu 2021.gadā, ievērojot pandēmijas noteiktos ierobežojumus. Biļešu </w:t>
      </w:r>
      <w:r w:rsidR="00403489">
        <w:rPr>
          <w:sz w:val="28"/>
          <w:szCs w:val="28"/>
        </w:rPr>
        <w:t xml:space="preserve">ieņēmumu </w:t>
      </w:r>
      <w:r w:rsidRPr="00A72BCC">
        <w:rPr>
          <w:sz w:val="28"/>
          <w:szCs w:val="28"/>
        </w:rPr>
        <w:t>samazinājums noteikts pret 2019.gadu, kad sabiedriskā transporta pakalpojumi tika sniegti pilnā apjomā</w:t>
      </w:r>
      <w:r w:rsidR="00403489">
        <w:rPr>
          <w:sz w:val="28"/>
          <w:szCs w:val="28"/>
        </w:rPr>
        <w:t>. Minētā tendence ir saglabāta līdzīga kā 2020.gadā, kad biļešu ieņēmumu samazinājums r</w:t>
      </w:r>
      <w:r w:rsidRPr="00586462" w:rsidR="00403489">
        <w:rPr>
          <w:sz w:val="28"/>
          <w:szCs w:val="28"/>
        </w:rPr>
        <w:t xml:space="preserve">eģionālajos pārvadājumos ar autobusiem 2020.gada 12 mēnešos salīdzinājumā ar 2019.gada 12 mēnešiem mazinājies par </w:t>
      </w:r>
      <w:r w:rsidR="00403489">
        <w:rPr>
          <w:sz w:val="28"/>
          <w:szCs w:val="28"/>
        </w:rPr>
        <w:t>32,6</w:t>
      </w:r>
      <w:r w:rsidRPr="00586462" w:rsidR="00403489">
        <w:rPr>
          <w:sz w:val="28"/>
          <w:szCs w:val="28"/>
        </w:rPr>
        <w:t xml:space="preserve">%, bet vilcienu satiksmē par </w:t>
      </w:r>
      <w:r w:rsidR="00403489">
        <w:rPr>
          <w:sz w:val="28"/>
          <w:szCs w:val="28"/>
        </w:rPr>
        <w:t>26,5</w:t>
      </w:r>
      <w:r w:rsidRPr="00586462" w:rsidR="00403489">
        <w:rPr>
          <w:sz w:val="28"/>
          <w:szCs w:val="28"/>
        </w:rPr>
        <w:t>%</w:t>
      </w:r>
      <w:r w:rsidRPr="00E12E7A">
        <w:rPr>
          <w:sz w:val="28"/>
          <w:szCs w:val="28"/>
        </w:rPr>
        <w:t>;</w:t>
      </w:r>
    </w:p>
    <w:p w:rsidRPr="00E12E7A" w:rsidR="00A72BCC" w:rsidP="00AD1535" w:rsidRDefault="00A72BCC" w14:paraId="23CB50E2" w14:textId="49ABC5E6">
      <w:pPr>
        <w:pStyle w:val="ListParagraph"/>
        <w:numPr>
          <w:ilvl w:val="0"/>
          <w:numId w:val="16"/>
        </w:numPr>
        <w:ind w:left="0" w:firstLine="567"/>
        <w:jc w:val="both"/>
        <w:rPr>
          <w:sz w:val="28"/>
          <w:szCs w:val="28"/>
        </w:rPr>
      </w:pPr>
      <w:r w:rsidRPr="00A72BCC">
        <w:rPr>
          <w:sz w:val="28"/>
          <w:szCs w:val="28"/>
        </w:rPr>
        <w:t xml:space="preserve">10 913 230 </w:t>
      </w:r>
      <w:proofErr w:type="spellStart"/>
      <w:r w:rsidRPr="00C659FA" w:rsidR="00676A8F">
        <w:rPr>
          <w:i/>
          <w:iCs/>
          <w:sz w:val="28"/>
          <w:szCs w:val="28"/>
        </w:rPr>
        <w:t>euro</w:t>
      </w:r>
      <w:proofErr w:type="spellEnd"/>
      <w:r w:rsidRPr="00C659FA" w:rsidR="00676A8F">
        <w:rPr>
          <w:i/>
          <w:iCs/>
          <w:sz w:val="28"/>
          <w:szCs w:val="28"/>
        </w:rPr>
        <w:t xml:space="preserve"> </w:t>
      </w:r>
      <w:r w:rsidRPr="00A72BCC">
        <w:rPr>
          <w:sz w:val="28"/>
          <w:szCs w:val="28"/>
        </w:rPr>
        <w:t>– zaudējumu apjoms, kas sedzams sabiedriskā transporta pakalpojumu sniedzējiem, bet valsts budžeta dotācijas, kas piešķirtas valsts budžeta bāzē 2021.gadam, nav pietiekamas, lai kompensētu visus ar sabiedriskā transporta pakalpojumu sniegšanu saistītos zaudējumus</w:t>
      </w:r>
      <w:r w:rsidR="00403489">
        <w:rPr>
          <w:sz w:val="28"/>
          <w:szCs w:val="28"/>
        </w:rPr>
        <w:t xml:space="preserve">. Proti, kopējais finansējums 2021.gadam reģionālās nozīmes pārvadātājiem ir paredzēts </w:t>
      </w:r>
      <w:r w:rsidR="00522E87">
        <w:rPr>
          <w:sz w:val="28"/>
          <w:szCs w:val="28"/>
        </w:rPr>
        <w:t>49,11</w:t>
      </w:r>
      <w:r w:rsidR="00C52F58">
        <w:rPr>
          <w:sz w:val="28"/>
          <w:szCs w:val="28"/>
        </w:rPr>
        <w:t xml:space="preserve"> milj. </w:t>
      </w:r>
      <w:proofErr w:type="spellStart"/>
      <w:r w:rsidRPr="00E12E7A" w:rsidR="00C52F58">
        <w:rPr>
          <w:i/>
          <w:iCs/>
          <w:sz w:val="28"/>
          <w:szCs w:val="28"/>
        </w:rPr>
        <w:t>euro</w:t>
      </w:r>
      <w:proofErr w:type="spellEnd"/>
      <w:r w:rsidR="00C52F58">
        <w:rPr>
          <w:sz w:val="28"/>
          <w:szCs w:val="28"/>
        </w:rPr>
        <w:t>, bet prognozētie</w:t>
      </w:r>
      <w:r w:rsidRPr="00E12E7A" w:rsidR="00C52F58">
        <w:rPr>
          <w:sz w:val="28"/>
          <w:szCs w:val="28"/>
        </w:rPr>
        <w:t xml:space="preserve"> zaudējumi</w:t>
      </w:r>
      <w:r w:rsidR="00C52F58">
        <w:rPr>
          <w:sz w:val="28"/>
          <w:szCs w:val="28"/>
        </w:rPr>
        <w:t xml:space="preserve"> pie apstākļiem, kad </w:t>
      </w:r>
      <w:r w:rsidR="008B0123">
        <w:rPr>
          <w:sz w:val="28"/>
          <w:szCs w:val="28"/>
        </w:rPr>
        <w:t>tos neietekmē biļešu ieņēmumu samazinājums</w:t>
      </w:r>
      <w:r w:rsidR="00522E87">
        <w:rPr>
          <w:sz w:val="28"/>
          <w:szCs w:val="28"/>
        </w:rPr>
        <w:t>,</w:t>
      </w:r>
      <w:r w:rsidR="008B0123">
        <w:rPr>
          <w:sz w:val="28"/>
          <w:szCs w:val="28"/>
        </w:rPr>
        <w:t xml:space="preserve"> pārsniedz valsts budžetā piešķirto finansējumu</w:t>
      </w:r>
      <w:r w:rsidR="00522E87">
        <w:rPr>
          <w:sz w:val="28"/>
          <w:szCs w:val="28"/>
        </w:rPr>
        <w:t>, sedzot reģionālās nozīmes pārvadātājiem tikai 82% no kopējiem kompensējamajiem zaudējumiem bez valsts garantētās peļņas daļas</w:t>
      </w:r>
      <w:r w:rsidRPr="00E12E7A">
        <w:rPr>
          <w:sz w:val="28"/>
          <w:szCs w:val="28"/>
        </w:rPr>
        <w:t>;</w:t>
      </w:r>
    </w:p>
    <w:p w:rsidRPr="00711FAF" w:rsidR="00A72BCC" w:rsidP="00AD1535" w:rsidRDefault="00A72BCC" w14:paraId="4D41EE87" w14:textId="1CDAD987">
      <w:pPr>
        <w:pStyle w:val="ListParagraph"/>
        <w:numPr>
          <w:ilvl w:val="0"/>
          <w:numId w:val="16"/>
        </w:numPr>
        <w:ind w:left="0" w:firstLine="567"/>
        <w:jc w:val="both"/>
        <w:rPr>
          <w:sz w:val="28"/>
          <w:szCs w:val="28"/>
        </w:rPr>
      </w:pPr>
      <w:r w:rsidRPr="00711FAF">
        <w:rPr>
          <w:sz w:val="28"/>
          <w:szCs w:val="28"/>
        </w:rPr>
        <w:t xml:space="preserve">3 782 755 </w:t>
      </w:r>
      <w:proofErr w:type="spellStart"/>
      <w:r w:rsidRPr="00711FAF" w:rsidR="00676A8F">
        <w:rPr>
          <w:i/>
          <w:iCs/>
          <w:sz w:val="28"/>
          <w:szCs w:val="28"/>
        </w:rPr>
        <w:t>euro</w:t>
      </w:r>
      <w:proofErr w:type="spellEnd"/>
      <w:r w:rsidRPr="00711FAF" w:rsidR="00676A8F">
        <w:rPr>
          <w:sz w:val="28"/>
          <w:szCs w:val="28"/>
        </w:rPr>
        <w:t xml:space="preserve"> </w:t>
      </w:r>
      <w:r w:rsidRPr="00711FAF">
        <w:rPr>
          <w:sz w:val="28"/>
          <w:szCs w:val="28"/>
        </w:rPr>
        <w:t>– aprēķinātā peļņas daļa, kas nosakāma atbilstoši normatīvo aktu un sabiedriskā transporta pakalpojumu līgumu prasībām un izmaksājama pēc faktiskās sabiedriskā transporta pakalpojumu sniegšanas.</w:t>
      </w:r>
      <w:r w:rsidRPr="00711FAF" w:rsidR="00522E87">
        <w:rPr>
          <w:sz w:val="28"/>
          <w:szCs w:val="28"/>
        </w:rPr>
        <w:t xml:space="preserve"> </w:t>
      </w:r>
      <w:r w:rsidRPr="00711FAF" w:rsidR="008148FA">
        <w:rPr>
          <w:sz w:val="28"/>
          <w:szCs w:val="28"/>
        </w:rPr>
        <w:t>Provizoriskā peļņas daļa ir noteikta, pamatojoties uz Ministru kabineta noteikumu Nr.435 54.punktā noteikto aprēķināšanas kārtību, un attiecīgi 2021.gadā tā mainīsies atbilstoši izpildāmajiem apjomiem un sabiedriskā transporta pakalpojumu līgumos noteiktai norēķinu kārtībai. Salīdzinājumā ar faktisko 2020.gadu</w:t>
      </w:r>
      <w:r w:rsidR="00B6133C">
        <w:rPr>
          <w:sz w:val="28"/>
          <w:szCs w:val="28"/>
        </w:rPr>
        <w:t xml:space="preserve"> </w:t>
      </w:r>
      <w:r w:rsidRPr="00711FAF" w:rsidR="008148FA">
        <w:rPr>
          <w:sz w:val="28"/>
          <w:szCs w:val="28"/>
        </w:rPr>
        <w:t xml:space="preserve">prognozētais 2021.gada </w:t>
      </w:r>
      <w:r w:rsidRPr="00711FAF" w:rsidR="002971A7">
        <w:rPr>
          <w:sz w:val="28"/>
          <w:szCs w:val="28"/>
        </w:rPr>
        <w:t>peļņas apjoms ir par 3% lielāks, jo 2020.gadā atsevišķiem sabiedriskā transporta pakalpojumu līgumiem peļņas noteikšana bija atšķirīga no Ministru kabineta noteikumos Nr.435 noteiktās peļņas aprēķināšanas kārtības.</w:t>
      </w:r>
      <w:r w:rsidRPr="00711FAF" w:rsidR="008148FA">
        <w:rPr>
          <w:sz w:val="28"/>
          <w:szCs w:val="28"/>
        </w:rPr>
        <w:t xml:space="preserve"> </w:t>
      </w:r>
    </w:p>
    <w:p w:rsidR="00AD1535" w:rsidP="00A72BCC" w:rsidRDefault="00AD1535" w14:paraId="5447BDA8" w14:textId="77777777">
      <w:pPr>
        <w:jc w:val="right"/>
      </w:pPr>
    </w:p>
    <w:p w:rsidR="00AD1535" w:rsidP="00A72BCC" w:rsidRDefault="00AD1535" w14:paraId="43C743C9" w14:textId="77777777">
      <w:pPr>
        <w:jc w:val="right"/>
      </w:pPr>
    </w:p>
    <w:p w:rsidR="00AD1535" w:rsidP="00A72BCC" w:rsidRDefault="00AD1535" w14:paraId="2C1FB59D" w14:textId="77777777">
      <w:pPr>
        <w:jc w:val="right"/>
      </w:pPr>
    </w:p>
    <w:p w:rsidR="00AD1535" w:rsidP="00A72BCC" w:rsidRDefault="00AD1535" w14:paraId="717F95D8" w14:textId="77777777">
      <w:pPr>
        <w:jc w:val="right"/>
      </w:pPr>
    </w:p>
    <w:p w:rsidR="00AD1535" w:rsidP="00A72BCC" w:rsidRDefault="00AD1535" w14:paraId="2DE590B3" w14:textId="77777777">
      <w:pPr>
        <w:jc w:val="right"/>
      </w:pPr>
    </w:p>
    <w:p w:rsidR="00A72BCC" w:rsidP="00A72BCC" w:rsidRDefault="00A72BCC" w14:paraId="75688542" w14:textId="46A4733C">
      <w:pPr>
        <w:jc w:val="right"/>
      </w:pPr>
      <w:r w:rsidRPr="000D03BE">
        <w:lastRenderedPageBreak/>
        <w:t>Tabula Nr.</w:t>
      </w:r>
      <w:r w:rsidR="003F68A8">
        <w:t>3</w:t>
      </w:r>
    </w:p>
    <w:p w:rsidRPr="00E12E7A" w:rsidR="00676A8F" w:rsidP="00A72BCC" w:rsidRDefault="00676A8F" w14:paraId="79C5A0BF" w14:textId="77777777">
      <w:pPr>
        <w:jc w:val="right"/>
        <w:rPr>
          <w:b/>
          <w:bCs/>
        </w:rPr>
      </w:pPr>
      <w:r w:rsidRPr="00E12E7A">
        <w:rPr>
          <w:b/>
          <w:bCs/>
        </w:rPr>
        <w:t xml:space="preserve">Prognozētie no valsts budžeta papildus </w:t>
      </w:r>
    </w:p>
    <w:p w:rsidRPr="00E12E7A" w:rsidR="00676A8F" w:rsidP="00A72BCC" w:rsidRDefault="00676A8F" w14:paraId="6F6AA065" w14:textId="70334406">
      <w:pPr>
        <w:jc w:val="right"/>
        <w:rPr>
          <w:b/>
          <w:bCs/>
        </w:rPr>
      </w:pPr>
      <w:r w:rsidRPr="00E12E7A">
        <w:rPr>
          <w:b/>
          <w:bCs/>
        </w:rPr>
        <w:t>kompensējamie zaudējumi 2021.gadā</w:t>
      </w:r>
    </w:p>
    <w:p w:rsidRPr="000D03BE" w:rsidR="00A72BCC" w:rsidP="00A72BCC" w:rsidRDefault="00A72BCC" w14:paraId="45CD3B79" w14:textId="77777777">
      <w:pPr>
        <w:jc w:val="both"/>
        <w:rPr>
          <w:sz w:val="28"/>
          <w:szCs w:val="28"/>
        </w:rPr>
      </w:pPr>
    </w:p>
    <w:tbl>
      <w:tblPr>
        <w:tblW w:w="8926" w:type="dxa"/>
        <w:tblLook w:val="04A0" w:firstRow="1" w:lastRow="0" w:firstColumn="1" w:lastColumn="0" w:noHBand="0" w:noVBand="1"/>
      </w:tblPr>
      <w:tblGrid>
        <w:gridCol w:w="890"/>
        <w:gridCol w:w="3500"/>
        <w:gridCol w:w="2268"/>
        <w:gridCol w:w="2268"/>
      </w:tblGrid>
      <w:tr w:rsidRPr="000D03BE" w:rsidR="00A72BCC" w:rsidTr="000F45D1" w14:paraId="276397E2" w14:textId="77777777">
        <w:trPr>
          <w:trHeight w:val="630"/>
        </w:trPr>
        <w:tc>
          <w:tcPr>
            <w:tcW w:w="8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03BE" w:rsidR="00A72BCC" w:rsidP="000F45D1" w:rsidRDefault="00A72BCC" w14:paraId="6D6F6C98" w14:textId="77777777">
            <w:proofErr w:type="spellStart"/>
            <w:r w:rsidRPr="000D03BE">
              <w:t>Nr.p.k</w:t>
            </w:r>
            <w:proofErr w:type="spellEnd"/>
            <w:r w:rsidRPr="000D03BE">
              <w:t>.</w:t>
            </w:r>
          </w:p>
        </w:tc>
        <w:tc>
          <w:tcPr>
            <w:tcW w:w="3500" w:type="dxa"/>
            <w:tcBorders>
              <w:top w:val="single" w:color="auto" w:sz="4" w:space="0"/>
              <w:left w:val="nil"/>
              <w:bottom w:val="single" w:color="auto" w:sz="4" w:space="0"/>
              <w:right w:val="single" w:color="auto" w:sz="4" w:space="0"/>
            </w:tcBorders>
            <w:shd w:val="clear" w:color="auto" w:fill="auto"/>
            <w:vAlign w:val="center"/>
            <w:hideMark/>
          </w:tcPr>
          <w:p w:rsidRPr="000D03BE" w:rsidR="00A72BCC" w:rsidP="000F45D1" w:rsidRDefault="00A72BCC" w14:paraId="66A5E2AD" w14:textId="77777777">
            <w:pPr>
              <w:rPr>
                <w:b/>
                <w:bCs/>
              </w:rPr>
            </w:pPr>
            <w:r w:rsidRPr="000D03BE">
              <w:rPr>
                <w:b/>
                <w:bCs/>
              </w:rPr>
              <w:t>Rādītāja nosaukums</w:t>
            </w:r>
          </w:p>
        </w:tc>
        <w:tc>
          <w:tcPr>
            <w:tcW w:w="2268" w:type="dxa"/>
            <w:tcBorders>
              <w:top w:val="single" w:color="auto" w:sz="4" w:space="0"/>
              <w:left w:val="nil"/>
              <w:bottom w:val="single" w:color="auto" w:sz="4" w:space="0"/>
              <w:right w:val="single" w:color="auto" w:sz="4" w:space="0"/>
            </w:tcBorders>
            <w:shd w:val="clear" w:color="auto" w:fill="auto"/>
            <w:vAlign w:val="center"/>
            <w:hideMark/>
          </w:tcPr>
          <w:p w:rsidRPr="000D03BE" w:rsidR="00A72BCC" w:rsidP="000F45D1" w:rsidRDefault="00A72BCC" w14:paraId="04F5F093" w14:textId="77777777">
            <w:pPr>
              <w:jc w:val="center"/>
              <w:rPr>
                <w:b/>
                <w:bCs/>
              </w:rPr>
            </w:pPr>
            <w:r w:rsidRPr="000D03BE">
              <w:rPr>
                <w:b/>
                <w:bCs/>
              </w:rPr>
              <w:t xml:space="preserve">Autobusu pārvadājumi </w:t>
            </w:r>
          </w:p>
        </w:tc>
        <w:tc>
          <w:tcPr>
            <w:tcW w:w="2268" w:type="dxa"/>
            <w:tcBorders>
              <w:top w:val="single" w:color="auto" w:sz="4" w:space="0"/>
              <w:left w:val="nil"/>
              <w:bottom w:val="single" w:color="auto" w:sz="4" w:space="0"/>
              <w:right w:val="single" w:color="auto" w:sz="4" w:space="0"/>
            </w:tcBorders>
            <w:shd w:val="clear" w:color="auto" w:fill="auto"/>
            <w:vAlign w:val="center"/>
            <w:hideMark/>
          </w:tcPr>
          <w:p w:rsidRPr="000D03BE" w:rsidR="00A72BCC" w:rsidP="000F45D1" w:rsidRDefault="00A72BCC" w14:paraId="6A1AF631" w14:textId="77777777">
            <w:pPr>
              <w:jc w:val="center"/>
              <w:rPr>
                <w:b/>
                <w:bCs/>
              </w:rPr>
            </w:pPr>
            <w:r w:rsidRPr="000D03BE">
              <w:rPr>
                <w:b/>
                <w:bCs/>
              </w:rPr>
              <w:t>Vilcienu pārvadājumi</w:t>
            </w:r>
          </w:p>
        </w:tc>
      </w:tr>
      <w:tr w:rsidRPr="000D03BE" w:rsidR="00A72BCC" w:rsidTr="000F45D1" w14:paraId="536D1F8A" w14:textId="77777777">
        <w:trPr>
          <w:trHeight w:val="315"/>
        </w:trPr>
        <w:tc>
          <w:tcPr>
            <w:tcW w:w="890" w:type="dxa"/>
            <w:tcBorders>
              <w:top w:val="nil"/>
              <w:left w:val="single" w:color="auto" w:sz="4" w:space="0"/>
              <w:bottom w:val="single" w:color="auto" w:sz="4" w:space="0"/>
              <w:right w:val="single" w:color="auto" w:sz="4" w:space="0"/>
            </w:tcBorders>
            <w:shd w:val="clear" w:color="auto" w:fill="auto"/>
            <w:vAlign w:val="center"/>
            <w:hideMark/>
          </w:tcPr>
          <w:p w:rsidRPr="000D03BE" w:rsidR="00A72BCC" w:rsidP="000F45D1" w:rsidRDefault="00A72BCC" w14:paraId="32C68A06" w14:textId="77777777">
            <w:pPr>
              <w:jc w:val="center"/>
              <w:rPr>
                <w:sz w:val="20"/>
                <w:szCs w:val="20"/>
              </w:rPr>
            </w:pPr>
            <w:r w:rsidRPr="000D03BE">
              <w:rPr>
                <w:sz w:val="20"/>
                <w:szCs w:val="20"/>
              </w:rPr>
              <w:t> </w:t>
            </w:r>
          </w:p>
        </w:tc>
        <w:tc>
          <w:tcPr>
            <w:tcW w:w="3500"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05A9E89E" w14:textId="7E578BCB">
            <w:pPr>
              <w:jc w:val="right"/>
            </w:pPr>
            <w:r w:rsidRPr="000D03BE">
              <w:t xml:space="preserve">Ieņēmumi 2019.gadā, </w:t>
            </w:r>
            <w:proofErr w:type="spellStart"/>
            <w:r w:rsidRPr="00C659FA" w:rsidR="00E7050F">
              <w:rPr>
                <w:i/>
                <w:iCs/>
              </w:rPr>
              <w:t>euro</w:t>
            </w:r>
            <w:proofErr w:type="spellEnd"/>
          </w:p>
        </w:tc>
        <w:tc>
          <w:tcPr>
            <w:tcW w:w="2268"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624DA01B" w14:textId="77777777">
            <w:pPr>
              <w:jc w:val="center"/>
            </w:pPr>
            <w:r w:rsidRPr="000D03BE">
              <w:t>36 327 772</w:t>
            </w:r>
          </w:p>
        </w:tc>
        <w:tc>
          <w:tcPr>
            <w:tcW w:w="2268"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57041A2D" w14:textId="77777777">
            <w:pPr>
              <w:jc w:val="center"/>
            </w:pPr>
            <w:r w:rsidRPr="000D03BE">
              <w:t>19 945 212</w:t>
            </w:r>
          </w:p>
        </w:tc>
      </w:tr>
      <w:tr w:rsidRPr="000D03BE" w:rsidR="00A72BCC" w:rsidTr="000F45D1" w14:paraId="63421FC7" w14:textId="77777777">
        <w:trPr>
          <w:trHeight w:val="31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0D03BE" w:rsidR="00A72BCC" w:rsidP="000F45D1" w:rsidRDefault="00A72BCC" w14:paraId="1C5FE041" w14:textId="77777777">
            <w:pPr>
              <w:jc w:val="center"/>
              <w:rPr>
                <w:sz w:val="20"/>
                <w:szCs w:val="20"/>
              </w:rPr>
            </w:pPr>
            <w:r w:rsidRPr="000D03BE">
              <w:rPr>
                <w:sz w:val="20"/>
                <w:szCs w:val="20"/>
              </w:rPr>
              <w:t>1</w:t>
            </w:r>
          </w:p>
        </w:tc>
        <w:tc>
          <w:tcPr>
            <w:tcW w:w="3500"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252ADF67" w14:textId="7F9AE015">
            <w:r w:rsidRPr="000D03BE">
              <w:t xml:space="preserve">Prognozētie ieņēmumi, </w:t>
            </w:r>
            <w:proofErr w:type="spellStart"/>
            <w:r w:rsidRPr="00C659FA" w:rsidR="00E7050F">
              <w:rPr>
                <w:i/>
                <w:iCs/>
              </w:rPr>
              <w:t>euro</w:t>
            </w:r>
            <w:proofErr w:type="spellEnd"/>
          </w:p>
        </w:tc>
        <w:tc>
          <w:tcPr>
            <w:tcW w:w="2268" w:type="dxa"/>
            <w:tcBorders>
              <w:top w:val="nil"/>
              <w:left w:val="nil"/>
              <w:bottom w:val="single" w:color="auto" w:sz="4" w:space="0"/>
              <w:right w:val="single" w:color="auto" w:sz="4" w:space="0"/>
            </w:tcBorders>
            <w:shd w:val="clear" w:color="auto" w:fill="auto"/>
            <w:noWrap/>
            <w:vAlign w:val="center"/>
            <w:hideMark/>
          </w:tcPr>
          <w:p w:rsidRPr="000D03BE" w:rsidR="00A72BCC" w:rsidP="000F45D1" w:rsidRDefault="00A72BCC" w14:paraId="78C93853" w14:textId="77777777">
            <w:pPr>
              <w:jc w:val="center"/>
            </w:pPr>
            <w:r w:rsidRPr="000D03BE">
              <w:t>24 619 12</w:t>
            </w:r>
            <w:r>
              <w:t>0</w:t>
            </w:r>
          </w:p>
        </w:tc>
        <w:tc>
          <w:tcPr>
            <w:tcW w:w="2268"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5A82B40C" w14:textId="77777777">
            <w:pPr>
              <w:jc w:val="center"/>
            </w:pPr>
            <w:r w:rsidRPr="000D03BE">
              <w:t>14 584 368</w:t>
            </w:r>
          </w:p>
        </w:tc>
      </w:tr>
      <w:tr w:rsidRPr="000D03BE" w:rsidR="00A72BCC" w:rsidTr="000F45D1" w14:paraId="03F8892B" w14:textId="77777777">
        <w:trPr>
          <w:trHeight w:val="630"/>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0D03BE" w:rsidR="00A72BCC" w:rsidP="000F45D1" w:rsidRDefault="00A72BCC" w14:paraId="7AC9F2F3" w14:textId="77777777">
            <w:pPr>
              <w:jc w:val="center"/>
              <w:rPr>
                <w:sz w:val="20"/>
                <w:szCs w:val="20"/>
              </w:rPr>
            </w:pPr>
            <w:r w:rsidRPr="000D03BE">
              <w:rPr>
                <w:sz w:val="20"/>
                <w:szCs w:val="20"/>
              </w:rPr>
              <w:t>2</w:t>
            </w:r>
          </w:p>
        </w:tc>
        <w:tc>
          <w:tcPr>
            <w:tcW w:w="3500"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307A566E" w14:textId="739370D9">
            <w:r w:rsidRPr="000D03BE">
              <w:t xml:space="preserve">Izdevumi (izņemot dzelzceļa infrastruktūras maksa), </w:t>
            </w:r>
            <w:proofErr w:type="spellStart"/>
            <w:r w:rsidRPr="00C659FA" w:rsidR="00E7050F">
              <w:rPr>
                <w:i/>
                <w:iCs/>
              </w:rPr>
              <w:t>euro</w:t>
            </w:r>
            <w:proofErr w:type="spellEnd"/>
          </w:p>
        </w:tc>
        <w:tc>
          <w:tcPr>
            <w:tcW w:w="2268" w:type="dxa"/>
            <w:tcBorders>
              <w:top w:val="nil"/>
              <w:left w:val="nil"/>
              <w:bottom w:val="single" w:color="auto" w:sz="4" w:space="0"/>
              <w:right w:val="single" w:color="auto" w:sz="4" w:space="0"/>
            </w:tcBorders>
            <w:shd w:val="clear" w:color="auto" w:fill="auto"/>
            <w:noWrap/>
            <w:vAlign w:val="center"/>
            <w:hideMark/>
          </w:tcPr>
          <w:p w:rsidRPr="000D03BE" w:rsidR="00A72BCC" w:rsidP="000F45D1" w:rsidRDefault="00A72BCC" w14:paraId="60528111" w14:textId="77777777">
            <w:pPr>
              <w:jc w:val="center"/>
            </w:pPr>
            <w:r w:rsidRPr="000D03BE">
              <w:t>81 627 945</w:t>
            </w:r>
          </w:p>
        </w:tc>
        <w:tc>
          <w:tcPr>
            <w:tcW w:w="2268"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582E517A" w14:textId="77777777">
            <w:pPr>
              <w:jc w:val="center"/>
            </w:pPr>
            <w:r w:rsidRPr="000D03BE">
              <w:t>34 672 556</w:t>
            </w:r>
          </w:p>
        </w:tc>
      </w:tr>
      <w:tr w:rsidRPr="000D03BE" w:rsidR="00A72BCC" w:rsidTr="000F45D1" w14:paraId="18CA1B57" w14:textId="77777777">
        <w:trPr>
          <w:trHeight w:val="31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0D03BE" w:rsidR="00A72BCC" w:rsidP="000F45D1" w:rsidRDefault="00A72BCC" w14:paraId="70B2F3E9" w14:textId="77777777">
            <w:pPr>
              <w:jc w:val="center"/>
              <w:rPr>
                <w:sz w:val="20"/>
                <w:szCs w:val="20"/>
              </w:rPr>
            </w:pPr>
            <w:r w:rsidRPr="000D03BE">
              <w:rPr>
                <w:sz w:val="20"/>
                <w:szCs w:val="20"/>
              </w:rPr>
              <w:t>3</w:t>
            </w:r>
          </w:p>
        </w:tc>
        <w:tc>
          <w:tcPr>
            <w:tcW w:w="3500"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1C4421D1" w14:textId="77777777">
            <w:r w:rsidRPr="000D03BE">
              <w:t>Nobraukums maršrutu tīklā, kilometri</w:t>
            </w:r>
          </w:p>
        </w:tc>
        <w:tc>
          <w:tcPr>
            <w:tcW w:w="2268" w:type="dxa"/>
            <w:tcBorders>
              <w:top w:val="nil"/>
              <w:left w:val="nil"/>
              <w:bottom w:val="single" w:color="auto" w:sz="4" w:space="0"/>
              <w:right w:val="single" w:color="auto" w:sz="4" w:space="0"/>
            </w:tcBorders>
            <w:shd w:val="clear" w:color="auto" w:fill="auto"/>
            <w:noWrap/>
            <w:vAlign w:val="center"/>
            <w:hideMark/>
          </w:tcPr>
          <w:p w:rsidRPr="000D03BE" w:rsidR="00A72BCC" w:rsidP="000F45D1" w:rsidRDefault="00A72BCC" w14:paraId="7CD1FF40" w14:textId="77777777">
            <w:pPr>
              <w:jc w:val="center"/>
            </w:pPr>
            <w:r w:rsidRPr="000D03BE">
              <w:t xml:space="preserve">73 794 </w:t>
            </w:r>
            <w:r>
              <w:t>999</w:t>
            </w:r>
          </w:p>
        </w:tc>
        <w:tc>
          <w:tcPr>
            <w:tcW w:w="2268"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1F3A4086" w14:textId="77777777">
            <w:pPr>
              <w:jc w:val="center"/>
            </w:pPr>
            <w:r w:rsidRPr="000D03BE">
              <w:t> </w:t>
            </w:r>
          </w:p>
        </w:tc>
      </w:tr>
      <w:tr w:rsidRPr="000D03BE" w:rsidR="00A72BCC" w:rsidTr="000F45D1" w14:paraId="47D5CA16" w14:textId="77777777">
        <w:trPr>
          <w:trHeight w:val="31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0D03BE" w:rsidR="00A72BCC" w:rsidP="000F45D1" w:rsidRDefault="00A72BCC" w14:paraId="1C879719" w14:textId="77777777">
            <w:pPr>
              <w:jc w:val="center"/>
              <w:rPr>
                <w:sz w:val="20"/>
                <w:szCs w:val="20"/>
              </w:rPr>
            </w:pPr>
            <w:r w:rsidRPr="000D03BE">
              <w:rPr>
                <w:sz w:val="20"/>
                <w:szCs w:val="20"/>
              </w:rPr>
              <w:t>4</w:t>
            </w:r>
          </w:p>
        </w:tc>
        <w:tc>
          <w:tcPr>
            <w:tcW w:w="3500"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18BC604B" w14:textId="77777777">
            <w:r w:rsidRPr="000D03BE">
              <w:t>Nobraukums maršrutu tīklā, vagonkilometri</w:t>
            </w:r>
          </w:p>
        </w:tc>
        <w:tc>
          <w:tcPr>
            <w:tcW w:w="2268" w:type="dxa"/>
            <w:tcBorders>
              <w:top w:val="nil"/>
              <w:left w:val="nil"/>
              <w:bottom w:val="single" w:color="auto" w:sz="4" w:space="0"/>
              <w:right w:val="single" w:color="auto" w:sz="4" w:space="0"/>
            </w:tcBorders>
            <w:shd w:val="clear" w:color="auto" w:fill="auto"/>
            <w:noWrap/>
            <w:vAlign w:val="center"/>
            <w:hideMark/>
          </w:tcPr>
          <w:p w:rsidRPr="000D03BE" w:rsidR="00A72BCC" w:rsidP="000F45D1" w:rsidRDefault="00A72BCC" w14:paraId="0DC6D84B" w14:textId="77777777">
            <w:pPr>
              <w:jc w:val="center"/>
            </w:pPr>
            <w:r w:rsidRPr="000D03BE">
              <w:t> </w:t>
            </w:r>
          </w:p>
        </w:tc>
        <w:tc>
          <w:tcPr>
            <w:tcW w:w="2268"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20646DD2" w14:textId="77777777">
            <w:pPr>
              <w:jc w:val="center"/>
            </w:pPr>
            <w:r w:rsidRPr="000D03BE">
              <w:t>26 162 208</w:t>
            </w:r>
          </w:p>
        </w:tc>
      </w:tr>
      <w:tr w:rsidRPr="000D03BE" w:rsidR="00A72BCC" w:rsidTr="000F45D1" w14:paraId="70579CD0" w14:textId="77777777">
        <w:trPr>
          <w:trHeight w:val="31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0D03BE" w:rsidR="00A72BCC" w:rsidP="000F45D1" w:rsidRDefault="00A72BCC" w14:paraId="6FB67BB1" w14:textId="77777777">
            <w:pPr>
              <w:jc w:val="center"/>
              <w:rPr>
                <w:sz w:val="20"/>
                <w:szCs w:val="20"/>
              </w:rPr>
            </w:pPr>
            <w:r w:rsidRPr="000D03BE">
              <w:rPr>
                <w:sz w:val="20"/>
                <w:szCs w:val="20"/>
              </w:rPr>
              <w:t>5</w:t>
            </w:r>
          </w:p>
        </w:tc>
        <w:tc>
          <w:tcPr>
            <w:tcW w:w="3500"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46B41D00" w14:textId="7A5D3255">
            <w:r w:rsidRPr="000D03BE">
              <w:t xml:space="preserve">Aprēķinātā peļņa, </w:t>
            </w:r>
            <w:proofErr w:type="spellStart"/>
            <w:r w:rsidRPr="00C659FA" w:rsidR="00E7050F">
              <w:rPr>
                <w:i/>
                <w:iCs/>
              </w:rPr>
              <w:t>euro</w:t>
            </w:r>
            <w:proofErr w:type="spellEnd"/>
          </w:p>
        </w:tc>
        <w:tc>
          <w:tcPr>
            <w:tcW w:w="2268" w:type="dxa"/>
            <w:tcBorders>
              <w:top w:val="nil"/>
              <w:left w:val="nil"/>
              <w:bottom w:val="single" w:color="auto" w:sz="4" w:space="0"/>
              <w:right w:val="single" w:color="auto" w:sz="4" w:space="0"/>
            </w:tcBorders>
            <w:shd w:val="clear" w:color="auto" w:fill="auto"/>
            <w:noWrap/>
            <w:vAlign w:val="center"/>
            <w:hideMark/>
          </w:tcPr>
          <w:p w:rsidRPr="000D03BE" w:rsidR="00A72BCC" w:rsidP="000F45D1" w:rsidRDefault="00A72BCC" w14:paraId="06C971D4" w14:textId="77777777">
            <w:pPr>
              <w:jc w:val="center"/>
            </w:pPr>
            <w:r w:rsidRPr="000D03BE">
              <w:t>2 706 202</w:t>
            </w:r>
          </w:p>
        </w:tc>
        <w:tc>
          <w:tcPr>
            <w:tcW w:w="2268"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792089E9" w14:textId="77777777">
            <w:pPr>
              <w:jc w:val="center"/>
            </w:pPr>
            <w:r w:rsidRPr="000D03BE">
              <w:t>1 076 55</w:t>
            </w:r>
            <w:r>
              <w:t>3</w:t>
            </w:r>
          </w:p>
        </w:tc>
      </w:tr>
      <w:tr w:rsidRPr="000D03BE" w:rsidR="00A72BCC" w:rsidTr="000F45D1" w14:paraId="04E84C21" w14:textId="77777777">
        <w:trPr>
          <w:trHeight w:val="945"/>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0D03BE" w:rsidR="00A72BCC" w:rsidP="000F45D1" w:rsidRDefault="00A72BCC" w14:paraId="6C27CA6D" w14:textId="77777777">
            <w:pPr>
              <w:jc w:val="center"/>
              <w:rPr>
                <w:sz w:val="20"/>
                <w:szCs w:val="20"/>
              </w:rPr>
            </w:pPr>
            <w:r w:rsidRPr="000D03BE">
              <w:rPr>
                <w:sz w:val="20"/>
                <w:szCs w:val="20"/>
              </w:rPr>
              <w:t>6</w:t>
            </w:r>
          </w:p>
        </w:tc>
        <w:tc>
          <w:tcPr>
            <w:tcW w:w="3500"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4D8DA2F8" w14:textId="6460F0AC">
            <w:r w:rsidRPr="000D03BE">
              <w:t xml:space="preserve">Aprēķinātā zaudējumu kompensācija atbilstoši sabiedriskā transporta pakalpojumu līgumos noteiktajam, </w:t>
            </w:r>
            <w:proofErr w:type="spellStart"/>
            <w:r w:rsidRPr="00C659FA" w:rsidR="00E7050F">
              <w:rPr>
                <w:i/>
                <w:iCs/>
              </w:rPr>
              <w:t>euro</w:t>
            </w:r>
            <w:proofErr w:type="spellEnd"/>
          </w:p>
        </w:tc>
        <w:tc>
          <w:tcPr>
            <w:tcW w:w="2268" w:type="dxa"/>
            <w:tcBorders>
              <w:top w:val="nil"/>
              <w:left w:val="nil"/>
              <w:bottom w:val="single" w:color="auto" w:sz="4" w:space="0"/>
              <w:right w:val="single" w:color="auto" w:sz="4" w:space="0"/>
            </w:tcBorders>
            <w:shd w:val="clear" w:color="auto" w:fill="auto"/>
            <w:noWrap/>
            <w:vAlign w:val="center"/>
            <w:hideMark/>
          </w:tcPr>
          <w:p w:rsidRPr="000D03BE" w:rsidR="00A72BCC" w:rsidP="000F45D1" w:rsidRDefault="00A72BCC" w14:paraId="4DB1E92C" w14:textId="77777777">
            <w:pPr>
              <w:jc w:val="center"/>
            </w:pPr>
            <w:r w:rsidRPr="000D03BE">
              <w:t>59 715 026</w:t>
            </w:r>
          </w:p>
        </w:tc>
        <w:tc>
          <w:tcPr>
            <w:tcW w:w="2268" w:type="dxa"/>
            <w:tcBorders>
              <w:top w:val="nil"/>
              <w:left w:val="nil"/>
              <w:bottom w:val="single" w:color="auto" w:sz="4" w:space="0"/>
              <w:right w:val="single" w:color="auto" w:sz="4" w:space="0"/>
            </w:tcBorders>
            <w:shd w:val="clear" w:color="auto" w:fill="auto"/>
            <w:noWrap/>
            <w:vAlign w:val="center"/>
            <w:hideMark/>
          </w:tcPr>
          <w:p w:rsidRPr="000D03BE" w:rsidR="00A72BCC" w:rsidP="000F45D1" w:rsidRDefault="00A72BCC" w14:paraId="3D4B1819" w14:textId="77777777">
            <w:pPr>
              <w:jc w:val="center"/>
            </w:pPr>
            <w:r w:rsidRPr="000D03BE">
              <w:t>21 164 742</w:t>
            </w:r>
          </w:p>
        </w:tc>
      </w:tr>
      <w:tr w:rsidRPr="000D03BE" w:rsidR="00A72BCC" w:rsidTr="000F45D1" w14:paraId="56B3757A" w14:textId="77777777">
        <w:trPr>
          <w:trHeight w:val="630"/>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0D03BE" w:rsidR="00A72BCC" w:rsidP="000F45D1" w:rsidRDefault="00A72BCC" w14:paraId="5EBD47AE" w14:textId="77777777">
            <w:pPr>
              <w:jc w:val="center"/>
              <w:rPr>
                <w:sz w:val="20"/>
                <w:szCs w:val="20"/>
              </w:rPr>
            </w:pPr>
            <w:r w:rsidRPr="000D03BE">
              <w:rPr>
                <w:sz w:val="20"/>
                <w:szCs w:val="20"/>
              </w:rPr>
              <w:t>7</w:t>
            </w:r>
          </w:p>
        </w:tc>
        <w:tc>
          <w:tcPr>
            <w:tcW w:w="3500"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1E73D92C" w14:textId="073BEA28">
            <w:r w:rsidRPr="000D03BE">
              <w:t>Valsts budžet</w:t>
            </w:r>
            <w:r w:rsidR="00203701">
              <w:t xml:space="preserve">ā </w:t>
            </w:r>
            <w:r w:rsidRPr="000D03BE">
              <w:t xml:space="preserve">paredzētās dotācijas zaudējumu segšanai, </w:t>
            </w:r>
            <w:proofErr w:type="spellStart"/>
            <w:r w:rsidRPr="00C659FA" w:rsidR="00E7050F">
              <w:rPr>
                <w:i/>
                <w:iCs/>
              </w:rPr>
              <w:t>euro</w:t>
            </w:r>
            <w:proofErr w:type="spellEnd"/>
          </w:p>
        </w:tc>
        <w:tc>
          <w:tcPr>
            <w:tcW w:w="2268" w:type="dxa"/>
            <w:tcBorders>
              <w:top w:val="nil"/>
              <w:left w:val="nil"/>
              <w:bottom w:val="single" w:color="auto" w:sz="4" w:space="0"/>
              <w:right w:val="single" w:color="auto" w:sz="4" w:space="0"/>
            </w:tcBorders>
            <w:shd w:val="clear" w:color="auto" w:fill="auto"/>
            <w:noWrap/>
            <w:vAlign w:val="center"/>
            <w:hideMark/>
          </w:tcPr>
          <w:p w:rsidRPr="000D03BE" w:rsidR="00A72BCC" w:rsidP="000F45D1" w:rsidRDefault="00A72BCC" w14:paraId="5D5F233B" w14:textId="77777777">
            <w:pPr>
              <w:jc w:val="center"/>
            </w:pPr>
            <w:r w:rsidRPr="000D03BE">
              <w:t>38 846 590</w:t>
            </w:r>
          </w:p>
        </w:tc>
        <w:tc>
          <w:tcPr>
            <w:tcW w:w="2268"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25D77BC2" w14:textId="77777777">
            <w:pPr>
              <w:jc w:val="center"/>
            </w:pPr>
            <w:r w:rsidRPr="000D03BE">
              <w:t>10 267 697</w:t>
            </w:r>
          </w:p>
        </w:tc>
      </w:tr>
      <w:tr w:rsidRPr="000D03BE" w:rsidR="00A72BCC" w:rsidTr="000F45D1" w14:paraId="58091F1C" w14:textId="77777777">
        <w:trPr>
          <w:trHeight w:val="630"/>
        </w:trPr>
        <w:tc>
          <w:tcPr>
            <w:tcW w:w="890" w:type="dxa"/>
            <w:tcBorders>
              <w:top w:val="nil"/>
              <w:left w:val="single" w:color="auto" w:sz="4" w:space="0"/>
              <w:bottom w:val="single" w:color="auto" w:sz="4" w:space="0"/>
              <w:right w:val="single" w:color="auto" w:sz="4" w:space="0"/>
            </w:tcBorders>
            <w:shd w:val="clear" w:color="auto" w:fill="auto"/>
            <w:noWrap/>
            <w:vAlign w:val="center"/>
            <w:hideMark/>
          </w:tcPr>
          <w:p w:rsidRPr="000D03BE" w:rsidR="00A72BCC" w:rsidP="000F45D1" w:rsidRDefault="00A72BCC" w14:paraId="3DAEA568" w14:textId="77777777">
            <w:pPr>
              <w:jc w:val="center"/>
              <w:rPr>
                <w:sz w:val="20"/>
                <w:szCs w:val="20"/>
              </w:rPr>
            </w:pPr>
            <w:r w:rsidRPr="000D03BE">
              <w:rPr>
                <w:sz w:val="20"/>
                <w:szCs w:val="20"/>
              </w:rPr>
              <w:t>8</w:t>
            </w:r>
          </w:p>
        </w:tc>
        <w:tc>
          <w:tcPr>
            <w:tcW w:w="3500" w:type="dxa"/>
            <w:tcBorders>
              <w:top w:val="nil"/>
              <w:left w:val="nil"/>
              <w:bottom w:val="single" w:color="auto" w:sz="4" w:space="0"/>
              <w:right w:val="single" w:color="auto" w:sz="4" w:space="0"/>
            </w:tcBorders>
            <w:shd w:val="clear" w:color="auto" w:fill="auto"/>
            <w:vAlign w:val="center"/>
            <w:hideMark/>
          </w:tcPr>
          <w:p w:rsidRPr="000D03BE" w:rsidR="00A72BCC" w:rsidP="000F45D1" w:rsidRDefault="00A72BCC" w14:paraId="700C69AF" w14:textId="25674F3D">
            <w:pPr>
              <w:rPr>
                <w:b/>
                <w:bCs/>
              </w:rPr>
            </w:pPr>
            <w:r w:rsidRPr="000D03BE">
              <w:rPr>
                <w:b/>
                <w:bCs/>
              </w:rPr>
              <w:t xml:space="preserve">Iztrūkums (-) / pārmaksa (+) zaudējumu segšanai par 2021.gadu, </w:t>
            </w:r>
            <w:proofErr w:type="spellStart"/>
            <w:r w:rsidRPr="00C659FA" w:rsidR="00E7050F">
              <w:rPr>
                <w:b/>
                <w:bCs/>
                <w:i/>
                <w:iCs/>
              </w:rPr>
              <w:t>euro</w:t>
            </w:r>
            <w:proofErr w:type="spellEnd"/>
            <w:r w:rsidRPr="000D03BE" w:rsidR="00E7050F">
              <w:rPr>
                <w:b/>
                <w:bCs/>
              </w:rPr>
              <w:t xml:space="preserve"> </w:t>
            </w:r>
            <w:r w:rsidRPr="001331AD">
              <w:rPr>
                <w:b/>
                <w:bCs/>
                <w:color w:val="767171" w:themeColor="background2" w:themeShade="80"/>
                <w:sz w:val="18"/>
                <w:szCs w:val="18"/>
              </w:rPr>
              <w:t>(7.rinda -6.rinda)</w:t>
            </w:r>
            <w:r w:rsidRPr="001331AD">
              <w:rPr>
                <w:b/>
                <w:bCs/>
                <w:color w:val="767171" w:themeColor="background2" w:themeShade="80"/>
                <w:sz w:val="16"/>
                <w:szCs w:val="16"/>
              </w:rPr>
              <w:t xml:space="preserve"> </w:t>
            </w:r>
          </w:p>
        </w:tc>
        <w:tc>
          <w:tcPr>
            <w:tcW w:w="2268" w:type="dxa"/>
            <w:tcBorders>
              <w:top w:val="nil"/>
              <w:left w:val="nil"/>
              <w:bottom w:val="single" w:color="auto" w:sz="4" w:space="0"/>
              <w:right w:val="single" w:color="auto" w:sz="4" w:space="0"/>
            </w:tcBorders>
            <w:shd w:val="clear" w:color="auto" w:fill="auto"/>
            <w:noWrap/>
            <w:vAlign w:val="center"/>
            <w:hideMark/>
          </w:tcPr>
          <w:p w:rsidRPr="000D03BE" w:rsidR="00A72BCC" w:rsidP="000F45D1" w:rsidRDefault="00A72BCC" w14:paraId="273F55C9" w14:textId="77777777">
            <w:pPr>
              <w:jc w:val="center"/>
              <w:rPr>
                <w:b/>
                <w:bCs/>
              </w:rPr>
            </w:pPr>
            <w:r w:rsidRPr="000D03BE">
              <w:rPr>
                <w:b/>
                <w:bCs/>
              </w:rPr>
              <w:t>-20 868 436</w:t>
            </w:r>
          </w:p>
        </w:tc>
        <w:tc>
          <w:tcPr>
            <w:tcW w:w="2268" w:type="dxa"/>
            <w:tcBorders>
              <w:top w:val="nil"/>
              <w:left w:val="nil"/>
              <w:bottom w:val="single" w:color="auto" w:sz="4" w:space="0"/>
              <w:right w:val="single" w:color="auto" w:sz="4" w:space="0"/>
            </w:tcBorders>
            <w:shd w:val="clear" w:color="auto" w:fill="auto"/>
            <w:noWrap/>
            <w:vAlign w:val="center"/>
            <w:hideMark/>
          </w:tcPr>
          <w:p w:rsidRPr="000D03BE" w:rsidR="00A72BCC" w:rsidP="000F45D1" w:rsidRDefault="00A72BCC" w14:paraId="43CAD98F" w14:textId="77777777">
            <w:pPr>
              <w:jc w:val="center"/>
              <w:rPr>
                <w:b/>
                <w:bCs/>
              </w:rPr>
            </w:pPr>
            <w:r w:rsidRPr="000D03BE">
              <w:rPr>
                <w:b/>
                <w:bCs/>
              </w:rPr>
              <w:t>-10 897 045</w:t>
            </w:r>
          </w:p>
        </w:tc>
      </w:tr>
    </w:tbl>
    <w:p w:rsidR="00A72BCC" w:rsidP="00A72BCC" w:rsidRDefault="00A72BCC" w14:paraId="70FB5F0B" w14:textId="77777777">
      <w:pPr>
        <w:ind w:firstLine="709"/>
        <w:jc w:val="both"/>
        <w:rPr>
          <w:sz w:val="28"/>
          <w:szCs w:val="28"/>
        </w:rPr>
      </w:pPr>
    </w:p>
    <w:p w:rsidRPr="00A72BCC" w:rsidR="00A72BCC" w:rsidP="00A72BCC" w:rsidRDefault="00A72BCC" w14:paraId="767A1C15" w14:textId="77777777">
      <w:pPr>
        <w:ind w:firstLine="709"/>
        <w:jc w:val="both"/>
        <w:rPr>
          <w:sz w:val="28"/>
          <w:szCs w:val="28"/>
        </w:rPr>
      </w:pPr>
      <w:r w:rsidRPr="00A72BCC">
        <w:rPr>
          <w:sz w:val="28"/>
          <w:szCs w:val="28"/>
        </w:rPr>
        <w:t>Pie šāda aprēķina Autotransporta direkcija ir veikusi sekojošus pieņēmumus:</w:t>
      </w:r>
    </w:p>
    <w:p w:rsidRPr="00A72BCC" w:rsidR="00A72BCC" w:rsidP="00E12E7A" w:rsidRDefault="00A72BCC" w14:paraId="459451D5" w14:textId="12D7E191">
      <w:pPr>
        <w:pStyle w:val="ListParagraph"/>
        <w:numPr>
          <w:ilvl w:val="0"/>
          <w:numId w:val="17"/>
        </w:numPr>
        <w:ind w:left="0" w:firstLine="709"/>
        <w:jc w:val="both"/>
        <w:rPr>
          <w:sz w:val="28"/>
          <w:szCs w:val="28"/>
        </w:rPr>
      </w:pPr>
      <w:r w:rsidRPr="00A72BCC">
        <w:rPr>
          <w:sz w:val="28"/>
          <w:szCs w:val="28"/>
        </w:rPr>
        <w:t>Nobraukumam – ievērojot to, ka no 2021.gada 22.februāra daļā reģionālā maršrutu tīklā ir atjaunojami atsevišķi autobusu reisi, kas paredzēti skolēnu pārvadāšanai, sakarā ar mācību atsākšanos klātienē 1.-4.klasei atsevišķos Latvijas novados, līdz ar to nobraukumam iespējamas svārstīgas izmaiņas, kas atkarīgas no pasažieru pieprasījuma un saistīt</w:t>
      </w:r>
      <w:r w:rsidR="00B6133C">
        <w:rPr>
          <w:sz w:val="28"/>
          <w:szCs w:val="28"/>
        </w:rPr>
        <w:t>a</w:t>
      </w:r>
      <w:r w:rsidRPr="00A72BCC">
        <w:rPr>
          <w:sz w:val="28"/>
          <w:szCs w:val="28"/>
        </w:rPr>
        <w:t>s ar dažādu nozaru darbības atsākšanu. Turklāt pieņēmumos ir saglabāts nobraukuma samazinājums vismaz līdz 2021.gada septembrim, kad potenciāli varētu atsākties mācības klātienē;</w:t>
      </w:r>
    </w:p>
    <w:p w:rsidRPr="00A72BCC" w:rsidR="00A72BCC" w:rsidP="00E12E7A" w:rsidRDefault="00A72BCC" w14:paraId="66142A20" w14:textId="0E474548">
      <w:pPr>
        <w:pStyle w:val="ListParagraph"/>
        <w:numPr>
          <w:ilvl w:val="0"/>
          <w:numId w:val="17"/>
        </w:numPr>
        <w:ind w:left="0" w:firstLine="709"/>
        <w:jc w:val="both"/>
        <w:rPr>
          <w:sz w:val="28"/>
          <w:szCs w:val="28"/>
        </w:rPr>
      </w:pPr>
      <w:r w:rsidRPr="00A72BCC">
        <w:rPr>
          <w:sz w:val="28"/>
          <w:szCs w:val="28"/>
        </w:rPr>
        <w:t xml:space="preserve">Biļešu ieņēmumiem – pamatojoties uz 2020.gada tendencēm, kur gada griezumā ieņēmumu samazinājums </w:t>
      </w:r>
      <w:r w:rsidR="0067599A">
        <w:rPr>
          <w:sz w:val="28"/>
          <w:szCs w:val="28"/>
        </w:rPr>
        <w:t xml:space="preserve">salīdzinājumā ar 2019.gadu </w:t>
      </w:r>
      <w:r w:rsidRPr="00A72BCC">
        <w:rPr>
          <w:sz w:val="28"/>
          <w:szCs w:val="28"/>
        </w:rPr>
        <w:t xml:space="preserve">izveidojās aptuveni 30% apmērā. 2021.gadam ir saglabāts tāds pats ieņēmumu samazinājuma pieņēmums </w:t>
      </w:r>
      <w:r w:rsidR="00C52F58">
        <w:rPr>
          <w:sz w:val="28"/>
          <w:szCs w:val="28"/>
        </w:rPr>
        <w:t>pret 2019.gada faktiskajiem ieņēmumiem,</w:t>
      </w:r>
      <w:r w:rsidRPr="00A72BCC">
        <w:rPr>
          <w:sz w:val="28"/>
          <w:szCs w:val="28"/>
        </w:rPr>
        <w:t xml:space="preserve"> prognozējot, ka pasažieru aktivitāte varētu atjaunoties gada otrajā pusē, ja tiks atjaunotas klātienes mācības skolās, kā arī netiks ierobežota citu nozaru (piemēram, tūrisms, ēdināšanas u.c. izklaide pasākumi) darbība, kuru preces vai pakalpojumu sniedzami iedzīvotājiem;</w:t>
      </w:r>
    </w:p>
    <w:p w:rsidRPr="00C659FA" w:rsidR="00A72BCC" w:rsidP="00E12E7A" w:rsidRDefault="00A72BCC" w14:paraId="2EA0EDFC" w14:textId="5F39827E">
      <w:pPr>
        <w:pStyle w:val="ListParagraph"/>
        <w:numPr>
          <w:ilvl w:val="0"/>
          <w:numId w:val="17"/>
        </w:numPr>
        <w:ind w:left="0" w:firstLine="709"/>
        <w:jc w:val="both"/>
        <w:rPr>
          <w:sz w:val="28"/>
          <w:szCs w:val="28"/>
        </w:rPr>
      </w:pPr>
      <w:r w:rsidRPr="00A72BCC">
        <w:rPr>
          <w:sz w:val="28"/>
          <w:szCs w:val="28"/>
        </w:rPr>
        <w:t xml:space="preserve">Izmaksas – attiecībā uz 2021.gada izmaksām, jāatzīmē, ka lielākajā daļā reģionālās nozīmes pārvadājumos ar autobusiem ir noslēgti līgumi, kur </w:t>
      </w:r>
      <w:r w:rsidRPr="00A72BCC">
        <w:rPr>
          <w:sz w:val="28"/>
          <w:szCs w:val="28"/>
        </w:rPr>
        <w:lastRenderedPageBreak/>
        <w:t xml:space="preserve">maksa par veikto nobraukumu ir līgumcenas apmērā, līdz ar to tā ir prognozējama un to neietekmē ekonomiskās svārstības vai izmaiņas. Tomēr vidējās izmaksas, kas veidojas no atklāta konkursa ietvarā iegūtās cenas par kilometru, ir augstākas nekā 2020.gadā aprēķinās vidējās izmaksas uz 1 km. Līdz ar to izmaksās tiek ievērtēts </w:t>
      </w:r>
      <w:r w:rsidRPr="00C659FA">
        <w:rPr>
          <w:sz w:val="28"/>
          <w:szCs w:val="28"/>
        </w:rPr>
        <w:t xml:space="preserve">to palielinājums </w:t>
      </w:r>
      <w:r w:rsidR="00522E87">
        <w:rPr>
          <w:sz w:val="28"/>
          <w:szCs w:val="28"/>
        </w:rPr>
        <w:t>–</w:t>
      </w:r>
      <w:r w:rsidRPr="00C659FA">
        <w:rPr>
          <w:sz w:val="28"/>
          <w:szCs w:val="28"/>
        </w:rPr>
        <w:t xml:space="preserve"> aptuveni 4</w:t>
      </w:r>
      <w:r w:rsidR="002971A7">
        <w:rPr>
          <w:sz w:val="28"/>
          <w:szCs w:val="28"/>
        </w:rPr>
        <w:t>,7</w:t>
      </w:r>
      <w:r w:rsidRPr="00C659FA">
        <w:rPr>
          <w:sz w:val="28"/>
          <w:szCs w:val="28"/>
        </w:rPr>
        <w:t>%.</w:t>
      </w:r>
    </w:p>
    <w:p w:rsidRPr="00C659FA" w:rsidR="00A72BCC" w:rsidP="00A72BCC" w:rsidRDefault="00A72BCC" w14:paraId="6ED6A6A6" w14:textId="77777777">
      <w:pPr>
        <w:jc w:val="both"/>
        <w:rPr>
          <w:sz w:val="28"/>
          <w:szCs w:val="28"/>
        </w:rPr>
      </w:pPr>
    </w:p>
    <w:p w:rsidRPr="00C659FA" w:rsidR="004505F6" w:rsidP="004505F6" w:rsidRDefault="004505F6" w14:paraId="64F41E51" w14:textId="00A6F963">
      <w:pPr>
        <w:ind w:firstLine="851"/>
        <w:jc w:val="both"/>
        <w:rPr>
          <w:sz w:val="28"/>
          <w:szCs w:val="28"/>
        </w:rPr>
      </w:pPr>
      <w:r w:rsidRPr="00C659FA">
        <w:rPr>
          <w:sz w:val="28"/>
          <w:szCs w:val="28"/>
        </w:rPr>
        <w:t>Vienlaikus minētajās 2021.gada prognozēs pašlaik nav ievērtēti sekojoši zaudējumus palielinoši riski:</w:t>
      </w:r>
    </w:p>
    <w:p w:rsidRPr="00C659FA" w:rsidR="004505F6" w:rsidP="004505F6" w:rsidRDefault="004505F6" w14:paraId="238B3EA8" w14:textId="3C50037A">
      <w:pPr>
        <w:pStyle w:val="ListParagraph"/>
        <w:numPr>
          <w:ilvl w:val="0"/>
          <w:numId w:val="20"/>
        </w:numPr>
        <w:ind w:left="1276" w:hanging="425"/>
        <w:jc w:val="both"/>
        <w:rPr>
          <w:sz w:val="28"/>
          <w:szCs w:val="28"/>
        </w:rPr>
      </w:pPr>
      <w:r w:rsidRPr="00C659FA">
        <w:rPr>
          <w:sz w:val="28"/>
          <w:szCs w:val="28"/>
        </w:rPr>
        <w:t xml:space="preserve">Pārvadātāju prasījumi par darba tiesisko attiecību izbeigšanu līgumos, kuru termiņš ir beidzies 2021.gadā. Pašlaik noris šo prasījumu detalizēts </w:t>
      </w:r>
      <w:proofErr w:type="spellStart"/>
      <w:r w:rsidRPr="00C659FA">
        <w:rPr>
          <w:sz w:val="28"/>
          <w:szCs w:val="28"/>
        </w:rPr>
        <w:t>izvērtējums</w:t>
      </w:r>
      <w:proofErr w:type="spellEnd"/>
      <w:r w:rsidRPr="00C659FA">
        <w:rPr>
          <w:sz w:val="28"/>
          <w:szCs w:val="28"/>
        </w:rPr>
        <w:t xml:space="preserve">. Pēc sākotnējām aplēsēm – </w:t>
      </w:r>
      <w:r w:rsidR="00B6133C">
        <w:rPr>
          <w:sz w:val="28"/>
          <w:szCs w:val="28"/>
        </w:rPr>
        <w:t>zaudējumi</w:t>
      </w:r>
      <w:r w:rsidRPr="00C659FA">
        <w:rPr>
          <w:sz w:val="28"/>
          <w:szCs w:val="28"/>
        </w:rPr>
        <w:t xml:space="preserve"> varētu sasniegt 0,5 milj. </w:t>
      </w:r>
      <w:proofErr w:type="spellStart"/>
      <w:r w:rsidRPr="00C659FA">
        <w:rPr>
          <w:i/>
          <w:iCs/>
          <w:sz w:val="28"/>
          <w:szCs w:val="28"/>
        </w:rPr>
        <w:t>euro</w:t>
      </w:r>
      <w:proofErr w:type="spellEnd"/>
      <w:r w:rsidRPr="00C659FA">
        <w:rPr>
          <w:sz w:val="28"/>
          <w:szCs w:val="28"/>
        </w:rPr>
        <w:t>;</w:t>
      </w:r>
    </w:p>
    <w:p w:rsidRPr="00C659FA" w:rsidR="004505F6" w:rsidP="00C659FA" w:rsidRDefault="004505F6" w14:paraId="607B6D3C" w14:textId="64A4DBA5">
      <w:pPr>
        <w:pStyle w:val="ListParagraph"/>
        <w:numPr>
          <w:ilvl w:val="0"/>
          <w:numId w:val="20"/>
        </w:numPr>
        <w:ind w:left="1276" w:hanging="425"/>
        <w:jc w:val="both"/>
        <w:rPr>
          <w:sz w:val="28"/>
          <w:szCs w:val="28"/>
        </w:rPr>
      </w:pPr>
      <w:r w:rsidRPr="00C659FA">
        <w:rPr>
          <w:sz w:val="28"/>
          <w:szCs w:val="28"/>
        </w:rPr>
        <w:t>Turpmākie valdības lēmumi attiecībā uz Covid-19 pandēmijas ierobežošanas pasākumiem, kuru ietekmi pašlaik nevar novērtēt.</w:t>
      </w:r>
    </w:p>
    <w:p w:rsidRPr="00C659FA" w:rsidR="000E069F" w:rsidP="00A72BCC" w:rsidRDefault="000E069F" w14:paraId="5FC19380" w14:textId="77777777">
      <w:pPr>
        <w:ind w:firstLine="709"/>
        <w:jc w:val="both"/>
        <w:rPr>
          <w:b/>
          <w:bCs/>
          <w:sz w:val="28"/>
          <w:szCs w:val="28"/>
        </w:rPr>
      </w:pPr>
    </w:p>
    <w:p w:rsidRPr="00C659FA" w:rsidR="00450391" w:rsidP="00A72BCC" w:rsidRDefault="000E069F" w14:paraId="1C68E09B" w14:textId="74D0397E">
      <w:pPr>
        <w:ind w:firstLine="709"/>
        <w:jc w:val="both"/>
        <w:rPr>
          <w:b/>
          <w:bCs/>
          <w:sz w:val="28"/>
          <w:szCs w:val="28"/>
        </w:rPr>
      </w:pPr>
      <w:r w:rsidRPr="00C659FA">
        <w:rPr>
          <w:b/>
          <w:bCs/>
          <w:sz w:val="28"/>
          <w:szCs w:val="28"/>
        </w:rPr>
        <w:t xml:space="preserve">Covid-19 pandēmijas ierobežošanai noteikto pasākumu ietekme  </w:t>
      </w:r>
      <w:r w:rsidRPr="00C659FA" w:rsidR="00450391">
        <w:rPr>
          <w:b/>
          <w:bCs/>
          <w:sz w:val="28"/>
          <w:szCs w:val="28"/>
        </w:rPr>
        <w:t>2021.gada janvār</w:t>
      </w:r>
      <w:r w:rsidRPr="00C659FA">
        <w:rPr>
          <w:b/>
          <w:bCs/>
          <w:sz w:val="28"/>
          <w:szCs w:val="28"/>
        </w:rPr>
        <w:t>ī</w:t>
      </w:r>
      <w:r w:rsidRPr="00C659FA" w:rsidR="00450391">
        <w:rPr>
          <w:b/>
          <w:bCs/>
          <w:sz w:val="28"/>
          <w:szCs w:val="28"/>
        </w:rPr>
        <w:t xml:space="preserve"> un februār</w:t>
      </w:r>
      <w:r w:rsidRPr="00C659FA">
        <w:rPr>
          <w:b/>
          <w:bCs/>
          <w:sz w:val="28"/>
          <w:szCs w:val="28"/>
        </w:rPr>
        <w:t>ī</w:t>
      </w:r>
      <w:r w:rsidRPr="00C659FA" w:rsidR="00450391">
        <w:rPr>
          <w:b/>
          <w:bCs/>
          <w:sz w:val="28"/>
          <w:szCs w:val="28"/>
        </w:rPr>
        <w:t xml:space="preserve"> </w:t>
      </w:r>
    </w:p>
    <w:p w:rsidRPr="00C659FA" w:rsidR="00E7050F" w:rsidP="00A72BCC" w:rsidRDefault="00E7050F" w14:paraId="02A46559" w14:textId="77777777">
      <w:pPr>
        <w:ind w:firstLine="709"/>
        <w:jc w:val="both"/>
        <w:rPr>
          <w:b/>
          <w:bCs/>
          <w:sz w:val="28"/>
          <w:szCs w:val="28"/>
        </w:rPr>
      </w:pPr>
    </w:p>
    <w:p w:rsidRPr="00C659FA" w:rsidR="00646D09" w:rsidP="002C1B3A" w:rsidRDefault="00676A8F" w14:paraId="7B97428B" w14:textId="5FCD521C">
      <w:pPr>
        <w:pStyle w:val="ListParagraph"/>
        <w:ind w:left="0" w:firstLine="709"/>
        <w:jc w:val="both"/>
        <w:rPr>
          <w:sz w:val="28"/>
          <w:szCs w:val="28"/>
        </w:rPr>
      </w:pPr>
      <w:r w:rsidRPr="00C659FA">
        <w:rPr>
          <w:sz w:val="28"/>
          <w:szCs w:val="28"/>
        </w:rPr>
        <w:t xml:space="preserve">Jau no 2021.gada sākuma, ievērojot ārkārtējo situāciju un visus noteiktos ar Covid-19 infekcijas ierobežošanu saistītos pasākumus, ir konstatējams, ka </w:t>
      </w:r>
    </w:p>
    <w:p w:rsidRPr="00C659FA" w:rsidR="00646D09" w:rsidP="002C1B3A" w:rsidRDefault="00646D09" w14:paraId="234E4F4A" w14:textId="7A772432">
      <w:pPr>
        <w:pStyle w:val="ListParagraph"/>
        <w:numPr>
          <w:ilvl w:val="0"/>
          <w:numId w:val="15"/>
        </w:numPr>
        <w:ind w:left="0" w:firstLine="709"/>
        <w:jc w:val="both"/>
        <w:rPr>
          <w:sz w:val="28"/>
          <w:szCs w:val="28"/>
        </w:rPr>
      </w:pPr>
      <w:r w:rsidRPr="00C659FA">
        <w:rPr>
          <w:sz w:val="28"/>
          <w:szCs w:val="28"/>
        </w:rPr>
        <w:t xml:space="preserve">pasažieru skaits 2021.gada janvārī, salīdzinot ar 2019.gada un 2020.gada to pašu periodu, reģionālās nozīmes pārvadājumos ar </w:t>
      </w:r>
      <w:r w:rsidRPr="00C659FA" w:rsidR="002C1B3A">
        <w:rPr>
          <w:sz w:val="28"/>
          <w:szCs w:val="28"/>
        </w:rPr>
        <w:t xml:space="preserve">autobusiem </w:t>
      </w:r>
      <w:r w:rsidRPr="00C659FA" w:rsidR="00C11935">
        <w:rPr>
          <w:sz w:val="28"/>
          <w:szCs w:val="28"/>
        </w:rPr>
        <w:t xml:space="preserve">samazinājums </w:t>
      </w:r>
      <w:r w:rsidRPr="00C659FA">
        <w:rPr>
          <w:sz w:val="28"/>
          <w:szCs w:val="28"/>
        </w:rPr>
        <w:t>bija attiecīgi 5</w:t>
      </w:r>
      <w:r w:rsidRPr="00C659FA" w:rsidR="00E7050F">
        <w:rPr>
          <w:sz w:val="28"/>
          <w:szCs w:val="28"/>
        </w:rPr>
        <w:t>9</w:t>
      </w:r>
      <w:r w:rsidRPr="00C659FA">
        <w:rPr>
          <w:sz w:val="28"/>
          <w:szCs w:val="28"/>
        </w:rPr>
        <w:t xml:space="preserve">% un </w:t>
      </w:r>
      <w:r w:rsidRPr="00C659FA" w:rsidR="00E7050F">
        <w:rPr>
          <w:sz w:val="28"/>
          <w:szCs w:val="28"/>
        </w:rPr>
        <w:t>61</w:t>
      </w:r>
      <w:r w:rsidRPr="00C659FA">
        <w:rPr>
          <w:sz w:val="28"/>
          <w:szCs w:val="28"/>
        </w:rPr>
        <w:t>%, savukārt reģionālās nozīmes pārvadājumos ar vilcieniem samazinājums bija 5</w:t>
      </w:r>
      <w:r w:rsidRPr="00C659FA" w:rsidR="00E7050F">
        <w:rPr>
          <w:sz w:val="28"/>
          <w:szCs w:val="28"/>
        </w:rPr>
        <w:t>4</w:t>
      </w:r>
      <w:r w:rsidRPr="00C659FA">
        <w:rPr>
          <w:sz w:val="28"/>
          <w:szCs w:val="28"/>
        </w:rPr>
        <w:t>% un 5</w:t>
      </w:r>
      <w:r w:rsidRPr="00C659FA" w:rsidR="00E7050F">
        <w:rPr>
          <w:sz w:val="28"/>
          <w:szCs w:val="28"/>
        </w:rPr>
        <w:t>6</w:t>
      </w:r>
      <w:r w:rsidRPr="00C659FA">
        <w:rPr>
          <w:sz w:val="28"/>
          <w:szCs w:val="28"/>
        </w:rPr>
        <w:t xml:space="preserve">%. </w:t>
      </w:r>
      <w:r w:rsidRPr="00C659FA" w:rsidR="00C11935">
        <w:rPr>
          <w:sz w:val="28"/>
          <w:szCs w:val="28"/>
        </w:rPr>
        <w:t xml:space="preserve">Atbilstoši februāra datiem </w:t>
      </w:r>
      <w:r w:rsidRPr="00C659FA">
        <w:rPr>
          <w:sz w:val="28"/>
          <w:szCs w:val="28"/>
        </w:rPr>
        <w:t xml:space="preserve">pasažieru skaita pieaugums nav veidojies, ievērojot Covid-19 pandēmijas ierobežošanai noteiktos pasākumus. </w:t>
      </w:r>
      <w:r w:rsidRPr="00C659FA" w:rsidR="00C11935">
        <w:rPr>
          <w:sz w:val="28"/>
          <w:szCs w:val="28"/>
        </w:rPr>
        <w:t>Proti, 2021.gada februārī pasažieru skaits salīdzinājumā ar 2019. un 2020.gada</w:t>
      </w:r>
      <w:r w:rsidR="00B6133C">
        <w:rPr>
          <w:sz w:val="28"/>
          <w:szCs w:val="28"/>
        </w:rPr>
        <w:t xml:space="preserve"> </w:t>
      </w:r>
      <w:r w:rsidRPr="00C659FA" w:rsidR="00C11935">
        <w:rPr>
          <w:sz w:val="28"/>
          <w:szCs w:val="28"/>
        </w:rPr>
        <w:t>to pašu mēnesi reģionālās nozīmes pārvadājumos ar autobusiem bija par 57%</w:t>
      </w:r>
      <w:r w:rsidRPr="00C659FA" w:rsidR="00BE10E3">
        <w:rPr>
          <w:sz w:val="28"/>
          <w:szCs w:val="28"/>
        </w:rPr>
        <w:t xml:space="preserve"> </w:t>
      </w:r>
      <w:r w:rsidRPr="00C659FA" w:rsidR="00C11935">
        <w:rPr>
          <w:sz w:val="28"/>
          <w:szCs w:val="28"/>
        </w:rPr>
        <w:t xml:space="preserve">mazāks, savukārt reģionālās nozīmes pārvadājumos ar vilcieniem – </w:t>
      </w:r>
      <w:r w:rsidRPr="00C659FA" w:rsidR="00BE10E3">
        <w:rPr>
          <w:sz w:val="28"/>
          <w:szCs w:val="28"/>
        </w:rPr>
        <w:t xml:space="preserve">attiecīgs </w:t>
      </w:r>
      <w:r w:rsidRPr="00C659FA" w:rsidR="00C11935">
        <w:rPr>
          <w:sz w:val="28"/>
          <w:szCs w:val="28"/>
        </w:rPr>
        <w:t>53% un 56% samazinājums.</w:t>
      </w:r>
    </w:p>
    <w:p w:rsidR="002C1B3A" w:rsidP="002C1B3A" w:rsidRDefault="00646D09" w14:paraId="774781AA" w14:textId="77777777">
      <w:pPr>
        <w:pStyle w:val="ListParagraph"/>
        <w:numPr>
          <w:ilvl w:val="0"/>
          <w:numId w:val="15"/>
        </w:numPr>
        <w:ind w:left="0" w:firstLine="709"/>
        <w:jc w:val="both"/>
        <w:rPr>
          <w:sz w:val="28"/>
          <w:szCs w:val="28"/>
        </w:rPr>
      </w:pPr>
      <w:r w:rsidRPr="00A72BCC">
        <w:rPr>
          <w:sz w:val="28"/>
          <w:szCs w:val="28"/>
        </w:rPr>
        <w:t xml:space="preserve">Neskatoties uz to, ka janvārī un februārī reģionālās nozīmes maršrutu tīklā saglabāts reisu un maršrutu izpildes samazinājums, t.i., īslaicīgi atcelti aptuveni 800 autobusu reisu (aptuveni 500 tūkst. kilometru mēnesī), kas saistīti skolēnu pārvadājumiem un kuri nav saistīti ar iedzīvotāju nepieciešamību nokļūt darba vietās. Atkarībā no pieņemtajiem lēmumiem par ierobežojumu atcelšanu, piemēram – atsākot mācības klātienē atsevišķos novados, </w:t>
      </w:r>
      <w:r w:rsidR="002C1B3A">
        <w:rPr>
          <w:sz w:val="28"/>
          <w:szCs w:val="28"/>
        </w:rPr>
        <w:t xml:space="preserve">atsevišķu </w:t>
      </w:r>
      <w:r w:rsidRPr="00A72BCC">
        <w:rPr>
          <w:sz w:val="28"/>
          <w:szCs w:val="28"/>
        </w:rPr>
        <w:t xml:space="preserve">reisu skaits </w:t>
      </w:r>
      <w:r w:rsidR="002C1B3A">
        <w:rPr>
          <w:sz w:val="28"/>
          <w:szCs w:val="28"/>
        </w:rPr>
        <w:t>tikai at</w:t>
      </w:r>
      <w:r w:rsidRPr="00A72BCC">
        <w:rPr>
          <w:sz w:val="28"/>
          <w:szCs w:val="28"/>
        </w:rPr>
        <w:t xml:space="preserve">jaunots atkarībā no pieprasījuma. Savukārt vilcienu izpildes samazinājums ne janvārī, ne februārī nav veikts, lai nodrošinātu epidemioloģiskās prasības sabiedriskā transportā, novēršot pasažieru drūzmēšanos. </w:t>
      </w:r>
    </w:p>
    <w:p w:rsidR="002C1B3A" w:rsidP="002C1B3A" w:rsidRDefault="002C1B3A" w14:paraId="40DE4F0F" w14:textId="64A221C8">
      <w:pPr>
        <w:pStyle w:val="ListParagraph"/>
        <w:numPr>
          <w:ilvl w:val="0"/>
          <w:numId w:val="15"/>
        </w:numPr>
        <w:ind w:left="0" w:firstLine="709"/>
        <w:jc w:val="both"/>
        <w:rPr>
          <w:sz w:val="28"/>
          <w:szCs w:val="28"/>
        </w:rPr>
      </w:pPr>
      <w:r w:rsidRPr="002C1B3A">
        <w:rPr>
          <w:sz w:val="28"/>
          <w:szCs w:val="28"/>
        </w:rPr>
        <w:t xml:space="preserve">Turklāt 2021.gadā reģionālās nozīmes pārvadājumos ar autobusiem ir notikušas būtiskas izmaiņas, jo no 2021.gada sabiedriskā transporta pakalpojumu sniegšanā, pamatojoties uz izsludināto atklātu konkursu, sabiedriskā transporta pakalpojumu pasūtījuma līgumi ir noslēgti uz līgumcenas nosacījumiem – paredzot kompensēt starpību starp biļešu ieņēmumiem un </w:t>
      </w:r>
      <w:r w:rsidRPr="002C1B3A">
        <w:rPr>
          <w:sz w:val="28"/>
          <w:szCs w:val="28"/>
        </w:rPr>
        <w:lastRenderedPageBreak/>
        <w:t>pārvadātāja piedāvāto pakalpojumu cenu par vienu kilometru. Tādējādi ar 2021.gadu plānotie zaudējumi par sabiedriskā transporta pakalpojumu sniegšanu ir paredzamāki, samazinot neplānotu izmaksu palielinājumu</w:t>
      </w:r>
      <w:r w:rsidR="00B6133C">
        <w:rPr>
          <w:sz w:val="28"/>
          <w:szCs w:val="28"/>
        </w:rPr>
        <w:t>,</w:t>
      </w:r>
      <w:r w:rsidRPr="002C1B3A">
        <w:rPr>
          <w:sz w:val="28"/>
          <w:szCs w:val="28"/>
        </w:rPr>
        <w:t xml:space="preserve"> un atkarīgi no faktiskā pasažieru pieprasījuma pēc sabiedriskā transporta pakalpojumiem. Tomēr tajos līgumos, kuri tiek izbeigti 2021.gadā, rodas papildu saistības, jo uzņēmumiem, kas pārtraukuši saimniecisko darbību sabiedriskā transporta pakalpojumu sniegšanā pārtrauc arī darba tiesiskās attiecības ar saviem darbinie</w:t>
      </w:r>
      <w:r w:rsidRPr="00C659FA">
        <w:rPr>
          <w:sz w:val="28"/>
          <w:szCs w:val="28"/>
        </w:rPr>
        <w:t xml:space="preserve">kiem, kas palielina kopējos izdevumus un kompensējamos zaudējumus. Vienlaikus izdevumu </w:t>
      </w:r>
      <w:r w:rsidRPr="00C659FA" w:rsidR="00646D09">
        <w:rPr>
          <w:sz w:val="28"/>
          <w:szCs w:val="28"/>
        </w:rPr>
        <w:t>apjoms nesamazinās tik ievērojami kā ieņēmumi. Turklāt dotajā brīdī salīdzinājumā ar 2020.gadu pieaug arī degvielas cenas, kas atstāj ietekmi uz Koncesijas līgumu izpildi,  tādējādi kompensējamo zaudējumu apjoms pieaug.</w:t>
      </w:r>
    </w:p>
    <w:p w:rsidRPr="002C1B3A" w:rsidR="0046639B" w:rsidP="002C1B3A" w:rsidRDefault="0046639B" w14:paraId="0966BA73" w14:textId="3AF6D3EB">
      <w:pPr>
        <w:pStyle w:val="ListParagraph"/>
        <w:numPr>
          <w:ilvl w:val="0"/>
          <w:numId w:val="15"/>
        </w:numPr>
        <w:ind w:left="0" w:firstLine="709"/>
        <w:jc w:val="both"/>
        <w:rPr>
          <w:sz w:val="28"/>
          <w:szCs w:val="28"/>
        </w:rPr>
      </w:pPr>
      <w:r w:rsidRPr="002C1B3A">
        <w:rPr>
          <w:sz w:val="28"/>
          <w:szCs w:val="28"/>
        </w:rPr>
        <w:t xml:space="preserve">Biļešu ieņēmumu samazinājums, kas ir tieši atkarīgs no pārvadāto pasažieru skaita, </w:t>
      </w:r>
      <w:r w:rsidRPr="002C1B3A" w:rsidR="008F5D69">
        <w:rPr>
          <w:sz w:val="28"/>
          <w:szCs w:val="28"/>
        </w:rPr>
        <w:t>2021.gada janvārī un februārī</w:t>
      </w:r>
      <w:r w:rsidRPr="002C1B3A">
        <w:rPr>
          <w:sz w:val="28"/>
          <w:szCs w:val="28"/>
        </w:rPr>
        <w:t xml:space="preserve"> rada papildu slogu un </w:t>
      </w:r>
      <w:proofErr w:type="spellStart"/>
      <w:r w:rsidRPr="002C1B3A">
        <w:rPr>
          <w:sz w:val="28"/>
          <w:szCs w:val="28"/>
        </w:rPr>
        <w:t>neprognozējamību</w:t>
      </w:r>
      <w:proofErr w:type="spellEnd"/>
      <w:r w:rsidRPr="002C1B3A">
        <w:rPr>
          <w:sz w:val="28"/>
          <w:szCs w:val="28"/>
        </w:rPr>
        <w:t xml:space="preserve"> sabiedriskā transporta pakalpojumu sniedzējiem, jo</w:t>
      </w:r>
      <w:r w:rsidR="00B6133C">
        <w:rPr>
          <w:sz w:val="28"/>
          <w:szCs w:val="28"/>
        </w:rPr>
        <w:t>,</w:t>
      </w:r>
      <w:r w:rsidRPr="002C1B3A">
        <w:rPr>
          <w:sz w:val="28"/>
          <w:szCs w:val="28"/>
        </w:rPr>
        <w:t xml:space="preserve"> samazinoties apgrozāmo līdzekļu apmēram, sabiedriskā transporta pakalpojumu sniedzējiem r</w:t>
      </w:r>
      <w:r w:rsidR="00B6133C">
        <w:rPr>
          <w:sz w:val="28"/>
          <w:szCs w:val="28"/>
        </w:rPr>
        <w:t>o</w:t>
      </w:r>
      <w:r w:rsidRPr="002C1B3A">
        <w:rPr>
          <w:sz w:val="28"/>
          <w:szCs w:val="28"/>
        </w:rPr>
        <w:t>da</w:t>
      </w:r>
      <w:r w:rsidR="00B6133C">
        <w:rPr>
          <w:sz w:val="28"/>
          <w:szCs w:val="28"/>
        </w:rPr>
        <w:t>s</w:t>
      </w:r>
      <w:r w:rsidRPr="002C1B3A">
        <w:rPr>
          <w:sz w:val="28"/>
          <w:szCs w:val="28"/>
        </w:rPr>
        <w:t xml:space="preserve"> problēmas norēķinos ar darba ņēmējiem un piegādātājiem. </w:t>
      </w:r>
    </w:p>
    <w:p w:rsidR="00BE0C2E" w:rsidP="002C1B3A" w:rsidRDefault="00BE0C2E" w14:paraId="4B20CC34" w14:textId="0134E804">
      <w:pPr>
        <w:ind w:firstLine="709"/>
        <w:jc w:val="both"/>
        <w:rPr>
          <w:sz w:val="28"/>
          <w:szCs w:val="28"/>
        </w:rPr>
      </w:pPr>
    </w:p>
    <w:p w:rsidR="00BE0C2E" w:rsidP="00EF4357" w:rsidRDefault="00BE10E3" w14:paraId="65B5900E" w14:textId="0353FB82">
      <w:pPr>
        <w:ind w:hanging="142"/>
        <w:jc w:val="both"/>
        <w:rPr>
          <w:sz w:val="28"/>
          <w:szCs w:val="28"/>
        </w:rPr>
      </w:pPr>
      <w:r>
        <w:rPr>
          <w:noProof/>
        </w:rPr>
        <w:drawing>
          <wp:inline distT="0" distB="0" distL="0" distR="0" wp14:anchorId="47E44CEB" wp14:editId="5373EA5C">
            <wp:extent cx="6010275" cy="2743200"/>
            <wp:effectExtent l="0" t="0" r="9525" b="0"/>
            <wp:docPr id="1" name="Chart 1">
              <a:extLst xmlns:a="http://schemas.openxmlformats.org/drawingml/2006/main">
                <a:ext uri="{FF2B5EF4-FFF2-40B4-BE49-F238E27FC236}">
                  <a16:creationId xmlns:a16="http://schemas.microsoft.com/office/drawing/2014/main" id="{A994A79C-9825-462B-A00F-B5BAF02F4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C373DA" w:rsidR="00BE0C2E" w:rsidP="00BE0C2E" w:rsidRDefault="00BE0C2E" w14:paraId="5E1D131C" w14:textId="02EB66EB">
      <w:pPr>
        <w:jc w:val="center"/>
        <w:rPr>
          <w:sz w:val="22"/>
          <w:szCs w:val="22"/>
        </w:rPr>
      </w:pPr>
      <w:r>
        <w:rPr>
          <w:sz w:val="22"/>
          <w:szCs w:val="22"/>
        </w:rPr>
        <w:t>A</w:t>
      </w:r>
      <w:r w:rsidRPr="00C373DA">
        <w:rPr>
          <w:sz w:val="22"/>
          <w:szCs w:val="22"/>
        </w:rPr>
        <w:t>ttēls</w:t>
      </w:r>
      <w:r>
        <w:rPr>
          <w:sz w:val="22"/>
          <w:szCs w:val="22"/>
        </w:rPr>
        <w:t xml:space="preserve"> Nr.</w:t>
      </w:r>
      <w:r w:rsidR="00EF4357">
        <w:rPr>
          <w:sz w:val="22"/>
          <w:szCs w:val="22"/>
        </w:rPr>
        <w:t>2</w:t>
      </w:r>
    </w:p>
    <w:p w:rsidRPr="00C373DA" w:rsidR="00BE0C2E" w:rsidP="00BE0C2E" w:rsidRDefault="00BE0C2E" w14:paraId="1C72F530" w14:textId="2B23C417">
      <w:pPr>
        <w:jc w:val="center"/>
        <w:rPr>
          <w:sz w:val="22"/>
          <w:szCs w:val="22"/>
        </w:rPr>
      </w:pPr>
      <w:r w:rsidRPr="00C373DA">
        <w:rPr>
          <w:sz w:val="22"/>
          <w:szCs w:val="22"/>
        </w:rPr>
        <w:t>Maksas pasažieru un biļešu ieņēmumu korelācija un izmaiņas pret iepriekšēj</w:t>
      </w:r>
      <w:r w:rsidR="00EF4357">
        <w:rPr>
          <w:sz w:val="22"/>
          <w:szCs w:val="22"/>
        </w:rPr>
        <w:t>iem</w:t>
      </w:r>
      <w:r w:rsidRPr="00C373DA">
        <w:rPr>
          <w:sz w:val="22"/>
          <w:szCs w:val="22"/>
        </w:rPr>
        <w:t xml:space="preserve"> period</w:t>
      </w:r>
      <w:r w:rsidR="00EF4357">
        <w:rPr>
          <w:sz w:val="22"/>
          <w:szCs w:val="22"/>
        </w:rPr>
        <w:t>iem</w:t>
      </w:r>
    </w:p>
    <w:p w:rsidR="00BE0C2E" w:rsidP="00A72BCC" w:rsidRDefault="00BE0C2E" w14:paraId="6BFAA505" w14:textId="0999A34F">
      <w:pPr>
        <w:ind w:firstLine="709"/>
        <w:jc w:val="both"/>
        <w:rPr>
          <w:sz w:val="28"/>
          <w:szCs w:val="28"/>
        </w:rPr>
      </w:pPr>
    </w:p>
    <w:p w:rsidR="00AC5853" w:rsidP="00A72BCC" w:rsidRDefault="0046639B" w14:paraId="44EF5590" w14:textId="2893D649">
      <w:pPr>
        <w:ind w:firstLine="709"/>
        <w:jc w:val="both"/>
        <w:rPr>
          <w:sz w:val="28"/>
          <w:szCs w:val="28"/>
        </w:rPr>
      </w:pPr>
      <w:r>
        <w:rPr>
          <w:sz w:val="28"/>
          <w:szCs w:val="28"/>
        </w:rPr>
        <w:t>Ja vēl 2019.gadā biļešu ieņēmumi vidēji sedza</w:t>
      </w:r>
      <w:r w:rsidR="001B1FDF">
        <w:rPr>
          <w:sz w:val="28"/>
          <w:szCs w:val="28"/>
        </w:rPr>
        <w:t xml:space="preserve"> </w:t>
      </w:r>
      <w:r w:rsidR="00AC5853">
        <w:rPr>
          <w:sz w:val="28"/>
          <w:szCs w:val="28"/>
        </w:rPr>
        <w:t xml:space="preserve">faktiskos </w:t>
      </w:r>
      <w:r w:rsidR="001B1FDF">
        <w:rPr>
          <w:sz w:val="28"/>
          <w:szCs w:val="28"/>
        </w:rPr>
        <w:t>izdevumus</w:t>
      </w:r>
      <w:r w:rsidR="00AC5853">
        <w:rPr>
          <w:sz w:val="28"/>
          <w:szCs w:val="28"/>
        </w:rPr>
        <w:t xml:space="preserve"> reģionālās nozīmes pārvadājumos ar autobusiem 44% un reģionālās nozīmes pārvadājumos ar vilcieniem 58%, </w:t>
      </w:r>
      <w:r>
        <w:rPr>
          <w:sz w:val="28"/>
          <w:szCs w:val="28"/>
        </w:rPr>
        <w:t xml:space="preserve">tad 2020.gadā </w:t>
      </w:r>
      <w:r w:rsidR="00AC5853">
        <w:rPr>
          <w:sz w:val="28"/>
          <w:szCs w:val="28"/>
        </w:rPr>
        <w:t>segums</w:t>
      </w:r>
      <w:r>
        <w:rPr>
          <w:sz w:val="28"/>
          <w:szCs w:val="28"/>
        </w:rPr>
        <w:t xml:space="preserve"> </w:t>
      </w:r>
      <w:r w:rsidR="00AC5853">
        <w:rPr>
          <w:sz w:val="28"/>
          <w:szCs w:val="28"/>
        </w:rPr>
        <w:t xml:space="preserve">attiecīgi samazinājās līdz 31% un 43%. Pamatojoties uz noteiktiem ierobežojumiem saistībā ar Covid-19 infekcijas pandēmijas apkarošanu, kad attiecīgi mācību process tiek organizēts attālināti, ir ierobežota atsevišķu nozaru darbība, tad 2021.gada </w:t>
      </w:r>
      <w:r w:rsidR="009048B6">
        <w:rPr>
          <w:sz w:val="28"/>
          <w:szCs w:val="28"/>
        </w:rPr>
        <w:t xml:space="preserve">janvārī </w:t>
      </w:r>
      <w:r w:rsidR="00AC5853">
        <w:rPr>
          <w:sz w:val="28"/>
          <w:szCs w:val="28"/>
        </w:rPr>
        <w:t xml:space="preserve">biļešu </w:t>
      </w:r>
      <w:r w:rsidR="009048B6">
        <w:rPr>
          <w:sz w:val="28"/>
          <w:szCs w:val="28"/>
        </w:rPr>
        <w:t>ieņēmumi sedz</w:t>
      </w:r>
      <w:r w:rsidR="00AC5853">
        <w:rPr>
          <w:sz w:val="28"/>
          <w:szCs w:val="28"/>
        </w:rPr>
        <w:t>a</w:t>
      </w:r>
      <w:r w:rsidR="009048B6">
        <w:rPr>
          <w:sz w:val="28"/>
          <w:szCs w:val="28"/>
        </w:rPr>
        <w:t xml:space="preserve"> tikai </w:t>
      </w:r>
      <w:r w:rsidR="00AC5853">
        <w:rPr>
          <w:sz w:val="28"/>
          <w:szCs w:val="28"/>
        </w:rPr>
        <w:t>19</w:t>
      </w:r>
      <w:r w:rsidR="009048B6">
        <w:rPr>
          <w:sz w:val="28"/>
          <w:szCs w:val="28"/>
        </w:rPr>
        <w:t>%</w:t>
      </w:r>
      <w:r w:rsidR="00AC5853">
        <w:rPr>
          <w:sz w:val="28"/>
          <w:szCs w:val="28"/>
        </w:rPr>
        <w:t xml:space="preserve"> no faktiskajām izmaksām reģionālās nozīmes pārvadājumos ar autobusiem un 25% - reģionālās nozīmes pārvadājumos ar vilcieniem. </w:t>
      </w:r>
    </w:p>
    <w:p w:rsidR="00AC5853" w:rsidP="00A72BCC" w:rsidRDefault="00AC5853" w14:paraId="23198F88" w14:textId="702EFAA6">
      <w:pPr>
        <w:ind w:firstLine="709"/>
        <w:jc w:val="both"/>
        <w:rPr>
          <w:sz w:val="28"/>
          <w:szCs w:val="28"/>
        </w:rPr>
      </w:pPr>
      <w:r>
        <w:rPr>
          <w:sz w:val="28"/>
          <w:szCs w:val="28"/>
        </w:rPr>
        <w:lastRenderedPageBreak/>
        <w:t>Pamatojoties uz minēto</w:t>
      </w:r>
      <w:r w:rsidR="00BE0C2E">
        <w:rPr>
          <w:sz w:val="28"/>
          <w:szCs w:val="28"/>
        </w:rPr>
        <w:t xml:space="preserve">, biļešu ieņēmumu samazinājums, ja salīdzina 2021.gada datus ar 2019.gada to pašu periodu, tad janvārī kopējā summa reģionālās nozīmes pārvadājumos ir 2 407 982 </w:t>
      </w:r>
      <w:proofErr w:type="spellStart"/>
      <w:r w:rsidRPr="00C659FA" w:rsidR="00BE0C2E">
        <w:rPr>
          <w:i/>
          <w:iCs/>
          <w:sz w:val="28"/>
          <w:szCs w:val="28"/>
        </w:rPr>
        <w:t>euro</w:t>
      </w:r>
      <w:proofErr w:type="spellEnd"/>
      <w:r w:rsidR="00BE0C2E">
        <w:rPr>
          <w:sz w:val="28"/>
          <w:szCs w:val="28"/>
        </w:rPr>
        <w:t xml:space="preserve"> un februārī </w:t>
      </w:r>
      <w:r w:rsidR="00EF4357">
        <w:rPr>
          <w:sz w:val="28"/>
          <w:szCs w:val="28"/>
        </w:rPr>
        <w:t>2 1</w:t>
      </w:r>
      <w:r w:rsidR="00B44C1B">
        <w:rPr>
          <w:sz w:val="28"/>
          <w:szCs w:val="28"/>
        </w:rPr>
        <w:t>54</w:t>
      </w:r>
      <w:r w:rsidR="00EF4357">
        <w:rPr>
          <w:sz w:val="28"/>
          <w:szCs w:val="28"/>
        </w:rPr>
        <w:t> </w:t>
      </w:r>
      <w:r w:rsidR="00B44C1B">
        <w:rPr>
          <w:sz w:val="28"/>
          <w:szCs w:val="28"/>
        </w:rPr>
        <w:t>242</w:t>
      </w:r>
      <w:r w:rsidR="00EF4357">
        <w:rPr>
          <w:sz w:val="28"/>
          <w:szCs w:val="28"/>
        </w:rPr>
        <w:t xml:space="preserve"> </w:t>
      </w:r>
      <w:proofErr w:type="spellStart"/>
      <w:r w:rsidRPr="00C659FA" w:rsidR="00EF4357">
        <w:rPr>
          <w:i/>
          <w:iCs/>
          <w:sz w:val="28"/>
          <w:szCs w:val="28"/>
        </w:rPr>
        <w:t>e</w:t>
      </w:r>
      <w:r w:rsidRPr="00C659FA" w:rsidR="00BE0C2E">
        <w:rPr>
          <w:i/>
          <w:iCs/>
          <w:sz w:val="28"/>
          <w:szCs w:val="28"/>
        </w:rPr>
        <w:t>uro</w:t>
      </w:r>
      <w:proofErr w:type="spellEnd"/>
      <w:r w:rsidR="00BE0C2E">
        <w:rPr>
          <w:sz w:val="28"/>
          <w:szCs w:val="28"/>
        </w:rPr>
        <w:t>.</w:t>
      </w:r>
    </w:p>
    <w:p w:rsidRPr="00BE0C2E" w:rsidR="00BE0C2E" w:rsidP="00A72BCC" w:rsidRDefault="00BE0C2E" w14:paraId="7A89C84C" w14:textId="77777777">
      <w:pPr>
        <w:ind w:firstLine="709"/>
        <w:jc w:val="both"/>
        <w:rPr>
          <w:sz w:val="28"/>
          <w:szCs w:val="28"/>
        </w:rPr>
      </w:pPr>
    </w:p>
    <w:p w:rsidR="003F68A8" w:rsidRDefault="00C71B06" w14:paraId="5AC7AFFE" w14:textId="39729AD1">
      <w:pPr>
        <w:ind w:firstLine="709"/>
        <w:jc w:val="right"/>
      </w:pPr>
      <w:r w:rsidRPr="00C659FA">
        <w:t>Tabula Nr.</w:t>
      </w:r>
      <w:r w:rsidR="003F68A8">
        <w:t xml:space="preserve">4 </w:t>
      </w:r>
    </w:p>
    <w:p w:rsidRPr="00D33CEF" w:rsidR="0003466D" w:rsidRDefault="0003466D" w14:paraId="6E575E9C" w14:textId="52E29DAC">
      <w:pPr>
        <w:ind w:firstLine="709"/>
        <w:jc w:val="right"/>
        <w:rPr>
          <w:b/>
          <w:bCs/>
        </w:rPr>
      </w:pPr>
      <w:r w:rsidRPr="00D33CEF">
        <w:rPr>
          <w:b/>
          <w:bCs/>
        </w:rPr>
        <w:t>Faktisko b</w:t>
      </w:r>
      <w:r w:rsidRPr="00D33CEF" w:rsidR="00C71B06">
        <w:rPr>
          <w:b/>
          <w:bCs/>
        </w:rPr>
        <w:t>iļešu ieņēmum</w:t>
      </w:r>
      <w:r w:rsidRPr="00D33CEF">
        <w:rPr>
          <w:b/>
          <w:bCs/>
        </w:rPr>
        <w:t>u</w:t>
      </w:r>
      <w:r w:rsidRPr="00D33CEF" w:rsidR="00C71B06">
        <w:rPr>
          <w:b/>
          <w:bCs/>
        </w:rPr>
        <w:t xml:space="preserve"> </w:t>
      </w:r>
    </w:p>
    <w:p w:rsidRPr="00D33CEF" w:rsidR="00C71B06" w:rsidP="00C659FA" w:rsidRDefault="00C71B06" w14:paraId="4FEC75AF" w14:textId="16A5B682">
      <w:pPr>
        <w:ind w:firstLine="709"/>
        <w:jc w:val="right"/>
        <w:rPr>
          <w:b/>
          <w:bCs/>
        </w:rPr>
      </w:pPr>
      <w:r w:rsidRPr="00D33CEF">
        <w:rPr>
          <w:b/>
          <w:bCs/>
        </w:rPr>
        <w:t>salīdzinājums pa mēnešiem</w:t>
      </w:r>
    </w:p>
    <w:p w:rsidRPr="000912B2" w:rsidR="000E069F" w:rsidP="00A72BCC" w:rsidRDefault="000E069F" w14:paraId="7CA3EBF2" w14:textId="379FA537">
      <w:pPr>
        <w:ind w:firstLine="709"/>
        <w:jc w:val="both"/>
        <w:rPr>
          <w:sz w:val="28"/>
          <w:szCs w:val="28"/>
        </w:rPr>
      </w:pPr>
    </w:p>
    <w:tbl>
      <w:tblPr>
        <w:tblW w:w="8521" w:type="dxa"/>
        <w:tblLook w:val="04A0" w:firstRow="1" w:lastRow="0" w:firstColumn="1" w:lastColumn="0" w:noHBand="0" w:noVBand="1"/>
      </w:tblPr>
      <w:tblGrid>
        <w:gridCol w:w="1430"/>
        <w:gridCol w:w="1563"/>
        <w:gridCol w:w="2977"/>
        <w:gridCol w:w="2551"/>
      </w:tblGrid>
      <w:tr w:rsidRPr="00E552AC" w:rsidR="00C11935" w:rsidTr="00E552AC" w14:paraId="1372B8CF" w14:textId="77777777">
        <w:trPr>
          <w:trHeight w:val="240"/>
        </w:trPr>
        <w:tc>
          <w:tcPr>
            <w:tcW w:w="1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552AC" w:rsidR="00C11935" w:rsidP="00C11935" w:rsidRDefault="00C11935" w14:paraId="0B1B0244" w14:textId="77777777">
            <w:r w:rsidRPr="00E552AC">
              <w:t> </w:t>
            </w:r>
          </w:p>
        </w:tc>
        <w:tc>
          <w:tcPr>
            <w:tcW w:w="1563" w:type="dxa"/>
            <w:tcBorders>
              <w:top w:val="single" w:color="auto" w:sz="4" w:space="0"/>
              <w:left w:val="nil"/>
              <w:bottom w:val="single" w:color="auto" w:sz="4" w:space="0"/>
              <w:right w:val="single" w:color="auto" w:sz="4" w:space="0"/>
            </w:tcBorders>
            <w:shd w:val="clear" w:color="auto" w:fill="auto"/>
            <w:noWrap/>
            <w:vAlign w:val="bottom"/>
            <w:hideMark/>
          </w:tcPr>
          <w:p w:rsidRPr="00E552AC" w:rsidR="00C11935" w:rsidP="00C11935" w:rsidRDefault="00C11935" w14:paraId="2632A66C" w14:textId="77777777">
            <w:r w:rsidRPr="00E552AC">
              <w:t> </w:t>
            </w:r>
          </w:p>
        </w:tc>
        <w:tc>
          <w:tcPr>
            <w:tcW w:w="2977" w:type="dxa"/>
            <w:tcBorders>
              <w:top w:val="single" w:color="auto" w:sz="4" w:space="0"/>
              <w:left w:val="nil"/>
              <w:bottom w:val="single" w:color="auto" w:sz="4" w:space="0"/>
              <w:right w:val="single" w:color="auto" w:sz="4" w:space="0"/>
            </w:tcBorders>
            <w:shd w:val="clear" w:color="auto" w:fill="auto"/>
            <w:vAlign w:val="center"/>
            <w:hideMark/>
          </w:tcPr>
          <w:p w:rsidRPr="00C659FA" w:rsidR="00C11935" w:rsidP="00E552AC" w:rsidRDefault="00C11935" w14:paraId="00274E29" w14:textId="6CCBABAB">
            <w:pPr>
              <w:jc w:val="center"/>
            </w:pPr>
            <w:r w:rsidRPr="00C659FA">
              <w:t>Janv</w:t>
            </w:r>
            <w:r w:rsidRPr="00C659FA" w:rsidR="00EF4357">
              <w:t>āris</w:t>
            </w:r>
          </w:p>
        </w:tc>
        <w:tc>
          <w:tcPr>
            <w:tcW w:w="2551" w:type="dxa"/>
            <w:tcBorders>
              <w:top w:val="single" w:color="auto" w:sz="4" w:space="0"/>
              <w:left w:val="nil"/>
              <w:bottom w:val="single" w:color="auto" w:sz="4" w:space="0"/>
              <w:right w:val="single" w:color="auto" w:sz="4" w:space="0"/>
            </w:tcBorders>
            <w:shd w:val="clear" w:color="auto" w:fill="auto"/>
            <w:vAlign w:val="center"/>
            <w:hideMark/>
          </w:tcPr>
          <w:p w:rsidRPr="00C659FA" w:rsidR="00C11935" w:rsidP="00E552AC" w:rsidRDefault="00C11935" w14:paraId="7EEE34F6" w14:textId="32626E04">
            <w:pPr>
              <w:jc w:val="center"/>
            </w:pPr>
            <w:r w:rsidRPr="00C659FA">
              <w:t>Febr</w:t>
            </w:r>
            <w:r w:rsidRPr="00C659FA" w:rsidR="00EF4357">
              <w:t>uāris</w:t>
            </w:r>
          </w:p>
        </w:tc>
      </w:tr>
      <w:tr w:rsidRPr="00E552AC" w:rsidR="00BE10E3" w:rsidTr="00BE10E3" w14:paraId="29E1541D" w14:textId="77777777">
        <w:trPr>
          <w:trHeight w:val="240"/>
        </w:trPr>
        <w:tc>
          <w:tcPr>
            <w:tcW w:w="143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E552AC" w:rsidR="00BE10E3" w:rsidP="00BE10E3" w:rsidRDefault="00BE10E3" w14:paraId="33288D3B" w14:textId="77777777">
            <w:pPr>
              <w:jc w:val="center"/>
            </w:pPr>
            <w:r w:rsidRPr="00E552AC">
              <w:t>AUTOBUSI</w:t>
            </w:r>
          </w:p>
        </w:tc>
        <w:tc>
          <w:tcPr>
            <w:tcW w:w="1563" w:type="dxa"/>
            <w:tcBorders>
              <w:top w:val="nil"/>
              <w:left w:val="nil"/>
              <w:bottom w:val="single" w:color="auto" w:sz="4" w:space="0"/>
              <w:right w:val="single" w:color="auto" w:sz="4" w:space="0"/>
            </w:tcBorders>
            <w:shd w:val="clear" w:color="auto" w:fill="auto"/>
            <w:noWrap/>
            <w:vAlign w:val="bottom"/>
            <w:hideMark/>
          </w:tcPr>
          <w:p w:rsidRPr="00E552AC" w:rsidR="00BE10E3" w:rsidP="00BE10E3" w:rsidRDefault="00BE10E3" w14:paraId="35BED478" w14:textId="77777777">
            <w:pPr>
              <w:jc w:val="center"/>
            </w:pPr>
            <w:r w:rsidRPr="00E552AC">
              <w:t>2019</w:t>
            </w:r>
          </w:p>
        </w:tc>
        <w:tc>
          <w:tcPr>
            <w:tcW w:w="2977" w:type="dxa"/>
            <w:tcBorders>
              <w:top w:val="nil"/>
              <w:left w:val="nil"/>
              <w:bottom w:val="single" w:color="auto" w:sz="4" w:space="0"/>
              <w:right w:val="single" w:color="auto" w:sz="4" w:space="0"/>
            </w:tcBorders>
            <w:shd w:val="clear" w:color="000000" w:fill="FFFFFF"/>
            <w:noWrap/>
            <w:vAlign w:val="center"/>
            <w:hideMark/>
          </w:tcPr>
          <w:p w:rsidRPr="00E552AC" w:rsidR="00BE10E3" w:rsidP="00BE10E3" w:rsidRDefault="00BE10E3" w14:paraId="74E9D6BC" w14:textId="77777777">
            <w:pPr>
              <w:jc w:val="center"/>
            </w:pPr>
            <w:r w:rsidRPr="00E552AC">
              <w:t>2 856 668</w:t>
            </w:r>
          </w:p>
        </w:tc>
        <w:tc>
          <w:tcPr>
            <w:tcW w:w="2551" w:type="dxa"/>
            <w:tcBorders>
              <w:top w:val="nil"/>
              <w:left w:val="nil"/>
              <w:bottom w:val="single" w:color="auto" w:sz="4" w:space="0"/>
              <w:right w:val="single" w:color="auto" w:sz="4" w:space="0"/>
            </w:tcBorders>
            <w:shd w:val="clear" w:color="000000" w:fill="FFFFFF"/>
            <w:noWrap/>
            <w:vAlign w:val="bottom"/>
            <w:hideMark/>
          </w:tcPr>
          <w:p w:rsidRPr="00BE10E3" w:rsidR="00BE10E3" w:rsidP="00BE10E3" w:rsidRDefault="00BE10E3" w14:paraId="49DFCDA7" w14:textId="3D2AA9A5">
            <w:pPr>
              <w:jc w:val="center"/>
            </w:pPr>
            <w:r w:rsidRPr="00BE10E3">
              <w:t>2 653 873</w:t>
            </w:r>
          </w:p>
        </w:tc>
      </w:tr>
      <w:tr w:rsidRPr="00E552AC" w:rsidR="00BE10E3" w:rsidTr="00BE10E3" w14:paraId="1C507918" w14:textId="77777777">
        <w:trPr>
          <w:trHeight w:val="240"/>
        </w:trPr>
        <w:tc>
          <w:tcPr>
            <w:tcW w:w="1430" w:type="dxa"/>
            <w:vMerge/>
            <w:tcBorders>
              <w:top w:val="nil"/>
              <w:left w:val="single" w:color="auto" w:sz="4" w:space="0"/>
              <w:bottom w:val="single" w:color="auto" w:sz="4" w:space="0"/>
              <w:right w:val="single" w:color="auto" w:sz="4" w:space="0"/>
            </w:tcBorders>
            <w:vAlign w:val="center"/>
            <w:hideMark/>
          </w:tcPr>
          <w:p w:rsidRPr="00E552AC" w:rsidR="00BE10E3" w:rsidP="00BE10E3" w:rsidRDefault="00BE10E3" w14:paraId="4464AB36" w14:textId="77777777">
            <w:pPr>
              <w:jc w:val="center"/>
            </w:pPr>
          </w:p>
        </w:tc>
        <w:tc>
          <w:tcPr>
            <w:tcW w:w="1563" w:type="dxa"/>
            <w:tcBorders>
              <w:top w:val="nil"/>
              <w:left w:val="nil"/>
              <w:bottom w:val="single" w:color="auto" w:sz="4" w:space="0"/>
              <w:right w:val="single" w:color="auto" w:sz="4" w:space="0"/>
            </w:tcBorders>
            <w:shd w:val="clear" w:color="auto" w:fill="auto"/>
            <w:noWrap/>
            <w:vAlign w:val="bottom"/>
            <w:hideMark/>
          </w:tcPr>
          <w:p w:rsidRPr="00E552AC" w:rsidR="00BE10E3" w:rsidP="00BE10E3" w:rsidRDefault="00BE10E3" w14:paraId="650905D1" w14:textId="77777777">
            <w:pPr>
              <w:jc w:val="center"/>
            </w:pPr>
            <w:r w:rsidRPr="00E552AC">
              <w:t>2020</w:t>
            </w:r>
          </w:p>
        </w:tc>
        <w:tc>
          <w:tcPr>
            <w:tcW w:w="2977" w:type="dxa"/>
            <w:tcBorders>
              <w:top w:val="nil"/>
              <w:left w:val="nil"/>
              <w:bottom w:val="single" w:color="auto" w:sz="4" w:space="0"/>
              <w:right w:val="single" w:color="auto" w:sz="4" w:space="0"/>
            </w:tcBorders>
            <w:shd w:val="clear" w:color="000000" w:fill="FFFFFF"/>
            <w:noWrap/>
            <w:vAlign w:val="center"/>
            <w:hideMark/>
          </w:tcPr>
          <w:p w:rsidRPr="00E552AC" w:rsidR="00BE10E3" w:rsidP="00BE10E3" w:rsidRDefault="00BE10E3" w14:paraId="2630FC8B" w14:textId="77777777">
            <w:pPr>
              <w:jc w:val="center"/>
            </w:pPr>
            <w:r w:rsidRPr="00E552AC">
              <w:t>2 927 982</w:t>
            </w:r>
          </w:p>
        </w:tc>
        <w:tc>
          <w:tcPr>
            <w:tcW w:w="2551" w:type="dxa"/>
            <w:tcBorders>
              <w:top w:val="nil"/>
              <w:left w:val="nil"/>
              <w:bottom w:val="single" w:color="auto" w:sz="4" w:space="0"/>
              <w:right w:val="single" w:color="auto" w:sz="4" w:space="0"/>
            </w:tcBorders>
            <w:shd w:val="clear" w:color="000000" w:fill="FFFFFF"/>
            <w:noWrap/>
            <w:vAlign w:val="bottom"/>
            <w:hideMark/>
          </w:tcPr>
          <w:p w:rsidRPr="00BE10E3" w:rsidR="00BE10E3" w:rsidP="00BE10E3" w:rsidRDefault="00BE10E3" w14:paraId="40551D43" w14:textId="28BAFB2E">
            <w:pPr>
              <w:jc w:val="center"/>
            </w:pPr>
            <w:r w:rsidRPr="00BE10E3">
              <w:t>2 826 046</w:t>
            </w:r>
          </w:p>
        </w:tc>
      </w:tr>
      <w:tr w:rsidRPr="00E552AC" w:rsidR="00BE10E3" w:rsidTr="00BE10E3" w14:paraId="7EC65EB6" w14:textId="77777777">
        <w:trPr>
          <w:trHeight w:val="240"/>
        </w:trPr>
        <w:tc>
          <w:tcPr>
            <w:tcW w:w="1430" w:type="dxa"/>
            <w:vMerge/>
            <w:tcBorders>
              <w:top w:val="nil"/>
              <w:left w:val="single" w:color="auto" w:sz="4" w:space="0"/>
              <w:bottom w:val="single" w:color="auto" w:sz="4" w:space="0"/>
              <w:right w:val="single" w:color="auto" w:sz="4" w:space="0"/>
            </w:tcBorders>
            <w:vAlign w:val="center"/>
            <w:hideMark/>
          </w:tcPr>
          <w:p w:rsidRPr="00E552AC" w:rsidR="00BE10E3" w:rsidP="00BE10E3" w:rsidRDefault="00BE10E3" w14:paraId="56425AD2" w14:textId="77777777">
            <w:pPr>
              <w:jc w:val="center"/>
            </w:pPr>
          </w:p>
        </w:tc>
        <w:tc>
          <w:tcPr>
            <w:tcW w:w="1563" w:type="dxa"/>
            <w:tcBorders>
              <w:top w:val="nil"/>
              <w:left w:val="nil"/>
              <w:bottom w:val="single" w:color="auto" w:sz="4" w:space="0"/>
              <w:right w:val="single" w:color="auto" w:sz="4" w:space="0"/>
            </w:tcBorders>
            <w:shd w:val="clear" w:color="auto" w:fill="auto"/>
            <w:noWrap/>
            <w:vAlign w:val="bottom"/>
            <w:hideMark/>
          </w:tcPr>
          <w:p w:rsidRPr="00E552AC" w:rsidR="00BE10E3" w:rsidP="00BE10E3" w:rsidRDefault="00BE10E3" w14:paraId="4AA3009B" w14:textId="77777777">
            <w:pPr>
              <w:jc w:val="center"/>
            </w:pPr>
            <w:r w:rsidRPr="00E552AC">
              <w:t>2021</w:t>
            </w:r>
          </w:p>
        </w:tc>
        <w:tc>
          <w:tcPr>
            <w:tcW w:w="2977" w:type="dxa"/>
            <w:tcBorders>
              <w:top w:val="nil"/>
              <w:left w:val="nil"/>
              <w:bottom w:val="single" w:color="auto" w:sz="4" w:space="0"/>
              <w:right w:val="single" w:color="auto" w:sz="4" w:space="0"/>
            </w:tcBorders>
            <w:shd w:val="clear" w:color="000000" w:fill="FFFFFF"/>
            <w:noWrap/>
            <w:vAlign w:val="center"/>
            <w:hideMark/>
          </w:tcPr>
          <w:p w:rsidRPr="00E552AC" w:rsidR="00BE10E3" w:rsidP="00BE10E3" w:rsidRDefault="00BE10E3" w14:paraId="6A5B1DBC" w14:textId="77777777">
            <w:pPr>
              <w:jc w:val="center"/>
            </w:pPr>
            <w:r w:rsidRPr="00E552AC">
              <w:t>1 145 302</w:t>
            </w:r>
          </w:p>
        </w:tc>
        <w:tc>
          <w:tcPr>
            <w:tcW w:w="2551" w:type="dxa"/>
            <w:tcBorders>
              <w:top w:val="nil"/>
              <w:left w:val="nil"/>
              <w:bottom w:val="single" w:color="auto" w:sz="4" w:space="0"/>
              <w:right w:val="single" w:color="auto" w:sz="4" w:space="0"/>
            </w:tcBorders>
            <w:shd w:val="clear" w:color="000000" w:fill="FFFFFF"/>
            <w:noWrap/>
            <w:vAlign w:val="bottom"/>
            <w:hideMark/>
          </w:tcPr>
          <w:p w:rsidRPr="00BE10E3" w:rsidR="00BE10E3" w:rsidP="00BE10E3" w:rsidRDefault="00BE10E3" w14:paraId="4490B6EC" w14:textId="2842DE31">
            <w:pPr>
              <w:jc w:val="center"/>
            </w:pPr>
            <w:r w:rsidRPr="00BE10E3">
              <w:t>1 158 159</w:t>
            </w:r>
          </w:p>
        </w:tc>
      </w:tr>
      <w:tr w:rsidRPr="00E552AC" w:rsidR="00BE10E3" w:rsidTr="00BE10E3" w14:paraId="5F7704AE" w14:textId="77777777">
        <w:trPr>
          <w:trHeight w:val="240"/>
        </w:trPr>
        <w:tc>
          <w:tcPr>
            <w:tcW w:w="1430"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E552AC" w:rsidR="00BE10E3" w:rsidP="00BE10E3" w:rsidRDefault="00BE10E3" w14:paraId="1B2C6A4D" w14:textId="77777777">
            <w:pPr>
              <w:jc w:val="center"/>
            </w:pPr>
            <w:r w:rsidRPr="00E552AC">
              <w:t>VILCIENI</w:t>
            </w:r>
          </w:p>
        </w:tc>
        <w:tc>
          <w:tcPr>
            <w:tcW w:w="1563" w:type="dxa"/>
            <w:tcBorders>
              <w:top w:val="nil"/>
              <w:left w:val="nil"/>
              <w:bottom w:val="single" w:color="auto" w:sz="4" w:space="0"/>
              <w:right w:val="single" w:color="auto" w:sz="4" w:space="0"/>
            </w:tcBorders>
            <w:shd w:val="clear" w:color="auto" w:fill="auto"/>
            <w:noWrap/>
            <w:vAlign w:val="bottom"/>
            <w:hideMark/>
          </w:tcPr>
          <w:p w:rsidRPr="00E552AC" w:rsidR="00BE10E3" w:rsidP="00BE10E3" w:rsidRDefault="00BE10E3" w14:paraId="11F6BAF5" w14:textId="77777777">
            <w:pPr>
              <w:jc w:val="center"/>
            </w:pPr>
            <w:r w:rsidRPr="00E552AC">
              <w:t>2019</w:t>
            </w:r>
          </w:p>
        </w:tc>
        <w:tc>
          <w:tcPr>
            <w:tcW w:w="2977" w:type="dxa"/>
            <w:tcBorders>
              <w:top w:val="nil"/>
              <w:left w:val="nil"/>
              <w:bottom w:val="single" w:color="auto" w:sz="4" w:space="0"/>
              <w:right w:val="single" w:color="auto" w:sz="4" w:space="0"/>
            </w:tcBorders>
            <w:shd w:val="clear" w:color="000000" w:fill="FFFFFF"/>
            <w:noWrap/>
            <w:vAlign w:val="center"/>
            <w:hideMark/>
          </w:tcPr>
          <w:p w:rsidRPr="00E552AC" w:rsidR="00BE10E3" w:rsidP="00BE10E3" w:rsidRDefault="00BE10E3" w14:paraId="416EF835" w14:textId="77777777">
            <w:pPr>
              <w:jc w:val="center"/>
            </w:pPr>
            <w:r w:rsidRPr="00E552AC">
              <w:t>1 402 052</w:t>
            </w:r>
          </w:p>
        </w:tc>
        <w:tc>
          <w:tcPr>
            <w:tcW w:w="2551" w:type="dxa"/>
            <w:tcBorders>
              <w:top w:val="nil"/>
              <w:left w:val="nil"/>
              <w:bottom w:val="single" w:color="auto" w:sz="4" w:space="0"/>
              <w:right w:val="single" w:color="auto" w:sz="4" w:space="0"/>
            </w:tcBorders>
            <w:shd w:val="clear" w:color="000000" w:fill="FFFFFF"/>
            <w:noWrap/>
            <w:vAlign w:val="bottom"/>
            <w:hideMark/>
          </w:tcPr>
          <w:p w:rsidRPr="00BE10E3" w:rsidR="00BE10E3" w:rsidP="00BE10E3" w:rsidRDefault="00BE10E3" w14:paraId="5934F3BA" w14:textId="2852C668">
            <w:pPr>
              <w:jc w:val="center"/>
            </w:pPr>
            <w:r w:rsidRPr="00BE10E3">
              <w:t>1 331 012</w:t>
            </w:r>
          </w:p>
        </w:tc>
      </w:tr>
      <w:tr w:rsidRPr="00E552AC" w:rsidR="00BE10E3" w:rsidTr="00BE10E3" w14:paraId="0E842BAA" w14:textId="77777777">
        <w:trPr>
          <w:trHeight w:val="240"/>
        </w:trPr>
        <w:tc>
          <w:tcPr>
            <w:tcW w:w="1430" w:type="dxa"/>
            <w:vMerge/>
            <w:tcBorders>
              <w:top w:val="nil"/>
              <w:left w:val="single" w:color="auto" w:sz="4" w:space="0"/>
              <w:bottom w:val="single" w:color="auto" w:sz="4" w:space="0"/>
              <w:right w:val="single" w:color="auto" w:sz="4" w:space="0"/>
            </w:tcBorders>
            <w:vAlign w:val="center"/>
            <w:hideMark/>
          </w:tcPr>
          <w:p w:rsidRPr="00E552AC" w:rsidR="00BE10E3" w:rsidP="00BE10E3" w:rsidRDefault="00BE10E3" w14:paraId="73FB6671" w14:textId="77777777"/>
        </w:tc>
        <w:tc>
          <w:tcPr>
            <w:tcW w:w="1563" w:type="dxa"/>
            <w:tcBorders>
              <w:top w:val="nil"/>
              <w:left w:val="nil"/>
              <w:bottom w:val="single" w:color="auto" w:sz="4" w:space="0"/>
              <w:right w:val="single" w:color="auto" w:sz="4" w:space="0"/>
            </w:tcBorders>
            <w:shd w:val="clear" w:color="auto" w:fill="auto"/>
            <w:noWrap/>
            <w:vAlign w:val="bottom"/>
            <w:hideMark/>
          </w:tcPr>
          <w:p w:rsidRPr="00E552AC" w:rsidR="00BE10E3" w:rsidP="00BE10E3" w:rsidRDefault="00BE10E3" w14:paraId="0E95F816" w14:textId="77777777">
            <w:pPr>
              <w:jc w:val="center"/>
            </w:pPr>
            <w:r w:rsidRPr="00E552AC">
              <w:t>2020</w:t>
            </w:r>
          </w:p>
        </w:tc>
        <w:tc>
          <w:tcPr>
            <w:tcW w:w="2977" w:type="dxa"/>
            <w:tcBorders>
              <w:top w:val="nil"/>
              <w:left w:val="nil"/>
              <w:bottom w:val="single" w:color="auto" w:sz="4" w:space="0"/>
              <w:right w:val="single" w:color="auto" w:sz="4" w:space="0"/>
            </w:tcBorders>
            <w:shd w:val="clear" w:color="000000" w:fill="FFFFFF"/>
            <w:noWrap/>
            <w:vAlign w:val="center"/>
            <w:hideMark/>
          </w:tcPr>
          <w:p w:rsidRPr="00E552AC" w:rsidR="00BE10E3" w:rsidP="00BE10E3" w:rsidRDefault="00BE10E3" w14:paraId="2A5B215C" w14:textId="77777777">
            <w:pPr>
              <w:jc w:val="center"/>
            </w:pPr>
            <w:r w:rsidRPr="00E552AC">
              <w:t>1 496 091</w:t>
            </w:r>
          </w:p>
        </w:tc>
        <w:tc>
          <w:tcPr>
            <w:tcW w:w="2551" w:type="dxa"/>
            <w:tcBorders>
              <w:top w:val="nil"/>
              <w:left w:val="nil"/>
              <w:bottom w:val="single" w:color="auto" w:sz="4" w:space="0"/>
              <w:right w:val="single" w:color="auto" w:sz="4" w:space="0"/>
            </w:tcBorders>
            <w:shd w:val="clear" w:color="000000" w:fill="FFFFFF"/>
            <w:noWrap/>
            <w:vAlign w:val="bottom"/>
            <w:hideMark/>
          </w:tcPr>
          <w:p w:rsidRPr="00BE10E3" w:rsidR="00BE10E3" w:rsidP="00BE10E3" w:rsidRDefault="00BE10E3" w14:paraId="051B9733" w14:textId="0A925E00">
            <w:pPr>
              <w:jc w:val="center"/>
            </w:pPr>
            <w:r w:rsidRPr="00BE10E3">
              <w:t>1 490 468</w:t>
            </w:r>
          </w:p>
        </w:tc>
      </w:tr>
      <w:tr w:rsidRPr="00E552AC" w:rsidR="00BE10E3" w:rsidTr="00BE10E3" w14:paraId="0602B5FE" w14:textId="77777777">
        <w:trPr>
          <w:trHeight w:val="240"/>
        </w:trPr>
        <w:tc>
          <w:tcPr>
            <w:tcW w:w="1430" w:type="dxa"/>
            <w:vMerge/>
            <w:tcBorders>
              <w:top w:val="nil"/>
              <w:left w:val="single" w:color="auto" w:sz="4" w:space="0"/>
              <w:bottom w:val="single" w:color="auto" w:sz="4" w:space="0"/>
              <w:right w:val="single" w:color="auto" w:sz="4" w:space="0"/>
            </w:tcBorders>
            <w:vAlign w:val="center"/>
            <w:hideMark/>
          </w:tcPr>
          <w:p w:rsidRPr="00E552AC" w:rsidR="00BE10E3" w:rsidP="00BE10E3" w:rsidRDefault="00BE10E3" w14:paraId="7F8BCBB5" w14:textId="77777777"/>
        </w:tc>
        <w:tc>
          <w:tcPr>
            <w:tcW w:w="1563" w:type="dxa"/>
            <w:tcBorders>
              <w:top w:val="nil"/>
              <w:left w:val="nil"/>
              <w:bottom w:val="single" w:color="auto" w:sz="4" w:space="0"/>
              <w:right w:val="single" w:color="auto" w:sz="4" w:space="0"/>
            </w:tcBorders>
            <w:shd w:val="clear" w:color="auto" w:fill="auto"/>
            <w:noWrap/>
            <w:vAlign w:val="bottom"/>
            <w:hideMark/>
          </w:tcPr>
          <w:p w:rsidRPr="00E552AC" w:rsidR="00BE10E3" w:rsidP="00BE10E3" w:rsidRDefault="00BE10E3" w14:paraId="3112CC60" w14:textId="77777777">
            <w:pPr>
              <w:jc w:val="center"/>
            </w:pPr>
            <w:r w:rsidRPr="00E552AC">
              <w:t>2021</w:t>
            </w:r>
          </w:p>
        </w:tc>
        <w:tc>
          <w:tcPr>
            <w:tcW w:w="2977" w:type="dxa"/>
            <w:tcBorders>
              <w:top w:val="nil"/>
              <w:left w:val="nil"/>
              <w:bottom w:val="single" w:color="auto" w:sz="4" w:space="0"/>
              <w:right w:val="single" w:color="auto" w:sz="4" w:space="0"/>
            </w:tcBorders>
            <w:shd w:val="clear" w:color="000000" w:fill="FFFFFF"/>
            <w:noWrap/>
            <w:vAlign w:val="center"/>
            <w:hideMark/>
          </w:tcPr>
          <w:p w:rsidRPr="00E552AC" w:rsidR="00BE10E3" w:rsidP="00BE10E3" w:rsidRDefault="00BE10E3" w14:paraId="39374ED3" w14:textId="77777777">
            <w:pPr>
              <w:jc w:val="center"/>
            </w:pPr>
            <w:r w:rsidRPr="00E552AC">
              <w:t>705 436</w:t>
            </w:r>
          </w:p>
        </w:tc>
        <w:tc>
          <w:tcPr>
            <w:tcW w:w="2551" w:type="dxa"/>
            <w:tcBorders>
              <w:top w:val="nil"/>
              <w:left w:val="nil"/>
              <w:bottom w:val="single" w:color="auto" w:sz="4" w:space="0"/>
              <w:right w:val="single" w:color="auto" w:sz="4" w:space="0"/>
            </w:tcBorders>
            <w:shd w:val="clear" w:color="000000" w:fill="FFFFFF"/>
            <w:noWrap/>
            <w:vAlign w:val="bottom"/>
            <w:hideMark/>
          </w:tcPr>
          <w:p w:rsidRPr="00BE10E3" w:rsidR="00BE10E3" w:rsidP="00BE10E3" w:rsidRDefault="00BE10E3" w14:paraId="19D7C73A" w14:textId="2C2CCDCA">
            <w:pPr>
              <w:jc w:val="center"/>
            </w:pPr>
            <w:r w:rsidRPr="00BE10E3">
              <w:t>672 484</w:t>
            </w:r>
          </w:p>
        </w:tc>
      </w:tr>
      <w:tr w:rsidRPr="00C11935" w:rsidR="00BE10E3" w:rsidTr="00E552AC" w14:paraId="1645C392" w14:textId="77777777">
        <w:trPr>
          <w:trHeight w:val="380"/>
        </w:trPr>
        <w:tc>
          <w:tcPr>
            <w:tcW w:w="2993" w:type="dxa"/>
            <w:gridSpan w:val="2"/>
            <w:tcBorders>
              <w:top w:val="nil"/>
              <w:left w:val="single" w:color="auto" w:sz="4" w:space="0"/>
              <w:bottom w:val="single" w:color="auto" w:sz="4" w:space="0"/>
              <w:right w:val="single" w:color="auto" w:sz="4" w:space="0"/>
            </w:tcBorders>
            <w:shd w:val="clear" w:color="auto" w:fill="auto"/>
            <w:noWrap/>
            <w:vAlign w:val="bottom"/>
            <w:hideMark/>
          </w:tcPr>
          <w:p w:rsidRPr="00E552AC" w:rsidR="00BE10E3" w:rsidP="00BE10E3" w:rsidRDefault="00BE10E3" w14:paraId="4AA65064" w14:textId="190EB917">
            <w:pPr>
              <w:rPr>
                <w:b/>
                <w:bCs/>
              </w:rPr>
            </w:pPr>
            <w:r w:rsidRPr="00E552AC">
              <w:rPr>
                <w:b/>
                <w:bCs/>
              </w:rPr>
              <w:t> kopā starpība starp 2021/2019</w:t>
            </w:r>
            <w:r>
              <w:rPr>
                <w:rStyle w:val="FootnoteReference"/>
                <w:b/>
                <w:bCs/>
              </w:rPr>
              <w:footnoteReference w:id="2"/>
            </w:r>
          </w:p>
        </w:tc>
        <w:tc>
          <w:tcPr>
            <w:tcW w:w="2977" w:type="dxa"/>
            <w:tcBorders>
              <w:top w:val="nil"/>
              <w:left w:val="nil"/>
              <w:bottom w:val="single" w:color="auto" w:sz="4" w:space="0"/>
              <w:right w:val="single" w:color="auto" w:sz="4" w:space="0"/>
            </w:tcBorders>
            <w:shd w:val="clear" w:color="auto" w:fill="auto"/>
            <w:noWrap/>
            <w:vAlign w:val="center"/>
            <w:hideMark/>
          </w:tcPr>
          <w:p w:rsidRPr="00E552AC" w:rsidR="00BE10E3" w:rsidP="00BE10E3" w:rsidRDefault="00BE10E3" w14:paraId="6966FAC5" w14:textId="77777777">
            <w:pPr>
              <w:jc w:val="center"/>
              <w:rPr>
                <w:b/>
                <w:bCs/>
              </w:rPr>
            </w:pPr>
            <w:r w:rsidRPr="00E552AC">
              <w:rPr>
                <w:b/>
                <w:bCs/>
              </w:rPr>
              <w:t>-2 407 982</w:t>
            </w:r>
          </w:p>
        </w:tc>
        <w:tc>
          <w:tcPr>
            <w:tcW w:w="2551" w:type="dxa"/>
            <w:tcBorders>
              <w:top w:val="nil"/>
              <w:left w:val="nil"/>
              <w:bottom w:val="single" w:color="auto" w:sz="4" w:space="0"/>
              <w:right w:val="single" w:color="auto" w:sz="4" w:space="0"/>
            </w:tcBorders>
            <w:shd w:val="clear" w:color="auto" w:fill="auto"/>
            <w:noWrap/>
            <w:vAlign w:val="center"/>
            <w:hideMark/>
          </w:tcPr>
          <w:p w:rsidRPr="00E552AC" w:rsidR="00BE10E3" w:rsidP="00BE10E3" w:rsidRDefault="00BE10E3" w14:paraId="2EAF4DBB" w14:textId="45DDAF11">
            <w:pPr>
              <w:jc w:val="center"/>
              <w:rPr>
                <w:b/>
                <w:bCs/>
              </w:rPr>
            </w:pPr>
            <w:r w:rsidRPr="00E552AC">
              <w:rPr>
                <w:b/>
                <w:bCs/>
              </w:rPr>
              <w:t>-2</w:t>
            </w:r>
            <w:r>
              <w:rPr>
                <w:b/>
                <w:bCs/>
              </w:rPr>
              <w:t> </w:t>
            </w:r>
            <w:r w:rsidRPr="00E552AC">
              <w:rPr>
                <w:b/>
                <w:bCs/>
              </w:rPr>
              <w:t>1</w:t>
            </w:r>
            <w:r>
              <w:rPr>
                <w:b/>
                <w:bCs/>
              </w:rPr>
              <w:t>54 242</w:t>
            </w:r>
          </w:p>
        </w:tc>
      </w:tr>
    </w:tbl>
    <w:p w:rsidR="000E069F" w:rsidP="00A72BCC" w:rsidRDefault="000E069F" w14:paraId="02920407" w14:textId="36B13A3D">
      <w:pPr>
        <w:ind w:firstLine="709"/>
        <w:jc w:val="both"/>
        <w:rPr>
          <w:sz w:val="28"/>
          <w:szCs w:val="28"/>
        </w:rPr>
      </w:pPr>
    </w:p>
    <w:p w:rsidR="000E069F" w:rsidP="00A72BCC" w:rsidRDefault="00B44C1B" w14:paraId="48140AC2" w14:textId="47B49EA8">
      <w:pPr>
        <w:ind w:firstLine="709"/>
        <w:jc w:val="both"/>
        <w:rPr>
          <w:sz w:val="28"/>
          <w:szCs w:val="28"/>
        </w:rPr>
      </w:pPr>
      <w:r>
        <w:rPr>
          <w:sz w:val="28"/>
          <w:szCs w:val="28"/>
        </w:rPr>
        <w:t>Vienlaikus, pamatojoties uz minēto situāciju</w:t>
      </w:r>
      <w:r w:rsidR="00697A65">
        <w:rPr>
          <w:rStyle w:val="FootnoteReference"/>
          <w:sz w:val="28"/>
          <w:szCs w:val="28"/>
        </w:rPr>
        <w:footnoteReference w:id="3"/>
      </w:r>
      <w:r>
        <w:rPr>
          <w:sz w:val="28"/>
          <w:szCs w:val="28"/>
        </w:rPr>
        <w:t xml:space="preserve"> un prognozējot pasažieru skaita izmaiņas reģionālās nozīmes pārvadājumos vismaz 2021.gada 1.pusgadā, tiek prognozētas šādas biļešu ieņēmumu izmaiņas. </w:t>
      </w:r>
    </w:p>
    <w:p w:rsidR="00C659FA" w:rsidP="0003466D" w:rsidRDefault="00C659FA" w14:paraId="42118765" w14:textId="77777777">
      <w:pPr>
        <w:ind w:firstLine="709"/>
        <w:jc w:val="right"/>
      </w:pPr>
    </w:p>
    <w:p w:rsidR="003F68A8" w:rsidP="0003466D" w:rsidRDefault="0003466D" w14:paraId="745C5931" w14:textId="25223B6E">
      <w:pPr>
        <w:ind w:firstLine="709"/>
        <w:jc w:val="right"/>
      </w:pPr>
      <w:r w:rsidRPr="00C659FA">
        <w:t>Tabula Nr.</w:t>
      </w:r>
      <w:r w:rsidR="003F68A8">
        <w:t xml:space="preserve">5 </w:t>
      </w:r>
    </w:p>
    <w:p w:rsidRPr="00D33CEF" w:rsidR="0003466D" w:rsidP="0003466D" w:rsidRDefault="0003466D" w14:paraId="4465D4BB" w14:textId="4BE6E7ED">
      <w:pPr>
        <w:ind w:firstLine="709"/>
        <w:jc w:val="right"/>
        <w:rPr>
          <w:b/>
          <w:bCs/>
        </w:rPr>
      </w:pPr>
      <w:r w:rsidRPr="00D33CEF">
        <w:rPr>
          <w:b/>
          <w:bCs/>
        </w:rPr>
        <w:t xml:space="preserve">Prognozēto biļešu ieņēmumu </w:t>
      </w:r>
    </w:p>
    <w:p w:rsidRPr="00D33CEF" w:rsidR="0003466D" w:rsidP="0003466D" w:rsidRDefault="0003466D" w14:paraId="119EEE91" w14:textId="77777777">
      <w:pPr>
        <w:ind w:firstLine="709"/>
        <w:jc w:val="right"/>
        <w:rPr>
          <w:b/>
          <w:bCs/>
        </w:rPr>
      </w:pPr>
      <w:r w:rsidRPr="00D33CEF">
        <w:rPr>
          <w:b/>
          <w:bCs/>
        </w:rPr>
        <w:t>salīdzinājums pa mēnešiem</w:t>
      </w:r>
    </w:p>
    <w:p w:rsidR="00B44C1B" w:rsidP="00A72BCC" w:rsidRDefault="00B44C1B" w14:paraId="63F9468D" w14:textId="6D1485D5">
      <w:pPr>
        <w:ind w:firstLine="709"/>
        <w:jc w:val="both"/>
        <w:rPr>
          <w:sz w:val="28"/>
          <w:szCs w:val="28"/>
        </w:rPr>
      </w:pPr>
    </w:p>
    <w:tbl>
      <w:tblPr>
        <w:tblW w:w="9067" w:type="dxa"/>
        <w:tblLook w:val="04A0" w:firstRow="1" w:lastRow="0" w:firstColumn="1" w:lastColumn="0" w:noHBand="0" w:noVBand="1"/>
      </w:tblPr>
      <w:tblGrid>
        <w:gridCol w:w="1430"/>
        <w:gridCol w:w="1542"/>
        <w:gridCol w:w="1418"/>
        <w:gridCol w:w="1701"/>
        <w:gridCol w:w="1559"/>
        <w:gridCol w:w="1417"/>
      </w:tblGrid>
      <w:tr w:rsidRPr="0003466D" w:rsidR="0003466D" w:rsidTr="00D33CEF" w14:paraId="39DDCE2C" w14:textId="77777777">
        <w:trPr>
          <w:trHeight w:val="240"/>
        </w:trPr>
        <w:tc>
          <w:tcPr>
            <w:tcW w:w="14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3466D" w:rsidR="0003466D" w:rsidP="0003466D" w:rsidRDefault="0003466D" w14:paraId="71419FC0" w14:textId="77777777">
            <w:r w:rsidRPr="0003466D">
              <w:t> </w:t>
            </w:r>
          </w:p>
        </w:tc>
        <w:tc>
          <w:tcPr>
            <w:tcW w:w="1542" w:type="dxa"/>
            <w:tcBorders>
              <w:top w:val="single" w:color="auto" w:sz="4" w:space="0"/>
              <w:left w:val="nil"/>
              <w:bottom w:val="single" w:color="auto" w:sz="4" w:space="0"/>
              <w:right w:val="single" w:color="auto" w:sz="4" w:space="0"/>
            </w:tcBorders>
            <w:shd w:val="clear" w:color="auto" w:fill="auto"/>
            <w:noWrap/>
            <w:vAlign w:val="bottom"/>
            <w:hideMark/>
          </w:tcPr>
          <w:p w:rsidRPr="0003466D" w:rsidR="0003466D" w:rsidP="0003466D" w:rsidRDefault="0003466D" w14:paraId="7D9A7ACA" w14:textId="77777777">
            <w:r w:rsidRPr="0003466D">
              <w:t> </w:t>
            </w:r>
          </w:p>
        </w:tc>
        <w:tc>
          <w:tcPr>
            <w:tcW w:w="1418" w:type="dxa"/>
            <w:tcBorders>
              <w:top w:val="single" w:color="auto" w:sz="4" w:space="0"/>
              <w:left w:val="nil"/>
              <w:bottom w:val="single" w:color="auto" w:sz="4" w:space="0"/>
              <w:right w:val="single" w:color="auto" w:sz="4" w:space="0"/>
            </w:tcBorders>
            <w:shd w:val="clear" w:color="auto" w:fill="auto"/>
            <w:noWrap/>
            <w:vAlign w:val="bottom"/>
            <w:hideMark/>
          </w:tcPr>
          <w:p w:rsidRPr="0003466D" w:rsidR="0003466D" w:rsidP="0003466D" w:rsidRDefault="0003466D" w14:paraId="438505B2" w14:textId="77777777">
            <w:pPr>
              <w:jc w:val="center"/>
            </w:pPr>
            <w:r w:rsidRPr="0003466D">
              <w:t>Marts</w:t>
            </w:r>
          </w:p>
        </w:tc>
        <w:tc>
          <w:tcPr>
            <w:tcW w:w="1701" w:type="dxa"/>
            <w:tcBorders>
              <w:top w:val="single" w:color="auto" w:sz="4" w:space="0"/>
              <w:left w:val="nil"/>
              <w:bottom w:val="single" w:color="auto" w:sz="4" w:space="0"/>
              <w:right w:val="single" w:color="auto" w:sz="4" w:space="0"/>
            </w:tcBorders>
            <w:shd w:val="clear" w:color="auto" w:fill="auto"/>
            <w:noWrap/>
            <w:vAlign w:val="bottom"/>
            <w:hideMark/>
          </w:tcPr>
          <w:p w:rsidRPr="0003466D" w:rsidR="0003466D" w:rsidP="0003466D" w:rsidRDefault="0003466D" w14:paraId="61385375" w14:textId="77777777">
            <w:pPr>
              <w:jc w:val="center"/>
            </w:pPr>
            <w:r w:rsidRPr="0003466D">
              <w:t xml:space="preserve">Aprīlis </w:t>
            </w:r>
          </w:p>
        </w:tc>
        <w:tc>
          <w:tcPr>
            <w:tcW w:w="1559" w:type="dxa"/>
            <w:tcBorders>
              <w:top w:val="single" w:color="auto" w:sz="4" w:space="0"/>
              <w:left w:val="nil"/>
              <w:bottom w:val="single" w:color="auto" w:sz="4" w:space="0"/>
              <w:right w:val="single" w:color="auto" w:sz="4" w:space="0"/>
            </w:tcBorders>
            <w:shd w:val="clear" w:color="auto" w:fill="auto"/>
            <w:noWrap/>
            <w:vAlign w:val="bottom"/>
            <w:hideMark/>
          </w:tcPr>
          <w:p w:rsidRPr="0003466D" w:rsidR="0003466D" w:rsidP="0003466D" w:rsidRDefault="0003466D" w14:paraId="48E68885" w14:textId="77777777">
            <w:pPr>
              <w:jc w:val="center"/>
            </w:pPr>
            <w:r w:rsidRPr="0003466D">
              <w:t>Maijs</w:t>
            </w:r>
          </w:p>
        </w:tc>
        <w:tc>
          <w:tcPr>
            <w:tcW w:w="1417" w:type="dxa"/>
            <w:tcBorders>
              <w:top w:val="single" w:color="auto" w:sz="4" w:space="0"/>
              <w:left w:val="nil"/>
              <w:bottom w:val="single" w:color="auto" w:sz="4" w:space="0"/>
              <w:right w:val="single" w:color="auto" w:sz="4" w:space="0"/>
            </w:tcBorders>
            <w:shd w:val="clear" w:color="auto" w:fill="auto"/>
            <w:noWrap/>
            <w:vAlign w:val="bottom"/>
            <w:hideMark/>
          </w:tcPr>
          <w:p w:rsidRPr="0003466D" w:rsidR="0003466D" w:rsidP="0003466D" w:rsidRDefault="0003466D" w14:paraId="4F102810" w14:textId="77777777">
            <w:pPr>
              <w:jc w:val="center"/>
            </w:pPr>
            <w:r w:rsidRPr="0003466D">
              <w:t>Jūnijs</w:t>
            </w:r>
          </w:p>
        </w:tc>
      </w:tr>
      <w:tr w:rsidRPr="0003466D" w:rsidR="0003466D" w:rsidTr="00D33CEF" w14:paraId="4E137694" w14:textId="77777777">
        <w:trPr>
          <w:trHeight w:val="240"/>
        </w:trPr>
        <w:tc>
          <w:tcPr>
            <w:tcW w:w="1430" w:type="dxa"/>
            <w:vMerge w:val="restart"/>
            <w:tcBorders>
              <w:top w:val="nil"/>
              <w:left w:val="single" w:color="auto" w:sz="4" w:space="0"/>
              <w:bottom w:val="single" w:color="auto" w:sz="4" w:space="0"/>
              <w:right w:val="single" w:color="auto" w:sz="4" w:space="0"/>
            </w:tcBorders>
            <w:shd w:val="clear" w:color="auto" w:fill="auto"/>
            <w:noWrap/>
            <w:vAlign w:val="bottom"/>
            <w:hideMark/>
          </w:tcPr>
          <w:p w:rsidRPr="0003466D" w:rsidR="0003466D" w:rsidP="0003466D" w:rsidRDefault="0003466D" w14:paraId="0D3B3818" w14:textId="77777777">
            <w:pPr>
              <w:jc w:val="center"/>
            </w:pPr>
            <w:r w:rsidRPr="0003466D">
              <w:t>AUTOBUSI</w:t>
            </w:r>
          </w:p>
        </w:tc>
        <w:tc>
          <w:tcPr>
            <w:tcW w:w="1542"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33E3967C" w14:textId="77777777">
            <w:pPr>
              <w:jc w:val="center"/>
            </w:pPr>
            <w:r w:rsidRPr="0003466D">
              <w:t>2019</w:t>
            </w:r>
          </w:p>
        </w:tc>
        <w:tc>
          <w:tcPr>
            <w:tcW w:w="1418"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038F2B79" w14:textId="77777777">
            <w:pPr>
              <w:jc w:val="right"/>
            </w:pPr>
            <w:r w:rsidRPr="0003466D">
              <w:t>2 996 912</w:t>
            </w:r>
          </w:p>
        </w:tc>
        <w:tc>
          <w:tcPr>
            <w:tcW w:w="1701"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268384FE" w14:textId="77777777">
            <w:pPr>
              <w:jc w:val="right"/>
            </w:pPr>
            <w:r w:rsidRPr="0003466D">
              <w:t>3 041 657</w:t>
            </w:r>
          </w:p>
        </w:tc>
        <w:tc>
          <w:tcPr>
            <w:tcW w:w="1559"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1E91DB6B" w14:textId="77777777">
            <w:pPr>
              <w:jc w:val="right"/>
            </w:pPr>
            <w:r w:rsidRPr="0003466D">
              <w:t>3 150 956</w:t>
            </w:r>
          </w:p>
        </w:tc>
        <w:tc>
          <w:tcPr>
            <w:tcW w:w="1417"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5C9B54DC" w14:textId="77777777">
            <w:pPr>
              <w:jc w:val="right"/>
            </w:pPr>
            <w:r w:rsidRPr="0003466D">
              <w:t>3 070 667</w:t>
            </w:r>
          </w:p>
        </w:tc>
      </w:tr>
      <w:tr w:rsidRPr="0003466D" w:rsidR="0003466D" w:rsidTr="00D33CEF" w14:paraId="15CCAC7E" w14:textId="77777777">
        <w:trPr>
          <w:trHeight w:val="240"/>
        </w:trPr>
        <w:tc>
          <w:tcPr>
            <w:tcW w:w="1430" w:type="dxa"/>
            <w:vMerge/>
            <w:tcBorders>
              <w:top w:val="nil"/>
              <w:left w:val="single" w:color="auto" w:sz="4" w:space="0"/>
              <w:bottom w:val="single" w:color="auto" w:sz="4" w:space="0"/>
              <w:right w:val="single" w:color="auto" w:sz="4" w:space="0"/>
            </w:tcBorders>
            <w:vAlign w:val="center"/>
            <w:hideMark/>
          </w:tcPr>
          <w:p w:rsidRPr="0003466D" w:rsidR="0003466D" w:rsidP="0003466D" w:rsidRDefault="0003466D" w14:paraId="5BB8F2DE" w14:textId="77777777"/>
        </w:tc>
        <w:tc>
          <w:tcPr>
            <w:tcW w:w="1542"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614A0617" w14:textId="77777777">
            <w:pPr>
              <w:jc w:val="center"/>
            </w:pPr>
            <w:r w:rsidRPr="0003466D">
              <w:t>2020</w:t>
            </w:r>
          </w:p>
        </w:tc>
        <w:tc>
          <w:tcPr>
            <w:tcW w:w="1418"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04BE07A2" w14:textId="77777777">
            <w:pPr>
              <w:jc w:val="right"/>
            </w:pPr>
            <w:r w:rsidRPr="0003466D">
              <w:t>1 923 459</w:t>
            </w:r>
          </w:p>
        </w:tc>
        <w:tc>
          <w:tcPr>
            <w:tcW w:w="1701"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09377BD1" w14:textId="77777777">
            <w:pPr>
              <w:jc w:val="right"/>
            </w:pPr>
            <w:r w:rsidRPr="0003466D">
              <w:t>903 937</w:t>
            </w:r>
          </w:p>
        </w:tc>
        <w:tc>
          <w:tcPr>
            <w:tcW w:w="1559"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3095A99D" w14:textId="77777777">
            <w:pPr>
              <w:jc w:val="right"/>
            </w:pPr>
            <w:r w:rsidRPr="0003466D">
              <w:t>1 330 506</w:t>
            </w:r>
          </w:p>
        </w:tc>
        <w:tc>
          <w:tcPr>
            <w:tcW w:w="1417"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7898B7B6" w14:textId="77777777">
            <w:pPr>
              <w:jc w:val="right"/>
            </w:pPr>
            <w:r w:rsidRPr="0003466D">
              <w:t>1 886 037</w:t>
            </w:r>
          </w:p>
        </w:tc>
      </w:tr>
      <w:tr w:rsidRPr="0003466D" w:rsidR="0003466D" w:rsidTr="00D33CEF" w14:paraId="1B94435A" w14:textId="77777777">
        <w:trPr>
          <w:trHeight w:val="240"/>
        </w:trPr>
        <w:tc>
          <w:tcPr>
            <w:tcW w:w="1430" w:type="dxa"/>
            <w:vMerge/>
            <w:tcBorders>
              <w:top w:val="nil"/>
              <w:left w:val="single" w:color="auto" w:sz="4" w:space="0"/>
              <w:bottom w:val="single" w:color="auto" w:sz="4" w:space="0"/>
              <w:right w:val="single" w:color="auto" w:sz="4" w:space="0"/>
            </w:tcBorders>
            <w:vAlign w:val="center"/>
            <w:hideMark/>
          </w:tcPr>
          <w:p w:rsidRPr="0003466D" w:rsidR="0003466D" w:rsidP="0003466D" w:rsidRDefault="0003466D" w14:paraId="68021C7C" w14:textId="77777777"/>
        </w:tc>
        <w:tc>
          <w:tcPr>
            <w:tcW w:w="1542"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340BC286" w14:textId="77777777">
            <w:pPr>
              <w:jc w:val="center"/>
            </w:pPr>
            <w:r w:rsidRPr="0003466D">
              <w:t>2021</w:t>
            </w:r>
          </w:p>
        </w:tc>
        <w:tc>
          <w:tcPr>
            <w:tcW w:w="1418"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0933554D" w14:textId="77777777">
            <w:pPr>
              <w:jc w:val="right"/>
            </w:pPr>
            <w:r w:rsidRPr="0003466D">
              <w:t>1 819 358</w:t>
            </w:r>
          </w:p>
        </w:tc>
        <w:tc>
          <w:tcPr>
            <w:tcW w:w="1701"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115C2139" w14:textId="77777777">
            <w:pPr>
              <w:jc w:val="right"/>
            </w:pPr>
            <w:r w:rsidRPr="0003466D">
              <w:t>1 714 587</w:t>
            </w:r>
          </w:p>
        </w:tc>
        <w:tc>
          <w:tcPr>
            <w:tcW w:w="1559"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16734EAB" w14:textId="77777777">
            <w:pPr>
              <w:jc w:val="right"/>
            </w:pPr>
            <w:r w:rsidRPr="0003466D">
              <w:t>1 993 398</w:t>
            </w:r>
          </w:p>
        </w:tc>
        <w:tc>
          <w:tcPr>
            <w:tcW w:w="1417"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609DAA1F" w14:textId="77777777">
            <w:pPr>
              <w:jc w:val="right"/>
            </w:pPr>
            <w:r w:rsidRPr="0003466D">
              <w:t>2 232 078</w:t>
            </w:r>
          </w:p>
        </w:tc>
      </w:tr>
      <w:tr w:rsidRPr="0003466D" w:rsidR="0003466D" w:rsidTr="00D33CEF" w14:paraId="60F6E1D0" w14:textId="77777777">
        <w:trPr>
          <w:trHeight w:val="240"/>
        </w:trPr>
        <w:tc>
          <w:tcPr>
            <w:tcW w:w="1430" w:type="dxa"/>
            <w:vMerge w:val="restart"/>
            <w:tcBorders>
              <w:top w:val="nil"/>
              <w:left w:val="single" w:color="auto" w:sz="4" w:space="0"/>
              <w:bottom w:val="single" w:color="auto" w:sz="4" w:space="0"/>
              <w:right w:val="single" w:color="auto" w:sz="4" w:space="0"/>
            </w:tcBorders>
            <w:shd w:val="clear" w:color="auto" w:fill="auto"/>
            <w:noWrap/>
            <w:vAlign w:val="bottom"/>
            <w:hideMark/>
          </w:tcPr>
          <w:p w:rsidRPr="0003466D" w:rsidR="0003466D" w:rsidP="0003466D" w:rsidRDefault="0003466D" w14:paraId="21E8903D" w14:textId="77777777">
            <w:pPr>
              <w:jc w:val="center"/>
            </w:pPr>
            <w:r w:rsidRPr="0003466D">
              <w:t>VILCIENI</w:t>
            </w:r>
          </w:p>
        </w:tc>
        <w:tc>
          <w:tcPr>
            <w:tcW w:w="1542"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71F24501" w14:textId="77777777">
            <w:pPr>
              <w:jc w:val="center"/>
            </w:pPr>
            <w:r w:rsidRPr="0003466D">
              <w:t>2019</w:t>
            </w:r>
          </w:p>
        </w:tc>
        <w:tc>
          <w:tcPr>
            <w:tcW w:w="1418"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1B18E916" w14:textId="77777777">
            <w:pPr>
              <w:jc w:val="right"/>
            </w:pPr>
            <w:r w:rsidRPr="0003466D">
              <w:t>1 501 166</w:t>
            </w:r>
          </w:p>
        </w:tc>
        <w:tc>
          <w:tcPr>
            <w:tcW w:w="1701"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25B2BC13" w14:textId="77777777">
            <w:pPr>
              <w:jc w:val="right"/>
            </w:pPr>
            <w:r w:rsidRPr="0003466D">
              <w:t>1 610 111</w:t>
            </w:r>
          </w:p>
        </w:tc>
        <w:tc>
          <w:tcPr>
            <w:tcW w:w="1559"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54E5D887" w14:textId="77777777">
            <w:pPr>
              <w:jc w:val="right"/>
            </w:pPr>
            <w:r w:rsidRPr="0003466D">
              <w:t>1 736 676</w:t>
            </w:r>
          </w:p>
        </w:tc>
        <w:tc>
          <w:tcPr>
            <w:tcW w:w="1417"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10B092A8" w14:textId="77777777">
            <w:pPr>
              <w:jc w:val="right"/>
            </w:pPr>
            <w:r w:rsidRPr="0003466D">
              <w:t>1 919 515</w:t>
            </w:r>
          </w:p>
        </w:tc>
      </w:tr>
      <w:tr w:rsidRPr="0003466D" w:rsidR="0003466D" w:rsidTr="00D33CEF" w14:paraId="210DD2D0" w14:textId="77777777">
        <w:trPr>
          <w:trHeight w:val="240"/>
        </w:trPr>
        <w:tc>
          <w:tcPr>
            <w:tcW w:w="1430" w:type="dxa"/>
            <w:vMerge/>
            <w:tcBorders>
              <w:top w:val="nil"/>
              <w:left w:val="single" w:color="auto" w:sz="4" w:space="0"/>
              <w:bottom w:val="single" w:color="auto" w:sz="4" w:space="0"/>
              <w:right w:val="single" w:color="auto" w:sz="4" w:space="0"/>
            </w:tcBorders>
            <w:vAlign w:val="center"/>
            <w:hideMark/>
          </w:tcPr>
          <w:p w:rsidRPr="0003466D" w:rsidR="0003466D" w:rsidP="0003466D" w:rsidRDefault="0003466D" w14:paraId="7A41DDE6" w14:textId="77777777"/>
        </w:tc>
        <w:tc>
          <w:tcPr>
            <w:tcW w:w="1542"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4BEAABA0" w14:textId="77777777">
            <w:pPr>
              <w:jc w:val="center"/>
            </w:pPr>
            <w:r w:rsidRPr="0003466D">
              <w:t>2020</w:t>
            </w:r>
          </w:p>
        </w:tc>
        <w:tc>
          <w:tcPr>
            <w:tcW w:w="1418"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7C76A019" w14:textId="77777777">
            <w:pPr>
              <w:jc w:val="right"/>
            </w:pPr>
            <w:r w:rsidRPr="0003466D">
              <w:t>1 079 725</w:t>
            </w:r>
          </w:p>
        </w:tc>
        <w:tc>
          <w:tcPr>
            <w:tcW w:w="1701"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6DE8CD39" w14:textId="77777777">
            <w:pPr>
              <w:jc w:val="right"/>
            </w:pPr>
            <w:r w:rsidRPr="0003466D">
              <w:t>560 851</w:t>
            </w:r>
          </w:p>
        </w:tc>
        <w:tc>
          <w:tcPr>
            <w:tcW w:w="1559"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17160483" w14:textId="77777777">
            <w:pPr>
              <w:jc w:val="right"/>
            </w:pPr>
            <w:r w:rsidRPr="0003466D">
              <w:t>833 066</w:t>
            </w:r>
          </w:p>
        </w:tc>
        <w:tc>
          <w:tcPr>
            <w:tcW w:w="1417"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42B7D25B" w14:textId="77777777">
            <w:pPr>
              <w:jc w:val="right"/>
            </w:pPr>
            <w:r w:rsidRPr="0003466D">
              <w:t>1 306 266</w:t>
            </w:r>
          </w:p>
        </w:tc>
      </w:tr>
      <w:tr w:rsidRPr="0003466D" w:rsidR="0003466D" w:rsidTr="00D33CEF" w14:paraId="285B30D2" w14:textId="77777777">
        <w:trPr>
          <w:trHeight w:val="240"/>
        </w:trPr>
        <w:tc>
          <w:tcPr>
            <w:tcW w:w="1430" w:type="dxa"/>
            <w:vMerge/>
            <w:tcBorders>
              <w:top w:val="nil"/>
              <w:left w:val="single" w:color="auto" w:sz="4" w:space="0"/>
              <w:bottom w:val="single" w:color="auto" w:sz="4" w:space="0"/>
              <w:right w:val="single" w:color="auto" w:sz="4" w:space="0"/>
            </w:tcBorders>
            <w:vAlign w:val="center"/>
            <w:hideMark/>
          </w:tcPr>
          <w:p w:rsidRPr="0003466D" w:rsidR="0003466D" w:rsidP="0003466D" w:rsidRDefault="0003466D" w14:paraId="2A5D42AA" w14:textId="77777777"/>
        </w:tc>
        <w:tc>
          <w:tcPr>
            <w:tcW w:w="1542"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56D34A13" w14:textId="77777777">
            <w:pPr>
              <w:jc w:val="center"/>
            </w:pPr>
            <w:r w:rsidRPr="0003466D">
              <w:t>2021</w:t>
            </w:r>
          </w:p>
        </w:tc>
        <w:tc>
          <w:tcPr>
            <w:tcW w:w="1418"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23058E10" w14:textId="77777777">
            <w:pPr>
              <w:jc w:val="right"/>
            </w:pPr>
            <w:r w:rsidRPr="0003466D">
              <w:t>735 941</w:t>
            </w:r>
          </w:p>
        </w:tc>
        <w:tc>
          <w:tcPr>
            <w:tcW w:w="1701"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2727C445" w14:textId="77777777">
            <w:pPr>
              <w:jc w:val="right"/>
            </w:pPr>
            <w:r w:rsidRPr="0003466D">
              <w:t>941 507</w:t>
            </w:r>
          </w:p>
        </w:tc>
        <w:tc>
          <w:tcPr>
            <w:tcW w:w="1559"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3BA15758" w14:textId="77777777">
            <w:pPr>
              <w:jc w:val="right"/>
            </w:pPr>
            <w:r w:rsidRPr="0003466D">
              <w:t>1 157 103</w:t>
            </w:r>
          </w:p>
        </w:tc>
        <w:tc>
          <w:tcPr>
            <w:tcW w:w="1417" w:type="dxa"/>
            <w:tcBorders>
              <w:top w:val="nil"/>
              <w:left w:val="nil"/>
              <w:bottom w:val="single" w:color="auto" w:sz="4" w:space="0"/>
              <w:right w:val="single" w:color="auto" w:sz="4" w:space="0"/>
            </w:tcBorders>
            <w:shd w:val="clear" w:color="auto" w:fill="auto"/>
            <w:noWrap/>
            <w:vAlign w:val="bottom"/>
            <w:hideMark/>
          </w:tcPr>
          <w:p w:rsidRPr="0003466D" w:rsidR="0003466D" w:rsidP="0003466D" w:rsidRDefault="0003466D" w14:paraId="37A0A15D" w14:textId="77777777">
            <w:pPr>
              <w:jc w:val="right"/>
            </w:pPr>
            <w:r w:rsidRPr="0003466D">
              <w:t>1 545 217</w:t>
            </w:r>
          </w:p>
        </w:tc>
      </w:tr>
      <w:tr w:rsidRPr="00697A65" w:rsidR="0003466D" w:rsidTr="00D33CEF" w14:paraId="72A56274" w14:textId="77777777">
        <w:trPr>
          <w:trHeight w:val="240"/>
        </w:trPr>
        <w:tc>
          <w:tcPr>
            <w:tcW w:w="2972" w:type="dxa"/>
            <w:gridSpan w:val="2"/>
            <w:tcBorders>
              <w:top w:val="nil"/>
              <w:left w:val="single" w:color="auto" w:sz="4" w:space="0"/>
              <w:bottom w:val="single" w:color="auto" w:sz="4" w:space="0"/>
              <w:right w:val="single" w:color="auto" w:sz="4" w:space="0"/>
            </w:tcBorders>
            <w:shd w:val="clear" w:color="auto" w:fill="auto"/>
            <w:noWrap/>
            <w:vAlign w:val="bottom"/>
            <w:hideMark/>
          </w:tcPr>
          <w:p w:rsidRPr="00697A65" w:rsidR="0003466D" w:rsidP="0003466D" w:rsidRDefault="0003466D" w14:paraId="5FF8C250" w14:textId="68FD0756">
            <w:pPr>
              <w:rPr>
                <w:b/>
                <w:bCs/>
              </w:rPr>
            </w:pPr>
            <w:r w:rsidRPr="00697A65">
              <w:rPr>
                <w:b/>
                <w:bCs/>
              </w:rPr>
              <w:t xml:space="preserve"> kopā starpība starp 2021/2019 </w:t>
            </w:r>
          </w:p>
        </w:tc>
        <w:tc>
          <w:tcPr>
            <w:tcW w:w="1418" w:type="dxa"/>
            <w:tcBorders>
              <w:top w:val="nil"/>
              <w:left w:val="nil"/>
              <w:bottom w:val="single" w:color="auto" w:sz="4" w:space="0"/>
              <w:right w:val="single" w:color="auto" w:sz="4" w:space="0"/>
            </w:tcBorders>
            <w:shd w:val="clear" w:color="auto" w:fill="auto"/>
            <w:noWrap/>
            <w:vAlign w:val="bottom"/>
            <w:hideMark/>
          </w:tcPr>
          <w:p w:rsidRPr="00697A65" w:rsidR="0003466D" w:rsidP="0003466D" w:rsidRDefault="0003466D" w14:paraId="163BC95C" w14:textId="77777777">
            <w:pPr>
              <w:jc w:val="right"/>
              <w:rPr>
                <w:b/>
                <w:bCs/>
              </w:rPr>
            </w:pPr>
            <w:r w:rsidRPr="00697A65">
              <w:rPr>
                <w:b/>
                <w:bCs/>
              </w:rPr>
              <w:t>-1 942 779</w:t>
            </w:r>
          </w:p>
        </w:tc>
        <w:tc>
          <w:tcPr>
            <w:tcW w:w="1701" w:type="dxa"/>
            <w:tcBorders>
              <w:top w:val="nil"/>
              <w:left w:val="nil"/>
              <w:bottom w:val="single" w:color="auto" w:sz="4" w:space="0"/>
              <w:right w:val="single" w:color="auto" w:sz="4" w:space="0"/>
            </w:tcBorders>
            <w:shd w:val="clear" w:color="auto" w:fill="auto"/>
            <w:noWrap/>
            <w:vAlign w:val="bottom"/>
            <w:hideMark/>
          </w:tcPr>
          <w:p w:rsidRPr="00697A65" w:rsidR="0003466D" w:rsidP="0003466D" w:rsidRDefault="0003466D" w14:paraId="0EA880ED" w14:textId="0435CBD7">
            <w:pPr>
              <w:jc w:val="right"/>
              <w:rPr>
                <w:b/>
                <w:bCs/>
              </w:rPr>
            </w:pPr>
            <w:r w:rsidRPr="00697A65">
              <w:rPr>
                <w:b/>
                <w:bCs/>
              </w:rPr>
              <w:t xml:space="preserve">-1 995 </w:t>
            </w:r>
            <w:r w:rsidRPr="00697A65" w:rsidR="00697A65">
              <w:rPr>
                <w:b/>
                <w:bCs/>
              </w:rPr>
              <w:t>67</w:t>
            </w:r>
            <w:r w:rsidR="00697A65">
              <w:rPr>
                <w:b/>
                <w:bCs/>
              </w:rPr>
              <w:t>4</w:t>
            </w:r>
          </w:p>
        </w:tc>
        <w:tc>
          <w:tcPr>
            <w:tcW w:w="1559" w:type="dxa"/>
            <w:tcBorders>
              <w:top w:val="nil"/>
              <w:left w:val="nil"/>
              <w:bottom w:val="single" w:color="auto" w:sz="4" w:space="0"/>
              <w:right w:val="single" w:color="auto" w:sz="4" w:space="0"/>
            </w:tcBorders>
            <w:shd w:val="clear" w:color="auto" w:fill="auto"/>
            <w:noWrap/>
            <w:vAlign w:val="bottom"/>
            <w:hideMark/>
          </w:tcPr>
          <w:p w:rsidRPr="00697A65" w:rsidR="0003466D" w:rsidP="0003466D" w:rsidRDefault="0003466D" w14:paraId="7166C7E8" w14:textId="77777777">
            <w:pPr>
              <w:jc w:val="right"/>
              <w:rPr>
                <w:b/>
                <w:bCs/>
              </w:rPr>
            </w:pPr>
            <w:r w:rsidRPr="00697A65">
              <w:rPr>
                <w:b/>
                <w:bCs/>
              </w:rPr>
              <w:t>-1 737 131</w:t>
            </w:r>
          </w:p>
        </w:tc>
        <w:tc>
          <w:tcPr>
            <w:tcW w:w="1417" w:type="dxa"/>
            <w:tcBorders>
              <w:top w:val="nil"/>
              <w:left w:val="nil"/>
              <w:bottom w:val="single" w:color="auto" w:sz="4" w:space="0"/>
              <w:right w:val="single" w:color="auto" w:sz="4" w:space="0"/>
            </w:tcBorders>
            <w:shd w:val="clear" w:color="auto" w:fill="auto"/>
            <w:noWrap/>
            <w:vAlign w:val="bottom"/>
            <w:hideMark/>
          </w:tcPr>
          <w:p w:rsidRPr="00697A65" w:rsidR="0003466D" w:rsidP="0003466D" w:rsidRDefault="0003466D" w14:paraId="0F0FF7E2" w14:textId="77777777">
            <w:pPr>
              <w:jc w:val="right"/>
              <w:rPr>
                <w:b/>
                <w:bCs/>
              </w:rPr>
            </w:pPr>
            <w:r w:rsidRPr="00697A65">
              <w:rPr>
                <w:b/>
                <w:bCs/>
              </w:rPr>
              <w:t>-1 212 887</w:t>
            </w:r>
          </w:p>
        </w:tc>
      </w:tr>
    </w:tbl>
    <w:p w:rsidR="00B44C1B" w:rsidP="0003466D" w:rsidRDefault="00B44C1B" w14:paraId="475F2AD3" w14:textId="77777777">
      <w:pPr>
        <w:jc w:val="both"/>
        <w:rPr>
          <w:sz w:val="28"/>
          <w:szCs w:val="28"/>
        </w:rPr>
      </w:pPr>
    </w:p>
    <w:p w:rsidR="00B44C1B" w:rsidP="00A72BCC" w:rsidRDefault="00B44C1B" w14:paraId="73137BFA" w14:textId="77777777">
      <w:pPr>
        <w:ind w:firstLine="709"/>
        <w:jc w:val="both"/>
        <w:rPr>
          <w:sz w:val="28"/>
          <w:szCs w:val="28"/>
        </w:rPr>
      </w:pPr>
    </w:p>
    <w:p w:rsidR="000E069F" w:rsidP="00A72BCC" w:rsidRDefault="00E7050F" w14:paraId="0996A0D4" w14:textId="2A2CA52E">
      <w:pPr>
        <w:ind w:firstLine="709"/>
        <w:jc w:val="both"/>
        <w:rPr>
          <w:sz w:val="28"/>
          <w:szCs w:val="28"/>
        </w:rPr>
      </w:pPr>
      <w:r>
        <w:rPr>
          <w:sz w:val="28"/>
          <w:szCs w:val="28"/>
        </w:rPr>
        <w:t xml:space="preserve">Līdz ar to </w:t>
      </w:r>
      <w:r w:rsidR="004505F6">
        <w:rPr>
          <w:sz w:val="28"/>
          <w:szCs w:val="28"/>
        </w:rPr>
        <w:t>saistībā  ar Covid-19 pandēmijas apkarošanu radīt</w:t>
      </w:r>
      <w:r w:rsidR="00697A65">
        <w:rPr>
          <w:sz w:val="28"/>
          <w:szCs w:val="28"/>
        </w:rPr>
        <w:t xml:space="preserve">ajām </w:t>
      </w:r>
      <w:r w:rsidR="004505F6">
        <w:rPr>
          <w:sz w:val="28"/>
          <w:szCs w:val="28"/>
        </w:rPr>
        <w:t>sek</w:t>
      </w:r>
      <w:r w:rsidR="00697A65">
        <w:rPr>
          <w:sz w:val="28"/>
          <w:szCs w:val="28"/>
        </w:rPr>
        <w:t>ām</w:t>
      </w:r>
      <w:r w:rsidR="004505F6">
        <w:rPr>
          <w:sz w:val="28"/>
          <w:szCs w:val="28"/>
        </w:rPr>
        <w:t xml:space="preserve"> 2021.gada janvārī un februārī</w:t>
      </w:r>
      <w:r w:rsidR="00B4066A">
        <w:rPr>
          <w:sz w:val="28"/>
          <w:szCs w:val="28"/>
        </w:rPr>
        <w:t xml:space="preserve"> un</w:t>
      </w:r>
      <w:r w:rsidR="00697A65">
        <w:rPr>
          <w:sz w:val="28"/>
          <w:szCs w:val="28"/>
        </w:rPr>
        <w:t>,</w:t>
      </w:r>
      <w:r w:rsidR="00B4066A">
        <w:rPr>
          <w:sz w:val="28"/>
          <w:szCs w:val="28"/>
        </w:rPr>
        <w:t xml:space="preserve"> prognozējot turpmākās tendences</w:t>
      </w:r>
      <w:r w:rsidR="0003466D">
        <w:rPr>
          <w:sz w:val="28"/>
          <w:szCs w:val="28"/>
        </w:rPr>
        <w:t xml:space="preserve"> pirmajam 2021.gada pusgadam</w:t>
      </w:r>
      <w:r w:rsidR="00697A65">
        <w:rPr>
          <w:sz w:val="28"/>
          <w:szCs w:val="28"/>
        </w:rPr>
        <w:t>,</w:t>
      </w:r>
      <w:r w:rsidR="004505F6">
        <w:rPr>
          <w:sz w:val="28"/>
          <w:szCs w:val="28"/>
        </w:rPr>
        <w:t xml:space="preserve"> </w:t>
      </w:r>
      <w:r w:rsidR="00621102">
        <w:rPr>
          <w:sz w:val="28"/>
          <w:szCs w:val="28"/>
        </w:rPr>
        <w:t xml:space="preserve">sakarā ar pasažieru skaita samazinājumu </w:t>
      </w:r>
      <w:r w:rsidR="004505F6">
        <w:rPr>
          <w:sz w:val="28"/>
          <w:szCs w:val="28"/>
        </w:rPr>
        <w:t xml:space="preserve">biļešu ieņēmumu </w:t>
      </w:r>
      <w:r w:rsidR="00621102">
        <w:rPr>
          <w:sz w:val="28"/>
          <w:szCs w:val="28"/>
        </w:rPr>
        <w:t>kritums</w:t>
      </w:r>
      <w:r w:rsidR="004505F6">
        <w:rPr>
          <w:sz w:val="28"/>
          <w:szCs w:val="28"/>
        </w:rPr>
        <w:t xml:space="preserve"> </w:t>
      </w:r>
      <w:r w:rsidR="00B4066A">
        <w:rPr>
          <w:sz w:val="28"/>
          <w:szCs w:val="28"/>
        </w:rPr>
        <w:t xml:space="preserve">aprēķināts </w:t>
      </w:r>
      <w:r w:rsidR="00697A65">
        <w:rPr>
          <w:sz w:val="28"/>
          <w:szCs w:val="28"/>
        </w:rPr>
        <w:t>11 450 695</w:t>
      </w:r>
      <w:r w:rsidR="00EF4357">
        <w:rPr>
          <w:sz w:val="28"/>
          <w:szCs w:val="28"/>
        </w:rPr>
        <w:t> </w:t>
      </w:r>
      <w:proofErr w:type="spellStart"/>
      <w:r w:rsidRPr="00C659FA" w:rsidR="004505F6">
        <w:rPr>
          <w:i/>
          <w:iCs/>
          <w:sz w:val="28"/>
          <w:szCs w:val="28"/>
        </w:rPr>
        <w:t>euro</w:t>
      </w:r>
      <w:proofErr w:type="spellEnd"/>
      <w:r w:rsidRPr="00446EE4" w:rsidR="00EB10EE">
        <w:rPr>
          <w:iCs/>
          <w:sz w:val="28"/>
          <w:szCs w:val="28"/>
        </w:rPr>
        <w:t xml:space="preserve"> </w:t>
      </w:r>
      <w:r w:rsidR="00B6133C">
        <w:rPr>
          <w:iCs/>
          <w:sz w:val="28"/>
          <w:szCs w:val="28"/>
        </w:rPr>
        <w:t xml:space="preserve">apmērā </w:t>
      </w:r>
      <w:r w:rsidRPr="00446EE4" w:rsidR="00EB10EE">
        <w:rPr>
          <w:iCs/>
          <w:sz w:val="28"/>
          <w:szCs w:val="28"/>
        </w:rPr>
        <w:t>(</w:t>
      </w:r>
      <w:r w:rsidR="00EB10EE">
        <w:rPr>
          <w:iCs/>
          <w:sz w:val="28"/>
          <w:szCs w:val="28"/>
        </w:rPr>
        <w:t>tabulas Nr.</w:t>
      </w:r>
      <w:r w:rsidR="003F68A8">
        <w:rPr>
          <w:iCs/>
          <w:sz w:val="28"/>
          <w:szCs w:val="28"/>
        </w:rPr>
        <w:t>4</w:t>
      </w:r>
      <w:r w:rsidR="00EB10EE">
        <w:rPr>
          <w:iCs/>
          <w:sz w:val="28"/>
          <w:szCs w:val="28"/>
        </w:rPr>
        <w:t xml:space="preserve"> un Nr.</w:t>
      </w:r>
      <w:r w:rsidR="003F68A8">
        <w:rPr>
          <w:iCs/>
          <w:sz w:val="28"/>
          <w:szCs w:val="28"/>
        </w:rPr>
        <w:t>5</w:t>
      </w:r>
      <w:r w:rsidR="00EB10EE">
        <w:rPr>
          <w:iCs/>
          <w:sz w:val="28"/>
          <w:szCs w:val="28"/>
        </w:rPr>
        <w:t xml:space="preserve"> starpību kopsumma)</w:t>
      </w:r>
      <w:r w:rsidRPr="00EB10EE" w:rsidR="004505F6">
        <w:rPr>
          <w:sz w:val="28"/>
          <w:szCs w:val="28"/>
        </w:rPr>
        <w:t>.</w:t>
      </w:r>
      <w:r w:rsidR="00621102">
        <w:rPr>
          <w:sz w:val="28"/>
          <w:szCs w:val="28"/>
        </w:rPr>
        <w:t xml:space="preserve"> </w:t>
      </w:r>
    </w:p>
    <w:p w:rsidR="000E069F" w:rsidP="00A72BCC" w:rsidRDefault="000E069F" w14:paraId="0EF2CFAF" w14:textId="77777777">
      <w:pPr>
        <w:ind w:firstLine="709"/>
        <w:jc w:val="both"/>
        <w:rPr>
          <w:sz w:val="28"/>
          <w:szCs w:val="28"/>
        </w:rPr>
      </w:pPr>
    </w:p>
    <w:p w:rsidRPr="00A72BCC" w:rsidR="00A72BCC" w:rsidP="00A72BCC" w:rsidRDefault="00A72BCC" w14:paraId="6E2AFA90" w14:textId="0DC9A224">
      <w:pPr>
        <w:ind w:firstLine="709"/>
        <w:jc w:val="both"/>
        <w:rPr>
          <w:sz w:val="28"/>
          <w:szCs w:val="28"/>
        </w:rPr>
      </w:pPr>
      <w:r w:rsidRPr="00A72BCC">
        <w:rPr>
          <w:sz w:val="28"/>
          <w:szCs w:val="28"/>
        </w:rPr>
        <w:lastRenderedPageBreak/>
        <w:t xml:space="preserve">Ņemot vērā minēto, kopējais papildu finansējums 2021.gadā reģionālās nozīmes pārvadājumos ir nepieciešams </w:t>
      </w:r>
      <w:r w:rsidRPr="00D33CEF" w:rsidR="00EE417F">
        <w:rPr>
          <w:b/>
          <w:bCs/>
          <w:sz w:val="28"/>
          <w:szCs w:val="28"/>
        </w:rPr>
        <w:t xml:space="preserve">33 342 237 </w:t>
      </w:r>
      <w:proofErr w:type="spellStart"/>
      <w:r w:rsidRPr="00D33CEF" w:rsidR="00EE417F">
        <w:rPr>
          <w:b/>
          <w:bCs/>
          <w:i/>
          <w:iCs/>
          <w:sz w:val="28"/>
          <w:szCs w:val="28"/>
        </w:rPr>
        <w:t>euro</w:t>
      </w:r>
      <w:proofErr w:type="spellEnd"/>
      <w:r w:rsidRPr="00D33CEF" w:rsidR="00EE417F">
        <w:rPr>
          <w:i/>
          <w:iCs/>
          <w:sz w:val="28"/>
          <w:szCs w:val="28"/>
        </w:rPr>
        <w:t xml:space="preserve"> </w:t>
      </w:r>
      <w:r w:rsidRPr="00A72BCC">
        <w:rPr>
          <w:sz w:val="28"/>
          <w:szCs w:val="28"/>
        </w:rPr>
        <w:t xml:space="preserve"> apmērā:</w:t>
      </w:r>
    </w:p>
    <w:p w:rsidRPr="00A72BCC" w:rsidR="00A72BCC" w:rsidP="00A72BCC" w:rsidRDefault="003D4FD3" w14:paraId="01DB58F5" w14:textId="409FD63A">
      <w:pPr>
        <w:pStyle w:val="ListParagraph"/>
        <w:numPr>
          <w:ilvl w:val="0"/>
          <w:numId w:val="16"/>
        </w:numPr>
        <w:jc w:val="both"/>
        <w:rPr>
          <w:sz w:val="28"/>
          <w:szCs w:val="28"/>
        </w:rPr>
      </w:pPr>
      <w:r w:rsidRPr="00A72BCC">
        <w:rPr>
          <w:sz w:val="28"/>
          <w:szCs w:val="28"/>
        </w:rPr>
        <w:t xml:space="preserve">reģionālās nozīmes pārvadājumos </w:t>
      </w:r>
      <w:r w:rsidRPr="00A72BCC" w:rsidR="00C060BE">
        <w:rPr>
          <w:sz w:val="28"/>
          <w:szCs w:val="28"/>
        </w:rPr>
        <w:t xml:space="preserve">sabiedriskā transporta pakalpojumu sniedzējiem </w:t>
      </w:r>
      <w:r w:rsidRPr="00A72BCC" w:rsidR="00A72BCC">
        <w:rPr>
          <w:sz w:val="28"/>
          <w:szCs w:val="28"/>
        </w:rPr>
        <w:t>ne</w:t>
      </w:r>
      <w:r w:rsidR="00C060BE">
        <w:rPr>
          <w:sz w:val="28"/>
          <w:szCs w:val="28"/>
        </w:rPr>
        <w:t>segto zaudējumu par 2020.gadu kompensēšanai</w:t>
      </w:r>
      <w:r w:rsidRPr="00A72BCC" w:rsidR="00A72BCC">
        <w:rPr>
          <w:sz w:val="28"/>
          <w:szCs w:val="28"/>
        </w:rPr>
        <w:t xml:space="preserve"> </w:t>
      </w:r>
      <w:r w:rsidRPr="00D33CEF" w:rsidR="00EE417F">
        <w:rPr>
          <w:b/>
          <w:bCs/>
          <w:sz w:val="28"/>
          <w:szCs w:val="28"/>
        </w:rPr>
        <w:t xml:space="preserve">1 576 756 </w:t>
      </w:r>
      <w:proofErr w:type="spellStart"/>
      <w:r w:rsidRPr="00D33CEF" w:rsidR="00EE417F">
        <w:rPr>
          <w:b/>
          <w:bCs/>
          <w:i/>
          <w:iCs/>
          <w:sz w:val="28"/>
          <w:szCs w:val="28"/>
        </w:rPr>
        <w:t>euro</w:t>
      </w:r>
      <w:proofErr w:type="spellEnd"/>
      <w:r w:rsidRPr="00A72BCC" w:rsidDel="00EE417F" w:rsidR="00EE417F">
        <w:rPr>
          <w:b/>
          <w:bCs/>
          <w:sz w:val="28"/>
          <w:szCs w:val="28"/>
        </w:rPr>
        <w:t xml:space="preserve"> </w:t>
      </w:r>
      <w:r w:rsidRPr="00A72BCC" w:rsidR="00A72BCC">
        <w:rPr>
          <w:sz w:val="28"/>
          <w:szCs w:val="28"/>
        </w:rPr>
        <w:t>apmērā;</w:t>
      </w:r>
    </w:p>
    <w:p w:rsidRPr="00A72BCC" w:rsidR="00A72BCC" w:rsidP="00A72BCC" w:rsidRDefault="00A72BCC" w14:paraId="56F05F2F" w14:textId="62CD768A">
      <w:pPr>
        <w:pStyle w:val="ListParagraph"/>
        <w:numPr>
          <w:ilvl w:val="0"/>
          <w:numId w:val="16"/>
        </w:numPr>
        <w:jc w:val="both"/>
        <w:rPr>
          <w:sz w:val="28"/>
          <w:szCs w:val="28"/>
        </w:rPr>
      </w:pPr>
      <w:r w:rsidRPr="00A72BCC">
        <w:rPr>
          <w:sz w:val="28"/>
          <w:szCs w:val="28"/>
        </w:rPr>
        <w:t xml:space="preserve">papildu finansējums reģionālās nozīmes pārvadājumos 2021.gadā </w:t>
      </w:r>
      <w:r w:rsidRPr="00A72BCC">
        <w:rPr>
          <w:iCs/>
          <w:sz w:val="28"/>
          <w:szCs w:val="28"/>
        </w:rPr>
        <w:t xml:space="preserve">sabiedriskā transporta pakalpojumu nodrošināšanai </w:t>
      </w:r>
      <w:r w:rsidRPr="00A72BCC" w:rsidR="00D05516">
        <w:rPr>
          <w:b/>
          <w:bCs/>
          <w:iCs/>
          <w:sz w:val="28"/>
          <w:szCs w:val="28"/>
        </w:rPr>
        <w:t>3</w:t>
      </w:r>
      <w:r w:rsidR="00D05516">
        <w:rPr>
          <w:b/>
          <w:bCs/>
          <w:iCs/>
          <w:sz w:val="28"/>
          <w:szCs w:val="28"/>
        </w:rPr>
        <w:t>1</w:t>
      </w:r>
      <w:r w:rsidRPr="00A72BCC" w:rsidR="00D05516">
        <w:rPr>
          <w:b/>
          <w:bCs/>
          <w:iCs/>
          <w:sz w:val="28"/>
          <w:szCs w:val="28"/>
        </w:rPr>
        <w:t> </w:t>
      </w:r>
      <w:r w:rsidRPr="00A72BCC">
        <w:rPr>
          <w:b/>
          <w:bCs/>
          <w:iCs/>
          <w:sz w:val="28"/>
          <w:szCs w:val="28"/>
        </w:rPr>
        <w:t xml:space="preserve">765 481 </w:t>
      </w:r>
      <w:proofErr w:type="spellStart"/>
      <w:r w:rsidRPr="00C659FA" w:rsidR="00B44C1B">
        <w:rPr>
          <w:b/>
          <w:bCs/>
          <w:i/>
          <w:sz w:val="28"/>
          <w:szCs w:val="28"/>
        </w:rPr>
        <w:t>euro</w:t>
      </w:r>
      <w:proofErr w:type="spellEnd"/>
      <w:r w:rsidRPr="00A72BCC" w:rsidR="00B44C1B">
        <w:rPr>
          <w:b/>
          <w:bCs/>
          <w:iCs/>
          <w:sz w:val="28"/>
          <w:szCs w:val="28"/>
        </w:rPr>
        <w:t xml:space="preserve"> </w:t>
      </w:r>
      <w:r w:rsidRPr="00A72BCC">
        <w:rPr>
          <w:iCs/>
          <w:sz w:val="28"/>
          <w:szCs w:val="28"/>
        </w:rPr>
        <w:t>apmērā</w:t>
      </w:r>
      <w:r w:rsidRPr="00A72BCC">
        <w:rPr>
          <w:i/>
          <w:iCs/>
          <w:sz w:val="28"/>
          <w:szCs w:val="28"/>
        </w:rPr>
        <w:t xml:space="preserve"> </w:t>
      </w:r>
      <w:r w:rsidRPr="00A72BCC">
        <w:rPr>
          <w:iCs/>
          <w:sz w:val="28"/>
          <w:szCs w:val="28"/>
        </w:rPr>
        <w:t>tostarp:</w:t>
      </w:r>
    </w:p>
    <w:p w:rsidRPr="00152D92" w:rsidR="00A72BCC" w:rsidP="00A72BCC" w:rsidRDefault="00A72BCC" w14:paraId="5E80600C" w14:textId="3F9FFEB2">
      <w:pPr>
        <w:pStyle w:val="ListParagraph"/>
        <w:numPr>
          <w:ilvl w:val="0"/>
          <w:numId w:val="16"/>
        </w:numPr>
        <w:ind w:firstLine="632"/>
        <w:jc w:val="both"/>
        <w:rPr>
          <w:bCs/>
          <w:sz w:val="28"/>
          <w:szCs w:val="28"/>
        </w:rPr>
      </w:pPr>
      <w:r w:rsidRPr="00A72BCC">
        <w:rPr>
          <w:iCs/>
          <w:sz w:val="28"/>
          <w:szCs w:val="28"/>
        </w:rPr>
        <w:t xml:space="preserve">Reģionālās nozīmes pārvadājumos </w:t>
      </w:r>
      <w:r w:rsidRPr="00152D92">
        <w:rPr>
          <w:bCs/>
          <w:iCs/>
          <w:sz w:val="28"/>
          <w:szCs w:val="28"/>
        </w:rPr>
        <w:t xml:space="preserve">ar autobusiem 20 868 436 </w:t>
      </w:r>
      <w:proofErr w:type="spellStart"/>
      <w:r w:rsidRPr="00152D92" w:rsidR="00B44C1B">
        <w:rPr>
          <w:bCs/>
          <w:i/>
          <w:sz w:val="28"/>
          <w:szCs w:val="28"/>
        </w:rPr>
        <w:t>euro</w:t>
      </w:r>
      <w:proofErr w:type="spellEnd"/>
      <w:r w:rsidRPr="00152D92">
        <w:rPr>
          <w:bCs/>
          <w:iCs/>
          <w:sz w:val="28"/>
          <w:szCs w:val="28"/>
        </w:rPr>
        <w:t xml:space="preserve">, to starpā 11 708 652 </w:t>
      </w:r>
      <w:proofErr w:type="spellStart"/>
      <w:r w:rsidRPr="00152D92" w:rsidR="00B44C1B">
        <w:rPr>
          <w:bCs/>
          <w:i/>
          <w:sz w:val="28"/>
          <w:szCs w:val="28"/>
        </w:rPr>
        <w:t>euro</w:t>
      </w:r>
      <w:proofErr w:type="spellEnd"/>
      <w:r w:rsidRPr="00152D92" w:rsidR="00B44C1B">
        <w:rPr>
          <w:bCs/>
          <w:iCs/>
          <w:sz w:val="28"/>
          <w:szCs w:val="28"/>
        </w:rPr>
        <w:t xml:space="preserve"> </w:t>
      </w:r>
      <w:r w:rsidRPr="00152D92">
        <w:rPr>
          <w:bCs/>
          <w:iCs/>
          <w:sz w:val="28"/>
          <w:szCs w:val="28"/>
        </w:rPr>
        <w:t xml:space="preserve">par </w:t>
      </w:r>
      <w:r w:rsidRPr="00152D92">
        <w:rPr>
          <w:bCs/>
          <w:sz w:val="28"/>
          <w:szCs w:val="28"/>
        </w:rPr>
        <w:t>Covid-19 infekcijas izplatības mazināšanu un ierobežojošo pasākumu seku rezultātā pasažieru skaita mazināšanos;</w:t>
      </w:r>
    </w:p>
    <w:p w:rsidRPr="00A72BCC" w:rsidR="00A72BCC" w:rsidP="00A72BCC" w:rsidRDefault="00A72BCC" w14:paraId="7DF19242" w14:textId="6B9B4180">
      <w:pPr>
        <w:pStyle w:val="ListParagraph"/>
        <w:numPr>
          <w:ilvl w:val="0"/>
          <w:numId w:val="16"/>
        </w:numPr>
        <w:ind w:firstLine="632"/>
        <w:jc w:val="both"/>
        <w:rPr>
          <w:sz w:val="28"/>
          <w:szCs w:val="28"/>
        </w:rPr>
      </w:pPr>
      <w:r w:rsidRPr="00152D92">
        <w:rPr>
          <w:bCs/>
          <w:iCs/>
          <w:sz w:val="28"/>
          <w:szCs w:val="28"/>
        </w:rPr>
        <w:t xml:space="preserve">Reģionālās nozīmes pārvadājumos ar vilcieniem 10 897 045 </w:t>
      </w:r>
      <w:proofErr w:type="spellStart"/>
      <w:r w:rsidRPr="00152D92" w:rsidR="00B44C1B">
        <w:rPr>
          <w:bCs/>
          <w:i/>
          <w:sz w:val="28"/>
          <w:szCs w:val="28"/>
        </w:rPr>
        <w:t>euro</w:t>
      </w:r>
      <w:proofErr w:type="spellEnd"/>
      <w:r w:rsidRPr="00152D92">
        <w:rPr>
          <w:bCs/>
          <w:iCs/>
          <w:sz w:val="28"/>
          <w:szCs w:val="28"/>
        </w:rPr>
        <w:t xml:space="preserve">, to starpā 5 360 844 </w:t>
      </w:r>
      <w:proofErr w:type="spellStart"/>
      <w:r w:rsidRPr="00152D92" w:rsidR="00B44C1B">
        <w:rPr>
          <w:bCs/>
          <w:i/>
          <w:sz w:val="28"/>
          <w:szCs w:val="28"/>
        </w:rPr>
        <w:t>euro</w:t>
      </w:r>
      <w:proofErr w:type="spellEnd"/>
      <w:r w:rsidRPr="00152D92" w:rsidR="00B44C1B">
        <w:rPr>
          <w:bCs/>
          <w:iCs/>
          <w:sz w:val="28"/>
          <w:szCs w:val="28"/>
        </w:rPr>
        <w:t xml:space="preserve"> </w:t>
      </w:r>
      <w:r w:rsidRPr="00152D92">
        <w:rPr>
          <w:bCs/>
          <w:iCs/>
          <w:sz w:val="28"/>
          <w:szCs w:val="28"/>
        </w:rPr>
        <w:t xml:space="preserve">par </w:t>
      </w:r>
      <w:r w:rsidRPr="00152D92">
        <w:rPr>
          <w:bCs/>
          <w:sz w:val="28"/>
          <w:szCs w:val="28"/>
        </w:rPr>
        <w:t>Covid-19 infekcijas</w:t>
      </w:r>
      <w:r w:rsidRPr="00A72BCC">
        <w:rPr>
          <w:sz w:val="28"/>
          <w:szCs w:val="28"/>
        </w:rPr>
        <w:t xml:space="preserve"> izplatības mazināšanu un ierobežojošo pasākumu seku rezultātā pasažieru skaita mazināšanos.</w:t>
      </w:r>
    </w:p>
    <w:p w:rsidRPr="00A72BCC" w:rsidR="00A72BCC" w:rsidP="00A72BCC" w:rsidRDefault="00A72BCC" w14:paraId="60CF3FA2" w14:textId="77777777">
      <w:pPr>
        <w:rPr>
          <w:sz w:val="28"/>
          <w:szCs w:val="28"/>
        </w:rPr>
      </w:pPr>
    </w:p>
    <w:p w:rsidRPr="00C659FA" w:rsidR="00D16CA5" w:rsidP="00285F72" w:rsidRDefault="004F7FB2" w14:paraId="784525A1" w14:textId="63A46023">
      <w:pPr>
        <w:ind w:firstLine="720"/>
        <w:jc w:val="both"/>
      </w:pPr>
      <w:r w:rsidRPr="00C659FA">
        <w:rPr>
          <w:sz w:val="28"/>
          <w:szCs w:val="28"/>
        </w:rPr>
        <w:t xml:space="preserve">Ievērojot šo nesegto zaudējumu atlikumu, </w:t>
      </w:r>
      <w:r w:rsidRPr="00C659FA" w:rsidR="006A4321">
        <w:rPr>
          <w:sz w:val="28"/>
          <w:szCs w:val="28"/>
        </w:rPr>
        <w:t>nepie</w:t>
      </w:r>
      <w:r w:rsidRPr="00C659FA" w:rsidR="00384A29">
        <w:rPr>
          <w:sz w:val="28"/>
          <w:szCs w:val="28"/>
        </w:rPr>
        <w:t xml:space="preserve">šķirot papildus finansējumu 2020.gada izmaksu segšanai  </w:t>
      </w:r>
      <w:r w:rsidRPr="00D33CEF" w:rsidR="00EE417F">
        <w:rPr>
          <w:b/>
          <w:bCs/>
          <w:sz w:val="28"/>
          <w:szCs w:val="28"/>
        </w:rPr>
        <w:t xml:space="preserve">1 576 756 </w:t>
      </w:r>
      <w:proofErr w:type="spellStart"/>
      <w:r w:rsidRPr="00D33CEF" w:rsidR="00EE417F">
        <w:rPr>
          <w:b/>
          <w:bCs/>
          <w:i/>
          <w:iCs/>
          <w:sz w:val="28"/>
          <w:szCs w:val="28"/>
        </w:rPr>
        <w:t>euro</w:t>
      </w:r>
      <w:proofErr w:type="spellEnd"/>
      <w:r w:rsidR="00D33CEF">
        <w:rPr>
          <w:b/>
          <w:bCs/>
          <w:i/>
          <w:iCs/>
          <w:sz w:val="28"/>
          <w:szCs w:val="28"/>
        </w:rPr>
        <w:t xml:space="preserve"> </w:t>
      </w:r>
      <w:r w:rsidRPr="00C659FA" w:rsidR="00384A29">
        <w:rPr>
          <w:sz w:val="28"/>
          <w:szCs w:val="28"/>
        </w:rPr>
        <w:t xml:space="preserve"> </w:t>
      </w:r>
      <w:r w:rsidRPr="00C659FA" w:rsidR="008A7B1D">
        <w:rPr>
          <w:sz w:val="28"/>
          <w:szCs w:val="28"/>
        </w:rPr>
        <w:t>a</w:t>
      </w:r>
      <w:r w:rsidRPr="00C659FA" w:rsidR="00384A29">
        <w:rPr>
          <w:sz w:val="28"/>
          <w:szCs w:val="28"/>
        </w:rPr>
        <w:t xml:space="preserve">pmērā, </w:t>
      </w:r>
      <w:r w:rsidRPr="00C659FA">
        <w:rPr>
          <w:sz w:val="28"/>
          <w:szCs w:val="28"/>
        </w:rPr>
        <w:t>minētais nesegto zaudējumu apmērs par 2020.gadu pārvadātājiem tiks izmaksāts no 2021.gadam piešķirtā valsts budžeta bāzes finansējuma, kas samazina 2021.gada avansā izmaksājamo dotācijas daļu.</w:t>
      </w:r>
      <w:r w:rsidRPr="00C659FA" w:rsidR="006445CE">
        <w:rPr>
          <w:sz w:val="28"/>
          <w:szCs w:val="28"/>
        </w:rPr>
        <w:t xml:space="preserve"> Savukārt </w:t>
      </w:r>
      <w:r w:rsidRPr="00C659FA" w:rsidR="00843B14">
        <w:rPr>
          <w:sz w:val="28"/>
          <w:szCs w:val="28"/>
        </w:rPr>
        <w:t xml:space="preserve">piešķirot finansējumu </w:t>
      </w:r>
      <w:r w:rsidRPr="00152D92" w:rsidR="00697A65">
        <w:rPr>
          <w:b/>
          <w:bCs/>
          <w:sz w:val="28"/>
          <w:szCs w:val="28"/>
        </w:rPr>
        <w:t>11 450</w:t>
      </w:r>
      <w:r w:rsidR="00152D92">
        <w:rPr>
          <w:b/>
          <w:bCs/>
          <w:sz w:val="28"/>
          <w:szCs w:val="28"/>
        </w:rPr>
        <w:t> </w:t>
      </w:r>
      <w:r w:rsidRPr="00152D92" w:rsidR="00697A65">
        <w:rPr>
          <w:b/>
          <w:bCs/>
          <w:sz w:val="28"/>
          <w:szCs w:val="28"/>
        </w:rPr>
        <w:t>695</w:t>
      </w:r>
      <w:r w:rsidR="00152D92">
        <w:rPr>
          <w:b/>
          <w:bCs/>
          <w:sz w:val="28"/>
          <w:szCs w:val="28"/>
        </w:rPr>
        <w:t> </w:t>
      </w:r>
      <w:proofErr w:type="spellStart"/>
      <w:r w:rsidRPr="00152D92" w:rsidR="00E552AC">
        <w:rPr>
          <w:b/>
          <w:bCs/>
          <w:i/>
          <w:iCs/>
          <w:sz w:val="28"/>
          <w:szCs w:val="28"/>
        </w:rPr>
        <w:t>euro</w:t>
      </w:r>
      <w:proofErr w:type="spellEnd"/>
      <w:r w:rsidRPr="00152D92" w:rsidR="00843B14">
        <w:rPr>
          <w:b/>
          <w:bCs/>
          <w:sz w:val="28"/>
          <w:szCs w:val="28"/>
        </w:rPr>
        <w:t xml:space="preserve"> </w:t>
      </w:r>
      <w:r w:rsidRPr="00C659FA" w:rsidR="00843B14">
        <w:rPr>
          <w:sz w:val="28"/>
          <w:szCs w:val="28"/>
        </w:rPr>
        <w:t>apmērā</w:t>
      </w:r>
      <w:r w:rsidR="003A6646">
        <w:rPr>
          <w:sz w:val="28"/>
          <w:szCs w:val="28"/>
        </w:rPr>
        <w:t>,</w:t>
      </w:r>
      <w:r w:rsidRPr="00C659FA" w:rsidR="00843B14">
        <w:rPr>
          <w:sz w:val="28"/>
          <w:szCs w:val="28"/>
        </w:rPr>
        <w:t xml:space="preserve"> tiktu segti zaudējumi, kas radušies </w:t>
      </w:r>
      <w:r w:rsidRPr="00C659FA" w:rsidR="004263BA">
        <w:rPr>
          <w:sz w:val="28"/>
          <w:szCs w:val="28"/>
        </w:rPr>
        <w:t xml:space="preserve">pārvadātājiem </w:t>
      </w:r>
      <w:r w:rsidRPr="00C659FA" w:rsidR="006445CE">
        <w:rPr>
          <w:sz w:val="28"/>
          <w:szCs w:val="28"/>
        </w:rPr>
        <w:t>Covid-19 ietekm</w:t>
      </w:r>
      <w:r w:rsidRPr="00C659FA" w:rsidR="00B61A26">
        <w:rPr>
          <w:sz w:val="28"/>
          <w:szCs w:val="28"/>
        </w:rPr>
        <w:t xml:space="preserve">ē </w:t>
      </w:r>
      <w:r w:rsidRPr="00C659FA" w:rsidR="00B4066A">
        <w:rPr>
          <w:sz w:val="28"/>
          <w:szCs w:val="28"/>
        </w:rPr>
        <w:t>1.pusgadā</w:t>
      </w:r>
      <w:r w:rsidRPr="00C659FA" w:rsidR="004263BA">
        <w:rPr>
          <w:sz w:val="28"/>
          <w:szCs w:val="28"/>
        </w:rPr>
        <w:t>.</w:t>
      </w:r>
      <w:r w:rsidRPr="00C659FA">
        <w:rPr>
          <w:sz w:val="28"/>
          <w:szCs w:val="28"/>
        </w:rPr>
        <w:t xml:space="preserve"> </w:t>
      </w:r>
      <w:bookmarkStart w:name="_Hlk517161978" w:id="3"/>
    </w:p>
    <w:p w:rsidRPr="00C659FA" w:rsidR="00D0490A" w:rsidP="00D0490A" w:rsidRDefault="00D0490A" w14:paraId="1D660E07" w14:textId="453FA608">
      <w:pPr>
        <w:pStyle w:val="naisf"/>
        <w:spacing w:before="0" w:after="0"/>
        <w:ind w:firstLine="709"/>
        <w:rPr>
          <w:sz w:val="26"/>
          <w:szCs w:val="26"/>
        </w:rPr>
      </w:pPr>
    </w:p>
    <w:p w:rsidRPr="00C659FA" w:rsidR="00D0490A" w:rsidP="00D0490A" w:rsidRDefault="00D0490A" w14:paraId="6F34E394" w14:textId="77777777">
      <w:pPr>
        <w:pStyle w:val="naisf"/>
        <w:spacing w:before="0" w:after="0"/>
        <w:ind w:firstLine="709"/>
        <w:rPr>
          <w:sz w:val="26"/>
          <w:szCs w:val="26"/>
        </w:rPr>
      </w:pPr>
    </w:p>
    <w:p w:rsidRPr="00C659FA" w:rsidR="00D0490A" w:rsidP="00D0490A" w:rsidRDefault="00D0490A" w14:paraId="5B0B9814" w14:textId="023F968F">
      <w:pPr>
        <w:pStyle w:val="naisf"/>
        <w:spacing w:before="0" w:after="0"/>
        <w:ind w:firstLine="0"/>
        <w:rPr>
          <w:sz w:val="28"/>
          <w:szCs w:val="28"/>
        </w:rPr>
      </w:pPr>
      <w:r w:rsidRPr="00C659FA">
        <w:rPr>
          <w:sz w:val="28"/>
          <w:szCs w:val="28"/>
        </w:rPr>
        <w:t xml:space="preserve">Satiksmes ministrs </w:t>
      </w:r>
      <w:r w:rsidRPr="00C659FA">
        <w:rPr>
          <w:sz w:val="28"/>
          <w:szCs w:val="28"/>
        </w:rPr>
        <w:tab/>
      </w:r>
      <w:r w:rsidRPr="00C659FA">
        <w:rPr>
          <w:sz w:val="28"/>
          <w:szCs w:val="28"/>
        </w:rPr>
        <w:tab/>
      </w:r>
      <w:r w:rsidRPr="00C659FA">
        <w:rPr>
          <w:sz w:val="28"/>
          <w:szCs w:val="28"/>
        </w:rPr>
        <w:tab/>
      </w:r>
      <w:r w:rsidRPr="00C659FA">
        <w:rPr>
          <w:sz w:val="28"/>
          <w:szCs w:val="28"/>
        </w:rPr>
        <w:tab/>
      </w:r>
      <w:r w:rsidRPr="00C659FA">
        <w:rPr>
          <w:sz w:val="28"/>
          <w:szCs w:val="28"/>
        </w:rPr>
        <w:tab/>
      </w:r>
      <w:r w:rsidRPr="00C659FA">
        <w:rPr>
          <w:sz w:val="28"/>
          <w:szCs w:val="28"/>
        </w:rPr>
        <w:tab/>
      </w:r>
      <w:r w:rsidRPr="00C659FA" w:rsidR="00CD2CA8">
        <w:rPr>
          <w:sz w:val="28"/>
          <w:szCs w:val="28"/>
        </w:rPr>
        <w:tab/>
      </w:r>
      <w:proofErr w:type="spellStart"/>
      <w:r w:rsidRPr="00C659FA">
        <w:rPr>
          <w:sz w:val="28"/>
          <w:szCs w:val="28"/>
        </w:rPr>
        <w:t>T.Linkaits</w:t>
      </w:r>
      <w:proofErr w:type="spellEnd"/>
    </w:p>
    <w:p w:rsidRPr="00C659FA" w:rsidR="00D0490A" w:rsidP="00D0490A" w:rsidRDefault="00D0490A" w14:paraId="66D62615" w14:textId="77777777">
      <w:pPr>
        <w:ind w:firstLine="709"/>
        <w:jc w:val="both"/>
        <w:rPr>
          <w:sz w:val="28"/>
          <w:szCs w:val="28"/>
        </w:rPr>
      </w:pPr>
    </w:p>
    <w:p w:rsidRPr="00C659FA" w:rsidR="00D0490A" w:rsidP="00D0490A" w:rsidRDefault="00D0490A" w14:paraId="407FE645" w14:textId="77777777">
      <w:pPr>
        <w:jc w:val="both"/>
        <w:rPr>
          <w:sz w:val="28"/>
          <w:szCs w:val="28"/>
        </w:rPr>
      </w:pPr>
      <w:r w:rsidRPr="00C659FA">
        <w:rPr>
          <w:sz w:val="28"/>
          <w:szCs w:val="28"/>
        </w:rPr>
        <w:t xml:space="preserve">Vīza: </w:t>
      </w:r>
    </w:p>
    <w:p w:rsidRPr="00C659FA" w:rsidR="00D0490A" w:rsidP="00D0490A" w:rsidRDefault="00C659FA" w14:paraId="05B1BB76" w14:textId="266D31C6">
      <w:pPr>
        <w:jc w:val="both"/>
        <w:rPr>
          <w:sz w:val="28"/>
          <w:szCs w:val="28"/>
          <w:lang w:val="de-DE"/>
        </w:rPr>
      </w:pPr>
      <w:r>
        <w:rPr>
          <w:sz w:val="28"/>
          <w:szCs w:val="28"/>
        </w:rPr>
        <w:t>v</w:t>
      </w:r>
      <w:r w:rsidRPr="00C659FA" w:rsidR="00D0490A">
        <w:rPr>
          <w:sz w:val="28"/>
          <w:szCs w:val="28"/>
        </w:rPr>
        <w:t>alsts sekretāre</w:t>
      </w:r>
      <w:r w:rsidRPr="00C659FA" w:rsidR="00D0490A">
        <w:rPr>
          <w:sz w:val="28"/>
          <w:szCs w:val="28"/>
        </w:rPr>
        <w:tab/>
      </w:r>
      <w:r w:rsidRPr="00C659FA" w:rsidR="00D0490A">
        <w:rPr>
          <w:sz w:val="28"/>
          <w:szCs w:val="28"/>
        </w:rPr>
        <w:tab/>
      </w:r>
      <w:r w:rsidRPr="00C659FA" w:rsidR="00D0490A">
        <w:rPr>
          <w:sz w:val="28"/>
          <w:szCs w:val="28"/>
        </w:rPr>
        <w:tab/>
      </w:r>
      <w:r w:rsidRPr="00C659FA" w:rsidR="00D0490A">
        <w:rPr>
          <w:sz w:val="28"/>
          <w:szCs w:val="28"/>
        </w:rPr>
        <w:tab/>
      </w:r>
      <w:r w:rsidRPr="00C659FA" w:rsidR="00D0490A">
        <w:rPr>
          <w:sz w:val="28"/>
          <w:szCs w:val="28"/>
        </w:rPr>
        <w:tab/>
      </w:r>
      <w:r w:rsidRPr="00C659FA" w:rsidR="00D0490A">
        <w:rPr>
          <w:sz w:val="28"/>
          <w:szCs w:val="28"/>
        </w:rPr>
        <w:tab/>
      </w:r>
      <w:r w:rsidRPr="00C659FA" w:rsidR="00D0490A">
        <w:rPr>
          <w:sz w:val="28"/>
          <w:szCs w:val="28"/>
        </w:rPr>
        <w:tab/>
      </w:r>
      <w:r w:rsidRPr="00C659FA" w:rsidR="00D0490A">
        <w:rPr>
          <w:sz w:val="28"/>
          <w:szCs w:val="28"/>
        </w:rPr>
        <w:tab/>
      </w:r>
      <w:proofErr w:type="spellStart"/>
      <w:r w:rsidRPr="00C659FA" w:rsidR="00D0490A">
        <w:rPr>
          <w:sz w:val="28"/>
          <w:szCs w:val="28"/>
        </w:rPr>
        <w:t>I.Stepanova</w:t>
      </w:r>
      <w:proofErr w:type="spellEnd"/>
    </w:p>
    <w:p w:rsidRPr="0097148F" w:rsidR="00D0490A" w:rsidP="00D0490A" w:rsidRDefault="00D0490A" w14:paraId="0E7161E8" w14:textId="77777777">
      <w:pPr>
        <w:jc w:val="both"/>
        <w:rPr>
          <w:sz w:val="28"/>
          <w:szCs w:val="28"/>
          <w:lang w:val="de-DE"/>
        </w:rPr>
      </w:pPr>
    </w:p>
    <w:p w:rsidR="00D0490A" w:rsidP="00D0490A" w:rsidRDefault="00D0490A" w14:paraId="2EC5B210" w14:textId="77777777">
      <w:pPr>
        <w:ind w:firstLine="709"/>
        <w:jc w:val="both"/>
        <w:rPr>
          <w:sz w:val="20"/>
          <w:szCs w:val="20"/>
        </w:rPr>
      </w:pPr>
    </w:p>
    <w:p w:rsidR="00D0490A" w:rsidP="00D0490A" w:rsidRDefault="00D0490A" w14:paraId="714CCCCD" w14:textId="77777777">
      <w:pPr>
        <w:ind w:firstLine="709"/>
        <w:jc w:val="both"/>
        <w:rPr>
          <w:sz w:val="20"/>
          <w:szCs w:val="20"/>
        </w:rPr>
      </w:pPr>
    </w:p>
    <w:p w:rsidR="00D0490A" w:rsidP="00D0490A" w:rsidRDefault="00D0490A" w14:paraId="2A59CF22" w14:textId="77777777">
      <w:pPr>
        <w:ind w:firstLine="709"/>
        <w:jc w:val="both"/>
        <w:rPr>
          <w:sz w:val="20"/>
          <w:szCs w:val="20"/>
        </w:rPr>
      </w:pPr>
    </w:p>
    <w:p w:rsidR="00D0490A" w:rsidP="00D0490A" w:rsidRDefault="00D0490A" w14:paraId="526C0C2A" w14:textId="77777777">
      <w:pPr>
        <w:ind w:firstLine="709"/>
        <w:jc w:val="both"/>
        <w:rPr>
          <w:sz w:val="20"/>
          <w:szCs w:val="20"/>
        </w:rPr>
      </w:pPr>
    </w:p>
    <w:bookmarkEnd w:id="3"/>
    <w:p w:rsidR="00D0490A" w:rsidP="00D0490A" w:rsidRDefault="00D0490A" w14:paraId="161B85AC" w14:textId="77777777">
      <w:pPr>
        <w:ind w:firstLine="709"/>
        <w:jc w:val="both"/>
        <w:rPr>
          <w:sz w:val="20"/>
          <w:szCs w:val="20"/>
        </w:rPr>
      </w:pPr>
    </w:p>
    <w:sectPr w:rsidR="00D0490A" w:rsidSect="00C80C53">
      <w:headerReference w:type="default" r:id="rId11"/>
      <w:footerReference w:type="default" r:id="rId12"/>
      <w:footerReference w:type="first" r:id="rId13"/>
      <w:pgSz w:w="11906" w:h="16838"/>
      <w:pgMar w:top="1134" w:right="1134"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C08B" w14:textId="77777777" w:rsidR="00647371" w:rsidRDefault="00647371" w:rsidP="006D6FD0">
      <w:r>
        <w:separator/>
      </w:r>
    </w:p>
  </w:endnote>
  <w:endnote w:type="continuationSeparator" w:id="0">
    <w:p w14:paraId="06EDC6E9" w14:textId="77777777" w:rsidR="00647371" w:rsidRDefault="00647371" w:rsidP="006D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5041" w14:textId="555D115F" w:rsidR="000F45D1" w:rsidRDefault="000F45D1">
    <w:pPr>
      <w:pStyle w:val="Footer"/>
    </w:pPr>
    <w:r>
      <w:t>SM</w:t>
    </w:r>
    <w:r w:rsidR="00A42129">
      <w:t>Z</w:t>
    </w:r>
    <w:r>
      <w:t>ino_</w:t>
    </w:r>
    <w:r w:rsidR="00520007">
      <w:t>23</w:t>
    </w:r>
    <w:r>
      <w:t>0321_Sabtr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F4B3" w14:textId="28310CC1" w:rsidR="000F45D1" w:rsidRDefault="000F45D1" w:rsidP="0099095C">
    <w:pPr>
      <w:pStyle w:val="Footer"/>
    </w:pPr>
    <w:r>
      <w:t>SMZino_</w:t>
    </w:r>
    <w:r w:rsidR="00520007">
      <w:t>23</w:t>
    </w:r>
    <w:r>
      <w:t>0320_Sabtr</w:t>
    </w:r>
  </w:p>
  <w:p w14:paraId="66EF2892" w14:textId="77777777" w:rsidR="000F45D1" w:rsidRDefault="000F4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697A9" w14:textId="77777777" w:rsidR="00647371" w:rsidRDefault="00647371" w:rsidP="006D6FD0">
      <w:r>
        <w:separator/>
      </w:r>
    </w:p>
  </w:footnote>
  <w:footnote w:type="continuationSeparator" w:id="0">
    <w:p w14:paraId="0D0CD7BC" w14:textId="77777777" w:rsidR="00647371" w:rsidRDefault="00647371" w:rsidP="006D6FD0">
      <w:r>
        <w:continuationSeparator/>
      </w:r>
    </w:p>
  </w:footnote>
  <w:footnote w:id="1">
    <w:p w14:paraId="430F6B07" w14:textId="31A2C8B3" w:rsidR="000F45D1" w:rsidRDefault="000F45D1" w:rsidP="00C85A4F">
      <w:pPr>
        <w:pStyle w:val="FootnoteText"/>
        <w:jc w:val="both"/>
      </w:pPr>
      <w:r>
        <w:rPr>
          <w:rStyle w:val="FootnoteReference"/>
        </w:rPr>
        <w:footnoteRef/>
      </w:r>
      <w:r>
        <w:t xml:space="preserve"> Zaudējumu kompensācija ir noteikta atbilstoši katram sabiedriskā transporta pakalpojumu līgumā noteiktajam kompensācijas veidam – proti, koncesijas līgumos atbilstoši M</w:t>
      </w:r>
      <w:r w:rsidR="001F14E2">
        <w:t>inistru kabineta</w:t>
      </w:r>
      <w:r>
        <w:t xml:space="preserve"> noteikumu </w:t>
      </w:r>
      <w:r w:rsidRPr="00615221">
        <w:t>Nr.435</w:t>
      </w:r>
      <w:r w:rsidR="00615221" w:rsidRPr="00C85A4F">
        <w:t xml:space="preserve"> 46., 47., 48., 49., 51 un 53.punktā noteiktajā kārtībā</w:t>
      </w:r>
      <w:r w:rsidR="00615221" w:rsidRPr="00615221">
        <w:t xml:space="preserve"> </w:t>
      </w:r>
      <w:r w:rsidRPr="00615221">
        <w:t>un līgumcenu līgumos atbilstoši M</w:t>
      </w:r>
      <w:r w:rsidR="001F14E2" w:rsidRPr="00615221">
        <w:t>inistru kabineta</w:t>
      </w:r>
      <w:r w:rsidRPr="00615221">
        <w:t xml:space="preserve"> noteikumu Nr.435 </w:t>
      </w:r>
      <w:r w:rsidR="00615221" w:rsidRPr="00C85A4F">
        <w:t>56.p</w:t>
      </w:r>
      <w:r w:rsidRPr="00615221">
        <w:t>unktam un sabiedriskā transporta pakalpojumu līgumos noteiktajai līgumcenai</w:t>
      </w:r>
      <w:r w:rsidR="00615221">
        <w:t xml:space="preserve"> par veikto kilometru</w:t>
      </w:r>
      <w:r w:rsidRPr="00615221">
        <w:t>.</w:t>
      </w:r>
    </w:p>
  </w:footnote>
  <w:footnote w:id="2">
    <w:p w14:paraId="64DF74E8" w14:textId="0D713A6C" w:rsidR="000F45D1" w:rsidRDefault="000F45D1">
      <w:pPr>
        <w:pStyle w:val="FootnoteText"/>
      </w:pPr>
      <w:r>
        <w:rPr>
          <w:rStyle w:val="FootnoteReference"/>
        </w:rPr>
        <w:footnoteRef/>
      </w:r>
      <w:r>
        <w:t xml:space="preserve"> 2021.gada ieņēmumu starpība aprēķināta pret 2019.gadu, kad pasažieru pārvadājumu segmenta darbībā bija stabils pasažieru pieprasījums.</w:t>
      </w:r>
    </w:p>
  </w:footnote>
  <w:footnote w:id="3">
    <w:p w14:paraId="5EBF1D87" w14:textId="0FD2D8B9" w:rsidR="000F45D1" w:rsidRDefault="000F45D1">
      <w:pPr>
        <w:pStyle w:val="FootnoteText"/>
      </w:pPr>
      <w:r>
        <w:rPr>
          <w:rStyle w:val="FootnoteReference"/>
        </w:rPr>
        <w:footnoteRef/>
      </w:r>
      <w:r>
        <w:t xml:space="preserve"> Aprēķins veikts uz 2021.gada 1,martu un nav ievērtēti turpmākie valdībā pieņemtie lēmumi.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395167"/>
      <w:docPartObj>
        <w:docPartGallery w:val="Page Numbers (Top of Page)"/>
        <w:docPartUnique/>
      </w:docPartObj>
    </w:sdtPr>
    <w:sdtEndPr>
      <w:rPr>
        <w:noProof/>
      </w:rPr>
    </w:sdtEndPr>
    <w:sdtContent>
      <w:p w:rsidR="000F45D1" w:rsidRDefault="000F45D1" w14:paraId="4BBB37E1" w14:textId="5D8711BA">
        <w:pPr>
          <w:pStyle w:val="Header"/>
          <w:jc w:val="center"/>
        </w:pPr>
        <w:r>
          <w:fldChar w:fldCharType="begin"/>
        </w:r>
        <w:r>
          <w:instrText xml:space="preserve"> PAGE   \* MERGEFORMAT </w:instrText>
        </w:r>
        <w:r>
          <w:fldChar w:fldCharType="separate"/>
        </w:r>
        <w:r>
          <w:rPr>
            <w:noProof/>
          </w:rPr>
          <w:t>11</w:t>
        </w:r>
        <w:r>
          <w:rPr>
            <w:noProof/>
          </w:rPr>
          <w:fldChar w:fldCharType="end"/>
        </w:r>
      </w:p>
    </w:sdtContent>
  </w:sdt>
  <w:p w:rsidR="000F45D1" w:rsidRDefault="000F45D1" w14:paraId="39E27A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101A"/>
    <w:multiLevelType w:val="multilevel"/>
    <w:tmpl w:val="C63EB1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D790B06"/>
    <w:multiLevelType w:val="hybridMultilevel"/>
    <w:tmpl w:val="C0808642"/>
    <w:lvl w:ilvl="0" w:tplc="7BA625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BE6CA7"/>
    <w:multiLevelType w:val="hybridMultilevel"/>
    <w:tmpl w:val="3A067A4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 w15:restartNumberingAfterBreak="0">
    <w:nsid w:val="27174CC4"/>
    <w:multiLevelType w:val="hybridMultilevel"/>
    <w:tmpl w:val="79FC545C"/>
    <w:lvl w:ilvl="0" w:tplc="1D8024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0E6509"/>
    <w:multiLevelType w:val="hybridMultilevel"/>
    <w:tmpl w:val="6746683E"/>
    <w:lvl w:ilvl="0" w:tplc="FE883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CF451A5"/>
    <w:multiLevelType w:val="hybridMultilevel"/>
    <w:tmpl w:val="F10033E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3021127D"/>
    <w:multiLevelType w:val="hybridMultilevel"/>
    <w:tmpl w:val="12DE2796"/>
    <w:lvl w:ilvl="0" w:tplc="8D5C8E56">
      <w:start w:val="2015"/>
      <w:numFmt w:val="bullet"/>
      <w:lvlText w:val="-"/>
      <w:lvlJc w:val="left"/>
      <w:pPr>
        <w:ind w:left="1440" w:hanging="360"/>
      </w:pPr>
      <w:rPr>
        <w:rFonts w:ascii="Calibri" w:eastAsiaTheme="minorEastAsia"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AFB7940"/>
    <w:multiLevelType w:val="hybridMultilevel"/>
    <w:tmpl w:val="60A4DADC"/>
    <w:lvl w:ilvl="0" w:tplc="9C14370E">
      <w:start w:val="1"/>
      <w:numFmt w:val="upperRoman"/>
      <w:lvlText w:val="%1."/>
      <w:lvlJc w:val="left"/>
      <w:pPr>
        <w:ind w:left="1429" w:hanging="72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071661E"/>
    <w:multiLevelType w:val="hybridMultilevel"/>
    <w:tmpl w:val="EE967216"/>
    <w:lvl w:ilvl="0" w:tplc="D0A6F5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17C6899"/>
    <w:multiLevelType w:val="hybridMultilevel"/>
    <w:tmpl w:val="4EC68E94"/>
    <w:lvl w:ilvl="0" w:tplc="883E2E86">
      <w:start w:val="12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52BB1CEE"/>
    <w:multiLevelType w:val="hybridMultilevel"/>
    <w:tmpl w:val="FD68136A"/>
    <w:lvl w:ilvl="0" w:tplc="8B5481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48E2541"/>
    <w:multiLevelType w:val="hybridMultilevel"/>
    <w:tmpl w:val="5B821B52"/>
    <w:lvl w:ilvl="0" w:tplc="917A7DB2">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AAB1469"/>
    <w:multiLevelType w:val="hybridMultilevel"/>
    <w:tmpl w:val="F2E27456"/>
    <w:lvl w:ilvl="0" w:tplc="D7A0AED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3" w15:restartNumberingAfterBreak="0">
    <w:nsid w:val="5D4E38DC"/>
    <w:multiLevelType w:val="hybridMultilevel"/>
    <w:tmpl w:val="30441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20F74"/>
    <w:multiLevelType w:val="hybridMultilevel"/>
    <w:tmpl w:val="269693D0"/>
    <w:lvl w:ilvl="0" w:tplc="87A657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41E0E8C"/>
    <w:multiLevelType w:val="hybridMultilevel"/>
    <w:tmpl w:val="E2EE80CC"/>
    <w:lvl w:ilvl="0" w:tplc="DA8008B8">
      <w:numFmt w:val="bullet"/>
      <w:lvlText w:val="-"/>
      <w:lvlJc w:val="left"/>
      <w:pPr>
        <w:ind w:left="1440" w:hanging="360"/>
      </w:pPr>
      <w:rPr>
        <w:rFonts w:ascii="Calibri" w:eastAsiaTheme="minorHAnsi" w:hAnsi="Calibri" w:cs="Calibri" w:hint="default"/>
        <w:i/>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18258E0"/>
    <w:multiLevelType w:val="hybridMultilevel"/>
    <w:tmpl w:val="35D202D8"/>
    <w:lvl w:ilvl="0" w:tplc="A17829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8C7421A"/>
    <w:multiLevelType w:val="hybridMultilevel"/>
    <w:tmpl w:val="86C231D2"/>
    <w:lvl w:ilvl="0" w:tplc="1EB44A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CCE2D0B"/>
    <w:multiLevelType w:val="hybridMultilevel"/>
    <w:tmpl w:val="AA0E780C"/>
    <w:lvl w:ilvl="0" w:tplc="B3AC52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
  </w:num>
  <w:num w:numId="5">
    <w:abstractNumId w:val="16"/>
  </w:num>
  <w:num w:numId="6">
    <w:abstractNumId w:val="10"/>
  </w:num>
  <w:num w:numId="7">
    <w:abstractNumId w:val="15"/>
  </w:num>
  <w:num w:numId="8">
    <w:abstractNumId w:val="17"/>
  </w:num>
  <w:num w:numId="9">
    <w:abstractNumId w:val="6"/>
  </w:num>
  <w:num w:numId="10">
    <w:abstractNumId w:val="18"/>
  </w:num>
  <w:num w:numId="11">
    <w:abstractNumId w:val="2"/>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9"/>
  </w:num>
  <w:num w:numId="17">
    <w:abstractNumId w:val="14"/>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B0"/>
    <w:rsid w:val="00017BBA"/>
    <w:rsid w:val="00021C89"/>
    <w:rsid w:val="0003466D"/>
    <w:rsid w:val="00037F0F"/>
    <w:rsid w:val="00057E91"/>
    <w:rsid w:val="000912B2"/>
    <w:rsid w:val="00094352"/>
    <w:rsid w:val="000A31A3"/>
    <w:rsid w:val="000A56FF"/>
    <w:rsid w:val="000A5A7F"/>
    <w:rsid w:val="000B1515"/>
    <w:rsid w:val="000B6D89"/>
    <w:rsid w:val="000B78CB"/>
    <w:rsid w:val="000C51E5"/>
    <w:rsid w:val="000E069F"/>
    <w:rsid w:val="000E32F6"/>
    <w:rsid w:val="000F45D1"/>
    <w:rsid w:val="00122C5E"/>
    <w:rsid w:val="0012656F"/>
    <w:rsid w:val="001356E5"/>
    <w:rsid w:val="0013766F"/>
    <w:rsid w:val="00150CA6"/>
    <w:rsid w:val="00152D92"/>
    <w:rsid w:val="00154069"/>
    <w:rsid w:val="001658EF"/>
    <w:rsid w:val="00174790"/>
    <w:rsid w:val="00182A55"/>
    <w:rsid w:val="00183940"/>
    <w:rsid w:val="00183BC6"/>
    <w:rsid w:val="00191162"/>
    <w:rsid w:val="001935A2"/>
    <w:rsid w:val="001935CB"/>
    <w:rsid w:val="001B1FDF"/>
    <w:rsid w:val="001B2796"/>
    <w:rsid w:val="001B4C5F"/>
    <w:rsid w:val="001C3C9E"/>
    <w:rsid w:val="001C5DDA"/>
    <w:rsid w:val="001D31F4"/>
    <w:rsid w:val="001E052D"/>
    <w:rsid w:val="001E3232"/>
    <w:rsid w:val="001F14E2"/>
    <w:rsid w:val="001F1B1A"/>
    <w:rsid w:val="001F4452"/>
    <w:rsid w:val="00203701"/>
    <w:rsid w:val="002079E8"/>
    <w:rsid w:val="00207DFA"/>
    <w:rsid w:val="00210182"/>
    <w:rsid w:val="00210877"/>
    <w:rsid w:val="00234D75"/>
    <w:rsid w:val="002462EA"/>
    <w:rsid w:val="002525AC"/>
    <w:rsid w:val="00252BAD"/>
    <w:rsid w:val="00264690"/>
    <w:rsid w:val="002747AB"/>
    <w:rsid w:val="00285F72"/>
    <w:rsid w:val="00286218"/>
    <w:rsid w:val="002971A7"/>
    <w:rsid w:val="0029736C"/>
    <w:rsid w:val="002B482E"/>
    <w:rsid w:val="002B4851"/>
    <w:rsid w:val="002B7B77"/>
    <w:rsid w:val="002C1B3A"/>
    <w:rsid w:val="002C50E3"/>
    <w:rsid w:val="002D2C92"/>
    <w:rsid w:val="002E77C7"/>
    <w:rsid w:val="002F2141"/>
    <w:rsid w:val="002F27CA"/>
    <w:rsid w:val="002F57D4"/>
    <w:rsid w:val="003010A0"/>
    <w:rsid w:val="0030594A"/>
    <w:rsid w:val="00313BAD"/>
    <w:rsid w:val="00321F36"/>
    <w:rsid w:val="003260AE"/>
    <w:rsid w:val="00326F3B"/>
    <w:rsid w:val="0032766D"/>
    <w:rsid w:val="00336ACA"/>
    <w:rsid w:val="00361C48"/>
    <w:rsid w:val="003626CA"/>
    <w:rsid w:val="00362C7E"/>
    <w:rsid w:val="00384A29"/>
    <w:rsid w:val="0039751B"/>
    <w:rsid w:val="003A6646"/>
    <w:rsid w:val="003B1F65"/>
    <w:rsid w:val="003B4400"/>
    <w:rsid w:val="003C722E"/>
    <w:rsid w:val="003D13A8"/>
    <w:rsid w:val="003D4FD3"/>
    <w:rsid w:val="003F68A8"/>
    <w:rsid w:val="0040016B"/>
    <w:rsid w:val="00403489"/>
    <w:rsid w:val="00406D85"/>
    <w:rsid w:val="00413384"/>
    <w:rsid w:val="004140E8"/>
    <w:rsid w:val="00424C67"/>
    <w:rsid w:val="00426296"/>
    <w:rsid w:val="004263BA"/>
    <w:rsid w:val="004457E9"/>
    <w:rsid w:val="0044691F"/>
    <w:rsid w:val="00446EE4"/>
    <w:rsid w:val="00450391"/>
    <w:rsid w:val="004505F6"/>
    <w:rsid w:val="00457B39"/>
    <w:rsid w:val="0046639B"/>
    <w:rsid w:val="004747E1"/>
    <w:rsid w:val="0048451F"/>
    <w:rsid w:val="00497423"/>
    <w:rsid w:val="004A05BC"/>
    <w:rsid w:val="004A3578"/>
    <w:rsid w:val="004A497C"/>
    <w:rsid w:val="004B712F"/>
    <w:rsid w:val="004C6121"/>
    <w:rsid w:val="004E60C2"/>
    <w:rsid w:val="004F0336"/>
    <w:rsid w:val="004F070A"/>
    <w:rsid w:val="004F312D"/>
    <w:rsid w:val="004F3F91"/>
    <w:rsid w:val="004F5501"/>
    <w:rsid w:val="004F7FB2"/>
    <w:rsid w:val="00513285"/>
    <w:rsid w:val="005139C1"/>
    <w:rsid w:val="00520007"/>
    <w:rsid w:val="0052186A"/>
    <w:rsid w:val="00522201"/>
    <w:rsid w:val="00522E87"/>
    <w:rsid w:val="00531869"/>
    <w:rsid w:val="00547289"/>
    <w:rsid w:val="00557FEB"/>
    <w:rsid w:val="00566F94"/>
    <w:rsid w:val="00570EB2"/>
    <w:rsid w:val="00571C78"/>
    <w:rsid w:val="00574546"/>
    <w:rsid w:val="00575703"/>
    <w:rsid w:val="00580393"/>
    <w:rsid w:val="0059192D"/>
    <w:rsid w:val="005963D5"/>
    <w:rsid w:val="005A0B13"/>
    <w:rsid w:val="005F2DD2"/>
    <w:rsid w:val="005F4359"/>
    <w:rsid w:val="00615221"/>
    <w:rsid w:val="00617BFC"/>
    <w:rsid w:val="00621102"/>
    <w:rsid w:val="00622113"/>
    <w:rsid w:val="00631330"/>
    <w:rsid w:val="006350A3"/>
    <w:rsid w:val="00636888"/>
    <w:rsid w:val="00636B66"/>
    <w:rsid w:val="006445CE"/>
    <w:rsid w:val="00646D09"/>
    <w:rsid w:val="00647371"/>
    <w:rsid w:val="00653348"/>
    <w:rsid w:val="0066068B"/>
    <w:rsid w:val="00666A44"/>
    <w:rsid w:val="0067599A"/>
    <w:rsid w:val="00676A8F"/>
    <w:rsid w:val="00681F95"/>
    <w:rsid w:val="0068565B"/>
    <w:rsid w:val="006873B6"/>
    <w:rsid w:val="0069468A"/>
    <w:rsid w:val="00695718"/>
    <w:rsid w:val="00695BA7"/>
    <w:rsid w:val="00697A65"/>
    <w:rsid w:val="006A4321"/>
    <w:rsid w:val="006A70EA"/>
    <w:rsid w:val="006B63D9"/>
    <w:rsid w:val="006C462B"/>
    <w:rsid w:val="006C6767"/>
    <w:rsid w:val="006D1AA7"/>
    <w:rsid w:val="006D5109"/>
    <w:rsid w:val="006D6FD0"/>
    <w:rsid w:val="006E4F6D"/>
    <w:rsid w:val="00705A08"/>
    <w:rsid w:val="00711FAF"/>
    <w:rsid w:val="0071206E"/>
    <w:rsid w:val="00723B45"/>
    <w:rsid w:val="007360B9"/>
    <w:rsid w:val="00740B9F"/>
    <w:rsid w:val="00760195"/>
    <w:rsid w:val="007705FD"/>
    <w:rsid w:val="0077539C"/>
    <w:rsid w:val="007856D7"/>
    <w:rsid w:val="007A202D"/>
    <w:rsid w:val="007B044E"/>
    <w:rsid w:val="007B5D53"/>
    <w:rsid w:val="007C2FAB"/>
    <w:rsid w:val="007C5B99"/>
    <w:rsid w:val="007C7546"/>
    <w:rsid w:val="007D5B6D"/>
    <w:rsid w:val="007D784F"/>
    <w:rsid w:val="007E468E"/>
    <w:rsid w:val="007E4D3A"/>
    <w:rsid w:val="007E5DF3"/>
    <w:rsid w:val="00802770"/>
    <w:rsid w:val="00804534"/>
    <w:rsid w:val="00804EAD"/>
    <w:rsid w:val="00810FA4"/>
    <w:rsid w:val="008148FA"/>
    <w:rsid w:val="008165BE"/>
    <w:rsid w:val="008236EF"/>
    <w:rsid w:val="00830BBB"/>
    <w:rsid w:val="00843B14"/>
    <w:rsid w:val="00846A9D"/>
    <w:rsid w:val="00851FA2"/>
    <w:rsid w:val="008535ED"/>
    <w:rsid w:val="00854725"/>
    <w:rsid w:val="0086007A"/>
    <w:rsid w:val="00873729"/>
    <w:rsid w:val="00880702"/>
    <w:rsid w:val="00881D5B"/>
    <w:rsid w:val="00885984"/>
    <w:rsid w:val="008911D6"/>
    <w:rsid w:val="00892F2B"/>
    <w:rsid w:val="00893AE2"/>
    <w:rsid w:val="0089476D"/>
    <w:rsid w:val="008A43F3"/>
    <w:rsid w:val="008A7B1D"/>
    <w:rsid w:val="008B0123"/>
    <w:rsid w:val="008B353B"/>
    <w:rsid w:val="008B56F2"/>
    <w:rsid w:val="008C0117"/>
    <w:rsid w:val="008C5C59"/>
    <w:rsid w:val="008D23E5"/>
    <w:rsid w:val="008D6296"/>
    <w:rsid w:val="008D765A"/>
    <w:rsid w:val="008F38F2"/>
    <w:rsid w:val="008F5D69"/>
    <w:rsid w:val="008F61EB"/>
    <w:rsid w:val="00902F83"/>
    <w:rsid w:val="009048B6"/>
    <w:rsid w:val="009169E6"/>
    <w:rsid w:val="009200A6"/>
    <w:rsid w:val="009232E9"/>
    <w:rsid w:val="0093247F"/>
    <w:rsid w:val="00937A2C"/>
    <w:rsid w:val="00957D5A"/>
    <w:rsid w:val="0098100B"/>
    <w:rsid w:val="009857B8"/>
    <w:rsid w:val="0099095C"/>
    <w:rsid w:val="009A4540"/>
    <w:rsid w:val="009A6409"/>
    <w:rsid w:val="009B4B19"/>
    <w:rsid w:val="009C11E0"/>
    <w:rsid w:val="009C1767"/>
    <w:rsid w:val="009C2F6A"/>
    <w:rsid w:val="009C4903"/>
    <w:rsid w:val="009C7F74"/>
    <w:rsid w:val="009D016A"/>
    <w:rsid w:val="009E0248"/>
    <w:rsid w:val="009E119A"/>
    <w:rsid w:val="009E3180"/>
    <w:rsid w:val="009E54A0"/>
    <w:rsid w:val="009F302F"/>
    <w:rsid w:val="00A00827"/>
    <w:rsid w:val="00A32410"/>
    <w:rsid w:val="00A42129"/>
    <w:rsid w:val="00A577EC"/>
    <w:rsid w:val="00A61057"/>
    <w:rsid w:val="00A61821"/>
    <w:rsid w:val="00A6534C"/>
    <w:rsid w:val="00A72BCC"/>
    <w:rsid w:val="00A7777A"/>
    <w:rsid w:val="00A85E81"/>
    <w:rsid w:val="00A900EE"/>
    <w:rsid w:val="00AA69EF"/>
    <w:rsid w:val="00AB1D32"/>
    <w:rsid w:val="00AB25CD"/>
    <w:rsid w:val="00AC5853"/>
    <w:rsid w:val="00AD1535"/>
    <w:rsid w:val="00AE1C7D"/>
    <w:rsid w:val="00AF492F"/>
    <w:rsid w:val="00B00CED"/>
    <w:rsid w:val="00B07CCC"/>
    <w:rsid w:val="00B127C4"/>
    <w:rsid w:val="00B141FF"/>
    <w:rsid w:val="00B23222"/>
    <w:rsid w:val="00B238B0"/>
    <w:rsid w:val="00B301CB"/>
    <w:rsid w:val="00B337FC"/>
    <w:rsid w:val="00B36CFA"/>
    <w:rsid w:val="00B4066A"/>
    <w:rsid w:val="00B44C1B"/>
    <w:rsid w:val="00B47820"/>
    <w:rsid w:val="00B50CF5"/>
    <w:rsid w:val="00B529CE"/>
    <w:rsid w:val="00B60BA7"/>
    <w:rsid w:val="00B6133C"/>
    <w:rsid w:val="00B61A26"/>
    <w:rsid w:val="00B64114"/>
    <w:rsid w:val="00B670CB"/>
    <w:rsid w:val="00B67B42"/>
    <w:rsid w:val="00B802BF"/>
    <w:rsid w:val="00B81DAF"/>
    <w:rsid w:val="00B856E6"/>
    <w:rsid w:val="00B90F29"/>
    <w:rsid w:val="00B93E29"/>
    <w:rsid w:val="00B958B7"/>
    <w:rsid w:val="00B96B2A"/>
    <w:rsid w:val="00B97094"/>
    <w:rsid w:val="00B97875"/>
    <w:rsid w:val="00BA23E1"/>
    <w:rsid w:val="00BA4470"/>
    <w:rsid w:val="00BA5A17"/>
    <w:rsid w:val="00BB0CA0"/>
    <w:rsid w:val="00BB37CC"/>
    <w:rsid w:val="00BB4931"/>
    <w:rsid w:val="00BB5CAF"/>
    <w:rsid w:val="00BB6C72"/>
    <w:rsid w:val="00BC1EFA"/>
    <w:rsid w:val="00BC483A"/>
    <w:rsid w:val="00BD6430"/>
    <w:rsid w:val="00BE0336"/>
    <w:rsid w:val="00BE0C2E"/>
    <w:rsid w:val="00BE10E3"/>
    <w:rsid w:val="00BE2B58"/>
    <w:rsid w:val="00BE7740"/>
    <w:rsid w:val="00BF18DB"/>
    <w:rsid w:val="00C060BE"/>
    <w:rsid w:val="00C10793"/>
    <w:rsid w:val="00C11935"/>
    <w:rsid w:val="00C1259E"/>
    <w:rsid w:val="00C17727"/>
    <w:rsid w:val="00C20345"/>
    <w:rsid w:val="00C20CDD"/>
    <w:rsid w:val="00C24227"/>
    <w:rsid w:val="00C250AC"/>
    <w:rsid w:val="00C27FF3"/>
    <w:rsid w:val="00C373DA"/>
    <w:rsid w:val="00C41FB7"/>
    <w:rsid w:val="00C5082C"/>
    <w:rsid w:val="00C52F58"/>
    <w:rsid w:val="00C63F4D"/>
    <w:rsid w:val="00C6505C"/>
    <w:rsid w:val="00C65967"/>
    <w:rsid w:val="00C659FA"/>
    <w:rsid w:val="00C71B06"/>
    <w:rsid w:val="00C77C57"/>
    <w:rsid w:val="00C80C53"/>
    <w:rsid w:val="00C85A4F"/>
    <w:rsid w:val="00C85B5C"/>
    <w:rsid w:val="00C86448"/>
    <w:rsid w:val="00C909E5"/>
    <w:rsid w:val="00C918CF"/>
    <w:rsid w:val="00C93A32"/>
    <w:rsid w:val="00C96E0D"/>
    <w:rsid w:val="00CD2CA8"/>
    <w:rsid w:val="00CD4403"/>
    <w:rsid w:val="00CE61AA"/>
    <w:rsid w:val="00CF0F04"/>
    <w:rsid w:val="00CF6067"/>
    <w:rsid w:val="00D0490A"/>
    <w:rsid w:val="00D05516"/>
    <w:rsid w:val="00D10508"/>
    <w:rsid w:val="00D16BA0"/>
    <w:rsid w:val="00D16CA5"/>
    <w:rsid w:val="00D229C7"/>
    <w:rsid w:val="00D33CEF"/>
    <w:rsid w:val="00D42111"/>
    <w:rsid w:val="00D51A6E"/>
    <w:rsid w:val="00D63561"/>
    <w:rsid w:val="00D63ACE"/>
    <w:rsid w:val="00D66C71"/>
    <w:rsid w:val="00D86E9A"/>
    <w:rsid w:val="00DA6F49"/>
    <w:rsid w:val="00DB41C6"/>
    <w:rsid w:val="00DE309D"/>
    <w:rsid w:val="00DE3B27"/>
    <w:rsid w:val="00DE6FF5"/>
    <w:rsid w:val="00DF4F50"/>
    <w:rsid w:val="00E012E5"/>
    <w:rsid w:val="00E11725"/>
    <w:rsid w:val="00E12E7A"/>
    <w:rsid w:val="00E317F1"/>
    <w:rsid w:val="00E32108"/>
    <w:rsid w:val="00E469DC"/>
    <w:rsid w:val="00E5425E"/>
    <w:rsid w:val="00E552AC"/>
    <w:rsid w:val="00E7050F"/>
    <w:rsid w:val="00E77C29"/>
    <w:rsid w:val="00E851B7"/>
    <w:rsid w:val="00E86471"/>
    <w:rsid w:val="00E95A98"/>
    <w:rsid w:val="00EA2662"/>
    <w:rsid w:val="00EB101D"/>
    <w:rsid w:val="00EB10EE"/>
    <w:rsid w:val="00EB7914"/>
    <w:rsid w:val="00EC3B5A"/>
    <w:rsid w:val="00EC5536"/>
    <w:rsid w:val="00EC5FC6"/>
    <w:rsid w:val="00EE23E0"/>
    <w:rsid w:val="00EE417F"/>
    <w:rsid w:val="00EE7D80"/>
    <w:rsid w:val="00EF4357"/>
    <w:rsid w:val="00F1028B"/>
    <w:rsid w:val="00F24761"/>
    <w:rsid w:val="00F2555D"/>
    <w:rsid w:val="00F26256"/>
    <w:rsid w:val="00F26D7B"/>
    <w:rsid w:val="00F26EB0"/>
    <w:rsid w:val="00F3267A"/>
    <w:rsid w:val="00F40795"/>
    <w:rsid w:val="00F41363"/>
    <w:rsid w:val="00F42A85"/>
    <w:rsid w:val="00F44BA1"/>
    <w:rsid w:val="00F44F42"/>
    <w:rsid w:val="00F50B5B"/>
    <w:rsid w:val="00F618A1"/>
    <w:rsid w:val="00F65C80"/>
    <w:rsid w:val="00F7782E"/>
    <w:rsid w:val="00F81EDC"/>
    <w:rsid w:val="00F8300A"/>
    <w:rsid w:val="00F838F6"/>
    <w:rsid w:val="00FB3402"/>
    <w:rsid w:val="00FB63D6"/>
    <w:rsid w:val="00FC5E2B"/>
    <w:rsid w:val="00FD15CC"/>
    <w:rsid w:val="00FD1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3E3B"/>
  <w15:chartTrackingRefBased/>
  <w15:docId w15:val="{CA7F3340-D5EA-4D23-83EC-A3AEFC23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7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D0"/>
    <w:rPr>
      <w:rFonts w:ascii="Segoe UI" w:hAnsi="Segoe UI" w:cs="Segoe UI"/>
      <w:sz w:val="18"/>
      <w:szCs w:val="18"/>
    </w:rPr>
  </w:style>
  <w:style w:type="paragraph" w:customStyle="1" w:styleId="tv213">
    <w:name w:val="tv213"/>
    <w:basedOn w:val="Normal"/>
    <w:rsid w:val="006D6FD0"/>
    <w:pPr>
      <w:spacing w:before="100" w:beforeAutospacing="1" w:after="100" w:afterAutospacing="1"/>
    </w:pPr>
  </w:style>
  <w:style w:type="paragraph" w:styleId="Header">
    <w:name w:val="header"/>
    <w:basedOn w:val="Normal"/>
    <w:link w:val="HeaderChar"/>
    <w:uiPriority w:val="99"/>
    <w:unhideWhenUsed/>
    <w:rsid w:val="006D6FD0"/>
    <w:pPr>
      <w:tabs>
        <w:tab w:val="center" w:pos="4153"/>
        <w:tab w:val="right" w:pos="8306"/>
      </w:tabs>
    </w:pPr>
  </w:style>
  <w:style w:type="character" w:customStyle="1" w:styleId="HeaderChar">
    <w:name w:val="Header Char"/>
    <w:basedOn w:val="DefaultParagraphFont"/>
    <w:link w:val="Header"/>
    <w:uiPriority w:val="99"/>
    <w:rsid w:val="006D6FD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6FD0"/>
    <w:pPr>
      <w:tabs>
        <w:tab w:val="center" w:pos="4153"/>
        <w:tab w:val="right" w:pos="8306"/>
      </w:tabs>
    </w:pPr>
  </w:style>
  <w:style w:type="character" w:customStyle="1" w:styleId="FooterChar">
    <w:name w:val="Footer Char"/>
    <w:basedOn w:val="DefaultParagraphFont"/>
    <w:link w:val="Footer"/>
    <w:uiPriority w:val="99"/>
    <w:rsid w:val="006D6FD0"/>
    <w:rPr>
      <w:rFonts w:ascii="Times New Roman" w:eastAsia="Times New Roman" w:hAnsi="Times New Roman" w:cs="Times New Roman"/>
      <w:sz w:val="24"/>
      <w:szCs w:val="24"/>
      <w:lang w:eastAsia="lv-LV"/>
    </w:rPr>
  </w:style>
  <w:style w:type="paragraph" w:styleId="ListParagraph">
    <w:name w:val="List Paragraph"/>
    <w:aliases w:val="Strip,Párrafo de lista,Normal bullet 2,Bullet list,List Paragraph1"/>
    <w:basedOn w:val="Normal"/>
    <w:link w:val="ListParagraphChar"/>
    <w:uiPriority w:val="34"/>
    <w:qFormat/>
    <w:rsid w:val="00252BAD"/>
    <w:pPr>
      <w:ind w:left="720"/>
      <w:contextualSpacing/>
    </w:pPr>
  </w:style>
  <w:style w:type="paragraph" w:styleId="CommentText">
    <w:name w:val="annotation text"/>
    <w:basedOn w:val="Normal"/>
    <w:link w:val="CommentTextChar"/>
    <w:uiPriority w:val="99"/>
    <w:unhideWhenUsed/>
    <w:rsid w:val="00B47820"/>
    <w:rPr>
      <w:sz w:val="20"/>
      <w:szCs w:val="20"/>
    </w:rPr>
  </w:style>
  <w:style w:type="character" w:customStyle="1" w:styleId="CommentTextChar">
    <w:name w:val="Comment Text Char"/>
    <w:basedOn w:val="DefaultParagraphFont"/>
    <w:link w:val="CommentText"/>
    <w:uiPriority w:val="99"/>
    <w:rsid w:val="00B47820"/>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760195"/>
    <w:rPr>
      <w:sz w:val="16"/>
      <w:szCs w:val="16"/>
    </w:rPr>
  </w:style>
  <w:style w:type="paragraph" w:styleId="CommentSubject">
    <w:name w:val="annotation subject"/>
    <w:basedOn w:val="CommentText"/>
    <w:next w:val="CommentText"/>
    <w:link w:val="CommentSubjectChar"/>
    <w:uiPriority w:val="99"/>
    <w:semiHidden/>
    <w:unhideWhenUsed/>
    <w:rsid w:val="00760195"/>
    <w:rPr>
      <w:b/>
      <w:bCs/>
    </w:rPr>
  </w:style>
  <w:style w:type="character" w:customStyle="1" w:styleId="CommentSubjectChar">
    <w:name w:val="Comment Subject Char"/>
    <w:basedOn w:val="CommentTextChar"/>
    <w:link w:val="CommentSubject"/>
    <w:uiPriority w:val="99"/>
    <w:semiHidden/>
    <w:rsid w:val="00760195"/>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E86471"/>
    <w:pPr>
      <w:jc w:val="center"/>
    </w:pPr>
    <w:rPr>
      <w:szCs w:val="20"/>
      <w:lang w:eastAsia="en-US"/>
    </w:rPr>
  </w:style>
  <w:style w:type="character" w:customStyle="1" w:styleId="BodyTextChar">
    <w:name w:val="Body Text Char"/>
    <w:basedOn w:val="DefaultParagraphFont"/>
    <w:link w:val="BodyText"/>
    <w:rsid w:val="00E8647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C5C59"/>
    <w:rPr>
      <w:sz w:val="20"/>
      <w:szCs w:val="20"/>
    </w:rPr>
  </w:style>
  <w:style w:type="character" w:customStyle="1" w:styleId="FootnoteTextChar">
    <w:name w:val="Footnote Text Char"/>
    <w:basedOn w:val="DefaultParagraphFont"/>
    <w:link w:val="FootnoteText"/>
    <w:uiPriority w:val="99"/>
    <w:semiHidden/>
    <w:rsid w:val="008C5C5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C5C59"/>
    <w:rPr>
      <w:vertAlign w:val="superscript"/>
    </w:rPr>
  </w:style>
  <w:style w:type="paragraph" w:styleId="NoSpacing">
    <w:name w:val="No Spacing"/>
    <w:link w:val="NoSpacingChar"/>
    <w:uiPriority w:val="1"/>
    <w:qFormat/>
    <w:rsid w:val="00C6505C"/>
    <w:pPr>
      <w:spacing w:after="0" w:line="240" w:lineRule="auto"/>
    </w:pPr>
    <w:rPr>
      <w:rFonts w:ascii="Times New Roman" w:eastAsia="Calibri" w:hAnsi="Times New Roman" w:cs="Times New Roman"/>
    </w:rPr>
  </w:style>
  <w:style w:type="character" w:customStyle="1" w:styleId="NoSpacingChar">
    <w:name w:val="No Spacing Char"/>
    <w:basedOn w:val="DefaultParagraphFont"/>
    <w:link w:val="NoSpacing"/>
    <w:uiPriority w:val="1"/>
    <w:rsid w:val="00C6505C"/>
    <w:rPr>
      <w:rFonts w:ascii="Times New Roman" w:eastAsia="Calibri" w:hAnsi="Times New Roman" w:cs="Times New Roman"/>
    </w:rPr>
  </w:style>
  <w:style w:type="paragraph" w:customStyle="1" w:styleId="naisf">
    <w:name w:val="naisf"/>
    <w:basedOn w:val="Normal"/>
    <w:rsid w:val="00D0490A"/>
    <w:pPr>
      <w:spacing w:before="75" w:after="75"/>
      <w:ind w:firstLine="375"/>
      <w:jc w:val="both"/>
    </w:pPr>
  </w:style>
  <w:style w:type="character" w:styleId="Hyperlink">
    <w:name w:val="Hyperlink"/>
    <w:basedOn w:val="DefaultParagraphFont"/>
    <w:uiPriority w:val="99"/>
    <w:semiHidden/>
    <w:unhideWhenUsed/>
    <w:rsid w:val="00497423"/>
    <w:rPr>
      <w:color w:val="0563C1"/>
      <w:u w:val="single"/>
    </w:rPr>
  </w:style>
  <w:style w:type="character" w:customStyle="1" w:styleId="ListParagraphChar">
    <w:name w:val="List Paragraph Char"/>
    <w:aliases w:val="Strip Char,Párrafo de lista Char,Normal bullet 2 Char,Bullet list Char,List Paragraph1 Char"/>
    <w:link w:val="ListParagraph"/>
    <w:uiPriority w:val="34"/>
    <w:locked/>
    <w:rsid w:val="00880702"/>
    <w:rPr>
      <w:rFonts w:ascii="Times New Roman" w:eastAsia="Times New Roman" w:hAnsi="Times New Roman" w:cs="Times New Roman"/>
      <w:sz w:val="24"/>
      <w:szCs w:val="24"/>
      <w:lang w:eastAsia="lv-LV"/>
    </w:rPr>
  </w:style>
  <w:style w:type="table" w:styleId="TableGrid">
    <w:name w:val="Table Grid"/>
    <w:basedOn w:val="TableNormal"/>
    <w:uiPriority w:val="59"/>
    <w:rsid w:val="00DE309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09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012E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5260">
      <w:bodyDiv w:val="1"/>
      <w:marLeft w:val="0"/>
      <w:marRight w:val="0"/>
      <w:marTop w:val="0"/>
      <w:marBottom w:val="0"/>
      <w:divBdr>
        <w:top w:val="none" w:sz="0" w:space="0" w:color="auto"/>
        <w:left w:val="none" w:sz="0" w:space="0" w:color="auto"/>
        <w:bottom w:val="none" w:sz="0" w:space="0" w:color="auto"/>
        <w:right w:val="none" w:sz="0" w:space="0" w:color="auto"/>
      </w:divBdr>
    </w:div>
    <w:div w:id="202787390">
      <w:bodyDiv w:val="1"/>
      <w:marLeft w:val="0"/>
      <w:marRight w:val="0"/>
      <w:marTop w:val="0"/>
      <w:marBottom w:val="0"/>
      <w:divBdr>
        <w:top w:val="none" w:sz="0" w:space="0" w:color="auto"/>
        <w:left w:val="none" w:sz="0" w:space="0" w:color="auto"/>
        <w:bottom w:val="none" w:sz="0" w:space="0" w:color="auto"/>
        <w:right w:val="none" w:sz="0" w:space="0" w:color="auto"/>
      </w:divBdr>
    </w:div>
    <w:div w:id="517617346">
      <w:bodyDiv w:val="1"/>
      <w:marLeft w:val="0"/>
      <w:marRight w:val="0"/>
      <w:marTop w:val="0"/>
      <w:marBottom w:val="0"/>
      <w:divBdr>
        <w:top w:val="none" w:sz="0" w:space="0" w:color="auto"/>
        <w:left w:val="none" w:sz="0" w:space="0" w:color="auto"/>
        <w:bottom w:val="none" w:sz="0" w:space="0" w:color="auto"/>
        <w:right w:val="none" w:sz="0" w:space="0" w:color="auto"/>
      </w:divBdr>
    </w:div>
    <w:div w:id="700979961">
      <w:bodyDiv w:val="1"/>
      <w:marLeft w:val="0"/>
      <w:marRight w:val="0"/>
      <w:marTop w:val="0"/>
      <w:marBottom w:val="0"/>
      <w:divBdr>
        <w:top w:val="none" w:sz="0" w:space="0" w:color="auto"/>
        <w:left w:val="none" w:sz="0" w:space="0" w:color="auto"/>
        <w:bottom w:val="none" w:sz="0" w:space="0" w:color="auto"/>
        <w:right w:val="none" w:sz="0" w:space="0" w:color="auto"/>
      </w:divBdr>
    </w:div>
    <w:div w:id="794181682">
      <w:bodyDiv w:val="1"/>
      <w:marLeft w:val="0"/>
      <w:marRight w:val="0"/>
      <w:marTop w:val="0"/>
      <w:marBottom w:val="0"/>
      <w:divBdr>
        <w:top w:val="none" w:sz="0" w:space="0" w:color="auto"/>
        <w:left w:val="none" w:sz="0" w:space="0" w:color="auto"/>
        <w:bottom w:val="none" w:sz="0" w:space="0" w:color="auto"/>
        <w:right w:val="none" w:sz="0" w:space="0" w:color="auto"/>
      </w:divBdr>
    </w:div>
    <w:div w:id="809858677">
      <w:bodyDiv w:val="1"/>
      <w:marLeft w:val="0"/>
      <w:marRight w:val="0"/>
      <w:marTop w:val="0"/>
      <w:marBottom w:val="0"/>
      <w:divBdr>
        <w:top w:val="none" w:sz="0" w:space="0" w:color="auto"/>
        <w:left w:val="none" w:sz="0" w:space="0" w:color="auto"/>
        <w:bottom w:val="none" w:sz="0" w:space="0" w:color="auto"/>
        <w:right w:val="none" w:sz="0" w:space="0" w:color="auto"/>
      </w:divBdr>
    </w:div>
    <w:div w:id="826020543">
      <w:bodyDiv w:val="1"/>
      <w:marLeft w:val="0"/>
      <w:marRight w:val="0"/>
      <w:marTop w:val="0"/>
      <w:marBottom w:val="0"/>
      <w:divBdr>
        <w:top w:val="none" w:sz="0" w:space="0" w:color="auto"/>
        <w:left w:val="none" w:sz="0" w:space="0" w:color="auto"/>
        <w:bottom w:val="none" w:sz="0" w:space="0" w:color="auto"/>
        <w:right w:val="none" w:sz="0" w:space="0" w:color="auto"/>
      </w:divBdr>
    </w:div>
    <w:div w:id="872691743">
      <w:bodyDiv w:val="1"/>
      <w:marLeft w:val="0"/>
      <w:marRight w:val="0"/>
      <w:marTop w:val="0"/>
      <w:marBottom w:val="0"/>
      <w:divBdr>
        <w:top w:val="none" w:sz="0" w:space="0" w:color="auto"/>
        <w:left w:val="none" w:sz="0" w:space="0" w:color="auto"/>
        <w:bottom w:val="none" w:sz="0" w:space="0" w:color="auto"/>
        <w:right w:val="none" w:sz="0" w:space="0" w:color="auto"/>
      </w:divBdr>
    </w:div>
    <w:div w:id="1108430082">
      <w:bodyDiv w:val="1"/>
      <w:marLeft w:val="0"/>
      <w:marRight w:val="0"/>
      <w:marTop w:val="0"/>
      <w:marBottom w:val="0"/>
      <w:divBdr>
        <w:top w:val="none" w:sz="0" w:space="0" w:color="auto"/>
        <w:left w:val="none" w:sz="0" w:space="0" w:color="auto"/>
        <w:bottom w:val="none" w:sz="0" w:space="0" w:color="auto"/>
        <w:right w:val="none" w:sz="0" w:space="0" w:color="auto"/>
      </w:divBdr>
    </w:div>
    <w:div w:id="1121461221">
      <w:bodyDiv w:val="1"/>
      <w:marLeft w:val="0"/>
      <w:marRight w:val="0"/>
      <w:marTop w:val="0"/>
      <w:marBottom w:val="0"/>
      <w:divBdr>
        <w:top w:val="none" w:sz="0" w:space="0" w:color="auto"/>
        <w:left w:val="none" w:sz="0" w:space="0" w:color="auto"/>
        <w:bottom w:val="none" w:sz="0" w:space="0" w:color="auto"/>
        <w:right w:val="none" w:sz="0" w:space="0" w:color="auto"/>
      </w:divBdr>
    </w:div>
    <w:div w:id="1286812321">
      <w:bodyDiv w:val="1"/>
      <w:marLeft w:val="0"/>
      <w:marRight w:val="0"/>
      <w:marTop w:val="0"/>
      <w:marBottom w:val="0"/>
      <w:divBdr>
        <w:top w:val="none" w:sz="0" w:space="0" w:color="auto"/>
        <w:left w:val="none" w:sz="0" w:space="0" w:color="auto"/>
        <w:bottom w:val="none" w:sz="0" w:space="0" w:color="auto"/>
        <w:right w:val="none" w:sz="0" w:space="0" w:color="auto"/>
      </w:divBdr>
    </w:div>
    <w:div w:id="1310327907">
      <w:bodyDiv w:val="1"/>
      <w:marLeft w:val="0"/>
      <w:marRight w:val="0"/>
      <w:marTop w:val="0"/>
      <w:marBottom w:val="0"/>
      <w:divBdr>
        <w:top w:val="none" w:sz="0" w:space="0" w:color="auto"/>
        <w:left w:val="none" w:sz="0" w:space="0" w:color="auto"/>
        <w:bottom w:val="none" w:sz="0" w:space="0" w:color="auto"/>
        <w:right w:val="none" w:sz="0" w:space="0" w:color="auto"/>
      </w:divBdr>
    </w:div>
    <w:div w:id="1615166448">
      <w:bodyDiv w:val="1"/>
      <w:marLeft w:val="0"/>
      <w:marRight w:val="0"/>
      <w:marTop w:val="0"/>
      <w:marBottom w:val="0"/>
      <w:divBdr>
        <w:top w:val="none" w:sz="0" w:space="0" w:color="auto"/>
        <w:left w:val="none" w:sz="0" w:space="0" w:color="auto"/>
        <w:bottom w:val="none" w:sz="0" w:space="0" w:color="auto"/>
        <w:right w:val="none" w:sz="0" w:space="0" w:color="auto"/>
      </w:divBdr>
    </w:div>
    <w:div w:id="1618678531">
      <w:bodyDiv w:val="1"/>
      <w:marLeft w:val="0"/>
      <w:marRight w:val="0"/>
      <w:marTop w:val="0"/>
      <w:marBottom w:val="0"/>
      <w:divBdr>
        <w:top w:val="none" w:sz="0" w:space="0" w:color="auto"/>
        <w:left w:val="none" w:sz="0" w:space="0" w:color="auto"/>
        <w:bottom w:val="none" w:sz="0" w:space="0" w:color="auto"/>
        <w:right w:val="none" w:sz="0" w:space="0" w:color="auto"/>
      </w:divBdr>
    </w:div>
    <w:div w:id="1716156973">
      <w:bodyDiv w:val="1"/>
      <w:marLeft w:val="0"/>
      <w:marRight w:val="0"/>
      <w:marTop w:val="0"/>
      <w:marBottom w:val="0"/>
      <w:divBdr>
        <w:top w:val="none" w:sz="0" w:space="0" w:color="auto"/>
        <w:left w:val="none" w:sz="0" w:space="0" w:color="auto"/>
        <w:bottom w:val="none" w:sz="0" w:space="0" w:color="auto"/>
        <w:right w:val="none" w:sz="0" w:space="0" w:color="auto"/>
      </w:divBdr>
    </w:div>
    <w:div w:id="1783987667">
      <w:bodyDiv w:val="1"/>
      <w:marLeft w:val="0"/>
      <w:marRight w:val="0"/>
      <w:marTop w:val="0"/>
      <w:marBottom w:val="0"/>
      <w:divBdr>
        <w:top w:val="none" w:sz="0" w:space="0" w:color="auto"/>
        <w:left w:val="none" w:sz="0" w:space="0" w:color="auto"/>
        <w:bottom w:val="none" w:sz="0" w:space="0" w:color="auto"/>
        <w:right w:val="none" w:sz="0" w:space="0" w:color="auto"/>
      </w:divBdr>
    </w:div>
    <w:div w:id="1896888502">
      <w:bodyDiv w:val="1"/>
      <w:marLeft w:val="0"/>
      <w:marRight w:val="0"/>
      <w:marTop w:val="0"/>
      <w:marBottom w:val="0"/>
      <w:divBdr>
        <w:top w:val="none" w:sz="0" w:space="0" w:color="auto"/>
        <w:left w:val="none" w:sz="0" w:space="0" w:color="auto"/>
        <w:bottom w:val="none" w:sz="0" w:space="0" w:color="auto"/>
        <w:right w:val="none" w:sz="0" w:space="0" w:color="auto"/>
      </w:divBdr>
    </w:div>
    <w:div w:id="1967663829">
      <w:bodyDiv w:val="1"/>
      <w:marLeft w:val="0"/>
      <w:marRight w:val="0"/>
      <w:marTop w:val="0"/>
      <w:marBottom w:val="0"/>
      <w:divBdr>
        <w:top w:val="none" w:sz="0" w:space="0" w:color="auto"/>
        <w:left w:val="none" w:sz="0" w:space="0" w:color="auto"/>
        <w:bottom w:val="none" w:sz="0" w:space="0" w:color="auto"/>
        <w:right w:val="none" w:sz="0" w:space="0" w:color="auto"/>
      </w:divBdr>
    </w:div>
    <w:div w:id="19848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ATDFILE\Dotacijas\2021_gads_zaud.komp\Iekseji_sagatavotie_materiali_informacija_2021\Zane_parvad_pas_2020gads_1301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TDFILE\Dotacijas\2021_gads_zaud.komp\Iekseji_sagatavotie_materiali_informacija_2021\Zane_parvad_pas_2020gads_1301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TDFILE\Dotacijas\2021_gads_zaud.komp\Papildu_finans_2021\Ienem_izmainas_2019_2021_0903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000" b="1"/>
              <a:t>Reģionālās nozīmes pārvadājumos ar autobusiem</a:t>
            </a:r>
          </a:p>
        </c:rich>
      </c:tx>
      <c:layout>
        <c:manualLayout>
          <c:xMode val="edge"/>
          <c:yMode val="edge"/>
          <c:x val="0.14962314011089911"/>
          <c:y val="2.002002002002002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'mēn pret mēnesi'!$A$22</c:f>
              <c:strCache>
                <c:ptCount val="1"/>
                <c:pt idx="0">
                  <c:v>2019.gads</c:v>
                </c:pt>
              </c:strCache>
            </c:strRef>
          </c:tx>
          <c:spPr>
            <a:ln w="28575" cap="rnd">
              <a:solidFill>
                <a:schemeClr val="bg1">
                  <a:lumMod val="50000"/>
                </a:schemeClr>
              </a:solidFill>
              <a:round/>
            </a:ln>
            <a:effectLst/>
          </c:spPr>
          <c:marker>
            <c:symbol val="none"/>
          </c:marker>
          <c:cat>
            <c:strRef>
              <c:f>'mēn pret mēnesi'!$B$21:$M$21</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'mēn pret mēnesi'!$B$22:$M$22</c:f>
              <c:numCache>
                <c:formatCode>#,##0</c:formatCode>
                <c:ptCount val="12"/>
                <c:pt idx="0">
                  <c:v>2374152</c:v>
                </c:pt>
                <c:pt idx="1">
                  <c:v>2259090</c:v>
                </c:pt>
                <c:pt idx="2">
                  <c:v>2480385</c:v>
                </c:pt>
                <c:pt idx="3">
                  <c:v>2561729</c:v>
                </c:pt>
                <c:pt idx="4">
                  <c:v>2646515</c:v>
                </c:pt>
                <c:pt idx="5">
                  <c:v>2312341</c:v>
                </c:pt>
                <c:pt idx="6">
                  <c:v>2355318</c:v>
                </c:pt>
                <c:pt idx="7">
                  <c:v>2421665</c:v>
                </c:pt>
                <c:pt idx="8">
                  <c:v>2598214</c:v>
                </c:pt>
                <c:pt idx="9">
                  <c:v>2654780</c:v>
                </c:pt>
                <c:pt idx="10">
                  <c:v>2498807</c:v>
                </c:pt>
                <c:pt idx="11">
                  <c:v>2298870</c:v>
                </c:pt>
              </c:numCache>
            </c:numRef>
          </c:val>
          <c:smooth val="0"/>
          <c:extLst>
            <c:ext xmlns:c16="http://schemas.microsoft.com/office/drawing/2014/chart" uri="{C3380CC4-5D6E-409C-BE32-E72D297353CC}">
              <c16:uniqueId val="{00000000-4411-46C5-A431-52EF4FCB4844}"/>
            </c:ext>
          </c:extLst>
        </c:ser>
        <c:ser>
          <c:idx val="1"/>
          <c:order val="1"/>
          <c:tx>
            <c:strRef>
              <c:f>'mēn pret mēnesi'!$A$23</c:f>
              <c:strCache>
                <c:ptCount val="1"/>
                <c:pt idx="0">
                  <c:v>2020.gads</c:v>
                </c:pt>
              </c:strCache>
            </c:strRef>
          </c:tx>
          <c:spPr>
            <a:ln w="28575" cap="rnd">
              <a:solidFill>
                <a:srgbClr val="FF3300"/>
              </a:solidFill>
              <a:round/>
            </a:ln>
            <a:effectLst/>
          </c:spPr>
          <c:marker>
            <c:symbol val="none"/>
          </c:marker>
          <c:cat>
            <c:strRef>
              <c:f>'mēn pret mēnesi'!$B$21:$M$21</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'mēn pret mēnesi'!$B$23:$M$23</c:f>
              <c:numCache>
                <c:formatCode>#,##0</c:formatCode>
                <c:ptCount val="12"/>
                <c:pt idx="0">
                  <c:v>2446439</c:v>
                </c:pt>
                <c:pt idx="1">
                  <c:v>2308519</c:v>
                </c:pt>
                <c:pt idx="2">
                  <c:v>1626126</c:v>
                </c:pt>
                <c:pt idx="3">
                  <c:v>811957</c:v>
                </c:pt>
                <c:pt idx="4">
                  <c:v>1113996</c:v>
                </c:pt>
                <c:pt idx="5">
                  <c:v>1451867</c:v>
                </c:pt>
                <c:pt idx="6">
                  <c:v>1773183</c:v>
                </c:pt>
                <c:pt idx="7">
                  <c:v>1853313</c:v>
                </c:pt>
                <c:pt idx="8">
                  <c:v>2218419</c:v>
                </c:pt>
                <c:pt idx="9">
                  <c:v>1907462</c:v>
                </c:pt>
                <c:pt idx="10">
                  <c:v>1447052</c:v>
                </c:pt>
                <c:pt idx="11">
                  <c:v>1176332</c:v>
                </c:pt>
              </c:numCache>
            </c:numRef>
          </c:val>
          <c:smooth val="0"/>
          <c:extLst>
            <c:ext xmlns:c16="http://schemas.microsoft.com/office/drawing/2014/chart" uri="{C3380CC4-5D6E-409C-BE32-E72D297353CC}">
              <c16:uniqueId val="{00000001-4411-46C5-A431-52EF4FCB4844}"/>
            </c:ext>
          </c:extLst>
        </c:ser>
        <c:dLbls>
          <c:showLegendKey val="0"/>
          <c:showVal val="0"/>
          <c:showCatName val="0"/>
          <c:showSerName val="0"/>
          <c:showPercent val="0"/>
          <c:showBubbleSize val="0"/>
        </c:dLbls>
        <c:smooth val="0"/>
        <c:axId val="1070779631"/>
        <c:axId val="1070775471"/>
      </c:lineChart>
      <c:catAx>
        <c:axId val="1070779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0775471"/>
        <c:crosses val="autoZero"/>
        <c:auto val="1"/>
        <c:lblAlgn val="ctr"/>
        <c:lblOffset val="100"/>
        <c:noMultiLvlLbl val="0"/>
      </c:catAx>
      <c:valAx>
        <c:axId val="10707754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0779631"/>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000" b="1"/>
              <a:t>Reģionālās nozīmes pārvadājumos ar vilcieniem</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'mēn pret mēnesi'!$A$28</c:f>
              <c:strCache>
                <c:ptCount val="1"/>
                <c:pt idx="0">
                  <c:v>2019.gads</c:v>
                </c:pt>
              </c:strCache>
            </c:strRef>
          </c:tx>
          <c:spPr>
            <a:ln w="28575" cap="rnd">
              <a:solidFill>
                <a:schemeClr val="bg1">
                  <a:lumMod val="50000"/>
                </a:schemeClr>
              </a:solidFill>
              <a:round/>
            </a:ln>
            <a:effectLst/>
          </c:spPr>
          <c:marker>
            <c:symbol val="none"/>
          </c:marker>
          <c:cat>
            <c:strRef>
              <c:f>'mēn pret mēnesi'!$B$27:$M$27</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'mēn pret mēnesi'!$B$28:$M$28</c:f>
              <c:numCache>
                <c:formatCode>#,##0</c:formatCode>
                <c:ptCount val="12"/>
                <c:pt idx="0">
                  <c:v>1333667</c:v>
                </c:pt>
                <c:pt idx="1">
                  <c:v>1282303</c:v>
                </c:pt>
                <c:pt idx="2">
                  <c:v>1426885</c:v>
                </c:pt>
                <c:pt idx="3">
                  <c:v>1505384</c:v>
                </c:pt>
                <c:pt idx="4">
                  <c:v>1602731</c:v>
                </c:pt>
                <c:pt idx="5">
                  <c:v>1711481</c:v>
                </c:pt>
                <c:pt idx="6">
                  <c:v>1810743</c:v>
                </c:pt>
                <c:pt idx="7">
                  <c:v>1820908</c:v>
                </c:pt>
                <c:pt idx="8">
                  <c:v>1581420</c:v>
                </c:pt>
                <c:pt idx="9">
                  <c:v>1600587</c:v>
                </c:pt>
                <c:pt idx="10">
                  <c:v>1460553</c:v>
                </c:pt>
                <c:pt idx="11">
                  <c:v>1321614</c:v>
                </c:pt>
              </c:numCache>
            </c:numRef>
          </c:val>
          <c:smooth val="0"/>
          <c:extLst>
            <c:ext xmlns:c16="http://schemas.microsoft.com/office/drawing/2014/chart" uri="{C3380CC4-5D6E-409C-BE32-E72D297353CC}">
              <c16:uniqueId val="{00000000-8222-481A-B915-D34B264E8BC1}"/>
            </c:ext>
          </c:extLst>
        </c:ser>
        <c:ser>
          <c:idx val="1"/>
          <c:order val="1"/>
          <c:tx>
            <c:strRef>
              <c:f>'mēn pret mēnesi'!$A$29</c:f>
              <c:strCache>
                <c:ptCount val="1"/>
                <c:pt idx="0">
                  <c:v>2020.gads</c:v>
                </c:pt>
              </c:strCache>
            </c:strRef>
          </c:tx>
          <c:spPr>
            <a:ln w="28575" cap="rnd">
              <a:solidFill>
                <a:srgbClr val="FF3300"/>
              </a:solidFill>
              <a:round/>
            </a:ln>
            <a:effectLst/>
          </c:spPr>
          <c:marker>
            <c:symbol val="none"/>
          </c:marker>
          <c:cat>
            <c:strRef>
              <c:f>'mēn pret mēnesi'!$B$27:$M$27</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'mēn pret mēnesi'!$B$29:$M$29</c:f>
              <c:numCache>
                <c:formatCode>#,##0</c:formatCode>
                <c:ptCount val="12"/>
                <c:pt idx="0">
                  <c:v>1373052</c:v>
                </c:pt>
                <c:pt idx="1">
                  <c:v>1371648</c:v>
                </c:pt>
                <c:pt idx="2">
                  <c:v>991143</c:v>
                </c:pt>
                <c:pt idx="3">
                  <c:v>517529</c:v>
                </c:pt>
                <c:pt idx="4">
                  <c:v>722374</c:v>
                </c:pt>
                <c:pt idx="5">
                  <c:v>1103974</c:v>
                </c:pt>
                <c:pt idx="6">
                  <c:v>1324086</c:v>
                </c:pt>
                <c:pt idx="7">
                  <c:v>1451138</c:v>
                </c:pt>
                <c:pt idx="8">
                  <c:v>1348633</c:v>
                </c:pt>
                <c:pt idx="9">
                  <c:v>1151840</c:v>
                </c:pt>
                <c:pt idx="10">
                  <c:v>820922</c:v>
                </c:pt>
                <c:pt idx="11">
                  <c:v>676455</c:v>
                </c:pt>
              </c:numCache>
            </c:numRef>
          </c:val>
          <c:smooth val="0"/>
          <c:extLst>
            <c:ext xmlns:c16="http://schemas.microsoft.com/office/drawing/2014/chart" uri="{C3380CC4-5D6E-409C-BE32-E72D297353CC}">
              <c16:uniqueId val="{00000001-8222-481A-B915-D34B264E8BC1}"/>
            </c:ext>
          </c:extLst>
        </c:ser>
        <c:dLbls>
          <c:showLegendKey val="0"/>
          <c:showVal val="0"/>
          <c:showCatName val="0"/>
          <c:showSerName val="0"/>
          <c:showPercent val="0"/>
          <c:showBubbleSize val="0"/>
        </c:dLbls>
        <c:smooth val="0"/>
        <c:axId val="1026091039"/>
        <c:axId val="1026078143"/>
      </c:lineChart>
      <c:catAx>
        <c:axId val="1026091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26078143"/>
        <c:crosses val="autoZero"/>
        <c:auto val="1"/>
        <c:lblAlgn val="ctr"/>
        <c:lblOffset val="100"/>
        <c:noMultiLvlLbl val="0"/>
      </c:catAx>
      <c:valAx>
        <c:axId val="10260781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26091039"/>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3727034120735"/>
          <c:y val="5.0925925925925923E-2"/>
          <c:w val="0.76343503937007873"/>
          <c:h val="0.66459025955088946"/>
        </c:manualLayout>
      </c:layout>
      <c:barChart>
        <c:barDir val="col"/>
        <c:grouping val="clustered"/>
        <c:varyColors val="0"/>
        <c:ser>
          <c:idx val="0"/>
          <c:order val="0"/>
          <c:tx>
            <c:strRef>
              <c:f>korelacija!$C$24</c:f>
              <c:strCache>
                <c:ptCount val="1"/>
                <c:pt idx="0">
                  <c:v>Pasažieri par maksu</c:v>
                </c:pt>
              </c:strCache>
            </c:strRef>
          </c:tx>
          <c:spPr>
            <a:solidFill>
              <a:schemeClr val="tx2">
                <a:lumMod val="60000"/>
                <a:lumOff val="40000"/>
              </a:schemeClr>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korelacija!$E$23:$H$23</c:f>
              <c:strCache>
                <c:ptCount val="4"/>
                <c:pt idx="0">
                  <c:v>vidēji mēnesī 2019.gadā</c:v>
                </c:pt>
                <c:pt idx="1">
                  <c:v>vidēji mēnesī 2020.gadā</c:v>
                </c:pt>
                <c:pt idx="2">
                  <c:v>2021.gada janvāris</c:v>
                </c:pt>
                <c:pt idx="3">
                  <c:v>2021.gada februāris</c:v>
                </c:pt>
              </c:strCache>
            </c:strRef>
          </c:cat>
          <c:val>
            <c:numRef>
              <c:f>korelacija!$E$24:$H$24</c:f>
              <c:numCache>
                <c:formatCode>#,##0</c:formatCode>
                <c:ptCount val="4"/>
                <c:pt idx="0">
                  <c:v>3522404.8333333335</c:v>
                </c:pt>
                <c:pt idx="1">
                  <c:v>2415387.166666666</c:v>
                </c:pt>
                <c:pt idx="2">
                  <c:v>1377096</c:v>
                </c:pt>
                <c:pt idx="3">
                  <c:v>1395371</c:v>
                </c:pt>
              </c:numCache>
            </c:numRef>
          </c:val>
          <c:extLst>
            <c:ext xmlns:c16="http://schemas.microsoft.com/office/drawing/2014/chart" uri="{C3380CC4-5D6E-409C-BE32-E72D297353CC}">
              <c16:uniqueId val="{00000000-EC06-4E92-AD0B-08293707345B}"/>
            </c:ext>
          </c:extLst>
        </c:ser>
        <c:ser>
          <c:idx val="1"/>
          <c:order val="1"/>
          <c:tx>
            <c:strRef>
              <c:f>korelacija!$C$25</c:f>
              <c:strCache>
                <c:ptCount val="1"/>
                <c:pt idx="0">
                  <c:v>Biļešu ieņēmumi</c:v>
                </c:pt>
              </c:strCache>
            </c:strRef>
          </c:tx>
          <c:spPr>
            <a:solidFill>
              <a:srgbClr val="FF6600"/>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korelacija!$E$23:$H$23</c:f>
              <c:strCache>
                <c:ptCount val="4"/>
                <c:pt idx="0">
                  <c:v>vidēji mēnesī 2019.gadā</c:v>
                </c:pt>
                <c:pt idx="1">
                  <c:v>vidēji mēnesī 2020.gadā</c:v>
                </c:pt>
                <c:pt idx="2">
                  <c:v>2021.gada janvāris</c:v>
                </c:pt>
                <c:pt idx="3">
                  <c:v>2021.gada februāris</c:v>
                </c:pt>
              </c:strCache>
            </c:strRef>
          </c:cat>
          <c:val>
            <c:numRef>
              <c:f>korelacija!$E$25:$H$25</c:f>
              <c:numCache>
                <c:formatCode>#,##0</c:formatCode>
                <c:ptCount val="4"/>
                <c:pt idx="0">
                  <c:v>4673454.915</c:v>
                </c:pt>
                <c:pt idx="1">
                  <c:v>3253975.0541666667</c:v>
                </c:pt>
                <c:pt idx="2">
                  <c:v>1850738</c:v>
                </c:pt>
                <c:pt idx="3">
                  <c:v>1830605.4500000002</c:v>
                </c:pt>
              </c:numCache>
            </c:numRef>
          </c:val>
          <c:extLst>
            <c:ext xmlns:c16="http://schemas.microsoft.com/office/drawing/2014/chart" uri="{C3380CC4-5D6E-409C-BE32-E72D297353CC}">
              <c16:uniqueId val="{00000001-EC06-4E92-AD0B-08293707345B}"/>
            </c:ext>
          </c:extLst>
        </c:ser>
        <c:dLbls>
          <c:showLegendKey val="0"/>
          <c:showVal val="0"/>
          <c:showCatName val="0"/>
          <c:showSerName val="0"/>
          <c:showPercent val="0"/>
          <c:showBubbleSize val="0"/>
        </c:dLbls>
        <c:gapWidth val="219"/>
        <c:axId val="659347504"/>
        <c:axId val="659334608"/>
      </c:barChart>
      <c:lineChart>
        <c:grouping val="standard"/>
        <c:varyColors val="0"/>
        <c:ser>
          <c:idx val="2"/>
          <c:order val="2"/>
          <c:tx>
            <c:strRef>
              <c:f>korelacija!$C$26</c:f>
              <c:strCache>
                <c:ptCount val="1"/>
                <c:pt idx="0">
                  <c:v>izmaiņas pret iepriekšējo periodu</c:v>
                </c:pt>
              </c:strCache>
            </c:strRef>
          </c:tx>
          <c:spPr>
            <a:ln w="28575" cap="rnd">
              <a:solidFill>
                <a:schemeClr val="accent3"/>
              </a:solidFill>
              <a:round/>
            </a:ln>
            <a:effectLst/>
          </c:spPr>
          <c:marker>
            <c:symbol val="none"/>
          </c:marker>
          <c:dLbls>
            <c:dLbl>
              <c:idx val="2"/>
              <c:layout>
                <c:manualLayout>
                  <c:x val="-6.550449022715267E-2"/>
                  <c:y val="-7.870370370370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06-4E92-AD0B-08293707345B}"/>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korelacija!$E$23:$H$23</c:f>
              <c:strCache>
                <c:ptCount val="4"/>
                <c:pt idx="0">
                  <c:v>vidēji mēnesī 2019.gadā</c:v>
                </c:pt>
                <c:pt idx="1">
                  <c:v>vidēji mēnesī 2020.gadā</c:v>
                </c:pt>
                <c:pt idx="2">
                  <c:v>2021.gada janvāris</c:v>
                </c:pt>
                <c:pt idx="3">
                  <c:v>2021.gada februāris</c:v>
                </c:pt>
              </c:strCache>
            </c:strRef>
          </c:cat>
          <c:val>
            <c:numRef>
              <c:f>korelacija!$E$26:$H$26</c:f>
              <c:numCache>
                <c:formatCode>0.00%</c:formatCode>
                <c:ptCount val="4"/>
                <c:pt idx="0">
                  <c:v>-5.7119105906192624E-3</c:v>
                </c:pt>
                <c:pt idx="1">
                  <c:v>-0.30373243920195891</c:v>
                </c:pt>
                <c:pt idx="2">
                  <c:v>-0.43123780324309569</c:v>
                </c:pt>
                <c:pt idx="3">
                  <c:v>-1.0878119971600375E-2</c:v>
                </c:pt>
              </c:numCache>
            </c:numRef>
          </c:val>
          <c:smooth val="0"/>
          <c:extLst>
            <c:ext xmlns:c16="http://schemas.microsoft.com/office/drawing/2014/chart" uri="{C3380CC4-5D6E-409C-BE32-E72D297353CC}">
              <c16:uniqueId val="{00000002-EC06-4E92-AD0B-08293707345B}"/>
            </c:ext>
          </c:extLst>
        </c:ser>
        <c:dLbls>
          <c:showLegendKey val="0"/>
          <c:showVal val="0"/>
          <c:showCatName val="0"/>
          <c:showSerName val="0"/>
          <c:showPercent val="0"/>
          <c:showBubbleSize val="0"/>
        </c:dLbls>
        <c:marker val="1"/>
        <c:smooth val="0"/>
        <c:axId val="659420720"/>
        <c:axId val="659425296"/>
      </c:lineChart>
      <c:catAx>
        <c:axId val="65934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334608"/>
        <c:crosses val="autoZero"/>
        <c:auto val="1"/>
        <c:lblAlgn val="ctr"/>
        <c:lblOffset val="100"/>
        <c:noMultiLvlLbl val="0"/>
      </c:catAx>
      <c:valAx>
        <c:axId val="659334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347504"/>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valAx>
        <c:axId val="65942529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59420720"/>
        <c:crosses val="max"/>
        <c:crossBetween val="between"/>
      </c:valAx>
      <c:catAx>
        <c:axId val="659420720"/>
        <c:scaling>
          <c:orientation val="minMax"/>
        </c:scaling>
        <c:delete val="1"/>
        <c:axPos val="b"/>
        <c:numFmt formatCode="General" sourceLinked="1"/>
        <c:majorTickMark val="out"/>
        <c:minorTickMark val="none"/>
        <c:tickLblPos val="nextTo"/>
        <c:crossAx val="6594252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7D75-2914-4063-A2EE-B94D3EFE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12</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“Par nepieciešamo papildu finansējumu par sabiedriskā transporta pakalpojumu sniegšanai 2021.gadā”</vt:lpstr>
    </vt:vector>
  </TitlesOfParts>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nepieciešamo papildu finansējumu par sabiedriskā transporta pakalpojumu sniegšanai 2021.gadā”</dc:title>
  <dc:subject/>
  <dc:creator>Kristīne Grīviņa</dc:creator>
  <cp:keywords>Informatīvais ziņojums</cp:keywords>
  <dc:description>dana.ziemele-adricka@sam.gov.,lv, 
ziemele-adricka, 67028036</dc:description>
  <cp:lastModifiedBy>Dana Ziemele Adricka</cp:lastModifiedBy>
  <cp:revision>86</cp:revision>
  <cp:lastPrinted>2020-09-09T13:32:00Z</cp:lastPrinted>
  <dcterms:created xsi:type="dcterms:W3CDTF">2021-03-22T11:34:00Z</dcterms:created>
  <dcterms:modified xsi:type="dcterms:W3CDTF">2021-04-15T10:33:00Z</dcterms:modified>
</cp:coreProperties>
</file>