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4EFC" w:rsidR="0007278B" w:rsidP="00AE4EFC" w:rsidRDefault="0007278B" w14:paraId="7EA3C5D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</w:p>
    <w:p w:rsidRPr="00AE4EFC" w:rsidR="0007278B" w:rsidP="00AE4EFC" w:rsidRDefault="0007278B" w14:paraId="6BE90E36" w14:textId="74BD2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FC">
        <w:rPr>
          <w:rFonts w:ascii="Times New Roman" w:hAnsi="Times New Roman" w:cs="Times New Roman"/>
          <w:b/>
          <w:sz w:val="24"/>
          <w:szCs w:val="24"/>
        </w:rPr>
        <w:t>“</w:t>
      </w:r>
      <w:r w:rsidRPr="00AE4EFC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Grozījum</w:t>
      </w:r>
      <w:r w:rsidRPr="00AE4EFC" w:rsidR="006D22E5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i</w:t>
      </w:r>
      <w:r w:rsidRPr="00AE4EFC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 xml:space="preserve"> Ministru kabineta 2020.</w:t>
      </w:r>
      <w:r w:rsidR="006A3F81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gada 9.</w:t>
      </w:r>
      <w:r w:rsidR="006A3F81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jūnija noteikumos Nr.</w:t>
      </w:r>
      <w:r w:rsidR="006A3F81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 </w:t>
      </w:r>
      <w:r w:rsidRPr="00AE4EFC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360 “</w:t>
      </w:r>
      <w:hyperlink w:tgtFrame="_blank" w:history="1" r:id="rId11">
        <w:r w:rsidRPr="00AE4EFC">
          <w:rPr>
            <w:rFonts w:ascii="Times New Roman" w:hAnsi="Times New Roman" w:eastAsia="Times New Roman" w:cs="Times New Roman"/>
            <w:b/>
            <w:sz w:val="24"/>
            <w:szCs w:val="24"/>
            <w:lang w:eastAsia="lv-LV"/>
          </w:rPr>
          <w:t>Epidemioloģiskās drošības pasākumi Covid-19 infekcijas izplatības ierobežošanai</w:t>
        </w:r>
      </w:hyperlink>
      <w:r w:rsidRPr="00AE4EFC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””</w:t>
      </w:r>
      <w:r w:rsidRPr="00AE4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EFC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sākotnējās ietekmes novērtējuma ziņojums (anotācija</w:t>
      </w:r>
      <w:r w:rsidRPr="00AE4EFC">
        <w:rPr>
          <w:rFonts w:ascii="Times New Roman" w:hAnsi="Times New Roman" w:eastAsia="Calibri" w:cs="Times New Roman"/>
          <w:b/>
          <w:sz w:val="24"/>
          <w:szCs w:val="24"/>
        </w:rPr>
        <w:t>)</w:t>
      </w:r>
    </w:p>
    <w:p w:rsidRPr="00A17EEC" w:rsidR="0007278B" w:rsidP="00AE4EFC" w:rsidRDefault="0007278B" w14:paraId="4A2AD5B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939"/>
      </w:tblGrid>
      <w:tr w:rsidRPr="00AE4EFC" w:rsidR="000E2322" w:rsidTr="006A3F81" w14:paraId="3A6EBCB3" w14:textId="77777777">
        <w:tc>
          <w:tcPr>
            <w:tcW w:w="9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Pr="00317FDB" w:rsidR="0007278B" w:rsidP="00AE4EFC" w:rsidRDefault="0007278B" w14:paraId="519ACB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Pr="00AE4EFC" w:rsidR="000E2322" w:rsidTr="00371F18" w14:paraId="205591AC" w14:textId="77777777"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AE4EFC" w:rsidR="0007278B" w:rsidP="00AE4EFC" w:rsidRDefault="0007278B" w14:paraId="4549FC7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AE4EF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1F5B53" w:rsidR="00F30098" w:rsidP="00212D45" w:rsidRDefault="001F5B53" w14:paraId="0A7AB3EF" w14:textId="05115CB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17398F">
              <w:rPr>
                <w:rFonts w:ascii="Times New Roman" w:hAnsi="Times New Roman" w:cs="Times New Roman"/>
                <w:sz w:val="24"/>
                <w:szCs w:val="24"/>
              </w:rPr>
              <w:t>Neaizpilda atbilstoši Ministru kabineta 2009.gada 15.decembra instrukcijas Nr.19 “Tiesību akta projekta sākotnējās ietekmes izvērtēšanas kārtība” 5.</w:t>
            </w:r>
            <w:r w:rsidRPr="00173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7398F">
              <w:rPr>
                <w:rFonts w:ascii="Times New Roman" w:hAnsi="Times New Roman" w:cs="Times New Roman"/>
                <w:sz w:val="24"/>
                <w:szCs w:val="24"/>
              </w:rPr>
              <w:t xml:space="preserve"> punktā noteiktajam.</w:t>
            </w:r>
          </w:p>
        </w:tc>
      </w:tr>
    </w:tbl>
    <w:p w:rsidRPr="00A17EEC" w:rsidR="0007278B" w:rsidP="00AE4EFC" w:rsidRDefault="0007278B" w14:paraId="6DAAEE0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93"/>
        <w:gridCol w:w="6867"/>
      </w:tblGrid>
      <w:tr w:rsidRPr="00AE4EFC" w:rsidR="000E2322" w:rsidTr="009D7D59" w14:paraId="6CBE8600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17FDB" w:rsidR="0007278B" w:rsidP="00AE4EFC" w:rsidRDefault="0007278B" w14:paraId="517ABD57" w14:textId="1160E90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317FDB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I.</w:t>
            </w:r>
            <w:r w:rsidRPr="00317FDB" w:rsidR="0001637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 </w:t>
            </w:r>
            <w:r w:rsidRPr="00317FDB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Tiesību akta projekta izstrādes nepieciešamība</w:t>
            </w:r>
          </w:p>
        </w:tc>
      </w:tr>
      <w:tr w:rsidRPr="00BD50E2" w:rsidR="00BD50E2" w:rsidTr="00C45CAD" w14:paraId="0E093898" w14:textId="77777777">
        <w:trPr>
          <w:trHeight w:val="475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64278E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B0761" w:rsidR="0007278B" w:rsidP="00AE4EFC" w:rsidRDefault="0007278B" w14:paraId="259B38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761"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>Pamatojums</w:t>
            </w:r>
          </w:p>
          <w:p w:rsidRPr="000B0761" w:rsidR="00154080" w:rsidP="00F30098" w:rsidRDefault="00154080" w14:paraId="5C8769C8" w14:textId="05BF5D6A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7398F" w:rsidR="001F5B53" w:rsidP="001F5B53" w:rsidRDefault="00DA5915" w14:paraId="02296DB2" w14:textId="3C58F455">
            <w:pPr>
              <w:tabs>
                <w:tab w:val="left" w:pos="351"/>
              </w:tabs>
              <w:spacing w:after="0" w:line="240" w:lineRule="auto"/>
              <w:jc w:val="both"/>
              <w:rPr>
                <w:rFonts w:ascii="Times New Roman" w:hAnsi="Times New Roman" w:eastAsia="ヒラギノ角ゴ Pro W3" w:cs="Times New Roman"/>
                <w:color w:val="000000"/>
                <w:sz w:val="24"/>
                <w:szCs w:val="24"/>
              </w:rPr>
            </w:pPr>
            <w:r w:rsidRPr="00AC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Satiksmes ministrijas iniciatīva</w:t>
            </w:r>
            <w:r w:rsidR="001F5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</w:t>
            </w:r>
            <w:r w:rsidRPr="0017398F" w:rsidR="001F5B53">
              <w:rPr>
                <w:rFonts w:ascii="Times New Roman" w:hAnsi="Times New Roman" w:eastAsia="ヒラギノ角ゴ Pro W3" w:cs="Times New Roman"/>
                <w:color w:val="000000"/>
                <w:sz w:val="24"/>
                <w:szCs w:val="24"/>
              </w:rPr>
              <w:t>tarpinstitūciju darbības koordinācijas grupas 2021.gada 14.jūnija sēde lemtais.</w:t>
            </w:r>
          </w:p>
          <w:p w:rsidRPr="00AC79DF" w:rsidR="009B775D" w:rsidP="005C5DC6" w:rsidRDefault="00DA5915" w14:paraId="4F9E7C09" w14:textId="0A61FBC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5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Pr="00BD50E2" w:rsidR="00BD50E2" w:rsidTr="00F26541" w14:paraId="44CA8137" w14:textId="77777777">
        <w:trPr>
          <w:trHeight w:val="1393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12CCD2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731409" w:rsidP="00886D79" w:rsidRDefault="0007278B" w14:paraId="418643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Pr="007C53C5" w:rsidR="007C53C5" w:rsidP="007C53C5" w:rsidRDefault="007C53C5" w14:paraId="2720DB1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C53C5" w:rsidR="007C53C5" w:rsidP="007C53C5" w:rsidRDefault="007C53C5" w14:paraId="428AE5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C53C5" w:rsidR="007C53C5" w:rsidP="007C53C5" w:rsidRDefault="007C53C5" w14:paraId="35C0B01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C53C5" w:rsidR="007C53C5" w:rsidP="007C53C5" w:rsidRDefault="007C53C5" w14:paraId="275BB87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C53C5" w:rsidR="007C53C5" w:rsidP="007C53C5" w:rsidRDefault="007C53C5" w14:paraId="5DAAB23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C53C5" w:rsidR="007C53C5" w:rsidP="007C53C5" w:rsidRDefault="007C53C5" w14:paraId="7652918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C53C5" w:rsidR="007C53C5" w:rsidP="007C53C5" w:rsidRDefault="007C53C5" w14:paraId="0A62586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C53C5" w:rsidR="007C53C5" w:rsidP="007C53C5" w:rsidRDefault="007C53C5" w14:paraId="7EF546D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7C53C5" w:rsidR="007C53C5" w:rsidP="007C53C5" w:rsidRDefault="007C53C5" w14:paraId="57E2D51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7C53C5" w:rsidP="007C53C5" w:rsidRDefault="007C53C5" w14:paraId="465EAFBB" w14:textId="77777777">
            <w:pP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  <w:p w:rsidR="007C53C5" w:rsidP="007C53C5" w:rsidRDefault="007C53C5" w14:paraId="3382F688" w14:textId="77777777">
            <w:pPr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82B67" w:rsidR="00582B67" w:rsidP="00582B67" w:rsidRDefault="00582B67" w14:paraId="0C4B466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82B67" w:rsidR="00582B67" w:rsidP="00582B67" w:rsidRDefault="00582B67" w14:paraId="7205086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82B67" w:rsidR="00582B67" w:rsidP="00582B67" w:rsidRDefault="00582B67" w14:paraId="03837C4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82B67" w:rsidR="00582B67" w:rsidP="007B6E4B" w:rsidRDefault="00582B67" w14:paraId="407B144D" w14:textId="77777777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82B67" w:rsidR="00582B67" w:rsidP="007B6E4B" w:rsidRDefault="00582B67" w14:paraId="0F8281CA" w14:textId="6643575A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608B" w:rsidR="007B6E4B" w:rsidP="00EB2809" w:rsidRDefault="00F10CAD" w14:paraId="374AD68C" w14:textId="639F5A34">
            <w:pPr>
              <w:spacing w:after="0" w:line="240" w:lineRule="auto"/>
              <w:ind w:right="10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E5C60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Noteikumu proje</w:t>
            </w:r>
            <w:r w:rsidRPr="000E5C60" w:rsidR="00CD23DA">
              <w:rPr>
                <w:rFonts w:ascii="Times New Roman" w:hAnsi="Times New Roman" w:eastAsia="Calibri" w:cs="Times New Roman"/>
                <w:sz w:val="24"/>
                <w:szCs w:val="24"/>
              </w:rPr>
              <w:t>k</w:t>
            </w:r>
            <w:r w:rsidRPr="000E5C6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ts </w:t>
            </w:r>
            <w:r w:rsidR="00D002C9">
              <w:rPr>
                <w:rFonts w:ascii="Times New Roman" w:hAnsi="Times New Roman" w:eastAsia="Calibri" w:cs="Times New Roman"/>
                <w:sz w:val="24"/>
                <w:szCs w:val="24"/>
              </w:rPr>
              <w:t>“Grozījumi</w:t>
            </w:r>
            <w:r w:rsidRPr="000E5C60" w:rsidR="00AC79D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Ministru kabineta </w:t>
            </w:r>
            <w:r w:rsidRPr="000E5C60" w:rsidR="00AC79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2020. gada 9. jūnija noteikumos Nr. 360 “</w:t>
            </w:r>
            <w:hyperlink w:tgtFrame="_blank" w:history="1" r:id="rId12">
              <w:r w:rsidRPr="000E5C60" w:rsidR="00AC79DF">
                <w:rPr>
                  <w:rFonts w:ascii="Times New Roman" w:hAnsi="Times New Roman" w:eastAsia="Times New Roman" w:cs="Times New Roman"/>
                  <w:sz w:val="24"/>
                  <w:szCs w:val="24"/>
                  <w:lang w:eastAsia="lv-LV"/>
                </w:rPr>
                <w:t>Epidemioloģiskās drošības pasākumi Covid-19 infekcijas izplatības ierobežošanai</w:t>
              </w:r>
            </w:hyperlink>
            <w:r w:rsidRPr="000E5C60" w:rsidR="00AC79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”</w:t>
            </w:r>
            <w:r w:rsidR="00D002C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”</w:t>
            </w:r>
            <w:r w:rsidRPr="000E5C60" w:rsidR="00AC79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(turpmāk</w:t>
            </w:r>
            <w:r w:rsidRPr="000E5C60" w:rsidR="00446A1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– Noteikumu projekts) </w:t>
            </w:r>
            <w:r w:rsidR="00D002C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paredz grozīt </w:t>
            </w:r>
            <w:r w:rsidRPr="000E5C60" w:rsidR="00446A1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0E5C60" w:rsidR="00087C1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palielināt pieļaujamo pasažieru skaitu sabiedriskajos transportlīdzekļos no šobrīd spēkā esošā </w:t>
            </w:r>
            <w:r w:rsidRPr="000E5C60" w:rsidR="00154CC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50% </w:t>
            </w:r>
            <w:r w:rsidRPr="000E5C60" w:rsidR="00CE413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ietilpības </w:t>
            </w:r>
            <w:r w:rsidRPr="000E5C60" w:rsidR="00154CC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ierobežojuma uz </w:t>
            </w:r>
            <w:r w:rsidR="0000608B">
              <w:rPr>
                <w:rFonts w:ascii="Times New Roman" w:hAnsi="Times New Roman" w:eastAsia="Calibri" w:cs="Times New Roman"/>
                <w:sz w:val="24"/>
                <w:szCs w:val="24"/>
              </w:rPr>
              <w:t>65</w:t>
            </w:r>
            <w:r w:rsidRPr="000E5C60" w:rsidR="00154CCB">
              <w:rPr>
                <w:rFonts w:ascii="Times New Roman" w:hAnsi="Times New Roman" w:eastAsia="Calibri" w:cs="Times New Roman"/>
                <w:sz w:val="24"/>
                <w:szCs w:val="24"/>
              </w:rPr>
              <w:t>%.</w:t>
            </w:r>
            <w:r w:rsidRPr="000E5C60" w:rsidR="00087C1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="000659D4">
              <w:rPr>
                <w:rFonts w:ascii="Times New Roman" w:hAnsi="Times New Roman" w:eastAsia="Calibri" w:cs="Times New Roman"/>
                <w:sz w:val="24"/>
                <w:szCs w:val="24"/>
              </w:rPr>
              <w:t>N</w:t>
            </w:r>
            <w:r w:rsidRPr="000E5C60" w:rsidR="007B6E4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e reti maršruta vidus posmos ārpus apdzīvotām vietām pārvadātājs neuzņem 1-2 pasažierus, </w:t>
            </w:r>
            <w:r w:rsidR="00D002C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pamatojoties uz </w:t>
            </w:r>
            <w:r w:rsidRPr="000E5C60" w:rsidR="007B6E4B">
              <w:rPr>
                <w:rFonts w:ascii="Times New Roman" w:hAnsi="Times New Roman" w:eastAsia="Calibri" w:cs="Times New Roman"/>
                <w:sz w:val="24"/>
                <w:szCs w:val="24"/>
              </w:rPr>
              <w:t>strikti noteikt</w:t>
            </w:r>
            <w:r w:rsidR="00D002C9">
              <w:rPr>
                <w:rFonts w:ascii="Times New Roman" w:hAnsi="Times New Roman" w:eastAsia="Calibri" w:cs="Times New Roman"/>
                <w:sz w:val="24"/>
                <w:szCs w:val="24"/>
              </w:rPr>
              <w:t>o pasažieru</w:t>
            </w:r>
            <w:r w:rsidRPr="000E5C60" w:rsidR="007B6E4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skaita ierobežojum</w:t>
            </w:r>
            <w:r w:rsidR="00D002C9">
              <w:rPr>
                <w:rFonts w:ascii="Times New Roman" w:hAnsi="Times New Roman" w:eastAsia="Calibri" w:cs="Times New Roman"/>
                <w:sz w:val="24"/>
                <w:szCs w:val="24"/>
              </w:rPr>
              <w:t>u</w:t>
            </w:r>
            <w:r w:rsidRPr="000E5C60" w:rsidR="007B6E4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lai gan, piemēram, </w:t>
            </w:r>
            <w:r w:rsidR="00D002C9">
              <w:rPr>
                <w:rFonts w:ascii="Times New Roman" w:hAnsi="Times New Roman" w:eastAsia="Calibri" w:cs="Times New Roman"/>
                <w:sz w:val="24"/>
                <w:szCs w:val="24"/>
              </w:rPr>
              <w:t>nākamajā</w:t>
            </w:r>
            <w:r w:rsidRPr="000E5C60" w:rsidR="00D002C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000E5C60" w:rsidR="007B6E4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maršruta pieturā vietas atbrīvojas. </w:t>
            </w:r>
            <w:r w:rsidRPr="000E5C60" w:rsidR="000659D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Lai nodrošinātu iedzīvotāju mobilitāti reģionālās satiksmes maršrutos, kur sabiedriskā transports pieejams retāk un nav pieejami citi sabiedriskā transporta pakalpojumi, </w:t>
            </w:r>
            <w:r w:rsidRPr="000E5C60" w:rsidR="007B6E4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noteikumu projekts paredz šādās  situācijās pārvadātāja tiesības uzņemt vairāk kā </w:t>
            </w:r>
            <w:r w:rsidR="0000608B">
              <w:rPr>
                <w:rFonts w:ascii="Times New Roman" w:hAnsi="Times New Roman" w:eastAsia="Calibri" w:cs="Times New Roman"/>
                <w:sz w:val="24"/>
                <w:szCs w:val="24"/>
              </w:rPr>
              <w:t>65</w:t>
            </w:r>
            <w:r w:rsidRPr="000E5C60" w:rsidR="007B6E4B">
              <w:rPr>
                <w:rFonts w:ascii="Times New Roman" w:hAnsi="Times New Roman" w:eastAsia="Calibri" w:cs="Times New Roman"/>
                <w:sz w:val="24"/>
                <w:szCs w:val="24"/>
              </w:rPr>
              <w:t>% no transportlīdzekļa ietilpības vai</w:t>
            </w:r>
            <w:r w:rsidRPr="000E5C60" w:rsidR="007B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nepārsniedzot </w:t>
            </w:r>
            <w:r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0E5C60" w:rsidR="007B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%. Piemēram, ja reģionālās satiksmes autobusa ietilpība ir 42 vietas, </w:t>
            </w:r>
            <w:r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  <w:r w:rsidRPr="000E5C60" w:rsidR="007B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 sastādīs 2</w:t>
            </w:r>
            <w:r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0E5C60" w:rsidR="007B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vietas, bet </w:t>
            </w:r>
            <w:r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0E5C60" w:rsidR="007B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% - </w:t>
            </w:r>
            <w:r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 </w:t>
            </w:r>
            <w:r w:rsidRPr="000E5C60" w:rsidR="007B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vietas un iespējams maršrutā uzņemt vēl līdz </w:t>
            </w:r>
            <w:r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E5C60" w:rsidR="007B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pasažieri</w:t>
            </w:r>
            <w:r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</w:t>
            </w:r>
            <w:r w:rsidRPr="000E5C60" w:rsidR="007B6E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Kontroles pasākumu veikšanai projekts </w:t>
            </w:r>
            <w:r w:rsidRPr="0000608B"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paredz noteikt, ka pārvadātājam transportlīdzekļa salonā jāizvieto informāciju par pieļaujamo pasažieru skaitu.</w:t>
            </w:r>
          </w:p>
          <w:p w:rsidRPr="000E5C60" w:rsidR="007873B8" w:rsidP="00374335" w:rsidRDefault="007B6E4B" w14:paraId="5903AE7A" w14:textId="3644016E">
            <w:pPr>
              <w:pStyle w:val="NoSpacing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0608B" w:rsidR="00446A16">
              <w:rPr>
                <w:rFonts w:ascii="Times New Roman" w:hAnsi="Times New Roman"/>
                <w:sz w:val="24"/>
                <w:szCs w:val="24"/>
              </w:rPr>
              <w:t>Pasažieru pārvadājumu ar autobusiem nodrošinājums</w:t>
            </w:r>
            <w:r w:rsidRPr="000E5C60" w:rsidR="00446A16">
              <w:rPr>
                <w:rFonts w:ascii="Times New Roman" w:hAnsi="Times New Roman"/>
                <w:sz w:val="24"/>
                <w:szCs w:val="24"/>
              </w:rPr>
              <w:t xml:space="preserve"> atbilstoši pieprasījumam īpaši maksimuma stundās, nemainot pasažieru skaita ierobežojumu</w:t>
            </w:r>
            <w:r w:rsidR="00D002C9">
              <w:rPr>
                <w:rFonts w:ascii="Times New Roman" w:hAnsi="Times New Roman"/>
                <w:sz w:val="24"/>
                <w:szCs w:val="24"/>
              </w:rPr>
              <w:t>,</w:t>
            </w:r>
            <w:r w:rsidRPr="000E5C60" w:rsidR="00446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C60" w:rsidR="00B15C86">
              <w:rPr>
                <w:rFonts w:ascii="Times New Roman" w:hAnsi="Times New Roman"/>
                <w:sz w:val="24"/>
                <w:szCs w:val="24"/>
              </w:rPr>
              <w:t xml:space="preserve">turpmāk </w:t>
            </w:r>
            <w:r w:rsidRPr="000E5C60" w:rsidR="00446A16">
              <w:rPr>
                <w:rFonts w:ascii="Times New Roman" w:hAnsi="Times New Roman"/>
                <w:sz w:val="24"/>
                <w:szCs w:val="24"/>
              </w:rPr>
              <w:t>var nebūt iespējam</w:t>
            </w:r>
            <w:r w:rsidRPr="000E5C60" w:rsidR="00C33714">
              <w:rPr>
                <w:rFonts w:ascii="Times New Roman" w:hAnsi="Times New Roman"/>
                <w:sz w:val="24"/>
                <w:szCs w:val="24"/>
              </w:rPr>
              <w:t>s</w:t>
            </w:r>
            <w:r w:rsidRPr="000E5C60" w:rsidR="00446A16">
              <w:rPr>
                <w:rFonts w:ascii="Times New Roman" w:hAnsi="Times New Roman"/>
                <w:sz w:val="24"/>
                <w:szCs w:val="24"/>
              </w:rPr>
              <w:t xml:space="preserve"> pārvadātāju tehnisko resursu dēļ, jo arī ar </w:t>
            </w:r>
            <w:r w:rsidRPr="000E5C60" w:rsidR="00446A16">
              <w:rPr>
                <w:rFonts w:ascii="Times New Roman" w:hAnsi="Times New Roman" w:eastAsia="Times New Roman"/>
                <w:sz w:val="24"/>
                <w:szCs w:val="24"/>
              </w:rPr>
              <w:t>esoš</w:t>
            </w:r>
            <w:r w:rsidR="00D002C9">
              <w:rPr>
                <w:rFonts w:ascii="Times New Roman" w:hAnsi="Times New Roman" w:eastAsia="Times New Roman"/>
                <w:sz w:val="24"/>
                <w:szCs w:val="24"/>
              </w:rPr>
              <w:t>o</w:t>
            </w:r>
            <w:r w:rsidRPr="000E5C60" w:rsidR="00446A16">
              <w:rPr>
                <w:rFonts w:ascii="Times New Roman" w:hAnsi="Times New Roman" w:eastAsia="Times New Roman"/>
                <w:sz w:val="24"/>
                <w:szCs w:val="24"/>
              </w:rPr>
              <w:t xml:space="preserve"> 50% ierobežojum</w:t>
            </w:r>
            <w:r w:rsidR="00D002C9">
              <w:rPr>
                <w:rFonts w:ascii="Times New Roman" w:hAnsi="Times New Roman" w:eastAsia="Times New Roman"/>
                <w:sz w:val="24"/>
                <w:szCs w:val="24"/>
              </w:rPr>
              <w:t>u</w:t>
            </w:r>
            <w:r w:rsidRPr="000E5C60" w:rsidR="00446A16">
              <w:rPr>
                <w:rFonts w:ascii="Times New Roman" w:hAnsi="Times New Roman" w:eastAsia="Times New Roman"/>
                <w:sz w:val="24"/>
                <w:szCs w:val="24"/>
              </w:rPr>
              <w:t xml:space="preserve"> transportlīdzekļu kapacitātes iespējas ir ierobežotas.</w:t>
            </w:r>
            <w:r w:rsidRPr="000E5C60" w:rsidR="00446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C60" w:rsidR="00BA5665">
              <w:rPr>
                <w:rFonts w:ascii="Times New Roman" w:hAnsi="Times New Roman"/>
                <w:sz w:val="24"/>
                <w:szCs w:val="24"/>
              </w:rPr>
              <w:t>Vienlaikus</w:t>
            </w:r>
            <w:r w:rsidR="00D002C9">
              <w:rPr>
                <w:rFonts w:ascii="Times New Roman" w:hAnsi="Times New Roman"/>
                <w:sz w:val="24"/>
                <w:szCs w:val="24"/>
              </w:rPr>
              <w:t>,</w:t>
            </w:r>
            <w:r w:rsidRPr="000E5C60" w:rsidR="00BA5665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0E5C60" w:rsidR="007873B8">
              <w:rPr>
                <w:rFonts w:ascii="Times New Roman" w:hAnsi="Times New Roman"/>
                <w:sz w:val="24"/>
                <w:szCs w:val="24"/>
              </w:rPr>
              <w:t>ieaugot pasažieru skaitam</w:t>
            </w:r>
            <w:r w:rsidR="00D002C9">
              <w:rPr>
                <w:rFonts w:ascii="Times New Roman" w:hAnsi="Times New Roman"/>
                <w:sz w:val="24"/>
                <w:szCs w:val="24"/>
              </w:rPr>
              <w:t>,</w:t>
            </w:r>
            <w:r w:rsidRPr="000E5C60" w:rsidR="007873B8">
              <w:rPr>
                <w:rFonts w:ascii="Times New Roman" w:hAnsi="Times New Roman"/>
                <w:sz w:val="24"/>
                <w:szCs w:val="24"/>
              </w:rPr>
              <w:t xml:space="preserve"> būs nepi</w:t>
            </w:r>
            <w:r w:rsidRPr="000E5C60" w:rsidR="00BA5665">
              <w:rPr>
                <w:rFonts w:ascii="Times New Roman" w:hAnsi="Times New Roman"/>
                <w:sz w:val="24"/>
                <w:szCs w:val="24"/>
              </w:rPr>
              <w:t>e</w:t>
            </w:r>
            <w:r w:rsidRPr="000E5C60" w:rsidR="007873B8">
              <w:rPr>
                <w:rFonts w:ascii="Times New Roman" w:hAnsi="Times New Roman"/>
                <w:sz w:val="24"/>
                <w:szCs w:val="24"/>
              </w:rPr>
              <w:t>ciešam</w:t>
            </w:r>
            <w:r w:rsidRPr="000E5C60" w:rsidR="00BA5665">
              <w:rPr>
                <w:rFonts w:ascii="Times New Roman" w:hAnsi="Times New Roman"/>
                <w:sz w:val="24"/>
                <w:szCs w:val="24"/>
              </w:rPr>
              <w:t>s</w:t>
            </w:r>
            <w:r w:rsidRPr="000E5C60" w:rsidR="007873B8">
              <w:rPr>
                <w:rFonts w:ascii="Times New Roman" w:hAnsi="Times New Roman"/>
                <w:sz w:val="24"/>
                <w:szCs w:val="24"/>
              </w:rPr>
              <w:t xml:space="preserve"> palielināt reisu skaitu</w:t>
            </w:r>
            <w:r w:rsidRPr="000E5C60" w:rsidR="00BA5665">
              <w:rPr>
                <w:rFonts w:ascii="Times New Roman" w:hAnsi="Times New Roman"/>
                <w:sz w:val="24"/>
                <w:szCs w:val="24"/>
              </w:rPr>
              <w:t>.</w:t>
            </w:r>
            <w:r w:rsidRPr="000E5C60" w:rsidR="00787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0E5C60" w:rsidR="00374335" w:rsidP="00374335" w:rsidRDefault="002861F7" w14:paraId="44D93632" w14:textId="0192B7C5">
            <w:pPr>
              <w:pStyle w:val="NoSpacing"/>
              <w:ind w:right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5C60" w:rsidR="007B6E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E5C60" w:rsidR="00BA5665">
              <w:rPr>
                <w:rFonts w:ascii="Times New Roman" w:hAnsi="Times New Roman"/>
                <w:sz w:val="24"/>
                <w:szCs w:val="24"/>
              </w:rPr>
              <w:t>A</w:t>
            </w:r>
            <w:r w:rsidRPr="000E5C60" w:rsidR="00C33714">
              <w:rPr>
                <w:rFonts w:ascii="Times New Roman" w:hAnsi="Times New Roman"/>
                <w:sz w:val="24"/>
                <w:szCs w:val="24"/>
              </w:rPr>
              <w:t xml:space="preserve">r noteiktajiem ierobežojumiem, </w:t>
            </w:r>
            <w:r w:rsidRPr="000E5C60" w:rsidR="00060C50">
              <w:rPr>
                <w:rFonts w:ascii="Times New Roman" w:hAnsi="Times New Roman"/>
                <w:sz w:val="24"/>
                <w:szCs w:val="24"/>
              </w:rPr>
              <w:t>pasažieru skaita samazinājum</w:t>
            </w:r>
            <w:r w:rsidRPr="000E5C60" w:rsidR="00BA5665">
              <w:rPr>
                <w:rFonts w:ascii="Times New Roman" w:hAnsi="Times New Roman"/>
                <w:sz w:val="24"/>
                <w:szCs w:val="24"/>
              </w:rPr>
              <w:t>u</w:t>
            </w:r>
            <w:r w:rsidRPr="000E5C60" w:rsidR="00060C50">
              <w:rPr>
                <w:rFonts w:ascii="Times New Roman" w:hAnsi="Times New Roman"/>
                <w:sz w:val="24"/>
                <w:szCs w:val="24"/>
              </w:rPr>
              <w:t xml:space="preserve"> un biļešu ieņēmumu kritumu </w:t>
            </w:r>
            <w:r w:rsidRPr="000E5C60" w:rsidR="00C33714">
              <w:rPr>
                <w:rFonts w:ascii="Times New Roman" w:hAnsi="Times New Roman"/>
                <w:sz w:val="24"/>
                <w:szCs w:val="24"/>
              </w:rPr>
              <w:t>sabiedriskā transporta pakalpojumu sniedzējiem ir radušies ievērojami zaudējum</w:t>
            </w:r>
            <w:r w:rsidRPr="000E5C60" w:rsidR="00CE4134">
              <w:rPr>
                <w:rFonts w:ascii="Times New Roman" w:hAnsi="Times New Roman"/>
                <w:sz w:val="24"/>
                <w:szCs w:val="24"/>
              </w:rPr>
              <w:t>i</w:t>
            </w:r>
            <w:r w:rsidRPr="000E5C60" w:rsidR="00804D4E">
              <w:rPr>
                <w:rFonts w:ascii="Times New Roman" w:hAnsi="Times New Roman"/>
                <w:sz w:val="24"/>
                <w:szCs w:val="24"/>
              </w:rPr>
              <w:t>. L</w:t>
            </w:r>
            <w:r w:rsidRPr="000E5C60" w:rsidR="00DC507E">
              <w:rPr>
                <w:rFonts w:ascii="Times New Roman" w:hAnsi="Times New Roman"/>
                <w:sz w:val="24"/>
                <w:szCs w:val="24"/>
              </w:rPr>
              <w:t xml:space="preserve">ai kompensētu reģionālās nozīmes pārvadājumos ar autobusiem un vilcieniem radušos zaudējumus sakarā ar ārkārtējās situācijas Covid-19 infekcijas izplatības rezultātā noteiktajiem drošības un sociālās </w:t>
            </w:r>
            <w:proofErr w:type="spellStart"/>
            <w:r w:rsidRPr="000E5C60" w:rsidR="00DC507E">
              <w:rPr>
                <w:rFonts w:ascii="Times New Roman" w:hAnsi="Times New Roman"/>
                <w:sz w:val="24"/>
                <w:szCs w:val="24"/>
              </w:rPr>
              <w:t>distancēšanās</w:t>
            </w:r>
            <w:proofErr w:type="spellEnd"/>
            <w:r w:rsidRPr="000E5C60" w:rsidR="00DC507E">
              <w:rPr>
                <w:rFonts w:ascii="Times New Roman" w:hAnsi="Times New Roman"/>
                <w:sz w:val="24"/>
                <w:szCs w:val="24"/>
              </w:rPr>
              <w:t xml:space="preserve"> pasākumiem sabiedriskajā transportā, kā arī ārkārtējās situācijas seku mazināšanai 2021.gada 1.pusgadā no valsts budžeta programmas 02.00.00 “Līdzekļi neparedzētiem gadījumiem”</w:t>
            </w:r>
            <w:r w:rsidRPr="000E5C60" w:rsidR="00573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C60" w:rsidR="00374335">
              <w:rPr>
                <w:rFonts w:ascii="Times New Roman" w:hAnsi="Times New Roman"/>
                <w:sz w:val="24"/>
                <w:szCs w:val="24"/>
              </w:rPr>
              <w:t xml:space="preserve">Ministru kabinets piešķīris 11 450 695 </w:t>
            </w:r>
            <w:proofErr w:type="spellStart"/>
            <w:r w:rsidRPr="000E5C60" w:rsidR="00374335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0E5C60" w:rsidR="00B2468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Pr="000E5C60" w:rsidR="007312E6" w:rsidP="007312E6" w:rsidRDefault="00FD7D70" w14:paraId="189BD5F3" w14:textId="627A535E">
            <w:pPr>
              <w:spacing w:after="0" w:line="240" w:lineRule="auto"/>
              <w:ind w:right="10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E5C6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  </w:t>
            </w:r>
            <w:r w:rsidRPr="000E5C60" w:rsidR="007312E6">
              <w:rPr>
                <w:rFonts w:ascii="Times New Roman" w:hAnsi="Times New Roman" w:eastAsia="Times New Roman" w:cs="Times New Roman"/>
                <w:sz w:val="24"/>
                <w:szCs w:val="24"/>
              </w:rPr>
              <w:t>Saslimstības rādītājam krītoties un sasniedzot mazāka riska zonu, būtu jā</w:t>
            </w:r>
            <w:r w:rsidRPr="000E5C60" w:rsidR="001407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vērtē </w:t>
            </w:r>
            <w:r w:rsidRPr="000E5C60" w:rsidR="007312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arī noteikto ierobežojumu </w:t>
            </w:r>
            <w:r w:rsidR="002861F7">
              <w:rPr>
                <w:rFonts w:ascii="Times New Roman" w:hAnsi="Times New Roman" w:eastAsia="Times New Roman" w:cs="Times New Roman"/>
                <w:sz w:val="24"/>
                <w:szCs w:val="24"/>
              </w:rPr>
              <w:t>sal</w:t>
            </w:r>
            <w:r w:rsidRPr="000E5C60" w:rsidR="007312E6">
              <w:rPr>
                <w:rFonts w:ascii="Times New Roman" w:hAnsi="Times New Roman" w:eastAsia="Times New Roman" w:cs="Times New Roman"/>
                <w:sz w:val="24"/>
                <w:szCs w:val="24"/>
              </w:rPr>
              <w:t>āgošana</w:t>
            </w:r>
            <w:r w:rsidR="002861F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ar sabiedriskā </w:t>
            </w:r>
            <w:r w:rsidR="002861F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transporta pakalpojumu nodrošināšanu</w:t>
            </w:r>
            <w:r w:rsidRPr="000E5C60" w:rsidR="007312E6">
              <w:rPr>
                <w:rFonts w:ascii="Times New Roman" w:hAnsi="Times New Roman" w:eastAsia="Times New Roman" w:cs="Times New Roman"/>
                <w:sz w:val="24"/>
                <w:szCs w:val="24"/>
              </w:rPr>
              <w:t>, jo mazāki saslimstības rādītāji ir faktors</w:t>
            </w:r>
            <w:r w:rsidR="00D002C9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000E5C60" w:rsidR="007312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kura</w:t>
            </w:r>
            <w:r w:rsidR="00D002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dēļ</w:t>
            </w:r>
            <w:r w:rsidRPr="000E5C60" w:rsidR="007312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daļa pasažieru izdara izvēli attiecībā uz sabiedriskā transporta pakalpojum</w:t>
            </w:r>
            <w:r w:rsidR="00D002C9"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 w:rsidRPr="000E5C60" w:rsidR="007312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izmantošanu.</w:t>
            </w:r>
            <w:r w:rsidRPr="000E5C60" w:rsidR="00230E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0E5C60" w:rsidR="00032CE4" w:rsidP="00032CE4" w:rsidRDefault="00032CE4" w14:paraId="6046CE8A" w14:textId="02A22FC2">
            <w:pPr>
              <w:pStyle w:val="NoSpacing"/>
              <w:ind w:right="105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0E5C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E5C60" w:rsidR="001735CB">
              <w:rPr>
                <w:rFonts w:ascii="Times New Roman" w:hAnsi="Times New Roman"/>
                <w:sz w:val="24"/>
                <w:szCs w:val="24"/>
              </w:rPr>
              <w:t xml:space="preserve">Kopš 2021.gada 1.jūnija </w:t>
            </w:r>
            <w:r w:rsidRPr="000E5C60" w:rsidR="00461DB3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0E5C60" w:rsidR="00CE4134">
              <w:rPr>
                <w:rFonts w:ascii="Times New Roman" w:hAnsi="Times New Roman"/>
                <w:sz w:val="24"/>
                <w:szCs w:val="24"/>
              </w:rPr>
              <w:t xml:space="preserve">būtiski </w:t>
            </w:r>
            <w:r w:rsidRPr="000E5C60" w:rsidR="00461DB3">
              <w:rPr>
                <w:rFonts w:ascii="Times New Roman" w:hAnsi="Times New Roman"/>
                <w:sz w:val="24"/>
                <w:szCs w:val="24"/>
              </w:rPr>
              <w:t xml:space="preserve">samazināti </w:t>
            </w:r>
            <w:r w:rsidRPr="000E5C60" w:rsidR="00434E1D">
              <w:rPr>
                <w:rFonts w:ascii="Times New Roman" w:hAnsi="Times New Roman"/>
                <w:sz w:val="24"/>
                <w:szCs w:val="24"/>
              </w:rPr>
              <w:t>d</w:t>
            </w:r>
            <w:r w:rsidRPr="000E5C60" w:rsidR="001735CB">
              <w:rPr>
                <w:rFonts w:ascii="Times New Roman" w:hAnsi="Times New Roman"/>
                <w:sz w:val="24"/>
                <w:szCs w:val="24"/>
              </w:rPr>
              <w:t>a</w:t>
            </w:r>
            <w:r w:rsidRPr="000E5C60" w:rsidR="00434E1D">
              <w:rPr>
                <w:rFonts w:ascii="Times New Roman" w:hAnsi="Times New Roman"/>
                <w:sz w:val="24"/>
                <w:szCs w:val="24"/>
              </w:rPr>
              <w:t>žādi i</w:t>
            </w:r>
            <w:r w:rsidRPr="000E5C60" w:rsidR="00461DB3">
              <w:rPr>
                <w:rFonts w:ascii="Times New Roman" w:hAnsi="Times New Roman"/>
                <w:sz w:val="24"/>
                <w:szCs w:val="24"/>
              </w:rPr>
              <w:t>erobežojumi –</w:t>
            </w:r>
            <w:r w:rsidRPr="000E5C60" w:rsidR="0017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C60" w:rsidR="00461DB3">
              <w:rPr>
                <w:rFonts w:ascii="Times New Roman" w:hAnsi="Times New Roman"/>
                <w:sz w:val="24"/>
                <w:szCs w:val="24"/>
              </w:rPr>
              <w:t>atļauti klātienes pasākumi, atvērta tirdzniecība, dažādu pakalpojumu sniegšana, ēdināšanas un izklaides sektora darbība u.c., kas nozīmē gan apmeklētāju</w:t>
            </w:r>
            <w:r w:rsidRPr="000E5C60" w:rsidR="001735CB">
              <w:rPr>
                <w:rFonts w:ascii="Times New Roman" w:hAnsi="Times New Roman"/>
                <w:sz w:val="24"/>
                <w:szCs w:val="24"/>
              </w:rPr>
              <w:t>,</w:t>
            </w:r>
            <w:r w:rsidRPr="000E5C60" w:rsidR="00461DB3">
              <w:rPr>
                <w:rFonts w:ascii="Times New Roman" w:hAnsi="Times New Roman"/>
                <w:sz w:val="24"/>
                <w:szCs w:val="24"/>
              </w:rPr>
              <w:t xml:space="preserve"> gan </w:t>
            </w:r>
            <w:r w:rsidRPr="000E5C60" w:rsidR="001735CB">
              <w:rPr>
                <w:rFonts w:ascii="Times New Roman" w:hAnsi="Times New Roman"/>
                <w:sz w:val="24"/>
                <w:szCs w:val="24"/>
              </w:rPr>
              <w:t xml:space="preserve">pakalpojumu sniedzēju un tirdzniecības </w:t>
            </w:r>
            <w:r w:rsidRPr="000E5C60" w:rsidR="00461DB3">
              <w:rPr>
                <w:rFonts w:ascii="Times New Roman" w:hAnsi="Times New Roman"/>
                <w:sz w:val="24"/>
                <w:szCs w:val="24"/>
              </w:rPr>
              <w:t>darbinieku plūsmas palielināšanās un nepieciešamību pārvietoties ar sabiedrisko transportu. A</w:t>
            </w:r>
            <w:r w:rsidRPr="000E5C60" w:rsidR="00461DB3">
              <w:rPr>
                <w:rFonts w:ascii="Times New Roman" w:hAnsi="Times New Roman" w:eastAsia="Times New Roman"/>
                <w:sz w:val="24"/>
                <w:szCs w:val="24"/>
              </w:rPr>
              <w:t>tsevišķi tirgotāji publiski pauduši informāciju, ka pēc ierobežojumu mazināšanas, tirdzniecības vietās tiks pagarināts darba laiks.</w:t>
            </w:r>
            <w:r w:rsidRPr="000E5C60" w:rsidR="005A1EC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0E5C60" w:rsidR="00EF549E">
              <w:rPr>
                <w:rFonts w:ascii="Times New Roman" w:hAnsi="Times New Roman" w:eastAsia="Times New Roman"/>
                <w:sz w:val="24"/>
                <w:szCs w:val="24"/>
              </w:rPr>
              <w:t>Vienlaikus</w:t>
            </w:r>
            <w:r w:rsidRPr="000E5C60" w:rsidR="00434E1D">
              <w:rPr>
                <w:rFonts w:ascii="Times New Roman" w:hAnsi="Times New Roman" w:eastAsia="Times New Roman"/>
                <w:sz w:val="24"/>
                <w:szCs w:val="24"/>
              </w:rPr>
              <w:t xml:space="preserve"> atbilstoši pieprasījumam būs </w:t>
            </w:r>
            <w:r w:rsidRPr="000E5C60" w:rsidR="00EF549E">
              <w:rPr>
                <w:rFonts w:ascii="Times New Roman" w:hAnsi="Times New Roman" w:eastAsia="Times New Roman"/>
                <w:sz w:val="24"/>
                <w:szCs w:val="24"/>
              </w:rPr>
              <w:t xml:space="preserve">nepieciešams nodrošināt </w:t>
            </w:r>
            <w:r w:rsidRPr="000E5C60" w:rsidR="00434E1D">
              <w:rPr>
                <w:rFonts w:ascii="Times New Roman" w:hAnsi="Times New Roman" w:eastAsia="Times New Roman"/>
                <w:sz w:val="24"/>
                <w:szCs w:val="24"/>
              </w:rPr>
              <w:t xml:space="preserve">papildus sabiedriskā transporta </w:t>
            </w:r>
            <w:r w:rsidRPr="000E5C60" w:rsidR="00EF549E">
              <w:rPr>
                <w:rFonts w:ascii="Times New Roman" w:hAnsi="Times New Roman" w:eastAsia="Times New Roman"/>
                <w:sz w:val="24"/>
                <w:szCs w:val="24"/>
              </w:rPr>
              <w:t>reisus</w:t>
            </w:r>
            <w:r w:rsidRPr="000E5C60" w:rsidR="00434E1D"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  <w:r w:rsidRPr="000E5C60" w:rsidR="00EF549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643C9B" w:rsidR="00434E1D" w:rsidP="007312E6" w:rsidRDefault="007312E6" w14:paraId="47245E87" w14:textId="3AB05E6A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5C6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  <w:r w:rsidR="002861F7">
              <w:rPr>
                <w:rFonts w:ascii="Times New Roman" w:hAnsi="Times New Roman" w:eastAsia="Times New Roman" w:cs="Times New Roman"/>
                <w:sz w:val="24"/>
                <w:szCs w:val="24"/>
              </w:rPr>
              <w:t>Noteikumu p</w:t>
            </w:r>
            <w:r w:rsidRPr="000E5C60">
              <w:rPr>
                <w:rFonts w:ascii="Times New Roman" w:hAnsi="Times New Roman" w:cs="Times New Roman"/>
                <w:sz w:val="24"/>
                <w:szCs w:val="24"/>
              </w:rPr>
              <w:t>rojekts paredz pakāpeniski, saskaņā ar Veselības ministrijas izstrādāto  plānu Covid-19 drošības pasākumu mazināšanai pēc tā dēvētā luksofora principa</w:t>
            </w:r>
            <w:r w:rsidRPr="000E5C60" w:rsidR="007B6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C60">
              <w:rPr>
                <w:rFonts w:ascii="Times New Roman" w:hAnsi="Times New Roman" w:cs="Times New Roman"/>
                <w:sz w:val="24"/>
                <w:szCs w:val="24"/>
              </w:rPr>
              <w:t xml:space="preserve"> noteikt, ka</w:t>
            </w:r>
            <w:r w:rsidR="00D00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C60">
              <w:rPr>
                <w:rFonts w:ascii="Times New Roman" w:hAnsi="Times New Roman" w:cs="Times New Roman"/>
                <w:sz w:val="24"/>
                <w:szCs w:val="24"/>
              </w:rPr>
              <w:t xml:space="preserve"> ievērojot </w:t>
            </w:r>
            <w:r w:rsidRPr="000E5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dienu kumulatīvos Covid-19 saslimstības rādītājus uz 100 000 iedzīvotājiem</w:t>
            </w:r>
            <w:r w:rsidR="00D00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E5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vidēja riska situācijā (ne vairāk kā 100</w:t>
            </w:r>
            <w:r w:rsidR="00D00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jaunu</w:t>
            </w:r>
            <w:r w:rsidRPr="000E5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saslimstības gadījumu) sabiedriskā transporta pārvadātājs organizē iekāpšanu un izkāpšanu tā, lai pasažieru skaits transportlīdzeklī nepārsniedz 8</w:t>
            </w:r>
            <w:r w:rsidR="000060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0E5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% no tā ietilpības. Savukārt prasības par pasažieru skaita ierobežojumu netiek piemērotas, ja 14 dienu kumulatīvais Covid-19 saslimstības rādītājs uz 100 000 iedzīvotājiem atbilst  z</w:t>
            </w:r>
            <w:r w:rsidRPr="000E5C60">
              <w:rPr>
                <w:rFonts w:ascii="Times New Roman" w:hAnsi="Times New Roman" w:cs="Times New Roman"/>
                <w:sz w:val="24"/>
                <w:szCs w:val="24"/>
              </w:rPr>
              <w:t xml:space="preserve">ema riska situācijā ( ne vairāk kā jaunu 20 saslimstības </w:t>
            </w:r>
            <w:r w:rsidRPr="00D002C9">
              <w:rPr>
                <w:rFonts w:ascii="Times New Roman" w:hAnsi="Times New Roman" w:cs="Times New Roman"/>
                <w:sz w:val="24"/>
                <w:szCs w:val="24"/>
              </w:rPr>
              <w:t>gadījumu</w:t>
            </w:r>
            <w:r w:rsidRPr="00D002C9" w:rsidR="00434E1D">
              <w:rPr>
                <w:rFonts w:ascii="Times New Roman" w:hAnsi="Times New Roman" w:cs="Times New Roman"/>
                <w:sz w:val="24"/>
                <w:szCs w:val="24"/>
              </w:rPr>
              <w:t xml:space="preserve">, atbilstoši </w:t>
            </w:r>
            <w:r w:rsidRPr="0017398F" w:rsidR="00D002C9">
              <w:rPr>
                <w:rFonts w:ascii="Times New Roman" w:hAnsi="Times New Roman" w:cs="Calibri"/>
                <w:sz w:val="24"/>
                <w:szCs w:val="24"/>
              </w:rPr>
              <w:t>Slimību profilakses un kontroles centra tīmekļvietnē publicētajai informācijai</w:t>
            </w:r>
            <w:r w:rsidRPr="0017398F" w:rsidR="00434E1D"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  <w:r w:rsidR="00D002C9">
              <w:rPr>
                <w:rFonts w:ascii="Times New Roman" w:hAnsi="Times New Roman" w:cs="Calibri"/>
                <w:sz w:val="24"/>
                <w:szCs w:val="24"/>
              </w:rPr>
              <w:t>Noteikumu p</w:t>
            </w:r>
            <w:r w:rsidRPr="00D002C9" w:rsidR="00434E1D">
              <w:rPr>
                <w:rFonts w:ascii="Times New Roman" w:hAnsi="Times New Roman" w:cs="Calibri"/>
                <w:sz w:val="24"/>
                <w:szCs w:val="24"/>
              </w:rPr>
              <w:t>rojektā noteikts,</w:t>
            </w:r>
            <w:r w:rsidRPr="000E5C60" w:rsidR="00434E1D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r w:rsidRPr="000E5C60" w:rsidR="00434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sabiedriskā transporta pārvadātājam pakalpojumi  atbilstoši prasībām jāorganizē (biļešu tirdzniecība, sēdvietu marķējums u.c.) ne vēlāk kā trīs dienu laikā</w:t>
            </w:r>
            <w:r w:rsidRPr="002861F7" w:rsidR="00434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</w:t>
            </w:r>
          </w:p>
          <w:p w:rsidR="00643C9B" w:rsidP="000E5C60" w:rsidRDefault="00643C9B" w14:paraId="023D12BE" w14:textId="1B22DF21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61F7" w:rsidR="0079091A">
              <w:rPr>
                <w:rFonts w:ascii="Times New Roman" w:hAnsi="Times New Roman" w:cs="Times New Roman"/>
                <w:sz w:val="24"/>
                <w:szCs w:val="24"/>
              </w:rPr>
              <w:t>Lai pastiprinātu prasīb</w:t>
            </w:r>
            <w:r w:rsidR="00D002C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861F7" w:rsidR="0079091A">
              <w:rPr>
                <w:rFonts w:ascii="Times New Roman" w:hAnsi="Times New Roman" w:cs="Times New Roman"/>
                <w:sz w:val="24"/>
                <w:szCs w:val="24"/>
              </w:rPr>
              <w:t xml:space="preserve"> par sabiedris</w:t>
            </w:r>
            <w:r w:rsidRPr="002861F7" w:rsidR="00DF61F8">
              <w:rPr>
                <w:rFonts w:ascii="Times New Roman" w:hAnsi="Times New Roman" w:cs="Times New Roman"/>
                <w:sz w:val="24"/>
                <w:szCs w:val="24"/>
              </w:rPr>
              <w:t xml:space="preserve">kā </w:t>
            </w:r>
            <w:r w:rsidRPr="002861F7" w:rsidR="0079091A">
              <w:rPr>
                <w:rFonts w:ascii="Times New Roman" w:hAnsi="Times New Roman" w:cs="Times New Roman"/>
                <w:sz w:val="24"/>
                <w:szCs w:val="24"/>
              </w:rPr>
              <w:t>transportlīdzekļa vēdināš</w:t>
            </w:r>
            <w:r w:rsidRPr="002861F7" w:rsidR="00DF61F8">
              <w:rPr>
                <w:rFonts w:ascii="Times New Roman" w:hAnsi="Times New Roman" w:cs="Times New Roman"/>
                <w:sz w:val="24"/>
                <w:szCs w:val="24"/>
              </w:rPr>
              <w:t>anu, n</w:t>
            </w:r>
            <w:r w:rsidRPr="002861F7" w:rsidR="00AC0BE6">
              <w:rPr>
                <w:rFonts w:ascii="Times New Roman" w:hAnsi="Times New Roman" w:cs="Times New Roman"/>
                <w:sz w:val="24"/>
                <w:szCs w:val="24"/>
              </w:rPr>
              <w:t>oteikumu projekts paredz precizēt</w:t>
            </w:r>
            <w:r w:rsidRPr="002861F7" w:rsidR="0033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F7" w:rsidR="000E5C60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2861F7" w:rsidR="003311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861F7" w:rsidR="007B6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61F7" w:rsidR="009C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61F7" w:rsidR="00331120">
              <w:rPr>
                <w:rFonts w:ascii="Times New Roman" w:hAnsi="Times New Roman" w:cs="Times New Roman"/>
                <w:sz w:val="24"/>
                <w:szCs w:val="24"/>
              </w:rPr>
              <w:t>apakšpun</w:t>
            </w:r>
            <w:r w:rsidRPr="002861F7" w:rsidR="00032C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861F7" w:rsidR="00331120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Pr="002861F7" w:rsidR="000E5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1F7" w:rsidR="0033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F7" w:rsidR="009C1E5C">
              <w:rPr>
                <w:rFonts w:ascii="Times New Roman" w:hAnsi="Times New Roman" w:cs="Times New Roman"/>
                <w:sz w:val="24"/>
                <w:szCs w:val="24"/>
              </w:rPr>
              <w:t xml:space="preserve">papildinot regulējumu </w:t>
            </w:r>
            <w:r w:rsidRPr="002861F7" w:rsidR="004D5656">
              <w:rPr>
                <w:rFonts w:ascii="Times New Roman" w:hAnsi="Times New Roman" w:cs="Times New Roman"/>
                <w:sz w:val="24"/>
                <w:szCs w:val="24"/>
              </w:rPr>
              <w:t>un nosakot, ka</w:t>
            </w:r>
            <w:r w:rsidRPr="002861F7" w:rsidR="005E0B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61F7" w:rsidR="004D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F7" w:rsidR="000E5C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861F7" w:rsidR="000E5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 nodrošinātu higiēnas prasību ievērošanu, jāveic regulāru saimnieciskā vai publiskā pakalpojuma nodrošināšanai izmantotā transportlīdzekļa salona un kabīnes virsmu dezinfekciju un vēdināšanu.</w:t>
            </w:r>
            <w:r w:rsidRPr="002861F7" w:rsidR="003311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Pr="000E5C60" w:rsidR="00AC0BE6" w:rsidP="000E5C60" w:rsidRDefault="00643C9B" w14:paraId="2AFCF187" w14:textId="443D7D12">
            <w:pPr>
              <w:spacing w:after="0" w:line="240" w:lineRule="auto"/>
              <w:ind w:right="105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Vienlaikus </w:t>
            </w:r>
            <w:r w:rsidR="00B53D32">
              <w:rPr>
                <w:rFonts w:ascii="Times New Roman" w:hAnsi="Times New Roman" w:cs="Times New Roman"/>
                <w:sz w:val="24"/>
                <w:szCs w:val="24"/>
              </w:rPr>
              <w:t xml:space="preserve">VSIA “Autotransporta direkcija” un pārvadātāji regulāri atgādinās pasažieriem, 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pirms brauciena </w:t>
            </w:r>
            <w:r w:rsidR="00B53D32">
              <w:rPr>
                <w:rFonts w:ascii="Times New Roman" w:hAnsi="Times New Roman" w:cs="Times New Roman"/>
                <w:sz w:val="24"/>
                <w:szCs w:val="24"/>
              </w:rPr>
              <w:t xml:space="preserve">izvērtē brauciena nepieciešamību.  </w:t>
            </w:r>
            <w:r w:rsidRPr="002861F7" w:rsidR="005B1B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Pr="00BD50E2" w:rsidR="00BD50E2" w:rsidTr="00F26541" w14:paraId="64359952" w14:textId="77777777"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27CBE5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542328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5324B" w:rsidR="0007278B" w:rsidP="00AE4EFC" w:rsidRDefault="00CF6A1C" w14:paraId="63E85C9B" w14:textId="4B6580A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05324B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Satiksmes</w:t>
            </w:r>
            <w:r w:rsidRPr="0005324B" w:rsidR="00F3009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ministrija</w:t>
            </w:r>
            <w:r w:rsidR="009C1E5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 VSIA “Autotransporta direkcija”.</w:t>
            </w:r>
            <w:r w:rsidRPr="0005324B" w:rsidR="00A3081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Pr="00BD50E2" w:rsidR="000E2322" w:rsidTr="00F26541" w14:paraId="516EC393" w14:textId="77777777"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7747D80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1A3733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52D1B08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:rsidRPr="00A17EEC" w:rsidR="0007278B" w:rsidP="003D15E2" w:rsidRDefault="0007278B" w14:paraId="5771F00E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Pr="00BD50E2" w:rsidR="00BD50E2" w:rsidTr="009D7D59" w14:paraId="015A4B4E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D50E2" w:rsidR="0007278B" w:rsidP="00AE4EFC" w:rsidRDefault="0007278B" w14:paraId="491338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Pr="00BD50E2" w:rsidR="00BD50E2" w:rsidTr="009D7D59" w14:paraId="3E2E3150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0007972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3E3D6B6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Sabiedrības </w:t>
            </w:r>
            <w:proofErr w:type="spellStart"/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mērķgrupas</w:t>
            </w:r>
            <w:proofErr w:type="spellEnd"/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50E2" w:rsidR="00137903" w:rsidP="00AE4EFC" w:rsidRDefault="00446A16" w14:paraId="554E76BE" w14:textId="3FE823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</w:t>
            </w:r>
            <w:r w:rsidR="0084578F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 ties</w:t>
            </w:r>
            <w:r w:rsidR="0084578F">
              <w:rPr>
                <w:rFonts w:ascii="Times New Roman" w:hAnsi="Times New Roman" w:cs="Times New Roman"/>
                <w:bCs/>
                <w:sz w:val="24"/>
                <w:szCs w:val="24"/>
              </w:rPr>
              <w:t>iskais regulējums attiecas uz sabiedriskā transporta pakalpojumu sniedzējiem un pasažieriem.</w:t>
            </w:r>
          </w:p>
        </w:tc>
      </w:tr>
      <w:tr w:rsidRPr="00BD50E2" w:rsidR="00BD50E2" w:rsidTr="009D7D59" w14:paraId="63982A56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0D269F2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1DB58EB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AF30FC" w:rsidP="00AE4EFC" w:rsidRDefault="00F13454" w14:paraId="5931B922" w14:textId="70AB99C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F13454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Pr="00BD50E2" w:rsidR="00BD50E2" w:rsidTr="009D7D59" w14:paraId="54545A33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5F9D0F0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2756DEC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5A6150" w14:paraId="4AAC7013" w14:textId="5CFC411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Pr="00BD50E2" w:rsidR="00BD50E2" w:rsidTr="009D7D59" w14:paraId="001375C1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4315337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1F63328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3B95E23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Pr="00BD50E2" w:rsidR="0007278B" w:rsidTr="009D7D59" w14:paraId="2928B961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05991B9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5DC37B3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2F59F56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:rsidRPr="00A17EEC" w:rsidR="007E4536" w:rsidP="00D856F7" w:rsidRDefault="007E4536" w14:paraId="725AA495" w14:textId="00F80B93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Pr="00886D79" w:rsidR="00977FBF" w:rsidTr="00886D79" w14:paraId="05574B63" w14:textId="77777777">
        <w:trPr>
          <w:trHeight w:val="36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86D79" w:rsidR="00977FBF" w:rsidP="00977FBF" w:rsidRDefault="00977FBF" w14:paraId="1CAF1F7A" w14:textId="77777777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86D7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Pr="00B86F86" w:rsidR="00886D79" w:rsidTr="00886D79" w14:paraId="58189732" w14:textId="77777777">
        <w:trPr>
          <w:trHeight w:val="360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6F86" w:rsidR="00886D79" w:rsidP="00977FBF" w:rsidRDefault="00886D79" w14:paraId="486EA765" w14:textId="7B7FD7B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highlight w:val="yellow"/>
              </w:rPr>
            </w:pPr>
            <w:r w:rsidRPr="008670E6">
              <w:rPr>
                <w:bCs/>
              </w:rPr>
              <w:t>Projekts šo jomu neskar</w:t>
            </w:r>
            <w:r>
              <w:rPr>
                <w:bCs/>
              </w:rPr>
              <w:t>.</w:t>
            </w:r>
          </w:p>
        </w:tc>
      </w:tr>
    </w:tbl>
    <w:p w:rsidRPr="00A17EEC" w:rsidR="00977FBF" w:rsidP="00D856F7" w:rsidRDefault="00977FBF" w14:paraId="681C31CB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BD50E2" w:rsidR="007E4536" w:rsidTr="006155DA" w14:paraId="086ACBDF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D50E2" w:rsidR="007E4536" w:rsidP="006155DA" w:rsidRDefault="007E4536" w14:paraId="690BE55B" w14:textId="1F22D2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7E453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Pr="00CC11DE" w:rsidR="00CC11DE" w:rsidTr="006155DA" w14:paraId="7B7EB021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A3088" w:rsidR="00CC11DE" w:rsidP="006155DA" w:rsidRDefault="00CC11DE" w14:paraId="55140132" w14:textId="488A0B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DA3088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Pr="00A17EEC" w:rsidR="007E4536" w:rsidP="00D74883" w:rsidRDefault="007E4536" w14:paraId="1A68D5C0" w14:textId="4304E2C1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W w:w="5003" w:type="pct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6"/>
      </w:tblGrid>
      <w:tr w:rsidRPr="00BD50E2" w:rsidR="00BD50E2" w:rsidTr="009D7D59" w14:paraId="564EC935" w14:textId="77777777">
        <w:tc>
          <w:tcPr>
            <w:tcW w:w="9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D50E2" w:rsidR="0007278B" w:rsidP="00AE4EFC" w:rsidRDefault="0007278B" w14:paraId="20401A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Pr="00BD50E2" w:rsidR="00BD50E2" w:rsidTr="009D7D59" w14:paraId="6EDB450D" w14:textId="77777777">
        <w:tc>
          <w:tcPr>
            <w:tcW w:w="9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50E2" w:rsidR="0007278B" w:rsidP="00AE4EFC" w:rsidRDefault="0007278B" w14:paraId="2789DC7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A17EEC" w:rsidR="0007278B" w:rsidP="00AE4EFC" w:rsidRDefault="0007278B" w14:paraId="0A68BDAE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Pr="00BD50E2" w:rsidR="00BD50E2" w:rsidTr="009D7D59" w14:paraId="3B8C0E70" w14:textId="77777777"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D50E2" w:rsidR="0007278B" w:rsidP="00AE4EFC" w:rsidRDefault="0007278B" w14:paraId="6F4169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Pr="00BD50E2" w:rsidR="00BD50E2" w:rsidTr="00A17EEC" w14:paraId="0CD25E89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17EEC" w:rsidRDefault="0007278B" w14:paraId="0712BE86" w14:textId="3366C382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7523DA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50E2" w:rsidR="00137903" w:rsidP="00AE4EFC" w:rsidRDefault="0099298E" w14:paraId="7B7D311F" w14:textId="2A9F594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Pēc p</w:t>
            </w:r>
            <w:r w:rsidRPr="00BD50E2" w:rsidR="0013790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rojekta izstrādes paredzēts informāciju par veiktajiem grozījumiem ievietot</w:t>
            </w:r>
            <w:r w:rsidRPr="00BD50E2" w:rsidR="00E1494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1538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Satiksmes </w:t>
            </w:r>
            <w:r w:rsidRPr="00BD50E2" w:rsidR="00E1494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ministrijas</w:t>
            </w:r>
            <w:r w:rsidR="006A538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1538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un VSIA “Autotransporta direkcija” </w:t>
            </w:r>
            <w:r w:rsidR="00D70DC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tīmekļvietnēs</w:t>
            </w:r>
            <w:r w:rsidRPr="00BD50E2" w:rsidR="0013790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kā arī paredzēts to </w:t>
            </w:r>
            <w:r w:rsidRPr="00BD50E2" w:rsidR="00E1494D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elektroniski </w:t>
            </w:r>
            <w:r w:rsidRPr="00BD50E2" w:rsidR="0013790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izplatīt iesaistītajām organizācijām un institūcijām.</w:t>
            </w:r>
          </w:p>
        </w:tc>
      </w:tr>
      <w:tr w:rsidRPr="00BD50E2" w:rsidR="00BD50E2" w:rsidTr="00C2181D" w14:paraId="16BE2AE7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7D8173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86D79" w:rsidR="00B86F86" w:rsidP="00886D79" w:rsidRDefault="0007278B" w14:paraId="6A342042" w14:textId="2728699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50E2" w:rsidR="0007278B" w:rsidP="00317FDB" w:rsidRDefault="00317FDB" w14:paraId="6CC683E0" w14:textId="2D9F5705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BD50E2">
              <w:rPr>
                <w:iCs/>
                <w:lang w:eastAsia="en-US"/>
              </w:rPr>
              <w:t xml:space="preserve">Tā kā </w:t>
            </w:r>
            <w:r w:rsidR="0068081B">
              <w:rPr>
                <w:iCs/>
                <w:lang w:eastAsia="en-US"/>
              </w:rPr>
              <w:t>p</w:t>
            </w:r>
            <w:r w:rsidRPr="00BD50E2">
              <w:rPr>
                <w:iCs/>
                <w:lang w:eastAsia="en-US"/>
              </w:rPr>
              <w:t xml:space="preserve">rojekts tiek virzīts steidzamības kārtā, sabiedrības iesaiste </w:t>
            </w:r>
            <w:r w:rsidR="0068081B">
              <w:rPr>
                <w:iCs/>
                <w:lang w:eastAsia="en-US"/>
              </w:rPr>
              <w:t>p</w:t>
            </w:r>
            <w:r w:rsidRPr="00BD50E2">
              <w:rPr>
                <w:iCs/>
                <w:lang w:eastAsia="en-US"/>
              </w:rPr>
              <w:t>rojekta izstrādē netika organizēta.</w:t>
            </w:r>
          </w:p>
        </w:tc>
      </w:tr>
      <w:tr w:rsidRPr="00BD50E2" w:rsidR="00BD50E2" w:rsidTr="00886D79" w14:paraId="4479B05F" w14:textId="77777777">
        <w:trPr>
          <w:trHeight w:val="585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1880A3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1A103F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Sabiedrības līdzdalības rezultāti</w:t>
            </w:r>
          </w:p>
        </w:tc>
        <w:tc>
          <w:tcPr>
            <w:tcW w:w="3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7C5E308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Pr="00BD50E2" w:rsidR="00AD1C41" w:rsidTr="00C2181D" w14:paraId="3EB25715" w14:textId="77777777"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0B6FFED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629109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D50E2" w:rsidR="0007278B" w:rsidP="00AE4EFC" w:rsidRDefault="0007278B" w14:paraId="711E9E7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:rsidR="0007278B" w:rsidP="00AE4EFC" w:rsidRDefault="0007278B" w14:paraId="1BF5CBAF" w14:textId="246A6B2E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p w:rsidRPr="00A17EEC" w:rsidR="00FC413D" w:rsidP="00AE4EFC" w:rsidRDefault="00FC413D" w14:paraId="4CC4E0A2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BD50E2" w:rsidR="00BD50E2" w:rsidTr="009D7D59" w14:paraId="20F6EC7B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D50E2" w:rsidR="0007278B" w:rsidP="00AE4EFC" w:rsidRDefault="0007278B" w14:paraId="3F93B79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BD50E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Pr="00BD50E2" w:rsidR="0026286C" w:rsidTr="009D7D59" w14:paraId="06320E93" w14:textId="77777777"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6286C" w:rsidR="0026286C" w:rsidP="00AE4EFC" w:rsidRDefault="0026286C" w14:paraId="5F0CB96A" w14:textId="0FDD414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26286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:rsidRPr="0099398F" w:rsidR="0007278B" w:rsidP="00D77367" w:rsidRDefault="0007278B" w14:paraId="0EB028A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1"/>
      </w:tblGrid>
      <w:tr w:rsidRPr="00CC11DE" w:rsidR="005758FB" w:rsidTr="008C3B71" w14:paraId="2D80AED7" w14:textId="77777777">
        <w:tc>
          <w:tcPr>
            <w:tcW w:w="3686" w:type="dxa"/>
          </w:tcPr>
          <w:p w:rsidRPr="00CC11DE" w:rsidR="005758FB" w:rsidP="008C3B71" w:rsidRDefault="007C53C5" w14:paraId="0DB7F0FC" w14:textId="2FB599F3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lang w:val="lv-LV"/>
              </w:rPr>
            </w:pPr>
            <w:r w:rsidRPr="00CC11DE">
              <w:rPr>
                <w:rFonts w:eastAsia="Calibri"/>
                <w:noProof/>
                <w:lang w:val="lv-LV"/>
              </w:rPr>
              <w:t>Satiksmes</w:t>
            </w:r>
            <w:r w:rsidRPr="00CC11DE" w:rsidR="005758FB">
              <w:rPr>
                <w:rFonts w:eastAsia="Calibri"/>
                <w:noProof/>
                <w:lang w:val="lv-LV"/>
              </w:rPr>
              <w:t xml:space="preserve"> ministrs</w:t>
            </w:r>
          </w:p>
        </w:tc>
        <w:tc>
          <w:tcPr>
            <w:tcW w:w="4251" w:type="dxa"/>
          </w:tcPr>
          <w:p w:rsidRPr="00CC11DE" w:rsidR="005758FB" w:rsidP="008C3B71" w:rsidRDefault="007C53C5" w14:paraId="1D46503B" w14:textId="15615AC4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lang w:val="lv-LV"/>
              </w:rPr>
            </w:pPr>
            <w:r w:rsidRPr="00CC11DE">
              <w:rPr>
                <w:rFonts w:eastAsia="Calibri"/>
                <w:noProof/>
                <w:lang w:val="lv-LV"/>
              </w:rPr>
              <w:t>T</w:t>
            </w:r>
            <w:r w:rsidRPr="00CC11DE" w:rsidR="005758FB">
              <w:rPr>
                <w:rFonts w:eastAsia="Calibri"/>
                <w:noProof/>
                <w:lang w:val="lv-LV"/>
              </w:rPr>
              <w:t>.</w:t>
            </w:r>
            <w:r w:rsidRPr="00CC11DE" w:rsidR="00886D79">
              <w:rPr>
                <w:rFonts w:eastAsia="Calibri"/>
                <w:noProof/>
                <w:lang w:val="lv-LV"/>
              </w:rPr>
              <w:t> </w:t>
            </w:r>
            <w:r w:rsidRPr="00CC11DE">
              <w:rPr>
                <w:rFonts w:eastAsia="Calibri"/>
                <w:noProof/>
                <w:lang w:val="lv-LV"/>
              </w:rPr>
              <w:t>Linkait</w:t>
            </w:r>
            <w:r w:rsidRPr="00CC11DE" w:rsidR="005758FB">
              <w:rPr>
                <w:rFonts w:eastAsia="Calibri"/>
                <w:noProof/>
                <w:lang w:val="lv-LV"/>
              </w:rPr>
              <w:t>s</w:t>
            </w:r>
          </w:p>
        </w:tc>
      </w:tr>
      <w:tr w:rsidRPr="00CC11DE" w:rsidR="00CF6A1C" w:rsidTr="008C3B71" w14:paraId="36016AB5" w14:textId="77777777">
        <w:tc>
          <w:tcPr>
            <w:tcW w:w="3686" w:type="dxa"/>
          </w:tcPr>
          <w:p w:rsidRPr="00CC11DE" w:rsidR="00CF6A1C" w:rsidP="008C3B71" w:rsidRDefault="00CF6A1C" w14:paraId="35AC78C3" w14:textId="77777777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noProof/>
                <w:lang w:val="lv-LV"/>
              </w:rPr>
            </w:pPr>
          </w:p>
        </w:tc>
        <w:tc>
          <w:tcPr>
            <w:tcW w:w="4251" w:type="dxa"/>
          </w:tcPr>
          <w:p w:rsidRPr="00CC11DE" w:rsidR="00CF6A1C" w:rsidP="008C3B71" w:rsidRDefault="00CF6A1C" w14:paraId="34A195ED" w14:textId="77777777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noProof/>
                <w:lang w:val="lv-LV"/>
              </w:rPr>
            </w:pPr>
          </w:p>
        </w:tc>
      </w:tr>
    </w:tbl>
    <w:p w:rsidRPr="00CC11DE" w:rsidR="00D77367" w:rsidP="00D77367" w:rsidRDefault="00D77367" w14:paraId="315FD596" w14:textId="77777777">
      <w:pPr>
        <w:spacing w:after="0" w:line="240" w:lineRule="auto"/>
        <w:ind w:right="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6A5D92" w:rsidR="00886D79" w:rsidP="006A5D92" w:rsidRDefault="0007278B" w14:paraId="28AA86C7" w14:textId="3714EE18">
      <w:pPr>
        <w:pStyle w:val="naisf"/>
        <w:spacing w:before="0" w:beforeAutospacing="0" w:after="0" w:afterAutospacing="0"/>
        <w:rPr>
          <w:bCs/>
        </w:rPr>
      </w:pPr>
      <w:r w:rsidRPr="00CC11DE">
        <w:rPr>
          <w:bCs/>
        </w:rPr>
        <w:t>Vīza: valsts sekretār</w:t>
      </w:r>
      <w:r w:rsidRPr="00CC11DE" w:rsidR="00886D79">
        <w:rPr>
          <w:bCs/>
        </w:rPr>
        <w:t>e</w:t>
      </w:r>
      <w:r w:rsidRPr="00CC11DE">
        <w:rPr>
          <w:bCs/>
        </w:rPr>
        <w:tab/>
      </w:r>
      <w:r w:rsidRPr="00CC11DE">
        <w:rPr>
          <w:bCs/>
        </w:rPr>
        <w:tab/>
      </w:r>
      <w:r w:rsidRPr="00CC11DE">
        <w:rPr>
          <w:bCs/>
        </w:rPr>
        <w:tab/>
      </w:r>
      <w:r w:rsidRPr="00CC11DE">
        <w:rPr>
          <w:bCs/>
        </w:rPr>
        <w:tab/>
        <w:t xml:space="preserve">             </w:t>
      </w:r>
      <w:r w:rsidRPr="00CC11DE" w:rsidR="00333F6A">
        <w:rPr>
          <w:bCs/>
        </w:rPr>
        <w:t xml:space="preserve">  </w:t>
      </w:r>
      <w:r w:rsidRPr="00CC11DE" w:rsidR="00366538">
        <w:rPr>
          <w:bCs/>
        </w:rPr>
        <w:t xml:space="preserve">         </w:t>
      </w:r>
      <w:r w:rsidR="00DF7FF5">
        <w:rPr>
          <w:bCs/>
        </w:rPr>
        <w:tab/>
        <w:t xml:space="preserve">      </w:t>
      </w:r>
      <w:proofErr w:type="spellStart"/>
      <w:r w:rsidRPr="00CC11DE" w:rsidR="00196505">
        <w:rPr>
          <w:bCs/>
        </w:rPr>
        <w:t>I.</w:t>
      </w:r>
      <w:r w:rsidRPr="00CC11DE" w:rsidR="007C53C5">
        <w:rPr>
          <w:bCs/>
        </w:rPr>
        <w:t>Stepanova</w:t>
      </w:r>
      <w:proofErr w:type="spellEnd"/>
    </w:p>
    <w:sectPr w:rsidRPr="006A5D92" w:rsidR="00886D79" w:rsidSect="006A3F81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6CB2" w14:textId="77777777" w:rsidR="007C0EF2" w:rsidRDefault="007C0EF2" w:rsidP="0007278B">
      <w:pPr>
        <w:spacing w:after="0" w:line="240" w:lineRule="auto"/>
      </w:pPr>
      <w:r>
        <w:separator/>
      </w:r>
    </w:p>
  </w:endnote>
  <w:endnote w:type="continuationSeparator" w:id="0">
    <w:p w14:paraId="0A34792B" w14:textId="77777777" w:rsidR="007C0EF2" w:rsidRDefault="007C0EF2" w:rsidP="0007278B">
      <w:pPr>
        <w:spacing w:after="0" w:line="240" w:lineRule="auto"/>
      </w:pPr>
      <w:r>
        <w:continuationSeparator/>
      </w:r>
    </w:p>
  </w:endnote>
  <w:endnote w:type="continuationNotice" w:id="1">
    <w:p w14:paraId="4F44ABAD" w14:textId="77777777" w:rsidR="007C0EF2" w:rsidRDefault="007C0E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44C" w14:textId="15E78E6E" w:rsidR="009D7D59" w:rsidRPr="00F046BC" w:rsidRDefault="007C53C5" w:rsidP="00F046BC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SM</w:t>
    </w:r>
    <w:r w:rsidR="009D7D59">
      <w:rPr>
        <w:rFonts w:ascii="Times New Roman" w:eastAsia="Times New Roman" w:hAnsi="Times New Roman" w:cs="Times New Roman"/>
        <w:sz w:val="20"/>
        <w:szCs w:val="20"/>
        <w:lang w:eastAsia="lv-LV"/>
      </w:rPr>
      <w:t>anot_</w:t>
    </w:r>
    <w:r w:rsidR="001735CB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EA3E07">
      <w:rPr>
        <w:rFonts w:ascii="Times New Roman" w:eastAsia="Times New Roman" w:hAnsi="Times New Roman" w:cs="Times New Roman"/>
        <w:sz w:val="20"/>
        <w:szCs w:val="20"/>
        <w:lang w:eastAsia="lv-LV"/>
      </w:rPr>
      <w:t>4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972B59">
      <w:rPr>
        <w:rFonts w:ascii="Times New Roman" w:eastAsia="Times New Roman" w:hAnsi="Times New Roman" w:cs="Times New Roman"/>
        <w:sz w:val="20"/>
        <w:szCs w:val="20"/>
        <w:lang w:eastAsia="lv-LV"/>
      </w:rPr>
      <w:t>6</w:t>
    </w:r>
    <w:r w:rsidR="006A5389">
      <w:rPr>
        <w:rFonts w:ascii="Times New Roman" w:eastAsia="Times New Roman" w:hAnsi="Times New Roman" w:cs="Times New Roman"/>
        <w:sz w:val="20"/>
        <w:szCs w:val="20"/>
        <w:lang w:eastAsia="lv-LV"/>
      </w:rPr>
      <w:t>21</w:t>
    </w:r>
    <w:r w:rsidR="009D7D59">
      <w:rPr>
        <w:rFonts w:ascii="Times New Roman" w:eastAsia="Times New Roman" w:hAnsi="Times New Roman" w:cs="Times New Roman"/>
        <w:sz w:val="20"/>
        <w:szCs w:val="20"/>
        <w:lang w:eastAsia="lv-LV"/>
      </w:rPr>
      <w:t>_grozMK360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8520" w14:textId="662D3F21" w:rsidR="009D7D59" w:rsidRPr="007E4536" w:rsidRDefault="007C53C5" w:rsidP="007E4536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SM</w:t>
    </w:r>
    <w:r w:rsidR="007E4536">
      <w:rPr>
        <w:rFonts w:ascii="Times New Roman" w:eastAsia="Times New Roman" w:hAnsi="Times New Roman" w:cs="Times New Roman"/>
        <w:sz w:val="20"/>
        <w:szCs w:val="20"/>
        <w:lang w:eastAsia="lv-LV"/>
      </w:rPr>
      <w:t>anot_</w:t>
    </w:r>
    <w:r w:rsidR="0050795A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EA3E07">
      <w:rPr>
        <w:rFonts w:ascii="Times New Roman" w:eastAsia="Times New Roman" w:hAnsi="Times New Roman" w:cs="Times New Roman"/>
        <w:sz w:val="20"/>
        <w:szCs w:val="20"/>
        <w:lang w:eastAsia="lv-LV"/>
      </w:rPr>
      <w:t>4</w:t>
    </w:r>
    <w:r w:rsidR="00582B67">
      <w:rPr>
        <w:rFonts w:ascii="Times New Roman" w:eastAsia="Times New Roman" w:hAnsi="Times New Roman" w:cs="Times New Roman"/>
        <w:sz w:val="20"/>
        <w:szCs w:val="20"/>
        <w:lang w:eastAsia="lv-LV"/>
      </w:rPr>
      <w:t>06</w:t>
    </w:r>
    <w:r w:rsidR="006A5389">
      <w:rPr>
        <w:rFonts w:ascii="Times New Roman" w:eastAsia="Times New Roman" w:hAnsi="Times New Roman" w:cs="Times New Roman"/>
        <w:sz w:val="20"/>
        <w:szCs w:val="20"/>
        <w:lang w:eastAsia="lv-LV"/>
      </w:rPr>
      <w:t>21</w:t>
    </w:r>
    <w:r w:rsidR="007E4536">
      <w:rPr>
        <w:rFonts w:ascii="Times New Roman" w:eastAsia="Times New Roman" w:hAnsi="Times New Roman" w:cs="Times New Roman"/>
        <w:sz w:val="20"/>
        <w:szCs w:val="20"/>
        <w:lang w:eastAsia="lv-LV"/>
      </w:rPr>
      <w:t>_grozMK360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1D76" w14:textId="77777777" w:rsidR="007C0EF2" w:rsidRDefault="007C0EF2" w:rsidP="0007278B">
      <w:pPr>
        <w:spacing w:after="0" w:line="240" w:lineRule="auto"/>
      </w:pPr>
      <w:r>
        <w:separator/>
      </w:r>
    </w:p>
  </w:footnote>
  <w:footnote w:type="continuationSeparator" w:id="0">
    <w:p w14:paraId="5C06FE2F" w14:textId="77777777" w:rsidR="007C0EF2" w:rsidRDefault="007C0EF2" w:rsidP="0007278B">
      <w:pPr>
        <w:spacing w:after="0" w:line="240" w:lineRule="auto"/>
      </w:pPr>
      <w:r>
        <w:continuationSeparator/>
      </w:r>
    </w:p>
  </w:footnote>
  <w:footnote w:type="continuationNotice" w:id="1">
    <w:p w14:paraId="51F7882C" w14:textId="77777777" w:rsidR="007C0EF2" w:rsidRDefault="007C0E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9D7D59" w:rsidRDefault="009D7D59" w14:paraId="5FAE7ACA" w14:textId="18F59C8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4F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7D59" w:rsidRDefault="009D7D59" w14:paraId="43A980F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97"/>
    <w:multiLevelType w:val="hybridMultilevel"/>
    <w:tmpl w:val="60CCF8DC"/>
    <w:lvl w:ilvl="0" w:tplc="F17E3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7073"/>
    <w:multiLevelType w:val="hybridMultilevel"/>
    <w:tmpl w:val="2522CE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9FC"/>
    <w:multiLevelType w:val="hybridMultilevel"/>
    <w:tmpl w:val="388EFA4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0554E"/>
    <w:multiLevelType w:val="hybridMultilevel"/>
    <w:tmpl w:val="E0001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69C7"/>
    <w:multiLevelType w:val="hybridMultilevel"/>
    <w:tmpl w:val="CA720406"/>
    <w:lvl w:ilvl="0" w:tplc="4D30B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6B4506"/>
    <w:multiLevelType w:val="hybridMultilevel"/>
    <w:tmpl w:val="E306FAD2"/>
    <w:lvl w:ilvl="0" w:tplc="A4642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A138AD"/>
    <w:multiLevelType w:val="hybridMultilevel"/>
    <w:tmpl w:val="849E08F6"/>
    <w:lvl w:ilvl="0" w:tplc="00C60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0450"/>
    <w:multiLevelType w:val="hybridMultilevel"/>
    <w:tmpl w:val="3F809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F63"/>
    <w:multiLevelType w:val="hybridMultilevel"/>
    <w:tmpl w:val="511E7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05F86"/>
    <w:multiLevelType w:val="hybridMultilevel"/>
    <w:tmpl w:val="6BDC5D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E7310"/>
    <w:multiLevelType w:val="hybridMultilevel"/>
    <w:tmpl w:val="01EAD398"/>
    <w:lvl w:ilvl="0" w:tplc="87B83044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7" w:hanging="360"/>
      </w:pPr>
    </w:lvl>
    <w:lvl w:ilvl="2" w:tplc="0426001B" w:tentative="1">
      <w:start w:val="1"/>
      <w:numFmt w:val="lowerRoman"/>
      <w:lvlText w:val="%3."/>
      <w:lvlJc w:val="right"/>
      <w:pPr>
        <w:ind w:left="2487" w:hanging="180"/>
      </w:pPr>
    </w:lvl>
    <w:lvl w:ilvl="3" w:tplc="0426000F" w:tentative="1">
      <w:start w:val="1"/>
      <w:numFmt w:val="decimal"/>
      <w:lvlText w:val="%4."/>
      <w:lvlJc w:val="left"/>
      <w:pPr>
        <w:ind w:left="3207" w:hanging="360"/>
      </w:pPr>
    </w:lvl>
    <w:lvl w:ilvl="4" w:tplc="04260019" w:tentative="1">
      <w:start w:val="1"/>
      <w:numFmt w:val="lowerLetter"/>
      <w:lvlText w:val="%5."/>
      <w:lvlJc w:val="left"/>
      <w:pPr>
        <w:ind w:left="3927" w:hanging="360"/>
      </w:pPr>
    </w:lvl>
    <w:lvl w:ilvl="5" w:tplc="0426001B" w:tentative="1">
      <w:start w:val="1"/>
      <w:numFmt w:val="lowerRoman"/>
      <w:lvlText w:val="%6."/>
      <w:lvlJc w:val="right"/>
      <w:pPr>
        <w:ind w:left="4647" w:hanging="180"/>
      </w:pPr>
    </w:lvl>
    <w:lvl w:ilvl="6" w:tplc="0426000F" w:tentative="1">
      <w:start w:val="1"/>
      <w:numFmt w:val="decimal"/>
      <w:lvlText w:val="%7."/>
      <w:lvlJc w:val="left"/>
      <w:pPr>
        <w:ind w:left="5367" w:hanging="360"/>
      </w:pPr>
    </w:lvl>
    <w:lvl w:ilvl="7" w:tplc="04260019" w:tentative="1">
      <w:start w:val="1"/>
      <w:numFmt w:val="lowerLetter"/>
      <w:lvlText w:val="%8."/>
      <w:lvlJc w:val="left"/>
      <w:pPr>
        <w:ind w:left="6087" w:hanging="360"/>
      </w:pPr>
    </w:lvl>
    <w:lvl w:ilvl="8" w:tplc="0426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 w15:restartNumberingAfterBreak="0">
    <w:nsid w:val="5E9F5601"/>
    <w:multiLevelType w:val="hybridMultilevel"/>
    <w:tmpl w:val="66BE0384"/>
    <w:lvl w:ilvl="0" w:tplc="C5B6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1844E2"/>
    <w:multiLevelType w:val="multilevel"/>
    <w:tmpl w:val="981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40591"/>
    <w:multiLevelType w:val="hybridMultilevel"/>
    <w:tmpl w:val="FDC06A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bQwtTQztDA0N7NQ0lEKTi0uzszPAykwrAUALihUPiwAAAA="/>
  </w:docVars>
  <w:rsids>
    <w:rsidRoot w:val="0007278B"/>
    <w:rsid w:val="0000608B"/>
    <w:rsid w:val="00012409"/>
    <w:rsid w:val="00012C86"/>
    <w:rsid w:val="00015E8A"/>
    <w:rsid w:val="00016372"/>
    <w:rsid w:val="00023AD6"/>
    <w:rsid w:val="0002416D"/>
    <w:rsid w:val="000254EB"/>
    <w:rsid w:val="00031D93"/>
    <w:rsid w:val="00032CE4"/>
    <w:rsid w:val="00032EF2"/>
    <w:rsid w:val="0005324B"/>
    <w:rsid w:val="00057EB1"/>
    <w:rsid w:val="00060C50"/>
    <w:rsid w:val="000659D4"/>
    <w:rsid w:val="00066E5F"/>
    <w:rsid w:val="0007278B"/>
    <w:rsid w:val="00075D37"/>
    <w:rsid w:val="000826B2"/>
    <w:rsid w:val="00085A5A"/>
    <w:rsid w:val="00087A23"/>
    <w:rsid w:val="00087C12"/>
    <w:rsid w:val="00092597"/>
    <w:rsid w:val="00095861"/>
    <w:rsid w:val="000976F2"/>
    <w:rsid w:val="00097F44"/>
    <w:rsid w:val="000A1151"/>
    <w:rsid w:val="000A4D59"/>
    <w:rsid w:val="000B0761"/>
    <w:rsid w:val="000B24F9"/>
    <w:rsid w:val="000B47C4"/>
    <w:rsid w:val="000C3D7A"/>
    <w:rsid w:val="000C490C"/>
    <w:rsid w:val="000C6AFA"/>
    <w:rsid w:val="000C7D0F"/>
    <w:rsid w:val="000D08CA"/>
    <w:rsid w:val="000D2248"/>
    <w:rsid w:val="000D5547"/>
    <w:rsid w:val="000E0284"/>
    <w:rsid w:val="000E2322"/>
    <w:rsid w:val="000E3F6E"/>
    <w:rsid w:val="000E5C60"/>
    <w:rsid w:val="000F0C54"/>
    <w:rsid w:val="000F6AE3"/>
    <w:rsid w:val="00105AAC"/>
    <w:rsid w:val="00111363"/>
    <w:rsid w:val="00114943"/>
    <w:rsid w:val="00115389"/>
    <w:rsid w:val="00116C28"/>
    <w:rsid w:val="00122038"/>
    <w:rsid w:val="0013301B"/>
    <w:rsid w:val="001336B4"/>
    <w:rsid w:val="00137903"/>
    <w:rsid w:val="00140743"/>
    <w:rsid w:val="00140A51"/>
    <w:rsid w:val="00141A83"/>
    <w:rsid w:val="00141D8E"/>
    <w:rsid w:val="00144998"/>
    <w:rsid w:val="00154080"/>
    <w:rsid w:val="00154CCB"/>
    <w:rsid w:val="00156BB8"/>
    <w:rsid w:val="001571CA"/>
    <w:rsid w:val="00157BFC"/>
    <w:rsid w:val="00160626"/>
    <w:rsid w:val="00162412"/>
    <w:rsid w:val="001735CB"/>
    <w:rsid w:val="0017398F"/>
    <w:rsid w:val="00176445"/>
    <w:rsid w:val="0018564F"/>
    <w:rsid w:val="00196505"/>
    <w:rsid w:val="001A05AA"/>
    <w:rsid w:val="001A4CC0"/>
    <w:rsid w:val="001A506E"/>
    <w:rsid w:val="001A5304"/>
    <w:rsid w:val="001A5F70"/>
    <w:rsid w:val="001B05E3"/>
    <w:rsid w:val="001B66B2"/>
    <w:rsid w:val="001B6AE5"/>
    <w:rsid w:val="001C088F"/>
    <w:rsid w:val="001C1B61"/>
    <w:rsid w:val="001C2000"/>
    <w:rsid w:val="001C6B51"/>
    <w:rsid w:val="001D28ED"/>
    <w:rsid w:val="001D713B"/>
    <w:rsid w:val="001D75D0"/>
    <w:rsid w:val="001E1D31"/>
    <w:rsid w:val="001E5376"/>
    <w:rsid w:val="001F0A53"/>
    <w:rsid w:val="001F3A4A"/>
    <w:rsid w:val="001F425F"/>
    <w:rsid w:val="001F5B53"/>
    <w:rsid w:val="001F7E87"/>
    <w:rsid w:val="00212D45"/>
    <w:rsid w:val="00220F58"/>
    <w:rsid w:val="00230E68"/>
    <w:rsid w:val="00242A4C"/>
    <w:rsid w:val="0024328E"/>
    <w:rsid w:val="002519EE"/>
    <w:rsid w:val="00252768"/>
    <w:rsid w:val="002562FA"/>
    <w:rsid w:val="0026286C"/>
    <w:rsid w:val="00263B22"/>
    <w:rsid w:val="00272F7D"/>
    <w:rsid w:val="002736E5"/>
    <w:rsid w:val="00276A81"/>
    <w:rsid w:val="00280A6B"/>
    <w:rsid w:val="002861F7"/>
    <w:rsid w:val="0029585A"/>
    <w:rsid w:val="002961D8"/>
    <w:rsid w:val="00297A0B"/>
    <w:rsid w:val="002A5292"/>
    <w:rsid w:val="002A5E19"/>
    <w:rsid w:val="002B14B8"/>
    <w:rsid w:val="002C3B6A"/>
    <w:rsid w:val="002C3CF3"/>
    <w:rsid w:val="002C5AC6"/>
    <w:rsid w:val="002C7628"/>
    <w:rsid w:val="002D5487"/>
    <w:rsid w:val="002D6905"/>
    <w:rsid w:val="002E027E"/>
    <w:rsid w:val="002E02AA"/>
    <w:rsid w:val="002E0487"/>
    <w:rsid w:val="002E1AE9"/>
    <w:rsid w:val="002F15FE"/>
    <w:rsid w:val="002F181A"/>
    <w:rsid w:val="002F4B93"/>
    <w:rsid w:val="0031154A"/>
    <w:rsid w:val="003117FB"/>
    <w:rsid w:val="00316074"/>
    <w:rsid w:val="00317FDB"/>
    <w:rsid w:val="003248D5"/>
    <w:rsid w:val="00327EA3"/>
    <w:rsid w:val="00331120"/>
    <w:rsid w:val="003326F5"/>
    <w:rsid w:val="00333F6A"/>
    <w:rsid w:val="003354AF"/>
    <w:rsid w:val="00337697"/>
    <w:rsid w:val="00341BAD"/>
    <w:rsid w:val="00342047"/>
    <w:rsid w:val="00342DB9"/>
    <w:rsid w:val="0034366D"/>
    <w:rsid w:val="00345AAA"/>
    <w:rsid w:val="00351B51"/>
    <w:rsid w:val="003545AB"/>
    <w:rsid w:val="0036548B"/>
    <w:rsid w:val="00366538"/>
    <w:rsid w:val="00371C88"/>
    <w:rsid w:val="00371F18"/>
    <w:rsid w:val="00373448"/>
    <w:rsid w:val="00374335"/>
    <w:rsid w:val="0039061D"/>
    <w:rsid w:val="00390872"/>
    <w:rsid w:val="00390B4E"/>
    <w:rsid w:val="003A0E17"/>
    <w:rsid w:val="003A29E2"/>
    <w:rsid w:val="003A3623"/>
    <w:rsid w:val="003A376A"/>
    <w:rsid w:val="003A3C5A"/>
    <w:rsid w:val="003A42C4"/>
    <w:rsid w:val="003A5C4E"/>
    <w:rsid w:val="003B4887"/>
    <w:rsid w:val="003C1921"/>
    <w:rsid w:val="003D1230"/>
    <w:rsid w:val="003D15E2"/>
    <w:rsid w:val="003D394B"/>
    <w:rsid w:val="004059A2"/>
    <w:rsid w:val="00407BB4"/>
    <w:rsid w:val="0041142C"/>
    <w:rsid w:val="00412439"/>
    <w:rsid w:val="00414601"/>
    <w:rsid w:val="004231CC"/>
    <w:rsid w:val="00425035"/>
    <w:rsid w:val="00425B3A"/>
    <w:rsid w:val="00426EE3"/>
    <w:rsid w:val="00431EEB"/>
    <w:rsid w:val="00434E1D"/>
    <w:rsid w:val="004354AF"/>
    <w:rsid w:val="00446A16"/>
    <w:rsid w:val="00454439"/>
    <w:rsid w:val="00454E76"/>
    <w:rsid w:val="00456B73"/>
    <w:rsid w:val="00461DB3"/>
    <w:rsid w:val="00473581"/>
    <w:rsid w:val="00480999"/>
    <w:rsid w:val="00483A03"/>
    <w:rsid w:val="00487206"/>
    <w:rsid w:val="0049311E"/>
    <w:rsid w:val="00497DBB"/>
    <w:rsid w:val="004A2382"/>
    <w:rsid w:val="004A3552"/>
    <w:rsid w:val="004A5598"/>
    <w:rsid w:val="004D5656"/>
    <w:rsid w:val="004D7D54"/>
    <w:rsid w:val="004E2D9C"/>
    <w:rsid w:val="004F4AAB"/>
    <w:rsid w:val="004F738C"/>
    <w:rsid w:val="004F7F24"/>
    <w:rsid w:val="005000C7"/>
    <w:rsid w:val="00502DFD"/>
    <w:rsid w:val="00504320"/>
    <w:rsid w:val="0050795A"/>
    <w:rsid w:val="00512953"/>
    <w:rsid w:val="005152B1"/>
    <w:rsid w:val="0053215F"/>
    <w:rsid w:val="00534268"/>
    <w:rsid w:val="00535888"/>
    <w:rsid w:val="0055413D"/>
    <w:rsid w:val="005735D4"/>
    <w:rsid w:val="00573D63"/>
    <w:rsid w:val="005758FB"/>
    <w:rsid w:val="005764B7"/>
    <w:rsid w:val="00582B67"/>
    <w:rsid w:val="0059150F"/>
    <w:rsid w:val="00593BC7"/>
    <w:rsid w:val="0059599E"/>
    <w:rsid w:val="005A1ABA"/>
    <w:rsid w:val="005A1EC6"/>
    <w:rsid w:val="005A3731"/>
    <w:rsid w:val="005A6150"/>
    <w:rsid w:val="005B1BFF"/>
    <w:rsid w:val="005B3B62"/>
    <w:rsid w:val="005C3B9D"/>
    <w:rsid w:val="005C5DC6"/>
    <w:rsid w:val="005E0B38"/>
    <w:rsid w:val="005E1930"/>
    <w:rsid w:val="005E7398"/>
    <w:rsid w:val="005E7C04"/>
    <w:rsid w:val="005F3C49"/>
    <w:rsid w:val="0060363C"/>
    <w:rsid w:val="00603BD7"/>
    <w:rsid w:val="00604451"/>
    <w:rsid w:val="0060585D"/>
    <w:rsid w:val="006127D4"/>
    <w:rsid w:val="0061335D"/>
    <w:rsid w:val="00620304"/>
    <w:rsid w:val="0062651F"/>
    <w:rsid w:val="00626C1E"/>
    <w:rsid w:val="00636B7E"/>
    <w:rsid w:val="00641AF8"/>
    <w:rsid w:val="00643C9B"/>
    <w:rsid w:val="00652F39"/>
    <w:rsid w:val="00661C18"/>
    <w:rsid w:val="006639DE"/>
    <w:rsid w:val="00664759"/>
    <w:rsid w:val="0067096C"/>
    <w:rsid w:val="00675455"/>
    <w:rsid w:val="006803FE"/>
    <w:rsid w:val="0068081B"/>
    <w:rsid w:val="00681D29"/>
    <w:rsid w:val="00685C9E"/>
    <w:rsid w:val="00690354"/>
    <w:rsid w:val="00695EE7"/>
    <w:rsid w:val="00696E1B"/>
    <w:rsid w:val="006A25A2"/>
    <w:rsid w:val="006A3466"/>
    <w:rsid w:val="006A3F81"/>
    <w:rsid w:val="006A5389"/>
    <w:rsid w:val="006A5D92"/>
    <w:rsid w:val="006B32D8"/>
    <w:rsid w:val="006B681F"/>
    <w:rsid w:val="006B6CD7"/>
    <w:rsid w:val="006B7255"/>
    <w:rsid w:val="006C4A35"/>
    <w:rsid w:val="006C5703"/>
    <w:rsid w:val="006D22E5"/>
    <w:rsid w:val="006D4F69"/>
    <w:rsid w:val="006D6DB7"/>
    <w:rsid w:val="006F438A"/>
    <w:rsid w:val="00702734"/>
    <w:rsid w:val="00704155"/>
    <w:rsid w:val="0071090F"/>
    <w:rsid w:val="00715540"/>
    <w:rsid w:val="00720727"/>
    <w:rsid w:val="007223FE"/>
    <w:rsid w:val="00724197"/>
    <w:rsid w:val="00727E9F"/>
    <w:rsid w:val="007312E6"/>
    <w:rsid w:val="00731409"/>
    <w:rsid w:val="00742B05"/>
    <w:rsid w:val="00742C84"/>
    <w:rsid w:val="00746CE6"/>
    <w:rsid w:val="0075152B"/>
    <w:rsid w:val="007518AA"/>
    <w:rsid w:val="007632A7"/>
    <w:rsid w:val="007642BD"/>
    <w:rsid w:val="0078134D"/>
    <w:rsid w:val="007873B8"/>
    <w:rsid w:val="0079091A"/>
    <w:rsid w:val="00792140"/>
    <w:rsid w:val="0079688F"/>
    <w:rsid w:val="007A71FC"/>
    <w:rsid w:val="007B0528"/>
    <w:rsid w:val="007B1FB8"/>
    <w:rsid w:val="007B6E4B"/>
    <w:rsid w:val="007C0EF2"/>
    <w:rsid w:val="007C3F73"/>
    <w:rsid w:val="007C53C5"/>
    <w:rsid w:val="007C74EF"/>
    <w:rsid w:val="007D7436"/>
    <w:rsid w:val="007D7575"/>
    <w:rsid w:val="007E4536"/>
    <w:rsid w:val="007F6EAA"/>
    <w:rsid w:val="00802A02"/>
    <w:rsid w:val="00804D4E"/>
    <w:rsid w:val="00805BE3"/>
    <w:rsid w:val="00812A8C"/>
    <w:rsid w:val="00816857"/>
    <w:rsid w:val="008314E5"/>
    <w:rsid w:val="0084578F"/>
    <w:rsid w:val="00861401"/>
    <w:rsid w:val="00863703"/>
    <w:rsid w:val="00863944"/>
    <w:rsid w:val="008662DE"/>
    <w:rsid w:val="008670E6"/>
    <w:rsid w:val="008723FA"/>
    <w:rsid w:val="008730B3"/>
    <w:rsid w:val="00882A36"/>
    <w:rsid w:val="00882DBA"/>
    <w:rsid w:val="00886392"/>
    <w:rsid w:val="00886D79"/>
    <w:rsid w:val="00894B41"/>
    <w:rsid w:val="008A0F57"/>
    <w:rsid w:val="008A2BFB"/>
    <w:rsid w:val="008A2D5E"/>
    <w:rsid w:val="008A2D6D"/>
    <w:rsid w:val="008A49BF"/>
    <w:rsid w:val="008B1BB5"/>
    <w:rsid w:val="008B3101"/>
    <w:rsid w:val="008B3BDF"/>
    <w:rsid w:val="008C242E"/>
    <w:rsid w:val="008C46AB"/>
    <w:rsid w:val="008C5F53"/>
    <w:rsid w:val="008C7FF7"/>
    <w:rsid w:val="008E15C0"/>
    <w:rsid w:val="008F2E7C"/>
    <w:rsid w:val="008F70CB"/>
    <w:rsid w:val="009031F5"/>
    <w:rsid w:val="00911954"/>
    <w:rsid w:val="00914064"/>
    <w:rsid w:val="00922960"/>
    <w:rsid w:val="00922F28"/>
    <w:rsid w:val="00945E30"/>
    <w:rsid w:val="00946B3B"/>
    <w:rsid w:val="00950838"/>
    <w:rsid w:val="00955A5B"/>
    <w:rsid w:val="00972B59"/>
    <w:rsid w:val="009763A8"/>
    <w:rsid w:val="009771E5"/>
    <w:rsid w:val="00977FBF"/>
    <w:rsid w:val="0099298E"/>
    <w:rsid w:val="0099398F"/>
    <w:rsid w:val="00995645"/>
    <w:rsid w:val="00995846"/>
    <w:rsid w:val="009A3982"/>
    <w:rsid w:val="009A412D"/>
    <w:rsid w:val="009A5645"/>
    <w:rsid w:val="009B370A"/>
    <w:rsid w:val="009B3BE8"/>
    <w:rsid w:val="009B3CEC"/>
    <w:rsid w:val="009B775D"/>
    <w:rsid w:val="009C1E5C"/>
    <w:rsid w:val="009D3273"/>
    <w:rsid w:val="009D4395"/>
    <w:rsid w:val="009D7D59"/>
    <w:rsid w:val="009E1D54"/>
    <w:rsid w:val="009E5C6B"/>
    <w:rsid w:val="009E5C8A"/>
    <w:rsid w:val="009E60C7"/>
    <w:rsid w:val="009F13B8"/>
    <w:rsid w:val="00A03EFD"/>
    <w:rsid w:val="00A11963"/>
    <w:rsid w:val="00A1243C"/>
    <w:rsid w:val="00A1381F"/>
    <w:rsid w:val="00A16FD6"/>
    <w:rsid w:val="00A17EEC"/>
    <w:rsid w:val="00A235BA"/>
    <w:rsid w:val="00A30813"/>
    <w:rsid w:val="00A34283"/>
    <w:rsid w:val="00A36D97"/>
    <w:rsid w:val="00A40AFD"/>
    <w:rsid w:val="00A500C8"/>
    <w:rsid w:val="00A504C8"/>
    <w:rsid w:val="00A52342"/>
    <w:rsid w:val="00A63523"/>
    <w:rsid w:val="00A751EC"/>
    <w:rsid w:val="00A764CA"/>
    <w:rsid w:val="00A7687B"/>
    <w:rsid w:val="00A904F5"/>
    <w:rsid w:val="00AA0090"/>
    <w:rsid w:val="00AA6D8E"/>
    <w:rsid w:val="00AB0F8D"/>
    <w:rsid w:val="00AB3743"/>
    <w:rsid w:val="00AB3841"/>
    <w:rsid w:val="00AC0BE6"/>
    <w:rsid w:val="00AC31B5"/>
    <w:rsid w:val="00AC3E32"/>
    <w:rsid w:val="00AC79DF"/>
    <w:rsid w:val="00AD1C41"/>
    <w:rsid w:val="00AD7072"/>
    <w:rsid w:val="00AE31DA"/>
    <w:rsid w:val="00AE4EFC"/>
    <w:rsid w:val="00AF30FC"/>
    <w:rsid w:val="00B05610"/>
    <w:rsid w:val="00B07CE3"/>
    <w:rsid w:val="00B13D9E"/>
    <w:rsid w:val="00B15C86"/>
    <w:rsid w:val="00B20E84"/>
    <w:rsid w:val="00B23552"/>
    <w:rsid w:val="00B236F0"/>
    <w:rsid w:val="00B24624"/>
    <w:rsid w:val="00B24688"/>
    <w:rsid w:val="00B251F5"/>
    <w:rsid w:val="00B26BE2"/>
    <w:rsid w:val="00B309E7"/>
    <w:rsid w:val="00B32161"/>
    <w:rsid w:val="00B33F20"/>
    <w:rsid w:val="00B3576F"/>
    <w:rsid w:val="00B35F66"/>
    <w:rsid w:val="00B37EFB"/>
    <w:rsid w:val="00B53339"/>
    <w:rsid w:val="00B53A07"/>
    <w:rsid w:val="00B53D32"/>
    <w:rsid w:val="00B54E70"/>
    <w:rsid w:val="00B605A1"/>
    <w:rsid w:val="00B608AE"/>
    <w:rsid w:val="00B7759C"/>
    <w:rsid w:val="00B80753"/>
    <w:rsid w:val="00B86F86"/>
    <w:rsid w:val="00BA3397"/>
    <w:rsid w:val="00BA5665"/>
    <w:rsid w:val="00BB103E"/>
    <w:rsid w:val="00BB2713"/>
    <w:rsid w:val="00BC4A6D"/>
    <w:rsid w:val="00BC5D8A"/>
    <w:rsid w:val="00BC7E1B"/>
    <w:rsid w:val="00BD32FA"/>
    <w:rsid w:val="00BD50E2"/>
    <w:rsid w:val="00BE1055"/>
    <w:rsid w:val="00BF0DE0"/>
    <w:rsid w:val="00BF0F53"/>
    <w:rsid w:val="00BF3999"/>
    <w:rsid w:val="00BF6AD1"/>
    <w:rsid w:val="00BF71E8"/>
    <w:rsid w:val="00C02689"/>
    <w:rsid w:val="00C04FF8"/>
    <w:rsid w:val="00C11CF4"/>
    <w:rsid w:val="00C135AA"/>
    <w:rsid w:val="00C14832"/>
    <w:rsid w:val="00C2181D"/>
    <w:rsid w:val="00C25E4F"/>
    <w:rsid w:val="00C266BD"/>
    <w:rsid w:val="00C33657"/>
    <w:rsid w:val="00C33714"/>
    <w:rsid w:val="00C34539"/>
    <w:rsid w:val="00C40082"/>
    <w:rsid w:val="00C401DF"/>
    <w:rsid w:val="00C40695"/>
    <w:rsid w:val="00C44496"/>
    <w:rsid w:val="00C45CAD"/>
    <w:rsid w:val="00C47F2A"/>
    <w:rsid w:val="00C50EF3"/>
    <w:rsid w:val="00C52D2F"/>
    <w:rsid w:val="00C61CB2"/>
    <w:rsid w:val="00C704F2"/>
    <w:rsid w:val="00C70DC6"/>
    <w:rsid w:val="00C71CC7"/>
    <w:rsid w:val="00C74659"/>
    <w:rsid w:val="00C766CC"/>
    <w:rsid w:val="00C800E2"/>
    <w:rsid w:val="00C80A89"/>
    <w:rsid w:val="00C901A8"/>
    <w:rsid w:val="00C94620"/>
    <w:rsid w:val="00CA6A47"/>
    <w:rsid w:val="00CB02BC"/>
    <w:rsid w:val="00CB1936"/>
    <w:rsid w:val="00CB60A4"/>
    <w:rsid w:val="00CC0EA9"/>
    <w:rsid w:val="00CC11DE"/>
    <w:rsid w:val="00CC147A"/>
    <w:rsid w:val="00CD198F"/>
    <w:rsid w:val="00CD23DA"/>
    <w:rsid w:val="00CD26BC"/>
    <w:rsid w:val="00CD34B0"/>
    <w:rsid w:val="00CE166E"/>
    <w:rsid w:val="00CE4134"/>
    <w:rsid w:val="00CE4139"/>
    <w:rsid w:val="00CF1314"/>
    <w:rsid w:val="00CF3D8A"/>
    <w:rsid w:val="00CF4976"/>
    <w:rsid w:val="00CF6A1C"/>
    <w:rsid w:val="00D002C9"/>
    <w:rsid w:val="00D0462F"/>
    <w:rsid w:val="00D20561"/>
    <w:rsid w:val="00D26DA9"/>
    <w:rsid w:val="00D32189"/>
    <w:rsid w:val="00D322A9"/>
    <w:rsid w:val="00D43B94"/>
    <w:rsid w:val="00D4433A"/>
    <w:rsid w:val="00D62EC3"/>
    <w:rsid w:val="00D70DC5"/>
    <w:rsid w:val="00D72509"/>
    <w:rsid w:val="00D729DF"/>
    <w:rsid w:val="00D74883"/>
    <w:rsid w:val="00D77367"/>
    <w:rsid w:val="00D827CA"/>
    <w:rsid w:val="00D856F7"/>
    <w:rsid w:val="00D94EEE"/>
    <w:rsid w:val="00D974CA"/>
    <w:rsid w:val="00DA2666"/>
    <w:rsid w:val="00DA3088"/>
    <w:rsid w:val="00DA5915"/>
    <w:rsid w:val="00DB015B"/>
    <w:rsid w:val="00DB63FD"/>
    <w:rsid w:val="00DC507E"/>
    <w:rsid w:val="00DD20E5"/>
    <w:rsid w:val="00DD48D6"/>
    <w:rsid w:val="00DD556F"/>
    <w:rsid w:val="00DD7352"/>
    <w:rsid w:val="00DE1419"/>
    <w:rsid w:val="00DF61F8"/>
    <w:rsid w:val="00DF75A0"/>
    <w:rsid w:val="00DF760B"/>
    <w:rsid w:val="00DF7FF5"/>
    <w:rsid w:val="00E021CF"/>
    <w:rsid w:val="00E06788"/>
    <w:rsid w:val="00E11BFD"/>
    <w:rsid w:val="00E132DA"/>
    <w:rsid w:val="00E13DC8"/>
    <w:rsid w:val="00E1494D"/>
    <w:rsid w:val="00E24EA2"/>
    <w:rsid w:val="00E37B29"/>
    <w:rsid w:val="00E402A6"/>
    <w:rsid w:val="00E4195C"/>
    <w:rsid w:val="00E41AB7"/>
    <w:rsid w:val="00E422C4"/>
    <w:rsid w:val="00E5298D"/>
    <w:rsid w:val="00E578A8"/>
    <w:rsid w:val="00E57C60"/>
    <w:rsid w:val="00E61EAE"/>
    <w:rsid w:val="00E6284D"/>
    <w:rsid w:val="00E62D6A"/>
    <w:rsid w:val="00E67090"/>
    <w:rsid w:val="00E70E37"/>
    <w:rsid w:val="00E7205F"/>
    <w:rsid w:val="00E72A4E"/>
    <w:rsid w:val="00E7404E"/>
    <w:rsid w:val="00E7616F"/>
    <w:rsid w:val="00E804E9"/>
    <w:rsid w:val="00E93BD2"/>
    <w:rsid w:val="00E94387"/>
    <w:rsid w:val="00EA3E07"/>
    <w:rsid w:val="00EB18C7"/>
    <w:rsid w:val="00EB2809"/>
    <w:rsid w:val="00EB2F23"/>
    <w:rsid w:val="00EC33C6"/>
    <w:rsid w:val="00EC4FFC"/>
    <w:rsid w:val="00EC7B41"/>
    <w:rsid w:val="00EE3EFE"/>
    <w:rsid w:val="00EF549E"/>
    <w:rsid w:val="00EF5D0E"/>
    <w:rsid w:val="00EF6116"/>
    <w:rsid w:val="00F046BC"/>
    <w:rsid w:val="00F05A84"/>
    <w:rsid w:val="00F0629B"/>
    <w:rsid w:val="00F10CAD"/>
    <w:rsid w:val="00F12CA2"/>
    <w:rsid w:val="00F13454"/>
    <w:rsid w:val="00F15DCD"/>
    <w:rsid w:val="00F200EA"/>
    <w:rsid w:val="00F23674"/>
    <w:rsid w:val="00F26541"/>
    <w:rsid w:val="00F30098"/>
    <w:rsid w:val="00F35B81"/>
    <w:rsid w:val="00F45121"/>
    <w:rsid w:val="00F47C47"/>
    <w:rsid w:val="00F64DDA"/>
    <w:rsid w:val="00F65261"/>
    <w:rsid w:val="00F65FB1"/>
    <w:rsid w:val="00F67E68"/>
    <w:rsid w:val="00F71269"/>
    <w:rsid w:val="00F74BAD"/>
    <w:rsid w:val="00F803D1"/>
    <w:rsid w:val="00F8151E"/>
    <w:rsid w:val="00F95C46"/>
    <w:rsid w:val="00FA153F"/>
    <w:rsid w:val="00FA34EB"/>
    <w:rsid w:val="00FC413D"/>
    <w:rsid w:val="00FC47B2"/>
    <w:rsid w:val="00FC6DC3"/>
    <w:rsid w:val="00FD3B42"/>
    <w:rsid w:val="00FD7D70"/>
    <w:rsid w:val="00FE4A5A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3159"/>
  <w15:chartTrackingRefBased/>
  <w15:docId w15:val="{E1662DC9-7D59-4F3E-8067-C740A48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8B"/>
  </w:style>
  <w:style w:type="paragraph" w:styleId="Footer">
    <w:name w:val="footer"/>
    <w:basedOn w:val="Normal"/>
    <w:link w:val="Foot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8B"/>
  </w:style>
  <w:style w:type="character" w:styleId="Hyperlink">
    <w:name w:val="Hyperlink"/>
    <w:uiPriority w:val="99"/>
    <w:rsid w:val="0007278B"/>
    <w:rPr>
      <w:color w:val="0000FF"/>
      <w:u w:val="single"/>
    </w:rPr>
  </w:style>
  <w:style w:type="paragraph" w:customStyle="1" w:styleId="naisf">
    <w:name w:val="naisf"/>
    <w:basedOn w:val="Normal"/>
    <w:rsid w:val="000727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2E027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A0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5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1B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5C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C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C6B"/>
    <w:rPr>
      <w:vertAlign w:val="superscript"/>
    </w:rPr>
  </w:style>
  <w:style w:type="paragraph" w:customStyle="1" w:styleId="tvhtml">
    <w:name w:val="tv_html"/>
    <w:basedOn w:val="Normal"/>
    <w:rsid w:val="009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7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9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39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7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BB4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locked/>
    <w:rsid w:val="00CD23DA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3112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311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315304-epidemiologiskas-drosibas-pasakumi-covid-19-infekcijas-izplatibas-ierobezosana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315304-epidemiologiskas-drosibas-pasakumi-covid-19-infekcijas-izplatibas-ierobezosana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2CBF1335E5F4386F11B32561B38A3" ma:contentTypeVersion="2" ma:contentTypeDescription="Create a new document." ma:contentTypeScope="" ma:versionID="ed4d3b3c3a41059f4f6686d5393a6a59">
  <xsd:schema xmlns:xsd="http://www.w3.org/2001/XMLSchema" xmlns:xs="http://www.w3.org/2001/XMLSchema" xmlns:p="http://schemas.microsoft.com/office/2006/metadata/properties" xmlns:ns3="bb718768-0b67-4621-a660-ef4564aec70c" targetNamespace="http://schemas.microsoft.com/office/2006/metadata/properties" ma:root="true" ma:fieldsID="435c1b7cfbf7dc2055e5e82ec1be5105" ns3:_="">
    <xsd:import namespace="bb718768-0b67-4621-a660-ef4564aec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18768-0b67-4621-a660-ef4564aec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D6DF1-D220-4E14-AA82-2C2C23A90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18768-0b67-4621-a660-ef4564ae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D7B3C-660F-4CE8-8F41-5651380B9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3746E-0320-4EFC-B4FC-2670ECFC3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FE6F86-C378-4C45-8D20-3238A2960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4867</Words>
  <Characters>2775</Characters>
  <Application>Microsoft Office Word</Application>
  <DocSecurity>0</DocSecurity>
  <Lines>23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</vt:vector>
  </TitlesOfParts>
  <Company>Veselības ministrija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2020. gada 9. jūnija noteikumos Nr. 360 “Epidemioloģiskās drošības pasākumi Covid-19 infekcijas izplatības ierobežošanai”” sākotnējās ietekmes novērtējuma ziņojums (anotācija)</dc:title>
  <dc:subject>anotācija</dc:subject>
  <dc:creator>Dana.Ziemele-Adricka@sam.gov.lv</dc:creator>
  <cp:keywords/>
  <dc:description>Dana.Ziemele-Adricka@sam.gov.lv, Dana Ziemele-Adricka 67028036</dc:description>
  <cp:lastModifiedBy>Baiba Jirgena</cp:lastModifiedBy>
  <cp:revision>13</cp:revision>
  <cp:lastPrinted>2020-09-10T14:00:00Z</cp:lastPrinted>
  <dcterms:created xsi:type="dcterms:W3CDTF">2021-06-11T09:44:00Z</dcterms:created>
  <dcterms:modified xsi:type="dcterms:W3CDTF">2021-06-15T05:22:00Z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0x0101003E32CBF1335E5F4386F11B32561B38A3</vt:lpwstr>
  </property>
</Properties>
</file>