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86451" w14:textId="683D1878" w:rsidR="00534967" w:rsidRDefault="001B526A" w:rsidP="00534967">
      <w:pPr>
        <w:jc w:val="center"/>
        <w:rPr>
          <w:b/>
        </w:rPr>
      </w:pPr>
      <w:r w:rsidRPr="003E1F78">
        <w:rPr>
          <w:b/>
        </w:rPr>
        <w:t>Izziņa par atzinumos sniegtajiem iebildumiem</w:t>
      </w:r>
    </w:p>
    <w:p w14:paraId="7CE6CD86" w14:textId="3A6D0AE9" w:rsidR="001B526A" w:rsidRPr="00764418" w:rsidRDefault="001B526A" w:rsidP="00534967">
      <w:pPr>
        <w:jc w:val="center"/>
        <w:rPr>
          <w:b/>
        </w:rPr>
      </w:pPr>
      <w:r w:rsidRPr="007020C2">
        <w:rPr>
          <w:b/>
          <w:szCs w:val="26"/>
        </w:rPr>
        <w:t xml:space="preserve">par </w:t>
      </w:r>
      <w:r w:rsidRPr="001B526A">
        <w:rPr>
          <w:b/>
          <w:bCs/>
        </w:rPr>
        <w:t>Ministru kabineta noteikumu projektu "Grozījumi Ministru kabineta 2011. gada 24. maija noteikumos Nr. 401 "Prasības atkritumu sadedzināšanai un atkritumu sadedzināšanas iekārtu darbībai""</w:t>
      </w:r>
      <w:r w:rsidRPr="00F645D6">
        <w:rPr>
          <w:sz w:val="28"/>
          <w:szCs w:val="28"/>
        </w:rPr>
        <w:t xml:space="preserve"> </w:t>
      </w:r>
      <w:r>
        <w:rPr>
          <w:b/>
          <w:szCs w:val="26"/>
        </w:rPr>
        <w:t>(VSS-878</w:t>
      </w:r>
      <w:r w:rsidRPr="007020C2">
        <w:rPr>
          <w:b/>
          <w:szCs w:val="26"/>
        </w:rPr>
        <w:t>)</w:t>
      </w:r>
    </w:p>
    <w:p w14:paraId="3D67887D" w14:textId="77777777" w:rsidR="001B526A" w:rsidRPr="003E1F78" w:rsidRDefault="001B526A" w:rsidP="001B526A">
      <w:pPr>
        <w:jc w:val="center"/>
        <w:rPr>
          <w:b/>
        </w:rPr>
      </w:pPr>
    </w:p>
    <w:p w14:paraId="47EBF229" w14:textId="77777777" w:rsidR="001B526A" w:rsidRPr="003E1F78" w:rsidRDefault="001B526A" w:rsidP="001B526A">
      <w:pPr>
        <w:pStyle w:val="naisf"/>
        <w:spacing w:before="0" w:after="0"/>
        <w:ind w:firstLine="720"/>
      </w:pPr>
    </w:p>
    <w:p w14:paraId="41B5E510" w14:textId="77777777" w:rsidR="001B526A" w:rsidRPr="003E1F78" w:rsidRDefault="001B526A" w:rsidP="001B526A">
      <w:pPr>
        <w:pStyle w:val="naisf"/>
        <w:spacing w:before="0" w:after="0"/>
        <w:ind w:firstLine="0"/>
        <w:jc w:val="center"/>
        <w:outlineLvl w:val="0"/>
        <w:rPr>
          <w:b/>
        </w:rPr>
      </w:pPr>
      <w:r w:rsidRPr="003E1F78">
        <w:rPr>
          <w:b/>
        </w:rPr>
        <w:t>I. Jautājumi, par kuriem saskaņošanā vienošanās nav panākta</w:t>
      </w:r>
    </w:p>
    <w:p w14:paraId="7A216C4D" w14:textId="77777777" w:rsidR="001B526A" w:rsidRPr="003E1F78" w:rsidRDefault="001B526A" w:rsidP="001B526A">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1B526A" w:rsidRPr="003E1F78" w14:paraId="48059DEF" w14:textId="77777777" w:rsidTr="00962AD0">
        <w:tc>
          <w:tcPr>
            <w:tcW w:w="708" w:type="dxa"/>
            <w:tcBorders>
              <w:top w:val="single" w:sz="6" w:space="0" w:color="000000"/>
              <w:left w:val="single" w:sz="6" w:space="0" w:color="000000"/>
              <w:bottom w:val="single" w:sz="6" w:space="0" w:color="000000"/>
              <w:right w:val="single" w:sz="6" w:space="0" w:color="000000"/>
            </w:tcBorders>
            <w:vAlign w:val="center"/>
          </w:tcPr>
          <w:p w14:paraId="6F44CFD7" w14:textId="77777777" w:rsidR="001B526A" w:rsidRPr="003E1F78" w:rsidRDefault="001B526A" w:rsidP="00962AD0">
            <w:pPr>
              <w:pStyle w:val="naisc"/>
              <w:spacing w:before="0" w:after="0"/>
            </w:pPr>
            <w:r w:rsidRPr="003E1F78">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3DE64D56" w14:textId="77777777" w:rsidR="001B526A" w:rsidRPr="003E1F78" w:rsidRDefault="001B526A" w:rsidP="00962AD0">
            <w:pPr>
              <w:pStyle w:val="naisc"/>
              <w:spacing w:before="0" w:after="0"/>
              <w:ind w:firstLine="12"/>
            </w:pPr>
            <w:r w:rsidRPr="003E1F78">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4731BB2D" w14:textId="77777777" w:rsidR="001B526A" w:rsidRPr="003E1F78" w:rsidRDefault="001B526A" w:rsidP="00962AD0">
            <w:pPr>
              <w:pStyle w:val="naisc"/>
              <w:spacing w:before="0" w:after="0"/>
              <w:ind w:right="3"/>
            </w:pPr>
            <w:r w:rsidRPr="003E1F78">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59E68C81" w14:textId="77777777" w:rsidR="001B526A" w:rsidRPr="003E1F78" w:rsidRDefault="001B526A" w:rsidP="00962AD0">
            <w:pPr>
              <w:pStyle w:val="naisc"/>
              <w:spacing w:before="0" w:after="0"/>
              <w:ind w:firstLine="21"/>
            </w:pPr>
            <w:r w:rsidRPr="003E1F78">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7CA924EC" w14:textId="77777777" w:rsidR="001B526A" w:rsidRPr="003E1F78" w:rsidRDefault="001B526A" w:rsidP="00962AD0">
            <w:pPr>
              <w:jc w:val="center"/>
            </w:pPr>
            <w:r w:rsidRPr="003E1F7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FFA7FCB" w14:textId="77777777" w:rsidR="001B526A" w:rsidRPr="003E1F78" w:rsidRDefault="001B526A" w:rsidP="00962AD0">
            <w:pPr>
              <w:jc w:val="center"/>
            </w:pPr>
            <w:r w:rsidRPr="003E1F78">
              <w:t>Projekta attiecīgā punkta (panta) galīgā redakcija</w:t>
            </w:r>
          </w:p>
        </w:tc>
      </w:tr>
      <w:tr w:rsidR="001B526A" w:rsidRPr="003E1F78" w14:paraId="7D589CFB" w14:textId="77777777" w:rsidTr="00962AD0">
        <w:tc>
          <w:tcPr>
            <w:tcW w:w="708" w:type="dxa"/>
            <w:tcBorders>
              <w:left w:val="single" w:sz="6" w:space="0" w:color="000000"/>
              <w:bottom w:val="single" w:sz="4" w:space="0" w:color="auto"/>
              <w:right w:val="single" w:sz="6" w:space="0" w:color="000000"/>
            </w:tcBorders>
          </w:tcPr>
          <w:p w14:paraId="1A88B829" w14:textId="77777777" w:rsidR="001B526A" w:rsidRPr="003E1F78" w:rsidRDefault="001B526A" w:rsidP="00962AD0">
            <w:pPr>
              <w:pStyle w:val="naisc"/>
              <w:spacing w:before="0" w:after="0"/>
              <w:ind w:firstLine="720"/>
            </w:pPr>
            <w:r w:rsidRPr="003E1F78">
              <w:t>-</w:t>
            </w:r>
          </w:p>
        </w:tc>
        <w:tc>
          <w:tcPr>
            <w:tcW w:w="2400" w:type="dxa"/>
            <w:tcBorders>
              <w:left w:val="single" w:sz="6" w:space="0" w:color="000000"/>
              <w:bottom w:val="single" w:sz="4" w:space="0" w:color="auto"/>
              <w:right w:val="single" w:sz="6" w:space="0" w:color="000000"/>
            </w:tcBorders>
          </w:tcPr>
          <w:p w14:paraId="0A0DCAAC" w14:textId="77777777" w:rsidR="001B526A" w:rsidRPr="003E1F78" w:rsidRDefault="001B526A" w:rsidP="00962AD0">
            <w:pPr>
              <w:pStyle w:val="naisc"/>
              <w:spacing w:before="0" w:after="0"/>
            </w:pPr>
          </w:p>
        </w:tc>
        <w:tc>
          <w:tcPr>
            <w:tcW w:w="3600" w:type="dxa"/>
            <w:tcBorders>
              <w:left w:val="single" w:sz="6" w:space="0" w:color="000000"/>
              <w:bottom w:val="single" w:sz="4" w:space="0" w:color="auto"/>
              <w:right w:val="single" w:sz="6" w:space="0" w:color="000000"/>
            </w:tcBorders>
          </w:tcPr>
          <w:p w14:paraId="4E24F0CA" w14:textId="77777777" w:rsidR="001B526A" w:rsidRPr="003E1F78" w:rsidRDefault="001B526A" w:rsidP="00962AD0">
            <w:pPr>
              <w:autoSpaceDE w:val="0"/>
              <w:autoSpaceDN w:val="0"/>
              <w:adjustRightInd w:val="0"/>
              <w:jc w:val="center"/>
              <w:rPr>
                <w:b/>
              </w:rPr>
            </w:pPr>
          </w:p>
        </w:tc>
        <w:tc>
          <w:tcPr>
            <w:tcW w:w="3360" w:type="dxa"/>
            <w:tcBorders>
              <w:left w:val="single" w:sz="6" w:space="0" w:color="000000"/>
              <w:bottom w:val="single" w:sz="4" w:space="0" w:color="auto"/>
              <w:right w:val="single" w:sz="6" w:space="0" w:color="000000"/>
            </w:tcBorders>
          </w:tcPr>
          <w:p w14:paraId="7A365A15" w14:textId="77777777" w:rsidR="001B526A" w:rsidRPr="003E1F78" w:rsidRDefault="001B526A" w:rsidP="00962AD0">
            <w:pPr>
              <w:pStyle w:val="naisc"/>
              <w:spacing w:before="0" w:after="0"/>
              <w:ind w:firstLine="720"/>
              <w:rPr>
                <w:b/>
              </w:rPr>
            </w:pPr>
          </w:p>
        </w:tc>
        <w:tc>
          <w:tcPr>
            <w:tcW w:w="2280" w:type="dxa"/>
            <w:tcBorders>
              <w:top w:val="single" w:sz="4" w:space="0" w:color="auto"/>
              <w:left w:val="single" w:sz="4" w:space="0" w:color="auto"/>
              <w:bottom w:val="single" w:sz="4" w:space="0" w:color="auto"/>
              <w:right w:val="single" w:sz="4" w:space="0" w:color="auto"/>
            </w:tcBorders>
          </w:tcPr>
          <w:p w14:paraId="122ADCA1" w14:textId="77777777" w:rsidR="001B526A" w:rsidRPr="003E1F78" w:rsidRDefault="001B526A" w:rsidP="00962AD0">
            <w:pPr>
              <w:jc w:val="center"/>
            </w:pPr>
          </w:p>
        </w:tc>
        <w:tc>
          <w:tcPr>
            <w:tcW w:w="1920" w:type="dxa"/>
            <w:tcBorders>
              <w:top w:val="single" w:sz="4" w:space="0" w:color="auto"/>
              <w:left w:val="single" w:sz="4" w:space="0" w:color="auto"/>
              <w:bottom w:val="single" w:sz="4" w:space="0" w:color="auto"/>
              <w:right w:val="single" w:sz="4" w:space="0" w:color="auto"/>
            </w:tcBorders>
          </w:tcPr>
          <w:p w14:paraId="115ECFDA" w14:textId="77777777" w:rsidR="001B526A" w:rsidRPr="003E1F78" w:rsidRDefault="001B526A" w:rsidP="00962AD0">
            <w:pPr>
              <w:jc w:val="center"/>
            </w:pPr>
          </w:p>
        </w:tc>
      </w:tr>
    </w:tbl>
    <w:p w14:paraId="4B8B51A1" w14:textId="77777777" w:rsidR="001B526A" w:rsidRPr="003E1F78" w:rsidRDefault="001B526A" w:rsidP="001B526A">
      <w:pPr>
        <w:pStyle w:val="naisf"/>
        <w:spacing w:before="0" w:after="0"/>
        <w:ind w:firstLine="0"/>
        <w:outlineLvl w:val="0"/>
        <w:rPr>
          <w:b/>
        </w:rPr>
      </w:pPr>
    </w:p>
    <w:p w14:paraId="3AC75E7D" w14:textId="77777777" w:rsidR="001B526A" w:rsidRPr="003E1F78" w:rsidRDefault="001B526A" w:rsidP="001B526A">
      <w:pPr>
        <w:pStyle w:val="naisf"/>
        <w:spacing w:before="0" w:after="0"/>
        <w:ind w:firstLine="0"/>
        <w:outlineLvl w:val="0"/>
        <w:rPr>
          <w:b/>
        </w:rPr>
      </w:pPr>
      <w:r w:rsidRPr="003E1F78">
        <w:rPr>
          <w:b/>
        </w:rPr>
        <w:t>Informācija par starpministriju (starpinstitūciju) sanāksmi vai elektronisko saskaņošanu</w:t>
      </w:r>
    </w:p>
    <w:p w14:paraId="0D80A274" w14:textId="77777777" w:rsidR="001B526A" w:rsidRPr="003E1F78" w:rsidRDefault="001B526A" w:rsidP="001B526A">
      <w:pPr>
        <w:pStyle w:val="naisf"/>
        <w:spacing w:before="0" w:after="0"/>
        <w:ind w:firstLine="0"/>
        <w:rPr>
          <w:b/>
        </w:rPr>
      </w:pPr>
    </w:p>
    <w:tbl>
      <w:tblPr>
        <w:tblW w:w="13908" w:type="dxa"/>
        <w:tblLook w:val="00A0" w:firstRow="1" w:lastRow="0" w:firstColumn="1" w:lastColumn="0" w:noHBand="0" w:noVBand="0"/>
      </w:tblPr>
      <w:tblGrid>
        <w:gridCol w:w="6708"/>
        <w:gridCol w:w="7200"/>
      </w:tblGrid>
      <w:tr w:rsidR="001B526A" w:rsidRPr="003E1F78" w14:paraId="3E0F30BC" w14:textId="77777777" w:rsidTr="00962AD0">
        <w:tc>
          <w:tcPr>
            <w:tcW w:w="6708" w:type="dxa"/>
          </w:tcPr>
          <w:p w14:paraId="1AE4E2BB" w14:textId="77777777" w:rsidR="001B526A" w:rsidRPr="003E1F78" w:rsidRDefault="001B526A" w:rsidP="00962AD0">
            <w:pPr>
              <w:pStyle w:val="naisf"/>
              <w:spacing w:before="0" w:after="0"/>
              <w:ind w:firstLine="0"/>
            </w:pPr>
            <w:r w:rsidRPr="003E1F78">
              <w:t>Datums</w:t>
            </w:r>
          </w:p>
        </w:tc>
        <w:tc>
          <w:tcPr>
            <w:tcW w:w="7200" w:type="dxa"/>
            <w:tcBorders>
              <w:bottom w:val="single" w:sz="4" w:space="0" w:color="auto"/>
            </w:tcBorders>
          </w:tcPr>
          <w:p w14:paraId="539CA168" w14:textId="4C0AB8A8" w:rsidR="00534967" w:rsidRDefault="001B526A" w:rsidP="00962AD0">
            <w:pPr>
              <w:pStyle w:val="NormalWeb"/>
              <w:spacing w:before="0" w:beforeAutospacing="0" w:after="0" w:afterAutospacing="0"/>
              <w:ind w:firstLine="720"/>
            </w:pPr>
            <w:r>
              <w:t xml:space="preserve">Elektroniskā saskaņošana </w:t>
            </w:r>
            <w:r w:rsidR="00534967" w:rsidRPr="00534967">
              <w:t>2021.gada 26.janvārī</w:t>
            </w:r>
          </w:p>
          <w:p w14:paraId="525AEBC2" w14:textId="586FCBF5" w:rsidR="00534967" w:rsidRDefault="00534967" w:rsidP="00962AD0">
            <w:pPr>
              <w:pStyle w:val="NormalWeb"/>
              <w:spacing w:before="0" w:beforeAutospacing="0" w:after="0" w:afterAutospacing="0"/>
              <w:ind w:firstLine="720"/>
            </w:pPr>
            <w:r w:rsidRPr="00534967">
              <w:t>Elektroniskā saskaņošana 2021.gada 3.martā</w:t>
            </w:r>
          </w:p>
          <w:p w14:paraId="0558CAE9" w14:textId="0CFB2BFA" w:rsidR="001B526A" w:rsidRDefault="00534967" w:rsidP="00962AD0">
            <w:pPr>
              <w:pStyle w:val="NormalWeb"/>
              <w:spacing w:before="0" w:beforeAutospacing="0" w:after="0" w:afterAutospacing="0"/>
              <w:ind w:firstLine="720"/>
            </w:pPr>
            <w:r w:rsidRPr="00534967">
              <w:t xml:space="preserve">Elektroniskā saskaņošana </w:t>
            </w:r>
            <w:r w:rsidR="001B526A">
              <w:t>20</w:t>
            </w:r>
            <w:r w:rsidR="00297FCC">
              <w:t>2</w:t>
            </w:r>
            <w:r w:rsidR="006854FC">
              <w:t>1</w:t>
            </w:r>
            <w:r w:rsidR="001B526A" w:rsidRPr="003E1F78">
              <w:t>.</w:t>
            </w:r>
            <w:r w:rsidR="001B526A">
              <w:t xml:space="preserve"> gada </w:t>
            </w:r>
            <w:r w:rsidR="005D7181" w:rsidRPr="00A2105E">
              <w:t>2</w:t>
            </w:r>
            <w:r w:rsidR="00A07B00">
              <w:t>5</w:t>
            </w:r>
            <w:r w:rsidR="001B526A" w:rsidRPr="00A2105E">
              <w:t>.</w:t>
            </w:r>
            <w:r w:rsidR="000962E4" w:rsidRPr="00A2105E">
              <w:t>martā</w:t>
            </w:r>
          </w:p>
          <w:p w14:paraId="59DAE850" w14:textId="6D2D7E72" w:rsidR="00534967" w:rsidRPr="003E1F78" w:rsidRDefault="00534967" w:rsidP="00962AD0">
            <w:pPr>
              <w:pStyle w:val="NormalWeb"/>
              <w:spacing w:before="0" w:beforeAutospacing="0" w:after="0" w:afterAutospacing="0"/>
              <w:ind w:firstLine="720"/>
            </w:pPr>
          </w:p>
        </w:tc>
      </w:tr>
      <w:tr w:rsidR="001B526A" w:rsidRPr="003E1F78" w14:paraId="39F4DE5F" w14:textId="77777777" w:rsidTr="00962AD0">
        <w:tc>
          <w:tcPr>
            <w:tcW w:w="6708" w:type="dxa"/>
          </w:tcPr>
          <w:p w14:paraId="67CD76CF" w14:textId="77777777" w:rsidR="001B526A" w:rsidRPr="003E1F78" w:rsidRDefault="001B526A" w:rsidP="00962AD0">
            <w:pPr>
              <w:pStyle w:val="naisf"/>
              <w:spacing w:before="0" w:after="0"/>
              <w:ind w:firstLine="0"/>
            </w:pPr>
          </w:p>
        </w:tc>
        <w:tc>
          <w:tcPr>
            <w:tcW w:w="7200" w:type="dxa"/>
            <w:tcBorders>
              <w:top w:val="single" w:sz="4" w:space="0" w:color="auto"/>
            </w:tcBorders>
          </w:tcPr>
          <w:p w14:paraId="5053CD39" w14:textId="77777777" w:rsidR="001B526A" w:rsidRPr="003E1F78" w:rsidRDefault="001B526A" w:rsidP="00962AD0">
            <w:pPr>
              <w:pStyle w:val="NormalWeb"/>
              <w:spacing w:before="0" w:beforeAutospacing="0" w:after="0" w:afterAutospacing="0"/>
              <w:ind w:firstLine="720"/>
            </w:pPr>
          </w:p>
        </w:tc>
      </w:tr>
      <w:tr w:rsidR="001B526A" w:rsidRPr="003E1F78" w14:paraId="13B66192" w14:textId="77777777" w:rsidTr="00962AD0">
        <w:tc>
          <w:tcPr>
            <w:tcW w:w="6708" w:type="dxa"/>
          </w:tcPr>
          <w:p w14:paraId="0203B41D" w14:textId="77777777" w:rsidR="001B526A" w:rsidRPr="003E1F78" w:rsidRDefault="001B526A" w:rsidP="00962AD0">
            <w:pPr>
              <w:pStyle w:val="naiskr"/>
              <w:spacing w:before="0" w:after="0"/>
            </w:pPr>
            <w:r w:rsidRPr="003E1F78">
              <w:t>Saskaņošanas dalībnieki</w:t>
            </w:r>
          </w:p>
        </w:tc>
        <w:tc>
          <w:tcPr>
            <w:tcW w:w="7200" w:type="dxa"/>
          </w:tcPr>
          <w:p w14:paraId="63216897" w14:textId="67A8C372" w:rsidR="001B526A" w:rsidRPr="003E1F78" w:rsidRDefault="001B526A" w:rsidP="00962AD0">
            <w:pPr>
              <w:pStyle w:val="naiskr"/>
              <w:spacing w:before="0" w:after="0"/>
              <w:ind w:firstLine="12"/>
              <w:jc w:val="both"/>
            </w:pPr>
            <w:r>
              <w:t>Tieslietu ministrija, Finanšu ministrija, Ekonomikas ministrija, Latvijas Pašvaldību savienība</w:t>
            </w:r>
          </w:p>
        </w:tc>
      </w:tr>
      <w:tr w:rsidR="001B526A" w:rsidRPr="003E1F78" w14:paraId="7ACFA90C" w14:textId="77777777" w:rsidTr="00962AD0">
        <w:trPr>
          <w:trHeight w:val="285"/>
        </w:trPr>
        <w:tc>
          <w:tcPr>
            <w:tcW w:w="6708" w:type="dxa"/>
          </w:tcPr>
          <w:p w14:paraId="56C9DA0E" w14:textId="77777777" w:rsidR="001B526A" w:rsidRPr="003E1F78" w:rsidRDefault="001B526A" w:rsidP="00962AD0">
            <w:pPr>
              <w:pStyle w:val="naiskr"/>
              <w:spacing w:before="0" w:after="0"/>
            </w:pPr>
          </w:p>
        </w:tc>
        <w:tc>
          <w:tcPr>
            <w:tcW w:w="7200" w:type="dxa"/>
          </w:tcPr>
          <w:p w14:paraId="18BF37E2" w14:textId="77777777" w:rsidR="001B526A" w:rsidRPr="003E1F78" w:rsidRDefault="001B526A" w:rsidP="00962AD0">
            <w:pPr>
              <w:pStyle w:val="naiskr"/>
              <w:spacing w:before="0" w:after="0"/>
              <w:ind w:firstLine="12"/>
              <w:jc w:val="both"/>
            </w:pPr>
          </w:p>
        </w:tc>
      </w:tr>
      <w:tr w:rsidR="001B526A" w:rsidRPr="003E1F78" w14:paraId="15576749" w14:textId="77777777" w:rsidTr="00962AD0">
        <w:trPr>
          <w:trHeight w:val="285"/>
        </w:trPr>
        <w:tc>
          <w:tcPr>
            <w:tcW w:w="6708" w:type="dxa"/>
          </w:tcPr>
          <w:p w14:paraId="0B952A4C" w14:textId="77777777" w:rsidR="001B526A" w:rsidRPr="003E1F78" w:rsidRDefault="001B526A" w:rsidP="00962AD0">
            <w:pPr>
              <w:pStyle w:val="naiskr"/>
              <w:spacing w:before="0" w:after="0"/>
              <w:jc w:val="both"/>
            </w:pPr>
            <w:r w:rsidRPr="003E1F78">
              <w:t>Saskaņošanas dalībnieki izskatīja šādu ministriju (citu institūciju) iebildumus</w:t>
            </w:r>
          </w:p>
        </w:tc>
        <w:tc>
          <w:tcPr>
            <w:tcW w:w="7200" w:type="dxa"/>
          </w:tcPr>
          <w:p w14:paraId="74845FAD" w14:textId="74EF559A" w:rsidR="001B526A" w:rsidRPr="003E1F78" w:rsidRDefault="001B526A" w:rsidP="00962AD0">
            <w:pPr>
              <w:pStyle w:val="naiskr"/>
              <w:spacing w:before="0" w:after="0"/>
              <w:ind w:firstLine="12"/>
              <w:jc w:val="both"/>
              <w:rPr>
                <w:color w:val="000000"/>
              </w:rPr>
            </w:pPr>
            <w:r w:rsidRPr="003E1F78">
              <w:rPr>
                <w:color w:val="000000"/>
              </w:rPr>
              <w:t>Tieslietu ministrija</w:t>
            </w:r>
            <w:r w:rsidR="00080B70">
              <w:rPr>
                <w:color w:val="000000"/>
              </w:rPr>
              <w:t>, Ekonomikas ministrija</w:t>
            </w:r>
          </w:p>
        </w:tc>
      </w:tr>
      <w:tr w:rsidR="001B526A" w:rsidRPr="003E1F78" w14:paraId="61CFBFE9" w14:textId="77777777" w:rsidTr="00962AD0">
        <w:trPr>
          <w:trHeight w:val="465"/>
        </w:trPr>
        <w:tc>
          <w:tcPr>
            <w:tcW w:w="6708" w:type="dxa"/>
          </w:tcPr>
          <w:p w14:paraId="552223AD" w14:textId="77777777" w:rsidR="001B526A" w:rsidRPr="003E1F78" w:rsidRDefault="001B526A" w:rsidP="00962AD0">
            <w:pPr>
              <w:pStyle w:val="naiskr"/>
              <w:spacing w:before="0" w:after="0"/>
              <w:jc w:val="both"/>
            </w:pPr>
          </w:p>
        </w:tc>
        <w:tc>
          <w:tcPr>
            <w:tcW w:w="7200" w:type="dxa"/>
            <w:tcBorders>
              <w:top w:val="single" w:sz="6" w:space="0" w:color="000000"/>
              <w:bottom w:val="single" w:sz="6" w:space="0" w:color="000000"/>
            </w:tcBorders>
          </w:tcPr>
          <w:p w14:paraId="19BF7A9E" w14:textId="77777777" w:rsidR="001B526A" w:rsidRPr="003E1F78" w:rsidRDefault="001B526A" w:rsidP="00962AD0">
            <w:pPr>
              <w:pStyle w:val="NormalWeb"/>
              <w:spacing w:before="0" w:beforeAutospacing="0" w:after="0" w:afterAutospacing="0"/>
              <w:jc w:val="both"/>
            </w:pPr>
          </w:p>
        </w:tc>
      </w:tr>
      <w:tr w:rsidR="001B526A" w:rsidRPr="003E1F78" w14:paraId="2F793D55" w14:textId="77777777" w:rsidTr="00962AD0">
        <w:trPr>
          <w:gridAfter w:val="1"/>
          <w:wAfter w:w="7200" w:type="dxa"/>
        </w:trPr>
        <w:tc>
          <w:tcPr>
            <w:tcW w:w="6708" w:type="dxa"/>
          </w:tcPr>
          <w:p w14:paraId="7A02368A" w14:textId="77777777" w:rsidR="001B526A" w:rsidRDefault="001B526A" w:rsidP="00962AD0">
            <w:pPr>
              <w:pStyle w:val="naiskr"/>
              <w:spacing w:before="0" w:after="0"/>
              <w:jc w:val="both"/>
            </w:pPr>
            <w:r w:rsidRPr="003E1F78">
              <w:lastRenderedPageBreak/>
              <w:t>Ministrijas (citas institūcijas), kuras nav ieradušās uz sanāksmi vai kuras nav atbildējušas uz uzaicinājumu piedalīties elektroniskajā saskaņošanā</w:t>
            </w:r>
          </w:p>
          <w:p w14:paraId="41F357B9" w14:textId="77777777" w:rsidR="001B526A" w:rsidRPr="003E1F78" w:rsidRDefault="001B526A" w:rsidP="00962AD0">
            <w:pPr>
              <w:pStyle w:val="naiskr"/>
              <w:spacing w:before="0" w:after="0"/>
              <w:jc w:val="both"/>
            </w:pPr>
          </w:p>
        </w:tc>
      </w:tr>
    </w:tbl>
    <w:p w14:paraId="5932B9A6" w14:textId="77777777" w:rsidR="001B526A" w:rsidRDefault="001B526A" w:rsidP="001B526A"/>
    <w:p w14:paraId="0A08F1FF" w14:textId="77777777" w:rsidR="001B526A" w:rsidRPr="003E1F78" w:rsidRDefault="001B526A" w:rsidP="001B526A">
      <w:pPr>
        <w:pStyle w:val="naisf"/>
        <w:spacing w:before="0" w:after="0"/>
        <w:ind w:firstLine="0"/>
        <w:jc w:val="center"/>
        <w:outlineLvl w:val="0"/>
        <w:rPr>
          <w:b/>
        </w:rPr>
      </w:pPr>
      <w:r w:rsidRPr="003E1F78">
        <w:rPr>
          <w:b/>
        </w:rPr>
        <w:t>II. Jautājumi, par kuriem saskaņošanā vienošanās ir panākta</w:t>
      </w:r>
    </w:p>
    <w:p w14:paraId="14386B34" w14:textId="77777777" w:rsidR="001B526A" w:rsidRPr="003E1F78" w:rsidRDefault="001B526A" w:rsidP="001B526A">
      <w:pPr>
        <w:pStyle w:val="naisf"/>
        <w:spacing w:before="0" w:after="0"/>
        <w:ind w:firstLine="720"/>
      </w:pPr>
    </w:p>
    <w:tbl>
      <w:tblPr>
        <w:tblW w:w="14575"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83"/>
        <w:gridCol w:w="3286"/>
        <w:gridCol w:w="4536"/>
        <w:gridCol w:w="2384"/>
        <w:gridCol w:w="3686"/>
      </w:tblGrid>
      <w:tr w:rsidR="001B526A" w:rsidRPr="003E1F78" w14:paraId="124BE186" w14:textId="77777777" w:rsidTr="00CD15D0">
        <w:tc>
          <w:tcPr>
            <w:tcW w:w="683" w:type="dxa"/>
            <w:tcBorders>
              <w:top w:val="single" w:sz="6" w:space="0" w:color="000000"/>
              <w:left w:val="single" w:sz="6" w:space="0" w:color="000000"/>
              <w:bottom w:val="single" w:sz="6" w:space="0" w:color="000000"/>
              <w:right w:val="single" w:sz="6" w:space="0" w:color="000000"/>
            </w:tcBorders>
          </w:tcPr>
          <w:p w14:paraId="537559C5" w14:textId="77777777" w:rsidR="001B526A" w:rsidRPr="003E1F78" w:rsidRDefault="001B526A" w:rsidP="0075069C">
            <w:pPr>
              <w:pStyle w:val="naisc"/>
              <w:spacing w:before="0" w:after="0"/>
              <w:jc w:val="both"/>
              <w:rPr>
                <w:b/>
              </w:rPr>
            </w:pPr>
            <w:r w:rsidRPr="003E1F78">
              <w:rPr>
                <w:b/>
              </w:rPr>
              <w:t>Nr. p.k.</w:t>
            </w:r>
          </w:p>
        </w:tc>
        <w:tc>
          <w:tcPr>
            <w:tcW w:w="3286" w:type="dxa"/>
            <w:tcBorders>
              <w:top w:val="single" w:sz="6" w:space="0" w:color="000000"/>
              <w:left w:val="single" w:sz="6" w:space="0" w:color="000000"/>
              <w:bottom w:val="single" w:sz="6" w:space="0" w:color="000000"/>
              <w:right w:val="single" w:sz="6" w:space="0" w:color="000000"/>
            </w:tcBorders>
          </w:tcPr>
          <w:p w14:paraId="5801B707" w14:textId="77777777" w:rsidR="001B526A" w:rsidRPr="00CE33D2" w:rsidRDefault="001B526A" w:rsidP="0075069C">
            <w:pPr>
              <w:pStyle w:val="naisc"/>
              <w:spacing w:before="0" w:after="0"/>
              <w:ind w:firstLine="12"/>
              <w:jc w:val="both"/>
              <w:rPr>
                <w:b/>
              </w:rPr>
            </w:pPr>
            <w:r w:rsidRPr="00CE33D2">
              <w:rPr>
                <w:b/>
              </w:rPr>
              <w:t>Saskaņošanai nosūtītā projekta redakcija (konkrēta punkta redakcija)</w:t>
            </w:r>
          </w:p>
        </w:tc>
        <w:tc>
          <w:tcPr>
            <w:tcW w:w="4536" w:type="dxa"/>
            <w:tcBorders>
              <w:top w:val="single" w:sz="6" w:space="0" w:color="000000"/>
              <w:left w:val="single" w:sz="6" w:space="0" w:color="000000"/>
              <w:bottom w:val="single" w:sz="6" w:space="0" w:color="000000"/>
              <w:right w:val="single" w:sz="6" w:space="0" w:color="000000"/>
            </w:tcBorders>
          </w:tcPr>
          <w:p w14:paraId="54D766ED" w14:textId="77777777" w:rsidR="001B526A" w:rsidRPr="00DF5371" w:rsidRDefault="001B526A" w:rsidP="0075069C">
            <w:pPr>
              <w:pStyle w:val="naisc"/>
              <w:spacing w:before="0" w:after="0"/>
              <w:ind w:right="3"/>
              <w:jc w:val="both"/>
              <w:rPr>
                <w:b/>
              </w:rPr>
            </w:pPr>
            <w:r w:rsidRPr="00DF5371">
              <w:rPr>
                <w:b/>
              </w:rPr>
              <w:t xml:space="preserve">Atzinumā norādītais ministrijas (citas institūcijas) iebildums, kā arī saskaņošanā papildus izteiktais iebildums par projekta konkrēto punktu </w:t>
            </w:r>
          </w:p>
        </w:tc>
        <w:tc>
          <w:tcPr>
            <w:tcW w:w="2384" w:type="dxa"/>
            <w:tcBorders>
              <w:top w:val="single" w:sz="6" w:space="0" w:color="000000"/>
              <w:left w:val="single" w:sz="6" w:space="0" w:color="000000"/>
              <w:bottom w:val="single" w:sz="6" w:space="0" w:color="000000"/>
              <w:right w:val="single" w:sz="6" w:space="0" w:color="000000"/>
            </w:tcBorders>
          </w:tcPr>
          <w:p w14:paraId="669474B4" w14:textId="77777777" w:rsidR="001B526A" w:rsidRPr="00DF5371" w:rsidRDefault="001B526A" w:rsidP="0075069C">
            <w:pPr>
              <w:pStyle w:val="naisc"/>
              <w:spacing w:before="0" w:after="0"/>
              <w:ind w:firstLine="21"/>
              <w:jc w:val="both"/>
              <w:rPr>
                <w:b/>
              </w:rPr>
            </w:pPr>
            <w:r w:rsidRPr="00DF5371">
              <w:rPr>
                <w:b/>
              </w:rPr>
              <w:t>Atbildīgās ministrijas norāde par to, ka iebildums ir ņemts vērā, vai informācija par saskaņošanā panākto alternatīvo risinājumu</w:t>
            </w:r>
          </w:p>
        </w:tc>
        <w:tc>
          <w:tcPr>
            <w:tcW w:w="3686" w:type="dxa"/>
            <w:tcBorders>
              <w:top w:val="single" w:sz="4" w:space="0" w:color="auto"/>
              <w:left w:val="single" w:sz="4" w:space="0" w:color="auto"/>
              <w:bottom w:val="single" w:sz="4" w:space="0" w:color="auto"/>
            </w:tcBorders>
          </w:tcPr>
          <w:p w14:paraId="684DF8BA" w14:textId="77777777" w:rsidR="001B526A" w:rsidRPr="00DF5371" w:rsidRDefault="001B526A" w:rsidP="0075069C">
            <w:pPr>
              <w:jc w:val="both"/>
              <w:rPr>
                <w:b/>
              </w:rPr>
            </w:pPr>
            <w:r w:rsidRPr="00DF5371">
              <w:rPr>
                <w:b/>
              </w:rPr>
              <w:t>Projekta attiecīgā punkta galīgā redakcija</w:t>
            </w:r>
          </w:p>
        </w:tc>
      </w:tr>
      <w:tr w:rsidR="001B526A" w:rsidRPr="003E1F78" w14:paraId="729C2E18" w14:textId="77777777" w:rsidTr="00CD15D0">
        <w:tc>
          <w:tcPr>
            <w:tcW w:w="683" w:type="dxa"/>
            <w:tcBorders>
              <w:top w:val="single" w:sz="6" w:space="0" w:color="000000"/>
              <w:left w:val="single" w:sz="6" w:space="0" w:color="000000"/>
              <w:bottom w:val="single" w:sz="6" w:space="0" w:color="000000"/>
              <w:right w:val="single" w:sz="6" w:space="0" w:color="000000"/>
            </w:tcBorders>
          </w:tcPr>
          <w:p w14:paraId="380BE40E" w14:textId="522CAE75" w:rsidR="001B526A" w:rsidRPr="003E1F78" w:rsidRDefault="00911777" w:rsidP="0075069C">
            <w:pPr>
              <w:pStyle w:val="naisc"/>
              <w:spacing w:before="0" w:after="0"/>
              <w:jc w:val="both"/>
              <w:rPr>
                <w:b/>
              </w:rPr>
            </w:pPr>
            <w:r>
              <w:rPr>
                <w:b/>
              </w:rPr>
              <w:t>1.</w:t>
            </w:r>
          </w:p>
        </w:tc>
        <w:tc>
          <w:tcPr>
            <w:tcW w:w="3286" w:type="dxa"/>
            <w:tcBorders>
              <w:top w:val="single" w:sz="6" w:space="0" w:color="000000"/>
              <w:left w:val="single" w:sz="6" w:space="0" w:color="000000"/>
              <w:bottom w:val="single" w:sz="6" w:space="0" w:color="000000"/>
              <w:right w:val="single" w:sz="6" w:space="0" w:color="000000"/>
            </w:tcBorders>
          </w:tcPr>
          <w:p w14:paraId="5EE6E321" w14:textId="4F61EE5D" w:rsidR="00E5189B" w:rsidRPr="00E5189B" w:rsidRDefault="00E5189B" w:rsidP="0075069C">
            <w:pPr>
              <w:jc w:val="both"/>
            </w:pPr>
            <w:r>
              <w:t>1.</w:t>
            </w:r>
            <w:r w:rsidRPr="00E5189B">
              <w:t>Aizstāt noteikumu tekstā vārdus “reģionālajā vides pārvaldē” (attiecīgā locījumā) ar vārdiem “Valsts vides dienestā” (attiecīgā locījumā).</w:t>
            </w:r>
          </w:p>
          <w:p w14:paraId="756360BC" w14:textId="143A7930" w:rsidR="00E5189B" w:rsidRPr="00E5189B" w:rsidRDefault="00E5189B" w:rsidP="0075069C">
            <w:pPr>
              <w:jc w:val="both"/>
            </w:pPr>
            <w:r>
              <w:t xml:space="preserve">2. </w:t>
            </w:r>
            <w:r w:rsidRPr="00E5189B">
              <w:t xml:space="preserve">Aizstāt noteikumu tekstā vārdus “cietās daļiņas” ar vārdiem “daļiņas vai putekļi”. </w:t>
            </w:r>
          </w:p>
          <w:p w14:paraId="3B38CFD8" w14:textId="77777777" w:rsidR="001B526A" w:rsidRPr="00CE33D2" w:rsidRDefault="001B526A" w:rsidP="0075069C">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vAlign w:val="center"/>
          </w:tcPr>
          <w:p w14:paraId="6C968938" w14:textId="77777777" w:rsidR="001B526A" w:rsidRDefault="001B526A" w:rsidP="0075069C">
            <w:pPr>
              <w:pStyle w:val="naisc"/>
              <w:spacing w:before="0" w:after="0"/>
              <w:ind w:right="3"/>
              <w:jc w:val="both"/>
              <w:rPr>
                <w:b/>
              </w:rPr>
            </w:pPr>
            <w:r>
              <w:rPr>
                <w:b/>
              </w:rPr>
              <w:t>Tieslietu ministrija:</w:t>
            </w:r>
          </w:p>
          <w:p w14:paraId="661B286C" w14:textId="77777777" w:rsidR="001B526A" w:rsidRPr="00E5189B" w:rsidRDefault="001B526A" w:rsidP="0075069C">
            <w:pPr>
              <w:ind w:right="12" w:firstLine="567"/>
              <w:jc w:val="both"/>
            </w:pPr>
            <w:r w:rsidRPr="00E5189B">
              <w:t xml:space="preserve">1. Lūdzam precizēt noteikumu projekta 1. punktu. Vēršam uzmanību, ka, piemēram, Ministru kabineta 2011. gada 24. maija noteikumu Nr. 401 "Prasības atkritumu sadedzināšanai un atkritumu sadedzināšanas iekārtu darbībai" (turpmāk – noteikumi Nr. 401) 4. punktā noteikumu projekta 1. punkta piemērošanas rezultātā veidojas nekorekts normas teksts – "Valsts vides dienesta valsts vides dienestā". </w:t>
            </w:r>
          </w:p>
          <w:p w14:paraId="3AEA9379" w14:textId="77777777" w:rsidR="001B526A" w:rsidRPr="00E5189B" w:rsidRDefault="001B526A" w:rsidP="0075069C">
            <w:pPr>
              <w:ind w:right="12" w:firstLine="567"/>
              <w:jc w:val="both"/>
            </w:pPr>
            <w:r w:rsidRPr="00E5189B">
              <w:t xml:space="preserve">Papildus lūdzam izvērtēt un nepieciešamības gadījumā precizēt noteikumu projekta 2. punktu. Norādām, ka </w:t>
            </w:r>
            <w:r w:rsidRPr="00E5189B">
              <w:lastRenderedPageBreak/>
              <w:t xml:space="preserve">vārdi "cietās daļiņas" lietoti arī noteikumu Nr. 401 45. punktā kā daļa no standarta LVS ISO 9096:2006 "Stacionāro avotu izmeši. </w:t>
            </w:r>
            <w:r w:rsidRPr="00E5189B">
              <w:rPr>
                <w:u w:val="single"/>
              </w:rPr>
              <w:t>Cieto daļiņu</w:t>
            </w:r>
            <w:r w:rsidRPr="00E5189B">
              <w:t xml:space="preserve"> masas koncentrācijas manuāla noteikšana"</w:t>
            </w:r>
            <w:r w:rsidRPr="00F645D6">
              <w:rPr>
                <w:sz w:val="28"/>
                <w:szCs w:val="28"/>
              </w:rPr>
              <w:t xml:space="preserve"> </w:t>
            </w:r>
            <w:r w:rsidRPr="00E5189B">
              <w:t>nosaukuma. Savukārt no noteikumu projekta anotācijas neizriet, ka ar noteikumu projektu paredzēts noteikt kā obligātu atšķirīgu standartu. Tāpat citviet noteikumos Nr. 401 lietoti vārdi "cietās daļiņas (kopā)", attiecīgi veidojas neskaidrs tiesiskais regulējums, jo, aizstājot vārdus "cietās daļiņas" ar vārdiem "daļiņas vai putekļi", nav skaidrs, uz ko konkrēti attiecināms iekavās lietotais vārds "kopā".</w:t>
            </w:r>
          </w:p>
          <w:p w14:paraId="5428536F" w14:textId="77777777" w:rsidR="001B526A" w:rsidRPr="00E5189B" w:rsidRDefault="001B526A" w:rsidP="0075069C">
            <w:pPr>
              <w:ind w:right="12" w:firstLine="567"/>
              <w:jc w:val="both"/>
            </w:pPr>
            <w:r w:rsidRPr="00E5189B">
              <w:t>Kā arī lūdzam noteikumu projekta anotācijā sniegt skaidrojumu, kas noteikumu projektā saprotams ar vārdiem "daļiņas vai putekļi". Norādām, ka, piemēram, Ministru kabineta 2017. gada 12. decembra noteikumos Nr. 736 lietots termins "putekļi jeb daļiņas", turklāt ar noteikumu projektu atsevišķās noteikumu Nr. 401 normās paredzēts saglabāt arī vārdu "cietās daļiņas" lietojumu.</w:t>
            </w:r>
          </w:p>
          <w:p w14:paraId="0D8A5462" w14:textId="1E4BEF76" w:rsidR="001B526A" w:rsidRPr="00E5189B" w:rsidRDefault="001B526A" w:rsidP="0075069C">
            <w:pPr>
              <w:ind w:right="12" w:firstLine="567"/>
              <w:jc w:val="both"/>
            </w:pPr>
            <w:r w:rsidRPr="00E5189B">
              <w:t>Norādām, ka atbilstoši juridiskās tehnikas prasībām tiesību normai ir jābūt skaidrai, lai tās lietotājs un piemērotājs gūtu nepārprotamu priekšstatu par saviem pienākumiem un tiesībām.</w:t>
            </w:r>
          </w:p>
        </w:tc>
        <w:tc>
          <w:tcPr>
            <w:tcW w:w="2384" w:type="dxa"/>
            <w:tcBorders>
              <w:top w:val="single" w:sz="6" w:space="0" w:color="000000"/>
              <w:left w:val="single" w:sz="6" w:space="0" w:color="000000"/>
              <w:bottom w:val="single" w:sz="6" w:space="0" w:color="000000"/>
              <w:right w:val="single" w:sz="6" w:space="0" w:color="000000"/>
            </w:tcBorders>
          </w:tcPr>
          <w:p w14:paraId="0ED3EEF3" w14:textId="7C83E783" w:rsidR="001B526A" w:rsidRPr="00DF5371" w:rsidRDefault="002700E3" w:rsidP="0075069C">
            <w:pPr>
              <w:pStyle w:val="naisc"/>
              <w:spacing w:before="0" w:after="0"/>
              <w:ind w:firstLine="21"/>
              <w:jc w:val="both"/>
              <w:rPr>
                <w:b/>
              </w:rPr>
            </w:pPr>
            <w:r>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0203DAB9" w14:textId="77777777" w:rsidR="00F9329D" w:rsidRPr="00F9329D" w:rsidRDefault="00F9329D" w:rsidP="00F9329D">
            <w:pPr>
              <w:pStyle w:val="naisf"/>
              <w:spacing w:before="0" w:after="0"/>
              <w:ind w:firstLine="709"/>
            </w:pPr>
            <w:r w:rsidRPr="00F9329D">
              <w:t xml:space="preserve">1. Izteikt 2.2.apakšpunktu šādā redakcijā: </w:t>
            </w:r>
          </w:p>
          <w:p w14:paraId="68EA8D5F" w14:textId="77777777" w:rsidR="00F9329D" w:rsidRPr="00F9329D" w:rsidRDefault="00F9329D" w:rsidP="00F9329D">
            <w:pPr>
              <w:pStyle w:val="naisf"/>
              <w:spacing w:before="0" w:after="0"/>
              <w:ind w:firstLine="709"/>
            </w:pPr>
            <w:r w:rsidRPr="00F9329D">
              <w:t xml:space="preserve">“2.2. stacionārām vai mobilām tehniskām iekārtām, kas paredzētas enerģijas vai noteikta veida materiālu ražošanai un kurās atkritumus izmanto par pamata vai papildu kurināmo vai kurās atkritumus termiski iznīcina, (turpmāk – līdzsadedzināšanas iekārta), veicot atkritumu sadedzināšanu oksidējot, kā arī ar citiem termiskās apstrādes procesiem, piemēram, pirolīzi, </w:t>
            </w:r>
            <w:r w:rsidRPr="00F9329D">
              <w:lastRenderedPageBreak/>
              <w:t>gazificēšanu vai plazmas procesiem, ja šādā apstrādē radušās vielas pēc tam tiek sadedzinātas tai pašā atkritumu sadedzināšanas iekārtā. ;”</w:t>
            </w:r>
          </w:p>
          <w:p w14:paraId="093E6F20" w14:textId="77777777" w:rsidR="00F9329D" w:rsidRDefault="00F9329D" w:rsidP="00F9329D">
            <w:pPr>
              <w:pStyle w:val="naisf"/>
              <w:spacing w:before="0" w:after="0"/>
              <w:ind w:firstLine="709"/>
              <w:rPr>
                <w:sz w:val="28"/>
                <w:szCs w:val="28"/>
              </w:rPr>
            </w:pPr>
          </w:p>
          <w:p w14:paraId="3B39E189" w14:textId="77777777" w:rsidR="00F9329D" w:rsidRPr="00E00030" w:rsidRDefault="00F9329D" w:rsidP="00F9329D">
            <w:pPr>
              <w:pStyle w:val="naisf"/>
              <w:spacing w:before="0" w:after="0"/>
              <w:ind w:firstLine="709"/>
            </w:pPr>
            <w:r w:rsidRPr="00E00030">
              <w:t>2. Papildināt noteikumus ar 2.</w:t>
            </w:r>
            <w:r w:rsidRPr="00E00030">
              <w:rPr>
                <w:vertAlign w:val="superscript"/>
              </w:rPr>
              <w:t>1</w:t>
            </w:r>
            <w:r w:rsidRPr="00E00030">
              <w:t xml:space="preserve"> punktu šādā redakcijā:</w:t>
            </w:r>
          </w:p>
          <w:p w14:paraId="368E267A" w14:textId="77777777" w:rsidR="00F9329D" w:rsidRPr="00E00030" w:rsidRDefault="00F9329D" w:rsidP="00F9329D">
            <w:pPr>
              <w:pStyle w:val="naisf"/>
              <w:spacing w:before="0" w:after="0"/>
              <w:ind w:firstLine="709"/>
            </w:pPr>
            <w:r w:rsidRPr="00E00030">
              <w:rPr>
                <w:sz w:val="28"/>
              </w:rPr>
              <w:t>“</w:t>
            </w:r>
            <w:r w:rsidRPr="00E00030">
              <w:t>2.</w:t>
            </w:r>
            <w:r w:rsidRPr="00E00030">
              <w:rPr>
                <w:vertAlign w:val="superscript"/>
              </w:rPr>
              <w:t>1</w:t>
            </w:r>
            <w:r w:rsidRPr="00E00030">
              <w:rPr>
                <w:szCs w:val="22"/>
              </w:rPr>
              <w:t xml:space="preserve"> </w:t>
            </w:r>
            <w:r w:rsidRPr="00E00030">
              <w:t xml:space="preserve">Par </w:t>
            </w:r>
            <w:r w:rsidRPr="00E00030">
              <w:rPr>
                <w:noProof/>
              </w:rPr>
              <w:t>atkritumu</w:t>
            </w:r>
            <w:r w:rsidRPr="00E00030">
              <w:rPr>
                <w:noProof/>
                <w:szCs w:val="22"/>
              </w:rPr>
              <w:t xml:space="preserve"> sadedzināšanas vai līdzsadedzināšanas iekārtu uzskata arī atkritumu termiskās apstrādes procesu, gan arī tam sekojošo sadedzināšanas procesu, ja atkritumu termiskai apstrādei izmanto nevis oksidāciju, bet citus procesus,  piemēram, pirolīzi, gazifikāciju vai plazmas procesu.”</w:t>
            </w:r>
            <w:r w:rsidRPr="00E00030">
              <w:t>;</w:t>
            </w:r>
          </w:p>
          <w:p w14:paraId="73828E5B" w14:textId="695DDC38" w:rsidR="001B526A" w:rsidRPr="00DF5371" w:rsidRDefault="001B526A" w:rsidP="0075069C">
            <w:pPr>
              <w:jc w:val="both"/>
              <w:rPr>
                <w:b/>
              </w:rPr>
            </w:pPr>
          </w:p>
        </w:tc>
      </w:tr>
      <w:tr w:rsidR="001B526A" w:rsidRPr="0075069C" w14:paraId="6A825E74" w14:textId="77777777" w:rsidTr="00CD15D0">
        <w:tc>
          <w:tcPr>
            <w:tcW w:w="683" w:type="dxa"/>
            <w:tcBorders>
              <w:top w:val="single" w:sz="6" w:space="0" w:color="000000"/>
              <w:left w:val="single" w:sz="6" w:space="0" w:color="000000"/>
              <w:bottom w:val="single" w:sz="6" w:space="0" w:color="000000"/>
              <w:right w:val="single" w:sz="6" w:space="0" w:color="000000"/>
            </w:tcBorders>
          </w:tcPr>
          <w:p w14:paraId="6CA1446E" w14:textId="4F36ABBB" w:rsidR="001B526A" w:rsidRPr="0075069C" w:rsidRDefault="00911777" w:rsidP="0075069C">
            <w:pPr>
              <w:pStyle w:val="naisc"/>
              <w:spacing w:before="0" w:after="0"/>
              <w:jc w:val="both"/>
              <w:rPr>
                <w:b/>
              </w:rPr>
            </w:pPr>
            <w:r>
              <w:rPr>
                <w:b/>
              </w:rPr>
              <w:lastRenderedPageBreak/>
              <w:t>2.</w:t>
            </w:r>
          </w:p>
        </w:tc>
        <w:tc>
          <w:tcPr>
            <w:tcW w:w="3286" w:type="dxa"/>
            <w:tcBorders>
              <w:top w:val="single" w:sz="6" w:space="0" w:color="000000"/>
              <w:left w:val="single" w:sz="6" w:space="0" w:color="000000"/>
              <w:bottom w:val="single" w:sz="6" w:space="0" w:color="000000"/>
              <w:right w:val="single" w:sz="6" w:space="0" w:color="000000"/>
            </w:tcBorders>
            <w:vAlign w:val="center"/>
          </w:tcPr>
          <w:p w14:paraId="5043DC45" w14:textId="77777777" w:rsidR="00E5189B" w:rsidRPr="0075069C" w:rsidRDefault="00E5189B" w:rsidP="0075069C">
            <w:pPr>
              <w:pStyle w:val="naisf"/>
              <w:spacing w:before="0" w:after="0"/>
              <w:ind w:firstLine="0"/>
            </w:pPr>
            <w:r w:rsidRPr="0075069C">
              <w:t>5. Papildināt noteikumus ar 4.1 punktu šādā redakcijā:</w:t>
            </w:r>
          </w:p>
          <w:p w14:paraId="5F6D66DE" w14:textId="77777777" w:rsidR="001B526A" w:rsidRPr="0075069C" w:rsidRDefault="00E5189B" w:rsidP="0075069C">
            <w:pPr>
              <w:pStyle w:val="naisc"/>
              <w:spacing w:before="0" w:after="0"/>
              <w:ind w:firstLine="12"/>
              <w:jc w:val="both"/>
            </w:pPr>
            <w:r w:rsidRPr="0075069C">
              <w:t>“</w:t>
            </w:r>
            <w:r w:rsidRPr="0075069C">
              <w:rPr>
                <w:bCs/>
                <w:noProof/>
              </w:rPr>
              <w:t>Ja atkritumu termiskai apstrādei izmanto citus procesus, nevis oksidāciju, piemēram, pirolīzi, gazifikāciju vai plazmas procesu, atkritumu sadedzināšanas vai līdzsadedzināšanas iekārtā iekļauj gan termiskās apstrādes, gan arī tai sekojošo sadedzināšanas procesu.”</w:t>
            </w:r>
            <w:r w:rsidRPr="0075069C">
              <w:t>;</w:t>
            </w:r>
          </w:p>
          <w:p w14:paraId="342C5DE9" w14:textId="77777777" w:rsidR="00E5189B" w:rsidRPr="0075069C" w:rsidRDefault="00E5189B" w:rsidP="0075069C">
            <w:pPr>
              <w:pStyle w:val="naisf"/>
              <w:spacing w:before="0" w:after="0"/>
              <w:ind w:firstLine="0"/>
            </w:pPr>
          </w:p>
          <w:p w14:paraId="03104166" w14:textId="3D850C0F" w:rsidR="00E5189B" w:rsidRPr="0075069C" w:rsidRDefault="00E5189B" w:rsidP="0075069C">
            <w:pPr>
              <w:pStyle w:val="naisf"/>
              <w:spacing w:before="0" w:after="0"/>
              <w:ind w:firstLine="0"/>
            </w:pPr>
            <w:r w:rsidRPr="0075069C">
              <w:t>7. Papildināt noteikumus ar 7.</w:t>
            </w:r>
            <w:r w:rsidRPr="0075069C">
              <w:rPr>
                <w:vertAlign w:val="superscript"/>
              </w:rPr>
              <w:t>1</w:t>
            </w:r>
            <w:r w:rsidRPr="0075069C">
              <w:t xml:space="preserve"> punktu šādā redakcijā:</w:t>
            </w:r>
          </w:p>
          <w:p w14:paraId="21A98501" w14:textId="251B91E8" w:rsidR="00E5189B" w:rsidRPr="0075069C" w:rsidRDefault="00E5189B" w:rsidP="0075069C">
            <w:pPr>
              <w:pStyle w:val="naisf"/>
              <w:spacing w:before="0" w:after="0"/>
              <w:ind w:firstLine="0"/>
            </w:pPr>
            <w:r w:rsidRPr="0075069C">
              <w:t>“7.</w:t>
            </w:r>
            <w:r w:rsidRPr="0075069C">
              <w:rPr>
                <w:vertAlign w:val="superscript"/>
              </w:rPr>
              <w:t>1</w:t>
            </w:r>
            <w:r w:rsidRPr="0075069C">
              <w:t xml:space="preserve"> Iekārtas darbības veida maiņu, kas saistīta ar bīstamo atkritumu sadedzināšanu atkritumu sadedzināšanas vai līdzsadedzināšanas iekārtās, kas ir tādu iekārtu daļa, kuru darbībai ir izdota A kategorijas piesārņojošas darbības atļauja un kurās dedzina tikai nebīstamus atkritumus, uzskata par būtisku izmaiņu atbilstoši normatīvajiem aktiem par piesārņojumu.”;</w:t>
            </w:r>
          </w:p>
          <w:p w14:paraId="01CB1797" w14:textId="4DDE2CE7" w:rsidR="00E5189B" w:rsidRPr="0075069C" w:rsidRDefault="00E5189B" w:rsidP="0075069C">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vAlign w:val="center"/>
          </w:tcPr>
          <w:p w14:paraId="3F1163C8" w14:textId="77777777" w:rsidR="001B526A" w:rsidRPr="0075069C" w:rsidRDefault="001B526A" w:rsidP="0075069C">
            <w:pPr>
              <w:pStyle w:val="naisc"/>
              <w:spacing w:before="0" w:after="0"/>
              <w:ind w:right="3"/>
              <w:jc w:val="both"/>
              <w:rPr>
                <w:b/>
              </w:rPr>
            </w:pPr>
            <w:r w:rsidRPr="0075069C">
              <w:rPr>
                <w:b/>
              </w:rPr>
              <w:t>Tieslietu ministrija:</w:t>
            </w:r>
          </w:p>
          <w:p w14:paraId="192DCA52" w14:textId="77777777" w:rsidR="00100868" w:rsidRPr="0075069C" w:rsidRDefault="00100868" w:rsidP="0075069C">
            <w:pPr>
              <w:ind w:right="12" w:firstLine="567"/>
              <w:jc w:val="both"/>
            </w:pPr>
            <w:r w:rsidRPr="0075069C">
              <w:t>Tiesiskās noteiktības nolūkā lūdzam:</w:t>
            </w:r>
          </w:p>
          <w:p w14:paraId="0CB77D64" w14:textId="77777777" w:rsidR="00100868" w:rsidRPr="0075069C" w:rsidRDefault="00100868" w:rsidP="0075069C">
            <w:pPr>
              <w:ind w:right="12" w:firstLine="567"/>
              <w:jc w:val="both"/>
            </w:pPr>
            <w:r w:rsidRPr="0075069C">
              <w:t>pirmkārt, izvērtēt un precizēt noteikumu projekta 5. punktu vai sniegt izvērstu skaidrojumu par tā būtību, nepieciešamību un mērķi, noteikumu projekta anotācijā, ņemot vērā, ka no minētās normas teksta nav skaidri saprotama tā jēga, proti, nav skaidrs, kā iekārtā paredzēts iekļaut procesus un attiecīgi – kādas tiesiskās sekas izriet no šādas iekļaušanas.</w:t>
            </w:r>
          </w:p>
          <w:p w14:paraId="76521162" w14:textId="77777777" w:rsidR="00100868" w:rsidRPr="0075069C" w:rsidRDefault="00100868" w:rsidP="0075069C">
            <w:pPr>
              <w:ind w:right="12" w:firstLine="567"/>
              <w:jc w:val="both"/>
            </w:pPr>
            <w:r w:rsidRPr="0075069C">
              <w:t>Tāpat līdzīgi lūdzam izvērtēt un precizēt noteikumu projekta 7. punktu vai sniegt skaidrojumu par tā būtību, nepieciešamību un mērķi, noteikumu projekta anotācijā, ņemot vērā, ka nav skaidri saprotams, kādas iekārtas darbības veida maiņas gadījumā tā tiks uzskatīta par būtisku izmaiņu, proti, kādos gadījumos iekārtas darbības veida maiņa būs saistīta ar bīstamo atkritumu sadedzināšanu atkritumu sadedzināšanas vai līdzsadedzināšanas iekārtās.</w:t>
            </w:r>
          </w:p>
          <w:p w14:paraId="6754B76C" w14:textId="3B503743" w:rsidR="00100868" w:rsidRPr="0075069C" w:rsidRDefault="00100868" w:rsidP="0075069C">
            <w:pPr>
              <w:ind w:right="12" w:firstLine="567"/>
              <w:jc w:val="both"/>
            </w:pPr>
            <w:r w:rsidRPr="0075069C">
              <w:t xml:space="preserve">Norādām, ka ar noteikumu projekta 5. un 7. punktu tiek burtiski pārrakstītas Eiropas Parlamenta un Padomes 2010. gada 24. novembra Direktīvas 2010/75/ES par rūpnieciskajām emisijām (piesārņojuma integrēta novēršana un kontrole) (turpmāk – </w:t>
            </w:r>
            <w:r w:rsidRPr="0075069C">
              <w:lastRenderedPageBreak/>
              <w:t>direktīva Nr. 2010/75/ES) prasības, tomēr direktīvu normas dalībvalstu tiesību aktos jāpārņem pēc būtības, sasniedzot direktīvas mērķi, un to vislabāk ir izdarīt pārformulējot direktīvas normu atbilstoši Latvijas tiesību sistēmā lietotajai terminoloģijai un juridiskajai tehnikai</w:t>
            </w:r>
            <w:r w:rsidR="00E5189B" w:rsidRPr="0075069C">
              <w:t xml:space="preserve">. </w:t>
            </w:r>
          </w:p>
        </w:tc>
        <w:tc>
          <w:tcPr>
            <w:tcW w:w="2384" w:type="dxa"/>
            <w:tcBorders>
              <w:top w:val="single" w:sz="6" w:space="0" w:color="000000"/>
              <w:left w:val="single" w:sz="6" w:space="0" w:color="000000"/>
              <w:bottom w:val="single" w:sz="6" w:space="0" w:color="000000"/>
              <w:right w:val="single" w:sz="6" w:space="0" w:color="000000"/>
            </w:tcBorders>
          </w:tcPr>
          <w:p w14:paraId="380D9396" w14:textId="21A0DD4B" w:rsidR="001B526A" w:rsidRPr="0075069C" w:rsidRDefault="00B075A9" w:rsidP="0075069C">
            <w:pPr>
              <w:pStyle w:val="naisc"/>
              <w:spacing w:before="0" w:after="0"/>
              <w:ind w:firstLine="21"/>
              <w:jc w:val="both"/>
              <w:rPr>
                <w:b/>
              </w:rPr>
            </w:pPr>
            <w:r w:rsidRPr="0075069C">
              <w:rPr>
                <w:b/>
              </w:rPr>
              <w:lastRenderedPageBreak/>
              <w:t xml:space="preserve">Iebildums ir ņemts vērā. Veikto precizējumu rezultātā ir mainījusies noteikumu projekta normu numerācija. </w:t>
            </w:r>
          </w:p>
        </w:tc>
        <w:tc>
          <w:tcPr>
            <w:tcW w:w="3686" w:type="dxa"/>
            <w:tcBorders>
              <w:top w:val="single" w:sz="4" w:space="0" w:color="auto"/>
              <w:left w:val="single" w:sz="4" w:space="0" w:color="auto"/>
              <w:bottom w:val="single" w:sz="4" w:space="0" w:color="auto"/>
            </w:tcBorders>
          </w:tcPr>
          <w:p w14:paraId="7E5A646C" w14:textId="77777777" w:rsidR="00B075A9" w:rsidRPr="0075069C" w:rsidRDefault="00B075A9" w:rsidP="0075069C">
            <w:pPr>
              <w:pStyle w:val="naisf"/>
              <w:spacing w:before="0" w:after="0"/>
              <w:ind w:firstLine="709"/>
            </w:pPr>
            <w:r w:rsidRPr="0075069C">
              <w:t>2. Papildināt noteikumus ar 2.</w:t>
            </w:r>
            <w:r w:rsidRPr="0075069C">
              <w:rPr>
                <w:vertAlign w:val="superscript"/>
              </w:rPr>
              <w:t>1</w:t>
            </w:r>
            <w:r w:rsidRPr="0075069C">
              <w:t xml:space="preserve"> punktu šādā redakcijā:</w:t>
            </w:r>
          </w:p>
          <w:p w14:paraId="6CCB80A9" w14:textId="77777777" w:rsidR="00B075A9" w:rsidRPr="00E00030" w:rsidRDefault="00B075A9" w:rsidP="0075069C">
            <w:pPr>
              <w:pStyle w:val="naisf"/>
              <w:spacing w:before="0" w:after="0"/>
              <w:ind w:firstLine="709"/>
            </w:pPr>
            <w:r w:rsidRPr="00E00030">
              <w:t xml:space="preserve">“Par </w:t>
            </w:r>
            <w:r w:rsidRPr="00E00030">
              <w:rPr>
                <w:noProof/>
              </w:rPr>
              <w:t>atkritumu sadedzināšanas vai līdzsadedzināšanas iekārtu uzskata arī atkritumu termiskās apstrādes procesu, gan arī tam sekojošo sadedzināšanas procesu, ja atkritumu termiskai apstrādei izmanto nevis oksidāciju, bet citus procesus,  piemēram, pirolīzi, gazifikāciju vai plazmas procesu.”</w:t>
            </w:r>
            <w:r w:rsidRPr="00E00030">
              <w:t>;</w:t>
            </w:r>
          </w:p>
          <w:p w14:paraId="4BADDBF9" w14:textId="77777777" w:rsidR="001B526A" w:rsidRPr="0075069C" w:rsidRDefault="001B526A" w:rsidP="0075069C">
            <w:pPr>
              <w:pStyle w:val="naisc"/>
              <w:spacing w:before="0" w:after="0"/>
              <w:ind w:firstLine="12"/>
              <w:jc w:val="both"/>
              <w:rPr>
                <w:b/>
              </w:rPr>
            </w:pPr>
          </w:p>
          <w:p w14:paraId="5A4FC8C1" w14:textId="77777777" w:rsidR="003A5966" w:rsidRPr="0075069C" w:rsidRDefault="003A5966" w:rsidP="0075069C">
            <w:pPr>
              <w:pStyle w:val="naisf"/>
              <w:spacing w:before="0" w:after="0"/>
              <w:ind w:firstLine="709"/>
            </w:pPr>
            <w:r w:rsidRPr="0075069C">
              <w:t>8. Papildināt noteikumus ar 7.</w:t>
            </w:r>
            <w:r w:rsidRPr="0075069C">
              <w:rPr>
                <w:vertAlign w:val="superscript"/>
              </w:rPr>
              <w:t>1</w:t>
            </w:r>
            <w:r w:rsidRPr="0075069C">
              <w:t xml:space="preserve"> punktu šādā redakcijā:</w:t>
            </w:r>
          </w:p>
          <w:p w14:paraId="39F6B772" w14:textId="77777777" w:rsidR="003A5966" w:rsidRPr="0075069C" w:rsidRDefault="003A5966" w:rsidP="0075069C">
            <w:pPr>
              <w:pStyle w:val="naisc"/>
              <w:spacing w:before="0" w:after="0"/>
              <w:ind w:firstLine="12"/>
              <w:jc w:val="both"/>
            </w:pPr>
            <w:r w:rsidRPr="0075069C" w:rsidDel="00C279BB">
              <w:t xml:space="preserve"> </w:t>
            </w:r>
            <w:r w:rsidRPr="0075069C">
              <w:t>“7.</w:t>
            </w:r>
            <w:r w:rsidRPr="0075069C">
              <w:rPr>
                <w:vertAlign w:val="superscript"/>
              </w:rPr>
              <w:t>1</w:t>
            </w:r>
            <w:r w:rsidRPr="0075069C">
              <w:t xml:space="preserve"> Par būtisku izmaiņu atbilstoši normatīvajiem aktiem par piesārņojumu uzskata atkritumu sadedzināšanas vai līdzsadedzināšanas iekārtas darbības veida maiņu, kas saistīta ar bīstamo atkritumu sadedzināšanu atkritumu sadedzināšanas vai līdzsadedzināšanas iekārtās, kas ir tādu iekārtu daļa, kuru darbībai ir izdota A kategorijas piesārņojošas darbības atļauja un kurās dedzina tikai nebīstamus atkritumus.”;</w:t>
            </w:r>
          </w:p>
          <w:p w14:paraId="5F12144A" w14:textId="53A14A73" w:rsidR="003A5966" w:rsidRPr="0075069C" w:rsidRDefault="003A5966" w:rsidP="0075069C">
            <w:pPr>
              <w:pStyle w:val="naisc"/>
              <w:spacing w:before="0" w:after="0"/>
              <w:jc w:val="both"/>
            </w:pPr>
          </w:p>
          <w:p w14:paraId="7BE3BACE" w14:textId="1AEF7115" w:rsidR="003A5966" w:rsidRPr="0075069C" w:rsidRDefault="003A5966" w:rsidP="0075069C">
            <w:pPr>
              <w:pStyle w:val="naisc"/>
              <w:spacing w:before="0" w:after="0"/>
              <w:ind w:firstLine="12"/>
              <w:jc w:val="both"/>
              <w:rPr>
                <w:b/>
              </w:rPr>
            </w:pPr>
            <w:r w:rsidRPr="00564C42">
              <w:rPr>
                <w:color w:val="FF0000"/>
              </w:rPr>
              <w:lastRenderedPageBreak/>
              <w:t xml:space="preserve"> </w:t>
            </w:r>
          </w:p>
        </w:tc>
      </w:tr>
      <w:tr w:rsidR="001B526A" w:rsidRPr="0075069C" w14:paraId="3B2CB8B7" w14:textId="77777777" w:rsidTr="00CD15D0">
        <w:tc>
          <w:tcPr>
            <w:tcW w:w="683" w:type="dxa"/>
            <w:tcBorders>
              <w:top w:val="single" w:sz="6" w:space="0" w:color="000000"/>
              <w:left w:val="single" w:sz="6" w:space="0" w:color="000000"/>
              <w:bottom w:val="single" w:sz="6" w:space="0" w:color="000000"/>
              <w:right w:val="single" w:sz="6" w:space="0" w:color="000000"/>
            </w:tcBorders>
          </w:tcPr>
          <w:p w14:paraId="266E7E74" w14:textId="2C712D4D" w:rsidR="001B526A" w:rsidRPr="0075069C" w:rsidRDefault="00911777" w:rsidP="0075069C">
            <w:pPr>
              <w:pStyle w:val="naisc"/>
              <w:spacing w:before="0" w:after="0"/>
              <w:jc w:val="both"/>
              <w:rPr>
                <w:b/>
              </w:rPr>
            </w:pPr>
            <w:r>
              <w:rPr>
                <w:b/>
              </w:rPr>
              <w:lastRenderedPageBreak/>
              <w:t>3.</w:t>
            </w:r>
          </w:p>
        </w:tc>
        <w:tc>
          <w:tcPr>
            <w:tcW w:w="3286" w:type="dxa"/>
            <w:tcBorders>
              <w:top w:val="single" w:sz="6" w:space="0" w:color="000000"/>
              <w:left w:val="single" w:sz="6" w:space="0" w:color="000000"/>
              <w:bottom w:val="single" w:sz="6" w:space="0" w:color="000000"/>
              <w:right w:val="single" w:sz="6" w:space="0" w:color="000000"/>
            </w:tcBorders>
          </w:tcPr>
          <w:p w14:paraId="6E1CD37A" w14:textId="77777777" w:rsidR="00E5189B" w:rsidRPr="0075069C" w:rsidRDefault="00E5189B" w:rsidP="0075069C">
            <w:pPr>
              <w:pStyle w:val="naisf"/>
              <w:spacing w:before="0" w:after="0"/>
              <w:ind w:firstLine="0"/>
            </w:pPr>
            <w:r w:rsidRPr="0075069C">
              <w:t>10. 12. punktā:</w:t>
            </w:r>
          </w:p>
          <w:p w14:paraId="77F5FAB5" w14:textId="22DC2DD2" w:rsidR="001B526A" w:rsidRPr="0075069C" w:rsidRDefault="00E5189B" w:rsidP="0075069C">
            <w:pPr>
              <w:pStyle w:val="naisf"/>
              <w:spacing w:before="0" w:after="0"/>
              <w:ind w:firstLine="0"/>
            </w:pPr>
            <w:r w:rsidRPr="0075069C">
              <w:t>“12.6. ņem bīstamo atkritumu paraugus pirms to izkraušanas, lai pārbaudītu bīstamo atkritumu atbilstību šo noteikumu 11.punktā minētajam aprakstam un šo noteikumu 7.punktā minētās atļaujas nosacījumiem, kā arī lai dotu iespēju Valsts vides dienestam noteikt sadedzināmo atkritumu īpašības. Bīstamo atkritumu paraugus uzglabā ne mazāk kā mēnesi pēc to sadedzināšanas.”</w:t>
            </w:r>
          </w:p>
        </w:tc>
        <w:tc>
          <w:tcPr>
            <w:tcW w:w="4536" w:type="dxa"/>
            <w:tcBorders>
              <w:top w:val="single" w:sz="6" w:space="0" w:color="000000"/>
              <w:left w:val="single" w:sz="6" w:space="0" w:color="000000"/>
              <w:bottom w:val="single" w:sz="6" w:space="0" w:color="000000"/>
              <w:right w:val="single" w:sz="6" w:space="0" w:color="000000"/>
            </w:tcBorders>
          </w:tcPr>
          <w:p w14:paraId="7028913C" w14:textId="77777777" w:rsidR="001B526A" w:rsidRPr="0075069C" w:rsidRDefault="001B526A" w:rsidP="0075069C">
            <w:pPr>
              <w:pStyle w:val="naisc"/>
              <w:spacing w:before="0" w:after="0"/>
              <w:ind w:right="3"/>
              <w:jc w:val="both"/>
              <w:rPr>
                <w:b/>
              </w:rPr>
            </w:pPr>
            <w:r w:rsidRPr="0075069C">
              <w:rPr>
                <w:b/>
              </w:rPr>
              <w:t>Tieslietu ministrija:</w:t>
            </w:r>
          </w:p>
          <w:p w14:paraId="5F58A42E" w14:textId="77777777" w:rsidR="00100868" w:rsidRPr="0075069C" w:rsidRDefault="00100868" w:rsidP="0075069C">
            <w:pPr>
              <w:ind w:right="12" w:firstLine="567"/>
              <w:jc w:val="both"/>
            </w:pPr>
            <w:r w:rsidRPr="0075069C">
              <w:t>otrkārt, papildināt noteikumu projekta 10. punktā izteikto noteikumu Nr. 401 12.6. apakšpunktu, norādot, cik ilgi bīstamo atkritumu paraugus uzglabā gadījumā, ja bīstamie atkritumi tiek līdzsadedzināti;</w:t>
            </w:r>
          </w:p>
          <w:p w14:paraId="329FF867" w14:textId="1C72836C" w:rsidR="00100868" w:rsidRPr="0075069C" w:rsidRDefault="00100868" w:rsidP="0075069C">
            <w:pPr>
              <w:pStyle w:val="naisc"/>
              <w:spacing w:before="0" w:after="0"/>
              <w:ind w:right="3"/>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3E094AA1" w14:textId="47A72394" w:rsidR="001B526A" w:rsidRPr="0075069C" w:rsidRDefault="003A5966" w:rsidP="0075069C">
            <w:pPr>
              <w:pStyle w:val="naisc"/>
              <w:spacing w:before="0" w:after="0"/>
              <w:ind w:firstLine="21"/>
              <w:jc w:val="both"/>
              <w:rPr>
                <w:b/>
              </w:rPr>
            </w:pPr>
            <w:r w:rsidRPr="0075069C">
              <w:rPr>
                <w:b/>
              </w:rPr>
              <w:t>Iebildums ir ņemts vērā.</w:t>
            </w:r>
            <w:r w:rsidR="00F9329D" w:rsidRPr="0075069C">
              <w:rPr>
                <w:b/>
              </w:rPr>
              <w:t xml:space="preserve"> 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6E8A0FA4" w14:textId="77777777" w:rsidR="00564C42" w:rsidRPr="00564C42" w:rsidRDefault="00564C42" w:rsidP="00564C42">
            <w:pPr>
              <w:pStyle w:val="naisf"/>
              <w:spacing w:before="0" w:after="0"/>
              <w:ind w:firstLine="0"/>
            </w:pPr>
            <w:r w:rsidRPr="00564C42">
              <w:t xml:space="preserve">13. izteikt noteikumu 12.6.apakšpunktu šādā redakcijā: </w:t>
            </w:r>
          </w:p>
          <w:p w14:paraId="4186EFED" w14:textId="77777777" w:rsidR="00564C42" w:rsidRPr="00564C42" w:rsidRDefault="00564C42" w:rsidP="00564C42">
            <w:pPr>
              <w:pStyle w:val="naisf"/>
              <w:spacing w:before="0" w:after="0"/>
              <w:ind w:firstLine="709"/>
            </w:pPr>
            <w:r w:rsidRPr="00564C42">
              <w:t>“12.6. ņem bīstamo atkritumu paraugus pirms to izkraušanas, lai pārbaudītu bīstamo atkritumu atbilstību šo noteikumu 11.punktā minētajam aprakstam un šo noteikumu 7.punktā minētās atļaujas nosacījumiem. Bīstamo atkritumu paraugus uzglabā ne mazāk kā mēnesi pēc to sadedzināšanas vai līdzsadedzināšanas.”</w:t>
            </w:r>
          </w:p>
          <w:p w14:paraId="0580D9B5" w14:textId="2638DD2F" w:rsidR="001B526A" w:rsidRPr="0075069C" w:rsidRDefault="001B526A" w:rsidP="0075069C">
            <w:pPr>
              <w:jc w:val="both"/>
              <w:rPr>
                <w:b/>
              </w:rPr>
            </w:pPr>
          </w:p>
        </w:tc>
      </w:tr>
      <w:tr w:rsidR="001B526A" w:rsidRPr="0075069C" w14:paraId="6C5B87FC" w14:textId="77777777" w:rsidTr="00CD15D0">
        <w:tc>
          <w:tcPr>
            <w:tcW w:w="683" w:type="dxa"/>
            <w:tcBorders>
              <w:top w:val="single" w:sz="6" w:space="0" w:color="000000"/>
              <w:left w:val="single" w:sz="6" w:space="0" w:color="000000"/>
              <w:bottom w:val="single" w:sz="6" w:space="0" w:color="000000"/>
              <w:right w:val="single" w:sz="6" w:space="0" w:color="000000"/>
            </w:tcBorders>
          </w:tcPr>
          <w:p w14:paraId="3DB714A7" w14:textId="18144622" w:rsidR="001B526A" w:rsidRPr="0075069C" w:rsidRDefault="00911777" w:rsidP="0075069C">
            <w:pPr>
              <w:pStyle w:val="naisc"/>
              <w:spacing w:before="0" w:after="0"/>
              <w:jc w:val="both"/>
              <w:rPr>
                <w:b/>
              </w:rPr>
            </w:pPr>
            <w:r>
              <w:rPr>
                <w:b/>
              </w:rPr>
              <w:t>4.</w:t>
            </w:r>
          </w:p>
        </w:tc>
        <w:tc>
          <w:tcPr>
            <w:tcW w:w="3286" w:type="dxa"/>
            <w:tcBorders>
              <w:top w:val="single" w:sz="6" w:space="0" w:color="000000"/>
              <w:left w:val="single" w:sz="6" w:space="0" w:color="000000"/>
              <w:bottom w:val="single" w:sz="6" w:space="0" w:color="000000"/>
              <w:right w:val="single" w:sz="6" w:space="0" w:color="000000"/>
            </w:tcBorders>
          </w:tcPr>
          <w:p w14:paraId="271CE0AA" w14:textId="77777777" w:rsidR="00E5189B" w:rsidRPr="0075069C" w:rsidRDefault="00E5189B" w:rsidP="0075069C">
            <w:pPr>
              <w:pStyle w:val="naisf"/>
              <w:spacing w:before="0" w:after="0"/>
              <w:ind w:firstLine="0"/>
            </w:pPr>
            <w:r w:rsidRPr="0075069C">
              <w:t xml:space="preserve">15. Papildināt 43.punktu ar otro teikumu šādā redakcijā: </w:t>
            </w:r>
          </w:p>
          <w:p w14:paraId="19E3AFEE" w14:textId="77777777" w:rsidR="00E5189B" w:rsidRPr="0075069C" w:rsidRDefault="00E5189B" w:rsidP="0075069C">
            <w:pPr>
              <w:pStyle w:val="naisf"/>
              <w:spacing w:before="0" w:after="0"/>
              <w:ind w:firstLine="0"/>
            </w:pPr>
            <w:r w:rsidRPr="0075069C">
              <w:t>“Operators nodrošina, ka veiktie gaisu un ūdeni piesārņojošo vielu koncentrāciju mērījumi ir reprezentatīvi un periodiski.”</w:t>
            </w:r>
          </w:p>
          <w:p w14:paraId="33A03225" w14:textId="77777777" w:rsidR="001B526A" w:rsidRPr="0075069C" w:rsidRDefault="001B526A" w:rsidP="0075069C">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3D601026" w14:textId="77777777" w:rsidR="001B526A" w:rsidRPr="0075069C" w:rsidRDefault="001B526A" w:rsidP="0075069C">
            <w:pPr>
              <w:pStyle w:val="naisc"/>
              <w:spacing w:before="0" w:after="0"/>
              <w:ind w:right="3"/>
              <w:jc w:val="both"/>
              <w:rPr>
                <w:b/>
              </w:rPr>
            </w:pPr>
            <w:r w:rsidRPr="0075069C">
              <w:rPr>
                <w:b/>
              </w:rPr>
              <w:lastRenderedPageBreak/>
              <w:t>Tieslietu ministrija:</w:t>
            </w:r>
          </w:p>
          <w:p w14:paraId="29585B1F" w14:textId="77777777" w:rsidR="00100868" w:rsidRPr="0075069C" w:rsidRDefault="00100868" w:rsidP="0075069C">
            <w:pPr>
              <w:ind w:right="12" w:firstLine="567"/>
              <w:jc w:val="both"/>
            </w:pPr>
            <w:r w:rsidRPr="0075069C">
              <w:t>treškārt, precizēt noteikumu projekta 15. punktu, skaidrojot, kā var tikt nodrošināts tas, ka mērījumi ir reprezentatīvi un periodiski, nepieciešamības gadījumā attiecīgu informāciju sniedzot noteikumu projekta anotācijā;</w:t>
            </w:r>
          </w:p>
          <w:p w14:paraId="23B0895D" w14:textId="0AAA2BD4" w:rsidR="00100868" w:rsidRPr="0075069C" w:rsidRDefault="00100868" w:rsidP="0075069C">
            <w:pPr>
              <w:pStyle w:val="naisc"/>
              <w:spacing w:before="0" w:after="0"/>
              <w:ind w:right="3"/>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4692790B" w14:textId="720CB95B" w:rsidR="001B526A" w:rsidRPr="0075069C" w:rsidRDefault="00CC42FB" w:rsidP="0075069C">
            <w:pPr>
              <w:pStyle w:val="naisc"/>
              <w:spacing w:before="0" w:after="0"/>
              <w:ind w:firstLine="21"/>
              <w:jc w:val="both"/>
              <w:rPr>
                <w:b/>
              </w:rPr>
            </w:pPr>
            <w:r>
              <w:rPr>
                <w:b/>
              </w:rPr>
              <w:lastRenderedPageBreak/>
              <w:t xml:space="preserve">Iebildums ir ņemts vērā. </w:t>
            </w:r>
            <w:r w:rsidR="00F9329D" w:rsidRPr="0075069C">
              <w:rPr>
                <w:b/>
              </w:rPr>
              <w:t>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514B5B1F" w14:textId="688860B1" w:rsidR="00D21551" w:rsidRPr="0075069C" w:rsidRDefault="00564C42" w:rsidP="0075069C">
            <w:pPr>
              <w:pStyle w:val="naisf"/>
              <w:spacing w:before="0" w:after="0"/>
              <w:ind w:firstLine="0"/>
            </w:pPr>
            <w:r>
              <w:t>2</w:t>
            </w:r>
            <w:r w:rsidR="00C670D1">
              <w:t>3</w:t>
            </w:r>
            <w:r w:rsidR="00D21551" w:rsidRPr="0075069C">
              <w:t xml:space="preserve">. Papildināt 43.punktu ar otro teikumu šādā redakcijā: </w:t>
            </w:r>
          </w:p>
          <w:p w14:paraId="52F38D0D" w14:textId="28AEC020" w:rsidR="00D21551" w:rsidRPr="0075069C" w:rsidRDefault="00D21551" w:rsidP="0075069C">
            <w:pPr>
              <w:pStyle w:val="naisf"/>
              <w:spacing w:before="0" w:after="0"/>
              <w:ind w:firstLine="0"/>
            </w:pPr>
            <w:r w:rsidRPr="0075069C">
              <w:t>“</w:t>
            </w:r>
            <w:bookmarkStart w:id="0" w:name="_Hlk60833589"/>
            <w:r w:rsidRPr="0075069C">
              <w:t xml:space="preserve">Operators nodrošina, ka veiktie gaisu un ūdeni piesārņojošo vielu koncentrāciju mērījumi ir reprezentatīvi un periodiski </w:t>
            </w:r>
            <w:r w:rsidRPr="0075069C">
              <w:lastRenderedPageBreak/>
              <w:t>atbilstoši šajā nodaļā noteiktajām prasībām.</w:t>
            </w:r>
            <w:bookmarkEnd w:id="0"/>
            <w:r w:rsidRPr="0075069C">
              <w:t>”</w:t>
            </w:r>
          </w:p>
          <w:p w14:paraId="3EB354B0" w14:textId="77777777" w:rsidR="001B526A" w:rsidRPr="0075069C" w:rsidRDefault="001B526A" w:rsidP="0075069C">
            <w:pPr>
              <w:jc w:val="both"/>
              <w:rPr>
                <w:b/>
              </w:rPr>
            </w:pPr>
          </w:p>
          <w:p w14:paraId="7C3A870A" w14:textId="57035C34" w:rsidR="00D21551" w:rsidRPr="0075069C" w:rsidRDefault="00D21551" w:rsidP="0075069C">
            <w:pPr>
              <w:jc w:val="both"/>
              <w:rPr>
                <w:b/>
              </w:rPr>
            </w:pPr>
          </w:p>
        </w:tc>
      </w:tr>
      <w:tr w:rsidR="001B526A" w:rsidRPr="0075069C" w14:paraId="54B20B8D" w14:textId="77777777" w:rsidTr="00CD15D0">
        <w:tc>
          <w:tcPr>
            <w:tcW w:w="683" w:type="dxa"/>
            <w:tcBorders>
              <w:top w:val="single" w:sz="6" w:space="0" w:color="000000"/>
              <w:left w:val="single" w:sz="6" w:space="0" w:color="000000"/>
              <w:bottom w:val="single" w:sz="6" w:space="0" w:color="000000"/>
              <w:right w:val="single" w:sz="6" w:space="0" w:color="000000"/>
            </w:tcBorders>
          </w:tcPr>
          <w:p w14:paraId="0E7CCA68" w14:textId="77777777" w:rsidR="001B526A" w:rsidRPr="0075069C" w:rsidRDefault="001B526A" w:rsidP="0075069C">
            <w:pPr>
              <w:pStyle w:val="naisc"/>
              <w:spacing w:before="0" w:after="0"/>
              <w:jc w:val="both"/>
              <w:rPr>
                <w:b/>
              </w:rPr>
            </w:pPr>
          </w:p>
        </w:tc>
        <w:tc>
          <w:tcPr>
            <w:tcW w:w="3286" w:type="dxa"/>
            <w:tcBorders>
              <w:top w:val="single" w:sz="6" w:space="0" w:color="000000"/>
              <w:left w:val="single" w:sz="6" w:space="0" w:color="000000"/>
              <w:bottom w:val="single" w:sz="6" w:space="0" w:color="000000"/>
              <w:right w:val="single" w:sz="6" w:space="0" w:color="000000"/>
            </w:tcBorders>
          </w:tcPr>
          <w:p w14:paraId="761A342A" w14:textId="77777777" w:rsidR="00FB7E6E" w:rsidRPr="0075069C" w:rsidRDefault="00FB7E6E" w:rsidP="0075069C">
            <w:pPr>
              <w:pStyle w:val="naisf"/>
              <w:spacing w:before="0" w:after="0"/>
              <w:ind w:firstLine="0"/>
            </w:pPr>
            <w:r w:rsidRPr="0075069C">
              <w:t>17. Papildināt noteikumus ar 44.</w:t>
            </w:r>
            <w:r w:rsidRPr="0075069C">
              <w:rPr>
                <w:vertAlign w:val="superscript"/>
              </w:rPr>
              <w:t>1</w:t>
            </w:r>
            <w:r w:rsidRPr="0075069C">
              <w:t xml:space="preserve"> punktu šādā redakcijā: </w:t>
            </w:r>
          </w:p>
          <w:p w14:paraId="646DB4FF" w14:textId="103BAD3B" w:rsidR="001B526A" w:rsidRPr="0075069C" w:rsidRDefault="00E5189B" w:rsidP="0075069C">
            <w:pPr>
              <w:pStyle w:val="naisf"/>
              <w:spacing w:before="0" w:after="0"/>
              <w:ind w:firstLine="0"/>
            </w:pPr>
            <w:r w:rsidRPr="0075069C">
              <w:t>“44.</w:t>
            </w:r>
            <w:r w:rsidRPr="0075069C">
              <w:rPr>
                <w:vertAlign w:val="superscript"/>
              </w:rPr>
              <w:t>1</w:t>
            </w:r>
            <w:r w:rsidRPr="0075069C">
              <w:t xml:space="preserve"> Vides aizsardzības un reģionālās attīstības ministrija iesaka nacionālajai standartizācijas institūcijai atbilstoši normatīvajiem aktiem standartizācijas jomā to standartu sarakstu, kurus var piemērot šo noteikumu 44.punktā minēto prasību izpildei (turpmāk – piemērojamie standarti). Nacionālā standartizācijas institūcija savā oficiālajā tīmekļvietnē publicē sarakstu ar piemērojamiem standartiem, kas adaptēti nacionālo standartu statusā un kurus var piemērot šo noteikumu 44. punktā minēto prasību izpildei.”</w:t>
            </w:r>
          </w:p>
        </w:tc>
        <w:tc>
          <w:tcPr>
            <w:tcW w:w="4536" w:type="dxa"/>
            <w:tcBorders>
              <w:top w:val="single" w:sz="6" w:space="0" w:color="000000"/>
              <w:left w:val="single" w:sz="6" w:space="0" w:color="000000"/>
              <w:bottom w:val="single" w:sz="6" w:space="0" w:color="000000"/>
              <w:right w:val="single" w:sz="6" w:space="0" w:color="000000"/>
            </w:tcBorders>
          </w:tcPr>
          <w:p w14:paraId="5A68BC67" w14:textId="77777777" w:rsidR="001B526A" w:rsidRPr="0075069C" w:rsidRDefault="001B526A" w:rsidP="0075069C">
            <w:pPr>
              <w:pStyle w:val="naisc"/>
              <w:spacing w:before="0" w:after="0"/>
              <w:ind w:right="3"/>
              <w:jc w:val="both"/>
              <w:rPr>
                <w:b/>
              </w:rPr>
            </w:pPr>
            <w:r w:rsidRPr="0075069C">
              <w:rPr>
                <w:b/>
              </w:rPr>
              <w:t>Tieslietu ministrija:</w:t>
            </w:r>
          </w:p>
          <w:p w14:paraId="7F109FD1" w14:textId="77777777" w:rsidR="00100868" w:rsidRPr="0075069C" w:rsidRDefault="00100868" w:rsidP="0075069C">
            <w:pPr>
              <w:ind w:right="12" w:firstLine="567"/>
              <w:jc w:val="both"/>
            </w:pPr>
            <w:r w:rsidRPr="0075069C">
              <w:t>ceturtkārt, izvērtēt iespēju un noteikt termiņus noteikumu projekta 17. punktā paredzēto Vides aizsardzības un reģionālās attīstības ministrijas un nacionālās standartizācijas institūcijas pienākumu izpildei, tādējādi nodrošinot šo pienākumu izpildes efektivitāti, kā arī to, ka var tikt ievēroti noteikumu projekta 16. punktā ietvertie nosacījumi;</w:t>
            </w:r>
          </w:p>
          <w:p w14:paraId="2F56AC15" w14:textId="77777777" w:rsidR="00100868" w:rsidRPr="0075069C" w:rsidRDefault="00100868" w:rsidP="0075069C">
            <w:pPr>
              <w:pStyle w:val="naisc"/>
              <w:spacing w:before="0" w:after="0"/>
              <w:ind w:right="3"/>
              <w:jc w:val="both"/>
              <w:rPr>
                <w:b/>
              </w:rPr>
            </w:pPr>
          </w:p>
          <w:p w14:paraId="263A1113" w14:textId="77777777" w:rsidR="00660695" w:rsidRPr="0075069C" w:rsidRDefault="00660695" w:rsidP="0075069C">
            <w:pPr>
              <w:pStyle w:val="naisc"/>
              <w:spacing w:before="0" w:after="0"/>
              <w:ind w:right="3"/>
              <w:jc w:val="both"/>
              <w:rPr>
                <w:b/>
              </w:rPr>
            </w:pPr>
            <w:r w:rsidRPr="0075069C">
              <w:rPr>
                <w:b/>
              </w:rPr>
              <w:t>Ekonomikas ministrija:</w:t>
            </w:r>
          </w:p>
          <w:p w14:paraId="1CADD328" w14:textId="77777777" w:rsidR="00D1373B" w:rsidRPr="0075069C" w:rsidRDefault="00D1373B" w:rsidP="0075069C">
            <w:pPr>
              <w:ind w:firstLine="851"/>
              <w:jc w:val="both"/>
            </w:pPr>
            <w:r w:rsidRPr="0075069C">
              <w:t>[3] Lai nodrošinātu vienotu pieeju standartizācijas jomā, lūdzam precizēt Projekta 17.punktu izsakot to šādā redakcijā:</w:t>
            </w:r>
          </w:p>
          <w:p w14:paraId="5FC583D6" w14:textId="6ED1EFB1" w:rsidR="00D1373B" w:rsidRPr="003569C6" w:rsidRDefault="00D1373B" w:rsidP="003569C6">
            <w:pPr>
              <w:ind w:firstLine="851"/>
              <w:jc w:val="both"/>
            </w:pPr>
            <w:r w:rsidRPr="0075069C">
              <w:t>“44.</w:t>
            </w:r>
            <w:r w:rsidRPr="0075069C">
              <w:rPr>
                <w:vertAlign w:val="superscript"/>
              </w:rPr>
              <w:t>1</w:t>
            </w:r>
            <w:r w:rsidRPr="0075069C">
              <w:t xml:space="preserve"> Vides aizsardzības un reģionālās attīstības ministrija sadarbībā ar attiecīgo standartu tehnisko komiteju iesniedz nacionālajai standartizācijas institūcijai publicēšanai tās tīmekļvietnē to piemērojamo standartu sarakstu, kurus var piemērot šo noteikumu prasību izpildei”</w:t>
            </w:r>
          </w:p>
        </w:tc>
        <w:tc>
          <w:tcPr>
            <w:tcW w:w="2384" w:type="dxa"/>
            <w:tcBorders>
              <w:top w:val="single" w:sz="6" w:space="0" w:color="000000"/>
              <w:left w:val="single" w:sz="6" w:space="0" w:color="000000"/>
              <w:bottom w:val="single" w:sz="6" w:space="0" w:color="000000"/>
              <w:right w:val="single" w:sz="6" w:space="0" w:color="000000"/>
            </w:tcBorders>
          </w:tcPr>
          <w:p w14:paraId="375F837B" w14:textId="25E6864F" w:rsidR="001B526A" w:rsidRPr="0075069C" w:rsidRDefault="00FB7E6E" w:rsidP="0075069C">
            <w:pPr>
              <w:pStyle w:val="naisc"/>
              <w:spacing w:before="0" w:after="0"/>
              <w:ind w:firstLine="21"/>
              <w:jc w:val="both"/>
              <w:rPr>
                <w:b/>
              </w:rPr>
            </w:pPr>
            <w:r w:rsidRPr="0075069C">
              <w:rPr>
                <w:b/>
              </w:rPr>
              <w:t xml:space="preserve">Iebildumi ir ņemti vērā. Noteikumu projekta 17.punkts ir izteikts Ekonomikas ministrijas piedāvātajā redakcijā. </w:t>
            </w:r>
          </w:p>
        </w:tc>
        <w:tc>
          <w:tcPr>
            <w:tcW w:w="3686" w:type="dxa"/>
            <w:tcBorders>
              <w:top w:val="single" w:sz="4" w:space="0" w:color="auto"/>
              <w:left w:val="single" w:sz="4" w:space="0" w:color="auto"/>
              <w:bottom w:val="single" w:sz="4" w:space="0" w:color="auto"/>
            </w:tcBorders>
          </w:tcPr>
          <w:p w14:paraId="66501A67" w14:textId="64982267" w:rsidR="00FB7E6E" w:rsidRPr="0075069C" w:rsidRDefault="00C670D1" w:rsidP="0075069C">
            <w:pPr>
              <w:pStyle w:val="naisf"/>
              <w:spacing w:before="0" w:after="0"/>
              <w:ind w:firstLine="0"/>
            </w:pPr>
            <w:r>
              <w:t>25</w:t>
            </w:r>
            <w:r w:rsidR="00FB7E6E" w:rsidRPr="0075069C">
              <w:t>. Papildināt noteikumus ar 44.</w:t>
            </w:r>
            <w:r w:rsidR="00FB7E6E" w:rsidRPr="0075069C">
              <w:rPr>
                <w:vertAlign w:val="superscript"/>
              </w:rPr>
              <w:t>1</w:t>
            </w:r>
            <w:r w:rsidR="00FB7E6E" w:rsidRPr="0075069C">
              <w:t xml:space="preserve"> punktu šādā redakcijā: </w:t>
            </w:r>
          </w:p>
          <w:p w14:paraId="7A6FB462" w14:textId="2BFB6244" w:rsidR="00FB7E6E" w:rsidRPr="0075069C" w:rsidRDefault="00FB7E6E" w:rsidP="0075069C">
            <w:pPr>
              <w:ind w:firstLine="851"/>
              <w:jc w:val="both"/>
            </w:pPr>
            <w:r w:rsidRPr="0075069C">
              <w:t>“</w:t>
            </w:r>
            <w:bookmarkStart w:id="1" w:name="_Hlk60833334"/>
            <w:r w:rsidRPr="0075069C">
              <w:t>44.</w:t>
            </w:r>
            <w:r w:rsidRPr="0075069C">
              <w:rPr>
                <w:vertAlign w:val="superscript"/>
              </w:rPr>
              <w:t>1</w:t>
            </w:r>
            <w:r w:rsidRPr="0075069C">
              <w:t xml:space="preserve"> Vides aizsardzības un reģionālās attīstības ministrija sadarbībā ar attiecīgo standartu tehnisko komiteju iesniedz nacionālajai standartizācijas institūcijai publicēšanai tās tīmekļvietnē to piemērojamo standartu sarakstu, kurus var piemērot šo noteikumu prasību izpildei</w:t>
            </w:r>
            <w:bookmarkEnd w:id="1"/>
            <w:r w:rsidR="00564C42">
              <w:t>.</w:t>
            </w:r>
            <w:r w:rsidRPr="0075069C">
              <w:t>”</w:t>
            </w:r>
          </w:p>
          <w:p w14:paraId="6643DE3F" w14:textId="77777777" w:rsidR="001B526A" w:rsidRPr="0075069C" w:rsidRDefault="001B526A" w:rsidP="0075069C">
            <w:pPr>
              <w:jc w:val="both"/>
              <w:rPr>
                <w:b/>
              </w:rPr>
            </w:pPr>
          </w:p>
        </w:tc>
      </w:tr>
      <w:tr w:rsidR="001B526A" w:rsidRPr="0075069C" w14:paraId="6C7161B4" w14:textId="77777777" w:rsidTr="00CD15D0">
        <w:tc>
          <w:tcPr>
            <w:tcW w:w="683" w:type="dxa"/>
            <w:tcBorders>
              <w:top w:val="single" w:sz="6" w:space="0" w:color="000000"/>
              <w:left w:val="single" w:sz="6" w:space="0" w:color="000000"/>
              <w:bottom w:val="single" w:sz="6" w:space="0" w:color="000000"/>
              <w:right w:val="single" w:sz="6" w:space="0" w:color="000000"/>
            </w:tcBorders>
          </w:tcPr>
          <w:p w14:paraId="4D71F2F1" w14:textId="715B10B2" w:rsidR="001B526A" w:rsidRPr="0075069C" w:rsidRDefault="00911777" w:rsidP="0075069C">
            <w:pPr>
              <w:pStyle w:val="naisc"/>
              <w:spacing w:before="0" w:after="0"/>
              <w:jc w:val="both"/>
              <w:rPr>
                <w:b/>
              </w:rPr>
            </w:pPr>
            <w:r>
              <w:rPr>
                <w:b/>
              </w:rPr>
              <w:t>5.</w:t>
            </w:r>
          </w:p>
        </w:tc>
        <w:tc>
          <w:tcPr>
            <w:tcW w:w="3286" w:type="dxa"/>
            <w:tcBorders>
              <w:top w:val="single" w:sz="6" w:space="0" w:color="000000"/>
              <w:left w:val="single" w:sz="6" w:space="0" w:color="000000"/>
              <w:bottom w:val="single" w:sz="6" w:space="0" w:color="000000"/>
              <w:right w:val="single" w:sz="6" w:space="0" w:color="000000"/>
            </w:tcBorders>
          </w:tcPr>
          <w:p w14:paraId="77E7003F" w14:textId="77777777" w:rsidR="00E5189B" w:rsidRPr="0075069C" w:rsidRDefault="00E5189B" w:rsidP="0075069C">
            <w:pPr>
              <w:pStyle w:val="naisf"/>
              <w:spacing w:before="0" w:after="0"/>
              <w:ind w:firstLine="0"/>
            </w:pPr>
            <w:r w:rsidRPr="0075069C">
              <w:t>23. Izteikt 70.punkta pirmo teikumu šādā redakcijā:</w:t>
            </w:r>
          </w:p>
          <w:p w14:paraId="2781F5C6" w14:textId="6FBADD8E" w:rsidR="001B526A" w:rsidRPr="0075069C" w:rsidRDefault="00E5189B" w:rsidP="0075069C">
            <w:pPr>
              <w:pStyle w:val="naisf"/>
              <w:spacing w:before="0" w:after="0"/>
              <w:ind w:firstLine="0"/>
            </w:pPr>
            <w:r w:rsidRPr="0075069C">
              <w:lastRenderedPageBreak/>
              <w:t>“Ja iekārtas nominālā jauda (atkritumu sadedzināšanas iekārtas visu jaudu summa atbilstoši iekārtas konstrukcijai saskaņā ar iekārtas ražotāja tehnisko dokumentāciju ir atbilstoša atkritumu siltumietilpībai</w:t>
            </w:r>
            <w:r w:rsidRPr="0075069C">
              <w:rPr>
                <w:b/>
              </w:rPr>
              <w:t xml:space="preserve"> </w:t>
            </w:r>
            <w:r w:rsidRPr="0075069C">
              <w:t>un daudzumam, ko var sadedzināt stundas laikā) ir vai pārsniedz  divas tonnas stundā vai pārsniedz divas tonna stundā, operators katru gadu iesniedz pārskatu centram.”;</w:t>
            </w:r>
          </w:p>
        </w:tc>
        <w:tc>
          <w:tcPr>
            <w:tcW w:w="4536" w:type="dxa"/>
            <w:tcBorders>
              <w:top w:val="single" w:sz="6" w:space="0" w:color="000000"/>
              <w:left w:val="single" w:sz="6" w:space="0" w:color="000000"/>
              <w:bottom w:val="single" w:sz="6" w:space="0" w:color="000000"/>
              <w:right w:val="single" w:sz="6" w:space="0" w:color="000000"/>
            </w:tcBorders>
          </w:tcPr>
          <w:p w14:paraId="348CC25A" w14:textId="77777777" w:rsidR="001B526A" w:rsidRPr="0075069C" w:rsidRDefault="001B526A" w:rsidP="0075069C">
            <w:pPr>
              <w:pStyle w:val="naisc"/>
              <w:spacing w:before="0" w:after="0"/>
              <w:ind w:right="3"/>
              <w:jc w:val="both"/>
              <w:rPr>
                <w:b/>
              </w:rPr>
            </w:pPr>
            <w:r w:rsidRPr="0075069C">
              <w:rPr>
                <w:b/>
              </w:rPr>
              <w:lastRenderedPageBreak/>
              <w:t>Tieslietu ministrija:</w:t>
            </w:r>
          </w:p>
          <w:p w14:paraId="1708C081" w14:textId="77777777" w:rsidR="00100868" w:rsidRPr="0075069C" w:rsidRDefault="00100868" w:rsidP="0075069C">
            <w:pPr>
              <w:ind w:right="12" w:firstLine="567"/>
              <w:jc w:val="both"/>
            </w:pPr>
            <w:r w:rsidRPr="0075069C">
              <w:t xml:space="preserve">piektkārt, precizēt noteikumu projekta 23. punktu, svītrojot tajā būtībā atkārtoti </w:t>
            </w:r>
            <w:r w:rsidRPr="0075069C">
              <w:lastRenderedPageBreak/>
              <w:t>lietoto kļūdaino norādi – "vai pārsniedz divas tonna stundā";</w:t>
            </w:r>
          </w:p>
          <w:p w14:paraId="3FBE67D3" w14:textId="3B11CA5A" w:rsidR="00100868" w:rsidRPr="0075069C" w:rsidRDefault="00100868" w:rsidP="0075069C">
            <w:pPr>
              <w:pStyle w:val="naisc"/>
              <w:spacing w:before="0" w:after="0"/>
              <w:ind w:right="3"/>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06A1DAA7" w14:textId="6D2FDB08" w:rsidR="001B526A" w:rsidRPr="0075069C" w:rsidRDefault="00D21551" w:rsidP="0075069C">
            <w:pPr>
              <w:pStyle w:val="naisc"/>
              <w:spacing w:before="0" w:after="0"/>
              <w:ind w:firstLine="21"/>
              <w:jc w:val="both"/>
              <w:rPr>
                <w:b/>
              </w:rPr>
            </w:pPr>
            <w:r w:rsidRPr="0075069C">
              <w:rPr>
                <w:b/>
              </w:rPr>
              <w:lastRenderedPageBreak/>
              <w:t xml:space="preserve">Iebildums ir ņemts vērā. </w:t>
            </w:r>
            <w:r w:rsidR="00F9329D" w:rsidRPr="0075069C">
              <w:rPr>
                <w:b/>
              </w:rPr>
              <w:t xml:space="preserve">Veikto precizējumu </w:t>
            </w:r>
            <w:r w:rsidR="00F9329D" w:rsidRPr="0075069C">
              <w:rPr>
                <w:b/>
              </w:rPr>
              <w:lastRenderedPageBreak/>
              <w:t>rezultātā ir mainījusies noteikumu projekta normu numerācija.</w:t>
            </w:r>
          </w:p>
        </w:tc>
        <w:tc>
          <w:tcPr>
            <w:tcW w:w="3686" w:type="dxa"/>
            <w:tcBorders>
              <w:top w:val="single" w:sz="4" w:space="0" w:color="auto"/>
              <w:left w:val="single" w:sz="4" w:space="0" w:color="auto"/>
              <w:bottom w:val="single" w:sz="4" w:space="0" w:color="auto"/>
            </w:tcBorders>
          </w:tcPr>
          <w:p w14:paraId="70C028D3" w14:textId="7B9FDE2A" w:rsidR="00D1373B" w:rsidRPr="0075069C" w:rsidRDefault="00564C42" w:rsidP="0075069C">
            <w:pPr>
              <w:pStyle w:val="naisf"/>
              <w:spacing w:before="0" w:after="0"/>
              <w:ind w:firstLine="0"/>
            </w:pPr>
            <w:r>
              <w:lastRenderedPageBreak/>
              <w:t>3</w:t>
            </w:r>
            <w:r w:rsidR="00E00030">
              <w:t>9</w:t>
            </w:r>
            <w:r w:rsidR="00D1373B" w:rsidRPr="0075069C">
              <w:t>. Izteikt 70.punkta pirmo teikumu šādā redakcijā:</w:t>
            </w:r>
          </w:p>
          <w:p w14:paraId="0A4DF9B6" w14:textId="16EB2343" w:rsidR="001B526A" w:rsidRPr="0075069C" w:rsidRDefault="00D1373B" w:rsidP="0075069C">
            <w:pPr>
              <w:jc w:val="both"/>
              <w:rPr>
                <w:b/>
              </w:rPr>
            </w:pPr>
            <w:r w:rsidRPr="0075069C">
              <w:lastRenderedPageBreak/>
              <w:t>“</w:t>
            </w:r>
            <w:bookmarkStart w:id="2" w:name="_Hlk60833633"/>
            <w:r w:rsidRPr="0075069C">
              <w:t>Ja iekārtas nominālā jauda (atkritumu sadedzināšanas iekārtas visu jaudu summa atbilstoši iekārtas konstrukcijai saskaņā ar iekārtas ražotāja tehnisko dokumentāciju ir atbilstoša atkritumu siltumietilpībai</w:t>
            </w:r>
            <w:r w:rsidRPr="0075069C">
              <w:rPr>
                <w:b/>
              </w:rPr>
              <w:t xml:space="preserve"> </w:t>
            </w:r>
            <w:r w:rsidRPr="0075069C">
              <w:t>un daudzumam, ko var sadedzināt stundas laikā) ir vai pārsniedz  divas tonnas stundā vai pārsniedz divas tonna stundā, operators katru gadu iesniedz pārskatu centram.</w:t>
            </w:r>
            <w:bookmarkEnd w:id="2"/>
            <w:r w:rsidRPr="0075069C">
              <w:t>”;</w:t>
            </w:r>
          </w:p>
        </w:tc>
      </w:tr>
      <w:tr w:rsidR="001B526A" w:rsidRPr="0075069C" w14:paraId="5D0AE942" w14:textId="77777777" w:rsidTr="00CD15D0">
        <w:tc>
          <w:tcPr>
            <w:tcW w:w="683" w:type="dxa"/>
            <w:tcBorders>
              <w:top w:val="single" w:sz="6" w:space="0" w:color="000000"/>
              <w:left w:val="single" w:sz="6" w:space="0" w:color="000000"/>
              <w:bottom w:val="single" w:sz="6" w:space="0" w:color="000000"/>
              <w:right w:val="single" w:sz="6" w:space="0" w:color="000000"/>
            </w:tcBorders>
          </w:tcPr>
          <w:p w14:paraId="54BE2522" w14:textId="053E9B8B" w:rsidR="001B526A" w:rsidRPr="0075069C" w:rsidRDefault="00911777" w:rsidP="0075069C">
            <w:pPr>
              <w:pStyle w:val="naisc"/>
              <w:spacing w:before="0" w:after="0"/>
              <w:jc w:val="both"/>
              <w:rPr>
                <w:b/>
              </w:rPr>
            </w:pPr>
            <w:r>
              <w:rPr>
                <w:b/>
              </w:rPr>
              <w:lastRenderedPageBreak/>
              <w:t>6.</w:t>
            </w:r>
          </w:p>
        </w:tc>
        <w:tc>
          <w:tcPr>
            <w:tcW w:w="3286" w:type="dxa"/>
            <w:tcBorders>
              <w:top w:val="single" w:sz="6" w:space="0" w:color="000000"/>
              <w:left w:val="single" w:sz="6" w:space="0" w:color="000000"/>
              <w:bottom w:val="single" w:sz="6" w:space="0" w:color="000000"/>
              <w:right w:val="single" w:sz="6" w:space="0" w:color="000000"/>
            </w:tcBorders>
          </w:tcPr>
          <w:p w14:paraId="22721D12" w14:textId="77777777" w:rsidR="00857D9F" w:rsidRPr="0075069C" w:rsidRDefault="00857D9F" w:rsidP="0075069C">
            <w:pPr>
              <w:pStyle w:val="naisf"/>
              <w:spacing w:before="0" w:after="0"/>
              <w:ind w:firstLine="709"/>
            </w:pPr>
            <w:r w:rsidRPr="0075069C">
              <w:t>24. 4. pielikumā:</w:t>
            </w:r>
          </w:p>
          <w:p w14:paraId="48E52B98" w14:textId="77777777" w:rsidR="00857D9F" w:rsidRPr="0075069C" w:rsidRDefault="00857D9F" w:rsidP="0075069C">
            <w:pPr>
              <w:pStyle w:val="naisf"/>
              <w:spacing w:before="0" w:after="0"/>
              <w:ind w:firstLine="709"/>
            </w:pPr>
            <w:r w:rsidRPr="0075069C">
              <w:t>izteikt 3.punktu šādā redakcijā:</w:t>
            </w:r>
          </w:p>
          <w:p w14:paraId="1AC63DE3" w14:textId="77777777" w:rsidR="00857D9F" w:rsidRPr="0075069C" w:rsidRDefault="00857D9F" w:rsidP="0075069C">
            <w:pPr>
              <w:pStyle w:val="naisf"/>
              <w:spacing w:before="0" w:after="0"/>
              <w:ind w:firstLine="709"/>
            </w:pPr>
            <w:r w:rsidRPr="0075069C">
              <w:t>“3. Saskaņā ar 1. un 2.tabulu noteiktās emisiju robežvērtības piemēro kā:</w:t>
            </w:r>
          </w:p>
          <w:p w14:paraId="4240F4DF" w14:textId="77777777" w:rsidR="00857D9F" w:rsidRPr="0075069C" w:rsidRDefault="00857D9F" w:rsidP="0075069C">
            <w:pPr>
              <w:pStyle w:val="naisf"/>
              <w:spacing w:before="0" w:after="0"/>
              <w:ind w:firstLine="709"/>
            </w:pPr>
            <w:r w:rsidRPr="0075069C">
              <w:t>3.1. vidējās diennakts emisijas robežvērtības cietajām daļiņām (kopā), HCl, HF, NO</w:t>
            </w:r>
            <w:r w:rsidRPr="0075069C">
              <w:rPr>
                <w:vertAlign w:val="subscript"/>
              </w:rPr>
              <w:t>x</w:t>
            </w:r>
            <w:r w:rsidRPr="0075069C">
              <w:t>, SO</w:t>
            </w:r>
            <w:r w:rsidRPr="0075069C">
              <w:rPr>
                <w:vertAlign w:val="subscript"/>
              </w:rPr>
              <w:t xml:space="preserve">2 </w:t>
            </w:r>
            <w:r w:rsidRPr="0075069C">
              <w:t xml:space="preserve">un kopējam organiskajam ogleklim ( nepārtrauktiem mērījumiem), </w:t>
            </w:r>
          </w:p>
          <w:p w14:paraId="50FEECD2" w14:textId="77777777" w:rsidR="00857D9F" w:rsidRPr="0075069C" w:rsidRDefault="00857D9F" w:rsidP="0075069C">
            <w:pPr>
              <w:pStyle w:val="naisf"/>
              <w:spacing w:before="0" w:after="0"/>
              <w:ind w:firstLine="709"/>
            </w:pPr>
            <w:r w:rsidRPr="0075069C">
              <w:t>3.2. kā vidējās vērtības paraugu ņemšanas laikiem no 30 minūtēm līdz astoņām stundām smagajiem metāliem;</w:t>
            </w:r>
          </w:p>
          <w:p w14:paraId="5ED01E03" w14:textId="77777777" w:rsidR="00857D9F" w:rsidRPr="0075069C" w:rsidRDefault="00857D9F" w:rsidP="0075069C">
            <w:pPr>
              <w:pStyle w:val="naisf"/>
              <w:spacing w:before="0" w:after="0"/>
              <w:ind w:firstLine="709"/>
            </w:pPr>
            <w:r w:rsidRPr="0075069C">
              <w:lastRenderedPageBreak/>
              <w:t>3.3. kā vidējās vērtības paraugu ņemšanas laikiem no 6 stundām līdz 8 stundām dioksīniem un furāniem.</w:t>
            </w:r>
          </w:p>
          <w:p w14:paraId="1DA3752D" w14:textId="77777777" w:rsidR="001B526A" w:rsidRPr="0075069C" w:rsidRDefault="001B526A" w:rsidP="0075069C">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37644AE2" w14:textId="77777777" w:rsidR="001B526A" w:rsidRPr="0075069C" w:rsidRDefault="001B526A" w:rsidP="0075069C">
            <w:pPr>
              <w:pStyle w:val="naisc"/>
              <w:spacing w:before="0" w:after="0"/>
              <w:ind w:right="3"/>
              <w:jc w:val="both"/>
              <w:rPr>
                <w:b/>
              </w:rPr>
            </w:pPr>
            <w:r w:rsidRPr="0075069C">
              <w:rPr>
                <w:b/>
              </w:rPr>
              <w:lastRenderedPageBreak/>
              <w:t>Tieslietu ministrija:</w:t>
            </w:r>
          </w:p>
          <w:p w14:paraId="1D99A496" w14:textId="77777777" w:rsidR="00100868" w:rsidRPr="0075069C" w:rsidRDefault="00100868" w:rsidP="0075069C">
            <w:pPr>
              <w:ind w:right="12" w:firstLine="567"/>
              <w:jc w:val="both"/>
            </w:pPr>
            <w:r w:rsidRPr="0075069C">
              <w:t>sestkārt, izvērtēt un precizēt noteikumu projekta 24. punktā izteikto noteikumu Nr. 401 4. pielikuma 3. punktu, iekļaujot šajā punktā arī pēc šī punkta tālāk minētās norādes par paraugu ņemšanas periodu, mērījumu nosacījumiem un pusstundas vidējās vērtības izmantošanu (šīm norādēm 4. pielikumā šobrīd nav norādīta numerācija), vai alternatīvi izteikt šīs norādes kā 4. pielikuma piezīmes.</w:t>
            </w:r>
          </w:p>
          <w:p w14:paraId="22D30170" w14:textId="020FE8D8" w:rsidR="00100868" w:rsidRPr="0075069C" w:rsidRDefault="00100868" w:rsidP="0075069C">
            <w:pPr>
              <w:pStyle w:val="naisc"/>
              <w:spacing w:before="0" w:after="0"/>
              <w:ind w:right="3"/>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13EAE11C" w14:textId="5FF2AF3A" w:rsidR="001B526A" w:rsidRPr="0075069C" w:rsidRDefault="00DC64AE" w:rsidP="0075069C">
            <w:pPr>
              <w:pStyle w:val="naisc"/>
              <w:spacing w:before="0" w:after="0"/>
              <w:ind w:firstLine="21"/>
              <w:jc w:val="both"/>
              <w:rPr>
                <w:b/>
              </w:rPr>
            </w:pPr>
            <w:r w:rsidRPr="0075069C">
              <w:rPr>
                <w:b/>
              </w:rPr>
              <w:t xml:space="preserve">Iebildums ir ņemts vērā. </w:t>
            </w:r>
            <w:r w:rsidR="00F9329D" w:rsidRPr="0075069C">
              <w:rPr>
                <w:b/>
              </w:rPr>
              <w:t>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5524705A" w14:textId="71A7A668" w:rsidR="00300A88" w:rsidRPr="0075069C" w:rsidRDefault="00C670D1" w:rsidP="0075069C">
            <w:pPr>
              <w:pStyle w:val="naisf"/>
              <w:spacing w:before="0" w:after="0"/>
              <w:ind w:firstLine="709"/>
            </w:pPr>
            <w:r>
              <w:t>4</w:t>
            </w:r>
            <w:r w:rsidR="00E00030">
              <w:t>5</w:t>
            </w:r>
            <w:r w:rsidR="00300A88" w:rsidRPr="0075069C">
              <w:t>. izteikt 4.pielikuma 3.punkta ievaddaļu šādā redakcijā:</w:t>
            </w:r>
          </w:p>
          <w:p w14:paraId="41FDF2F7" w14:textId="511DC051" w:rsidR="00300A88" w:rsidRPr="0075069C" w:rsidRDefault="00300A88" w:rsidP="0075069C">
            <w:pPr>
              <w:pStyle w:val="naisf"/>
              <w:spacing w:before="0" w:after="0"/>
              <w:ind w:firstLine="709"/>
            </w:pPr>
            <w:r w:rsidRPr="0075069C">
              <w:t>“Paraugu ņemšanas periods un mērījumu nosacījumi atbilst šo noteikumu prasībām. Pusstundas vidējās vērtības izmanto vienīgi, lai aprēķinātu diennakts vidējās vērtības.”</w:t>
            </w:r>
          </w:p>
          <w:p w14:paraId="5D54444D" w14:textId="77777777" w:rsidR="00300A88" w:rsidRPr="0075069C" w:rsidRDefault="00300A88" w:rsidP="0075069C">
            <w:pPr>
              <w:pStyle w:val="naisf"/>
              <w:spacing w:before="0" w:after="0"/>
              <w:ind w:firstLine="709"/>
            </w:pPr>
          </w:p>
          <w:p w14:paraId="0EFFF4F3" w14:textId="0D74FCA6" w:rsidR="00300A88" w:rsidRPr="0075069C" w:rsidRDefault="00C670D1" w:rsidP="0075069C">
            <w:pPr>
              <w:pStyle w:val="naisf"/>
              <w:spacing w:before="0" w:after="0"/>
              <w:ind w:firstLine="709"/>
            </w:pPr>
            <w:r>
              <w:t>4</w:t>
            </w:r>
            <w:r w:rsidR="00E00030">
              <w:t>7</w:t>
            </w:r>
            <w:r w:rsidR="00300A88" w:rsidRPr="0075069C">
              <w:t>. Papildināt 4.pielikumu ar 5.</w:t>
            </w:r>
            <w:r w:rsidR="00300A88" w:rsidRPr="0075069C">
              <w:rPr>
                <w:vertAlign w:val="superscript"/>
              </w:rPr>
              <w:t>1</w:t>
            </w:r>
            <w:r w:rsidR="00300A88" w:rsidRPr="0075069C">
              <w:t xml:space="preserve"> punktu aiz 2.tabulas</w:t>
            </w:r>
          </w:p>
          <w:p w14:paraId="0C64BF5C" w14:textId="77777777" w:rsidR="00300A88" w:rsidRPr="0075069C" w:rsidRDefault="00300A88" w:rsidP="0075069C">
            <w:pPr>
              <w:pStyle w:val="naisf"/>
              <w:spacing w:before="0" w:after="0"/>
              <w:ind w:firstLine="709"/>
            </w:pPr>
            <w:r w:rsidRPr="0075069C">
              <w:t>5</w:t>
            </w:r>
            <w:r w:rsidRPr="0075069C">
              <w:rPr>
                <w:vertAlign w:val="superscript"/>
              </w:rPr>
              <w:t>1</w:t>
            </w:r>
            <w:r w:rsidRPr="0075069C">
              <w:t>. Saskaņā ar 1. un 2.tabulu noteiktās emisiju robežvērtības piemēro kā:</w:t>
            </w:r>
          </w:p>
          <w:p w14:paraId="100DDEED" w14:textId="77777777" w:rsidR="00300A88" w:rsidRPr="0075069C" w:rsidRDefault="00300A88" w:rsidP="0075069C">
            <w:pPr>
              <w:pStyle w:val="naisf"/>
              <w:spacing w:before="0" w:after="0"/>
              <w:ind w:firstLine="709"/>
            </w:pPr>
            <w:r w:rsidRPr="0075069C">
              <w:t>5</w:t>
            </w:r>
            <w:r w:rsidRPr="0075069C">
              <w:rPr>
                <w:vertAlign w:val="superscript"/>
              </w:rPr>
              <w:t>1</w:t>
            </w:r>
            <w:r w:rsidRPr="0075069C">
              <w:t xml:space="preserve">.1. vidējās diennakts emisijas robežvērtības cietajām </w:t>
            </w:r>
            <w:r w:rsidRPr="0075069C">
              <w:lastRenderedPageBreak/>
              <w:t>daļiņām (kopā), HCl, HF, NO</w:t>
            </w:r>
            <w:r w:rsidRPr="0075069C">
              <w:rPr>
                <w:vertAlign w:val="subscript"/>
              </w:rPr>
              <w:t>x</w:t>
            </w:r>
            <w:r w:rsidRPr="0075069C">
              <w:t>, SO</w:t>
            </w:r>
            <w:r w:rsidRPr="0075069C">
              <w:rPr>
                <w:vertAlign w:val="subscript"/>
              </w:rPr>
              <w:t xml:space="preserve">2 </w:t>
            </w:r>
            <w:r w:rsidRPr="0075069C">
              <w:t xml:space="preserve">un kopējam organiskajam ogleklim  nepārtrauktiem mērījumiem, </w:t>
            </w:r>
          </w:p>
          <w:p w14:paraId="7F2DEDE7" w14:textId="77777777" w:rsidR="00300A88" w:rsidRPr="0075069C" w:rsidRDefault="00300A88" w:rsidP="0075069C">
            <w:pPr>
              <w:pStyle w:val="naisf"/>
              <w:spacing w:before="0" w:after="0"/>
              <w:ind w:firstLine="709"/>
            </w:pPr>
            <w:r w:rsidRPr="0075069C">
              <w:t>5</w:t>
            </w:r>
            <w:r w:rsidRPr="0075069C">
              <w:rPr>
                <w:vertAlign w:val="superscript"/>
              </w:rPr>
              <w:t>1</w:t>
            </w:r>
            <w:r w:rsidRPr="0075069C">
              <w:t>.2. kā vidējās vērtības paraugu ņemšanas laikiem no 30 minūtēm līdz astoņām stundām smagajiem metāliem;</w:t>
            </w:r>
          </w:p>
          <w:p w14:paraId="200CC5E2" w14:textId="77777777" w:rsidR="00300A88" w:rsidRPr="0075069C" w:rsidRDefault="00300A88" w:rsidP="0075069C">
            <w:pPr>
              <w:pStyle w:val="naisf"/>
              <w:spacing w:before="0" w:after="0"/>
              <w:ind w:firstLine="709"/>
            </w:pPr>
            <w:r w:rsidRPr="0075069C">
              <w:t>5</w:t>
            </w:r>
            <w:r w:rsidRPr="0075069C">
              <w:rPr>
                <w:vertAlign w:val="superscript"/>
              </w:rPr>
              <w:t>1</w:t>
            </w:r>
            <w:r w:rsidRPr="0075069C">
              <w:t>.3. kā vidējās vērtības paraugu ņemšanas laikiem no 6 stundām līdz 8 stundām dioksīniem un furāniem.</w:t>
            </w:r>
          </w:p>
          <w:p w14:paraId="7D67B7B7" w14:textId="77777777" w:rsidR="00300A88" w:rsidRPr="0075069C" w:rsidRDefault="00300A88" w:rsidP="0075069C">
            <w:pPr>
              <w:pStyle w:val="naisf"/>
              <w:spacing w:before="0" w:after="0"/>
              <w:ind w:firstLine="709"/>
            </w:pPr>
          </w:p>
          <w:p w14:paraId="34CAA439" w14:textId="77777777" w:rsidR="001B526A" w:rsidRPr="0075069C" w:rsidRDefault="001B526A" w:rsidP="0075069C">
            <w:pPr>
              <w:jc w:val="both"/>
              <w:rPr>
                <w:b/>
              </w:rPr>
            </w:pPr>
          </w:p>
        </w:tc>
      </w:tr>
      <w:tr w:rsidR="001B526A" w:rsidRPr="0075069C" w14:paraId="4809EE68" w14:textId="77777777" w:rsidTr="00CD15D0">
        <w:tc>
          <w:tcPr>
            <w:tcW w:w="683" w:type="dxa"/>
            <w:tcBorders>
              <w:top w:val="single" w:sz="6" w:space="0" w:color="000000"/>
              <w:left w:val="single" w:sz="6" w:space="0" w:color="000000"/>
              <w:bottom w:val="single" w:sz="6" w:space="0" w:color="000000"/>
              <w:right w:val="single" w:sz="6" w:space="0" w:color="000000"/>
            </w:tcBorders>
          </w:tcPr>
          <w:p w14:paraId="06A37EEB" w14:textId="6BA20465" w:rsidR="001B526A" w:rsidRPr="0075069C" w:rsidRDefault="00911777" w:rsidP="0075069C">
            <w:pPr>
              <w:pStyle w:val="naisc"/>
              <w:spacing w:before="0" w:after="0"/>
              <w:jc w:val="both"/>
              <w:rPr>
                <w:b/>
              </w:rPr>
            </w:pPr>
            <w:r>
              <w:rPr>
                <w:b/>
              </w:rPr>
              <w:lastRenderedPageBreak/>
              <w:t>7.</w:t>
            </w:r>
          </w:p>
        </w:tc>
        <w:tc>
          <w:tcPr>
            <w:tcW w:w="3286" w:type="dxa"/>
            <w:tcBorders>
              <w:top w:val="single" w:sz="6" w:space="0" w:color="000000"/>
              <w:left w:val="single" w:sz="6" w:space="0" w:color="000000"/>
              <w:bottom w:val="single" w:sz="6" w:space="0" w:color="000000"/>
              <w:right w:val="single" w:sz="6" w:space="0" w:color="000000"/>
            </w:tcBorders>
          </w:tcPr>
          <w:p w14:paraId="5B4B8E1A" w14:textId="77777777" w:rsidR="00246CB8" w:rsidRPr="0075069C" w:rsidRDefault="00246CB8" w:rsidP="0075069C">
            <w:pPr>
              <w:pStyle w:val="naisf"/>
              <w:spacing w:before="0" w:after="0"/>
              <w:ind w:firstLine="709"/>
            </w:pPr>
            <w:r w:rsidRPr="0075069C">
              <w:t>izteikt noteikumu 9.punkta tabulas 1.punktu šādā redakcijā:</w:t>
            </w:r>
          </w:p>
          <w:tbl>
            <w:tblPr>
              <w:tblW w:w="4846"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68"/>
              <w:gridCol w:w="515"/>
              <w:gridCol w:w="429"/>
              <w:gridCol w:w="563"/>
              <w:gridCol w:w="647"/>
              <w:gridCol w:w="538"/>
            </w:tblGrid>
            <w:tr w:rsidR="00246CB8" w:rsidRPr="0075069C" w14:paraId="3005ABDA" w14:textId="77777777" w:rsidTr="00962AD0">
              <w:tc>
                <w:tcPr>
                  <w:tcW w:w="453" w:type="pct"/>
                  <w:tcBorders>
                    <w:top w:val="outset" w:sz="6" w:space="0" w:color="auto"/>
                    <w:left w:val="outset" w:sz="6" w:space="0" w:color="auto"/>
                    <w:bottom w:val="outset" w:sz="6" w:space="0" w:color="auto"/>
                    <w:right w:val="outset" w:sz="6" w:space="0" w:color="auto"/>
                  </w:tcBorders>
                </w:tcPr>
                <w:p w14:paraId="7C9771FA" w14:textId="77777777" w:rsidR="00246CB8" w:rsidRPr="0075069C" w:rsidRDefault="00246CB8" w:rsidP="0075069C">
                  <w:pPr>
                    <w:pStyle w:val="naislab"/>
                    <w:spacing w:before="0" w:after="0"/>
                    <w:ind w:firstLine="8"/>
                    <w:jc w:val="both"/>
                  </w:pPr>
                  <w:r w:rsidRPr="0075069C">
                    <w:t>1.</w:t>
                  </w:r>
                </w:p>
              </w:tc>
              <w:tc>
                <w:tcPr>
                  <w:tcW w:w="870" w:type="pct"/>
                  <w:tcBorders>
                    <w:top w:val="outset" w:sz="6" w:space="0" w:color="auto"/>
                    <w:left w:val="outset" w:sz="6" w:space="0" w:color="auto"/>
                    <w:bottom w:val="outset" w:sz="6" w:space="0" w:color="auto"/>
                    <w:right w:val="outset" w:sz="6" w:space="0" w:color="auto"/>
                  </w:tcBorders>
                </w:tcPr>
                <w:p w14:paraId="58FC91A9" w14:textId="77777777" w:rsidR="00246CB8" w:rsidRPr="0075069C" w:rsidRDefault="00246CB8" w:rsidP="0075069C">
                  <w:pPr>
                    <w:pStyle w:val="NormalWeb"/>
                    <w:spacing w:before="0" w:after="0"/>
                    <w:ind w:left="116"/>
                    <w:jc w:val="both"/>
                    <w:rPr>
                      <w:vertAlign w:val="subscript"/>
                    </w:rPr>
                  </w:pPr>
                  <w:r w:rsidRPr="0075069C">
                    <w:t>SO</w:t>
                  </w:r>
                  <w:r w:rsidRPr="0075069C">
                    <w:rPr>
                      <w:vertAlign w:val="subscript"/>
                    </w:rPr>
                    <w:t>2</w:t>
                  </w:r>
                </w:p>
                <w:p w14:paraId="6C6CD463" w14:textId="77777777" w:rsidR="00246CB8" w:rsidRPr="0075069C" w:rsidRDefault="00246CB8" w:rsidP="0075069C">
                  <w:pPr>
                    <w:pStyle w:val="NormalWeb"/>
                    <w:spacing w:before="0" w:after="0"/>
                    <w:ind w:left="116"/>
                    <w:jc w:val="both"/>
                  </w:pPr>
                  <w:r w:rsidRPr="0075069C">
                    <w:t>(vispārīgā gadījumā)</w:t>
                  </w:r>
                </w:p>
              </w:tc>
              <w:tc>
                <w:tcPr>
                  <w:tcW w:w="724" w:type="pct"/>
                  <w:tcBorders>
                    <w:top w:val="outset" w:sz="6" w:space="0" w:color="auto"/>
                    <w:left w:val="outset" w:sz="6" w:space="0" w:color="auto"/>
                    <w:bottom w:val="outset" w:sz="6" w:space="0" w:color="auto"/>
                    <w:right w:val="outset" w:sz="6" w:space="0" w:color="auto"/>
                  </w:tcBorders>
                </w:tcPr>
                <w:p w14:paraId="261CCB8F" w14:textId="77777777" w:rsidR="00246CB8" w:rsidRPr="0075069C" w:rsidRDefault="00246CB8" w:rsidP="0075069C">
                  <w:pPr>
                    <w:pStyle w:val="naisc"/>
                    <w:spacing w:before="0" w:after="0"/>
                    <w:ind w:firstLine="28"/>
                    <w:jc w:val="both"/>
                  </w:pPr>
                  <w:r w:rsidRPr="0075069C">
                    <w:t>-</w:t>
                  </w:r>
                </w:p>
              </w:tc>
              <w:tc>
                <w:tcPr>
                  <w:tcW w:w="951" w:type="pct"/>
                  <w:tcBorders>
                    <w:top w:val="outset" w:sz="6" w:space="0" w:color="auto"/>
                    <w:left w:val="outset" w:sz="6" w:space="0" w:color="auto"/>
                    <w:bottom w:val="outset" w:sz="6" w:space="0" w:color="auto"/>
                    <w:right w:val="outset" w:sz="6" w:space="0" w:color="auto"/>
                  </w:tcBorders>
                </w:tcPr>
                <w:p w14:paraId="39B9EE83" w14:textId="77777777" w:rsidR="00246CB8" w:rsidRPr="0075069C" w:rsidRDefault="00246CB8" w:rsidP="0075069C">
                  <w:pPr>
                    <w:pStyle w:val="naisc"/>
                    <w:spacing w:before="0" w:after="0"/>
                    <w:ind w:left="118"/>
                    <w:jc w:val="both"/>
                  </w:pPr>
                  <w:r w:rsidRPr="0075069C">
                    <w:t>850 mg/m</w:t>
                  </w:r>
                  <w:r w:rsidRPr="0075069C">
                    <w:rPr>
                      <w:vertAlign w:val="superscript"/>
                    </w:rPr>
                    <w:t>3</w:t>
                  </w:r>
                </w:p>
              </w:tc>
              <w:tc>
                <w:tcPr>
                  <w:tcW w:w="1093" w:type="pct"/>
                  <w:tcBorders>
                    <w:top w:val="outset" w:sz="6" w:space="0" w:color="auto"/>
                    <w:left w:val="outset" w:sz="6" w:space="0" w:color="auto"/>
                    <w:bottom w:val="outset" w:sz="6" w:space="0" w:color="auto"/>
                    <w:right w:val="outset" w:sz="6" w:space="0" w:color="auto"/>
                  </w:tcBorders>
                </w:tcPr>
                <w:p w14:paraId="2CFFEEF5" w14:textId="77777777" w:rsidR="00246CB8" w:rsidRPr="0075069C" w:rsidRDefault="00246CB8" w:rsidP="0075069C">
                  <w:pPr>
                    <w:pStyle w:val="naisc"/>
                    <w:spacing w:before="0" w:after="0"/>
                    <w:ind w:left="129" w:firstLine="1"/>
                    <w:jc w:val="both"/>
                  </w:pPr>
                  <w:r w:rsidRPr="0075069C">
                    <w:t>200 mg/m</w:t>
                  </w:r>
                  <w:r w:rsidRPr="0075069C">
                    <w:rPr>
                      <w:vertAlign w:val="superscript"/>
                    </w:rPr>
                    <w:t>3</w:t>
                  </w:r>
                  <w:r w:rsidRPr="0075069C">
                    <w:t xml:space="preserve"> (robežvērtība lineāri samazinās, pieaugot </w:t>
                  </w:r>
                  <w:r w:rsidRPr="0075069C">
                    <w:lastRenderedPageBreak/>
                    <w:t>nominālajai ievadītajai siltuma jaudai no</w:t>
                  </w:r>
                  <w:r w:rsidRPr="0075069C">
                    <w:br/>
                    <w:t>100 līdz 300 MW)</w:t>
                  </w:r>
                </w:p>
              </w:tc>
              <w:tc>
                <w:tcPr>
                  <w:tcW w:w="909" w:type="pct"/>
                  <w:tcBorders>
                    <w:top w:val="outset" w:sz="6" w:space="0" w:color="auto"/>
                    <w:left w:val="outset" w:sz="6" w:space="0" w:color="auto"/>
                    <w:bottom w:val="outset" w:sz="6" w:space="0" w:color="auto"/>
                    <w:right w:val="outset" w:sz="6" w:space="0" w:color="auto"/>
                  </w:tcBorders>
                </w:tcPr>
                <w:p w14:paraId="717EFEE6" w14:textId="77777777" w:rsidR="00246CB8" w:rsidRPr="0075069C" w:rsidRDefault="00246CB8" w:rsidP="0075069C">
                  <w:pPr>
                    <w:pStyle w:val="naisc"/>
                    <w:spacing w:before="0" w:after="0"/>
                    <w:ind w:left="113" w:firstLine="2"/>
                    <w:jc w:val="both"/>
                  </w:pPr>
                  <w:r w:rsidRPr="0075069C">
                    <w:lastRenderedPageBreak/>
                    <w:t>200 mg/m</w:t>
                  </w:r>
                  <w:r w:rsidRPr="0075069C">
                    <w:rPr>
                      <w:vertAlign w:val="superscript"/>
                    </w:rPr>
                    <w:t>3</w:t>
                  </w:r>
                </w:p>
              </w:tc>
            </w:tr>
          </w:tbl>
          <w:p w14:paraId="4948AD1A" w14:textId="77777777" w:rsidR="001B526A" w:rsidRPr="0075069C" w:rsidRDefault="001B526A" w:rsidP="0075069C">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2AD9FE89" w14:textId="77777777" w:rsidR="001B526A" w:rsidRPr="0075069C" w:rsidRDefault="001B526A" w:rsidP="0075069C">
            <w:pPr>
              <w:pStyle w:val="naisc"/>
              <w:spacing w:before="0" w:after="0"/>
              <w:ind w:right="3"/>
              <w:jc w:val="both"/>
              <w:rPr>
                <w:b/>
              </w:rPr>
            </w:pPr>
            <w:r w:rsidRPr="0075069C">
              <w:rPr>
                <w:b/>
              </w:rPr>
              <w:lastRenderedPageBreak/>
              <w:t>Tieslietu ministrija:</w:t>
            </w:r>
          </w:p>
          <w:p w14:paraId="0806981A" w14:textId="77777777" w:rsidR="00100868" w:rsidRPr="0075069C" w:rsidRDefault="00100868" w:rsidP="0075069C">
            <w:pPr>
              <w:ind w:right="12" w:firstLine="567"/>
              <w:jc w:val="both"/>
            </w:pPr>
            <w:r w:rsidRPr="0075069C">
              <w:t>septītkārt, izvērtēt un nepieciešamības gadījumā svītrot noteikumu projekta 24. punktā izteiktajā noteikumu Nr. 401 4. pielikuma 9. punkta tabulas 1. punktā norādi par robežvērtības lineāru samazināšanos, pieaugot nominālajai ievadītajai siltuma jaudai no 100 līdz 300 MW, vai skaidrot šīs norādes būtību, nepieciešamību un mērķi, ņemot vērā, ka ar noteikumu projektu minētās tabulas 5. rindā vairs nav norādīta robežvērtību skala (kā pašreiz spēkā esošajā noteikumu Nr. 401 redakcijā), bet gan ir norādīta konkrēta robežvērtība – 200 mg/m</w:t>
            </w:r>
            <w:r w:rsidRPr="0075069C">
              <w:rPr>
                <w:vertAlign w:val="superscript"/>
              </w:rPr>
              <w:t>3</w:t>
            </w:r>
            <w:r w:rsidRPr="0075069C">
              <w:t>.</w:t>
            </w:r>
          </w:p>
          <w:p w14:paraId="04258CF9" w14:textId="38658CDE" w:rsidR="00100868" w:rsidRPr="0075069C" w:rsidRDefault="00100868" w:rsidP="0075069C">
            <w:pPr>
              <w:pStyle w:val="naisc"/>
              <w:spacing w:before="0" w:after="0"/>
              <w:ind w:right="3"/>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2F9DEDB9" w14:textId="36544448" w:rsidR="001B526A" w:rsidRPr="0075069C" w:rsidRDefault="009A5B46" w:rsidP="0075069C">
            <w:pPr>
              <w:pStyle w:val="naisc"/>
              <w:spacing w:before="0" w:after="0"/>
              <w:ind w:firstLine="21"/>
              <w:jc w:val="both"/>
              <w:rPr>
                <w:b/>
              </w:rPr>
            </w:pPr>
            <w:r w:rsidRPr="0075069C">
              <w:rPr>
                <w:b/>
              </w:rPr>
              <w:t>Iebildums ir ņemts vērā.</w:t>
            </w:r>
            <w:r w:rsidR="00F9329D" w:rsidRPr="0075069C">
              <w:rPr>
                <w:b/>
              </w:rPr>
              <w:t xml:space="preserve"> 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58B58DB3" w14:textId="2749E758" w:rsidR="001B526A" w:rsidRPr="0075069C" w:rsidRDefault="0031175C" w:rsidP="0075069C">
            <w:pPr>
              <w:jc w:val="both"/>
              <w:rPr>
                <w:b/>
              </w:rPr>
            </w:pPr>
            <w:r>
              <w:rPr>
                <w:b/>
              </w:rPr>
              <w:t xml:space="preserve">Sk.noteikumu projekta </w:t>
            </w:r>
            <w:r w:rsidR="00E00030">
              <w:rPr>
                <w:b/>
              </w:rPr>
              <w:t>50</w:t>
            </w:r>
            <w:r>
              <w:rPr>
                <w:b/>
              </w:rPr>
              <w:t>.punktu.</w:t>
            </w:r>
          </w:p>
        </w:tc>
      </w:tr>
      <w:tr w:rsidR="001B526A" w:rsidRPr="0075069C" w14:paraId="63226C88" w14:textId="77777777" w:rsidTr="00CD15D0">
        <w:tc>
          <w:tcPr>
            <w:tcW w:w="683" w:type="dxa"/>
            <w:tcBorders>
              <w:top w:val="single" w:sz="6" w:space="0" w:color="000000"/>
              <w:left w:val="single" w:sz="6" w:space="0" w:color="000000"/>
              <w:bottom w:val="single" w:sz="6" w:space="0" w:color="000000"/>
              <w:right w:val="single" w:sz="6" w:space="0" w:color="000000"/>
            </w:tcBorders>
          </w:tcPr>
          <w:p w14:paraId="400BF894" w14:textId="39ED9FC6" w:rsidR="001B526A" w:rsidRPr="0075069C" w:rsidRDefault="00911777" w:rsidP="0075069C">
            <w:pPr>
              <w:pStyle w:val="naisc"/>
              <w:spacing w:before="0" w:after="0"/>
              <w:jc w:val="both"/>
              <w:rPr>
                <w:b/>
              </w:rPr>
            </w:pPr>
            <w:r>
              <w:rPr>
                <w:b/>
              </w:rPr>
              <w:t>8.</w:t>
            </w:r>
          </w:p>
        </w:tc>
        <w:tc>
          <w:tcPr>
            <w:tcW w:w="3286" w:type="dxa"/>
            <w:tcBorders>
              <w:top w:val="single" w:sz="6" w:space="0" w:color="000000"/>
              <w:left w:val="single" w:sz="6" w:space="0" w:color="000000"/>
              <w:bottom w:val="single" w:sz="6" w:space="0" w:color="000000"/>
              <w:right w:val="single" w:sz="6" w:space="0" w:color="000000"/>
            </w:tcBorders>
          </w:tcPr>
          <w:p w14:paraId="32178FB6" w14:textId="77777777" w:rsidR="00246CB8" w:rsidRPr="0075069C" w:rsidRDefault="00246CB8" w:rsidP="0075069C">
            <w:pPr>
              <w:pStyle w:val="naisf"/>
              <w:spacing w:before="0" w:after="0"/>
              <w:ind w:firstLine="709"/>
            </w:pPr>
            <w:r w:rsidRPr="0075069C">
              <w:t>papildināt  ar 9.</w:t>
            </w:r>
            <w:r w:rsidRPr="0075069C">
              <w:rPr>
                <w:vertAlign w:val="superscript"/>
              </w:rPr>
              <w:t>1</w:t>
            </w:r>
            <w:r w:rsidRPr="0075069C">
              <w:t xml:space="preserve"> punktu šādā redakcijā: </w:t>
            </w:r>
          </w:p>
          <w:p w14:paraId="4CF10C96" w14:textId="77777777" w:rsidR="00246CB8" w:rsidRPr="0075069C" w:rsidRDefault="00246CB8" w:rsidP="0075069C">
            <w:pPr>
              <w:pStyle w:val="naisf"/>
              <w:spacing w:before="0" w:after="0"/>
            </w:pPr>
          </w:p>
          <w:p w14:paraId="567CBDAB" w14:textId="77777777" w:rsidR="00246CB8" w:rsidRPr="0075069C" w:rsidRDefault="00246CB8" w:rsidP="0075069C">
            <w:pPr>
              <w:pStyle w:val="naisf"/>
              <w:spacing w:before="0" w:after="0"/>
              <w:ind w:firstLine="709"/>
            </w:pPr>
            <w:r w:rsidRPr="0075069C">
              <w:t>“9.</w:t>
            </w:r>
            <w:r w:rsidRPr="0075069C">
              <w:rPr>
                <w:vertAlign w:val="superscript"/>
              </w:rPr>
              <w:t>1</w:t>
            </w:r>
            <w:r w:rsidRPr="0075069C">
              <w:t xml:space="preserve"> C</w:t>
            </w:r>
            <w:r w:rsidRPr="0075069C">
              <w:rPr>
                <w:vertAlign w:val="subscript"/>
              </w:rPr>
              <w:t>proc</w:t>
            </w:r>
            <w:r w:rsidRPr="0075069C">
              <w:t xml:space="preserve"> sadedzināšanas iekārtām, kurām atļauja ir izsniegta līdz 2013. gada 7. janvārim vai par kurām to operators ir iesniedzis pilnīgu pieteikumu pirms šā datuma, ja šādas iekārtas sāktas ekspluatēt ne vēlāk kā 2014. gada 7. janvārī, izņemot gāzturbīnas un gāzes dzinējus: </w:t>
            </w:r>
          </w:p>
          <w:p w14:paraId="264C15B7" w14:textId="77777777" w:rsidR="001B526A" w:rsidRPr="0075069C" w:rsidRDefault="001B526A" w:rsidP="0075069C">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7C1F87AC" w14:textId="77777777" w:rsidR="001B526A" w:rsidRPr="0075069C" w:rsidRDefault="001B526A" w:rsidP="0075069C">
            <w:pPr>
              <w:pStyle w:val="naisc"/>
              <w:spacing w:before="0" w:after="0"/>
              <w:ind w:right="3"/>
              <w:jc w:val="both"/>
              <w:rPr>
                <w:b/>
              </w:rPr>
            </w:pPr>
            <w:r w:rsidRPr="0075069C">
              <w:rPr>
                <w:b/>
              </w:rPr>
              <w:t>Tieslietu ministrija:</w:t>
            </w:r>
          </w:p>
          <w:p w14:paraId="60A4D189" w14:textId="77777777" w:rsidR="00100868" w:rsidRPr="0075069C" w:rsidRDefault="00100868" w:rsidP="0075069C">
            <w:pPr>
              <w:ind w:right="12" w:firstLine="567"/>
              <w:jc w:val="both"/>
            </w:pPr>
            <w:r w:rsidRPr="0075069C">
              <w:t>visbeidzot, skaidrot noteikumu projekta 24. punktā, ar kuru noteikumu Nr. 401 4. pielikums cita starpā papildināts 9.</w:t>
            </w:r>
            <w:r w:rsidRPr="0075069C">
              <w:rPr>
                <w:vertAlign w:val="superscript"/>
              </w:rPr>
              <w:t>1</w:t>
            </w:r>
            <w:r w:rsidRPr="0075069C">
              <w:t> punktu, lietoto terminu "pilnīgs pieteikums" vai alternatīvi lūdzam attiecīgu skaidrojumu sniegt noteikumu projekta anotācijā.</w:t>
            </w:r>
          </w:p>
          <w:p w14:paraId="4FE9E00D" w14:textId="7B40B2FD" w:rsidR="00100868" w:rsidRPr="0075069C" w:rsidRDefault="00100868" w:rsidP="0075069C">
            <w:pPr>
              <w:pStyle w:val="naisc"/>
              <w:spacing w:before="0" w:after="0"/>
              <w:ind w:right="3"/>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5A453301" w14:textId="07DCA4B1" w:rsidR="001B526A" w:rsidRPr="0075069C" w:rsidRDefault="00AF4D3F" w:rsidP="0075069C">
            <w:pPr>
              <w:pStyle w:val="naisc"/>
              <w:spacing w:before="0" w:after="0"/>
              <w:ind w:firstLine="21"/>
              <w:jc w:val="both"/>
              <w:rPr>
                <w:b/>
              </w:rPr>
            </w:pPr>
            <w:r w:rsidRPr="0075069C">
              <w:rPr>
                <w:b/>
              </w:rPr>
              <w:t>Iebildums ir ņemts vērā.</w:t>
            </w:r>
            <w:r w:rsidR="0031175C" w:rsidRPr="0075069C">
              <w:rPr>
                <w:b/>
              </w:rPr>
              <w:t xml:space="preserve"> 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2BC296DD" w14:textId="7C69C5C4" w:rsidR="001B526A" w:rsidRPr="0075069C" w:rsidRDefault="0031175C" w:rsidP="0031175C">
            <w:pPr>
              <w:pStyle w:val="naisf"/>
              <w:spacing w:before="0" w:after="0"/>
              <w:ind w:firstLine="709"/>
              <w:rPr>
                <w:b/>
              </w:rPr>
            </w:pPr>
            <w:r>
              <w:rPr>
                <w:b/>
              </w:rPr>
              <w:t xml:space="preserve">Sk. noteikumu projekta </w:t>
            </w:r>
            <w:r w:rsidR="00C670D1">
              <w:rPr>
                <w:b/>
              </w:rPr>
              <w:t>5</w:t>
            </w:r>
            <w:r w:rsidR="00E00030">
              <w:rPr>
                <w:b/>
              </w:rPr>
              <w:t>1</w:t>
            </w:r>
            <w:r>
              <w:rPr>
                <w:b/>
              </w:rPr>
              <w:t>.punktu</w:t>
            </w:r>
          </w:p>
        </w:tc>
      </w:tr>
      <w:tr w:rsidR="001B526A" w:rsidRPr="0075069C" w14:paraId="2E6A7DC0" w14:textId="77777777" w:rsidTr="00CD15D0">
        <w:tc>
          <w:tcPr>
            <w:tcW w:w="683" w:type="dxa"/>
            <w:tcBorders>
              <w:top w:val="single" w:sz="6" w:space="0" w:color="000000"/>
              <w:left w:val="single" w:sz="6" w:space="0" w:color="000000"/>
              <w:bottom w:val="single" w:sz="6" w:space="0" w:color="000000"/>
              <w:right w:val="single" w:sz="6" w:space="0" w:color="000000"/>
            </w:tcBorders>
          </w:tcPr>
          <w:p w14:paraId="3AAA8BDA" w14:textId="525E359C" w:rsidR="001B526A" w:rsidRPr="0075069C" w:rsidRDefault="00911777" w:rsidP="006854FC">
            <w:pPr>
              <w:pStyle w:val="naisc"/>
              <w:spacing w:before="0" w:after="0"/>
              <w:jc w:val="both"/>
              <w:rPr>
                <w:b/>
              </w:rPr>
            </w:pPr>
            <w:r>
              <w:rPr>
                <w:b/>
              </w:rPr>
              <w:lastRenderedPageBreak/>
              <w:t>9.</w:t>
            </w:r>
          </w:p>
        </w:tc>
        <w:tc>
          <w:tcPr>
            <w:tcW w:w="3286" w:type="dxa"/>
            <w:tcBorders>
              <w:top w:val="single" w:sz="6" w:space="0" w:color="000000"/>
              <w:left w:val="single" w:sz="6" w:space="0" w:color="000000"/>
              <w:bottom w:val="single" w:sz="6" w:space="0" w:color="000000"/>
              <w:right w:val="single" w:sz="6" w:space="0" w:color="000000"/>
            </w:tcBorders>
          </w:tcPr>
          <w:p w14:paraId="35D60CC9" w14:textId="55E64DC1" w:rsidR="00246CB8" w:rsidRPr="0075069C" w:rsidRDefault="00D1373B" w:rsidP="006854FC">
            <w:pPr>
              <w:pStyle w:val="naisf"/>
              <w:spacing w:before="0" w:after="0"/>
              <w:ind w:firstLine="709"/>
            </w:pPr>
            <w:r w:rsidRPr="0075069C">
              <w:t>6.</w:t>
            </w:r>
            <w:r w:rsidR="00246CB8" w:rsidRPr="0075069C">
              <w:t>izteikt 6.4.apakšpunktu šādā redakcijā:</w:t>
            </w:r>
          </w:p>
          <w:p w14:paraId="6FB547AB" w14:textId="77777777" w:rsidR="00246CB8" w:rsidRPr="0075069C" w:rsidRDefault="00246CB8" w:rsidP="006854FC">
            <w:pPr>
              <w:pStyle w:val="naisf"/>
              <w:spacing w:before="0" w:after="0"/>
              <w:ind w:firstLine="709"/>
            </w:pPr>
            <w:r w:rsidRPr="0075069C">
              <w:t>“6.4. atlikumus, kuru rašanos nav iespējams novērst, kuru daudzumu nav iespējams samazināt un kurus nevar pārstrādāt, apglabā normatīvajos aktos par atkritumu pārstrādes, reģenerācijas un apglabāšanas veidiem noteiktajā kārtībā;”</w:t>
            </w:r>
          </w:p>
          <w:p w14:paraId="3BC3F9FF" w14:textId="77777777" w:rsidR="001B526A" w:rsidRPr="0075069C" w:rsidRDefault="001B526A" w:rsidP="006854FC">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78F49D85" w14:textId="77777777" w:rsidR="001B526A" w:rsidRPr="0075069C" w:rsidRDefault="001B526A" w:rsidP="006854FC">
            <w:pPr>
              <w:pStyle w:val="naisc"/>
              <w:spacing w:before="0" w:after="0"/>
              <w:ind w:right="3"/>
              <w:jc w:val="both"/>
              <w:rPr>
                <w:b/>
              </w:rPr>
            </w:pPr>
            <w:r w:rsidRPr="0075069C">
              <w:rPr>
                <w:b/>
              </w:rPr>
              <w:t>Tieslietu ministrija:</w:t>
            </w:r>
          </w:p>
          <w:p w14:paraId="685A7045" w14:textId="06E55AEE" w:rsidR="00100868" w:rsidRPr="003569C6" w:rsidRDefault="00100868" w:rsidP="003569C6">
            <w:pPr>
              <w:ind w:right="12" w:firstLine="567"/>
              <w:jc w:val="both"/>
            </w:pPr>
            <w:r w:rsidRPr="0075069C">
              <w:t>3. Lūdzam precizēt noteikumu projekta 6. punktā ietverto atsauci uz normatīvajiem aktiem atkritumu pārstrādes, reģenerācijas un apglabāšanas veidiem, svītrojot tajā norādi par pārstrādes veidiem, ņemot vērā, ka konkrētajā jomā regulējumu cita starpā paredz Ministru kabineta 2011. gada 26. aprīļa noteikumi Nr. 319 "</w:t>
            </w:r>
            <w:r w:rsidRPr="0075069C">
              <w:rPr>
                <w:u w:val="single"/>
              </w:rPr>
              <w:t>Noteikumi par atkritumu reģenerācijas un apglabāšanas veidiem</w:t>
            </w:r>
            <w:r w:rsidRPr="0075069C">
              <w:t>" (Ministru kabineta 2004. gada 20. aprīļa noteikumi Nr. 365 "Noteikumi par atkritumu pārstrādes, reģenerācijas un apglabāšanas veidiem" zaudējuši spēku 2011. gada 1. decembrī).</w:t>
            </w:r>
          </w:p>
        </w:tc>
        <w:tc>
          <w:tcPr>
            <w:tcW w:w="2384" w:type="dxa"/>
            <w:tcBorders>
              <w:top w:val="single" w:sz="6" w:space="0" w:color="000000"/>
              <w:left w:val="single" w:sz="6" w:space="0" w:color="000000"/>
              <w:bottom w:val="single" w:sz="6" w:space="0" w:color="000000"/>
              <w:right w:val="single" w:sz="6" w:space="0" w:color="000000"/>
            </w:tcBorders>
          </w:tcPr>
          <w:p w14:paraId="7091EF97" w14:textId="52BA6B67" w:rsidR="001B526A" w:rsidRPr="0075069C" w:rsidRDefault="00D1373B" w:rsidP="006854FC">
            <w:pPr>
              <w:pStyle w:val="naisc"/>
              <w:spacing w:before="0" w:after="0"/>
              <w:ind w:firstLine="21"/>
              <w:jc w:val="both"/>
              <w:rPr>
                <w:b/>
              </w:rPr>
            </w:pPr>
            <w:r w:rsidRPr="0075069C">
              <w:rPr>
                <w:b/>
              </w:rPr>
              <w:t xml:space="preserve">Iebildums ir ņemts vērā. </w:t>
            </w:r>
          </w:p>
        </w:tc>
        <w:tc>
          <w:tcPr>
            <w:tcW w:w="3686" w:type="dxa"/>
            <w:tcBorders>
              <w:top w:val="single" w:sz="4" w:space="0" w:color="auto"/>
              <w:left w:val="single" w:sz="4" w:space="0" w:color="auto"/>
              <w:bottom w:val="single" w:sz="4" w:space="0" w:color="auto"/>
            </w:tcBorders>
          </w:tcPr>
          <w:p w14:paraId="3DF258DE" w14:textId="77777777" w:rsidR="00D1373B" w:rsidRPr="0075069C" w:rsidRDefault="00D1373B" w:rsidP="006854FC">
            <w:pPr>
              <w:pStyle w:val="naisf"/>
              <w:spacing w:before="0" w:after="0"/>
              <w:ind w:firstLine="709"/>
            </w:pPr>
            <w:r w:rsidRPr="0075069C">
              <w:t>6. izteikt noteikumu 6.4.apakšpunktu šādā redakcijā:</w:t>
            </w:r>
          </w:p>
          <w:p w14:paraId="1548022F" w14:textId="77777777" w:rsidR="00D1373B" w:rsidRPr="0075069C" w:rsidRDefault="00D1373B" w:rsidP="006854FC">
            <w:pPr>
              <w:pStyle w:val="naisf"/>
              <w:spacing w:before="0" w:after="0"/>
              <w:ind w:firstLine="709"/>
            </w:pPr>
            <w:r w:rsidRPr="0075069C">
              <w:t>“6.4. atlikumus, kuru rašanos nav iespējams novērst, kuru daudzumu nav iespējams samazināt un kurus nevar pārstrādāt, apglabā normatīvajos aktos par atkritumu reģenerācijas un apglabāšanas veidiem noteiktajā kārtībā;”</w:t>
            </w:r>
          </w:p>
          <w:p w14:paraId="29A15C9B" w14:textId="77777777" w:rsidR="001B526A" w:rsidRPr="0075069C" w:rsidRDefault="001B526A" w:rsidP="006854FC">
            <w:pPr>
              <w:jc w:val="both"/>
              <w:rPr>
                <w:b/>
              </w:rPr>
            </w:pPr>
          </w:p>
        </w:tc>
      </w:tr>
      <w:tr w:rsidR="001B526A" w:rsidRPr="0075069C" w14:paraId="358146E3" w14:textId="77777777" w:rsidTr="00CD15D0">
        <w:tc>
          <w:tcPr>
            <w:tcW w:w="683" w:type="dxa"/>
            <w:tcBorders>
              <w:top w:val="single" w:sz="6" w:space="0" w:color="000000"/>
              <w:left w:val="single" w:sz="6" w:space="0" w:color="000000"/>
              <w:bottom w:val="single" w:sz="6" w:space="0" w:color="000000"/>
              <w:right w:val="single" w:sz="6" w:space="0" w:color="000000"/>
            </w:tcBorders>
          </w:tcPr>
          <w:p w14:paraId="4667079D" w14:textId="4C9FA86E" w:rsidR="001B526A" w:rsidRPr="0075069C" w:rsidRDefault="00911777" w:rsidP="0075069C">
            <w:pPr>
              <w:pStyle w:val="naisc"/>
              <w:spacing w:before="0" w:after="0"/>
              <w:jc w:val="both"/>
              <w:rPr>
                <w:b/>
              </w:rPr>
            </w:pPr>
            <w:r>
              <w:rPr>
                <w:b/>
              </w:rPr>
              <w:t>10.</w:t>
            </w:r>
          </w:p>
        </w:tc>
        <w:tc>
          <w:tcPr>
            <w:tcW w:w="3286" w:type="dxa"/>
            <w:tcBorders>
              <w:top w:val="single" w:sz="6" w:space="0" w:color="000000"/>
              <w:left w:val="single" w:sz="6" w:space="0" w:color="000000"/>
              <w:bottom w:val="single" w:sz="6" w:space="0" w:color="000000"/>
              <w:right w:val="single" w:sz="6" w:space="0" w:color="000000"/>
            </w:tcBorders>
          </w:tcPr>
          <w:p w14:paraId="799BFC35" w14:textId="77777777" w:rsidR="001B526A" w:rsidRPr="0075069C" w:rsidRDefault="001B526A" w:rsidP="00CC42FB">
            <w:pPr>
              <w:pStyle w:val="naisf"/>
              <w:spacing w:before="0" w:after="0"/>
              <w:rPr>
                <w:b/>
              </w:rPr>
            </w:pPr>
          </w:p>
        </w:tc>
        <w:tc>
          <w:tcPr>
            <w:tcW w:w="4536" w:type="dxa"/>
            <w:tcBorders>
              <w:top w:val="single" w:sz="6" w:space="0" w:color="000000"/>
              <w:left w:val="single" w:sz="6" w:space="0" w:color="000000"/>
              <w:bottom w:val="single" w:sz="6" w:space="0" w:color="000000"/>
              <w:right w:val="single" w:sz="6" w:space="0" w:color="000000"/>
            </w:tcBorders>
          </w:tcPr>
          <w:p w14:paraId="03EB621B" w14:textId="77777777" w:rsidR="00D1373B" w:rsidRPr="0075069C" w:rsidRDefault="001B526A" w:rsidP="0075069C">
            <w:pPr>
              <w:ind w:right="12" w:firstLine="567"/>
              <w:jc w:val="both"/>
            </w:pPr>
            <w:r w:rsidRPr="0075069C">
              <w:rPr>
                <w:b/>
              </w:rPr>
              <w:t>Tieslietu ministrija:</w:t>
            </w:r>
            <w:r w:rsidR="00100868" w:rsidRPr="0075069C">
              <w:t xml:space="preserve"> </w:t>
            </w:r>
          </w:p>
          <w:p w14:paraId="702765DA" w14:textId="27DE193B" w:rsidR="001B526A" w:rsidRPr="003569C6" w:rsidRDefault="00100868" w:rsidP="003569C6">
            <w:pPr>
              <w:ind w:right="12" w:firstLine="567"/>
              <w:jc w:val="both"/>
            </w:pPr>
            <w:r w:rsidRPr="0075069C">
              <w:t>4. Lūdzam noteikumu projektā (sk. noteikumu projekta 6., 9., 10. un 24. punktu) grozījumus formulēt korekti, ievērojot noteikumu Nr. 108 145., 146., 150., 151., 154. un 155. punkta prasības.</w:t>
            </w:r>
          </w:p>
        </w:tc>
        <w:tc>
          <w:tcPr>
            <w:tcW w:w="2384" w:type="dxa"/>
            <w:tcBorders>
              <w:top w:val="single" w:sz="6" w:space="0" w:color="000000"/>
              <w:left w:val="single" w:sz="6" w:space="0" w:color="000000"/>
              <w:bottom w:val="single" w:sz="6" w:space="0" w:color="000000"/>
              <w:right w:val="single" w:sz="6" w:space="0" w:color="000000"/>
            </w:tcBorders>
          </w:tcPr>
          <w:p w14:paraId="327B4BEA" w14:textId="1787AEB5" w:rsidR="001B526A" w:rsidRPr="0075069C" w:rsidRDefault="0075069C" w:rsidP="0075069C">
            <w:pPr>
              <w:pStyle w:val="naisc"/>
              <w:spacing w:before="0" w:after="0"/>
              <w:ind w:firstLine="21"/>
              <w:jc w:val="both"/>
              <w:rPr>
                <w:b/>
              </w:rPr>
            </w:pPr>
            <w:r w:rsidRPr="0075069C">
              <w:rPr>
                <w:b/>
              </w:rPr>
              <w:t xml:space="preserve">Iebildums ir ņemts vērā. </w:t>
            </w:r>
          </w:p>
        </w:tc>
        <w:tc>
          <w:tcPr>
            <w:tcW w:w="3686" w:type="dxa"/>
            <w:tcBorders>
              <w:top w:val="single" w:sz="4" w:space="0" w:color="auto"/>
              <w:left w:val="single" w:sz="4" w:space="0" w:color="auto"/>
              <w:bottom w:val="single" w:sz="4" w:space="0" w:color="auto"/>
            </w:tcBorders>
          </w:tcPr>
          <w:p w14:paraId="3F1C2341" w14:textId="54FD7F98" w:rsidR="001B526A" w:rsidRPr="0075069C" w:rsidRDefault="00A93C17" w:rsidP="0075069C">
            <w:pPr>
              <w:jc w:val="both"/>
              <w:rPr>
                <w:b/>
              </w:rPr>
            </w:pPr>
            <w:r>
              <w:rPr>
                <w:b/>
              </w:rPr>
              <w:t>Precizēta noteikumu projekta normu nume</w:t>
            </w:r>
            <w:r w:rsidR="00A203F4">
              <w:rPr>
                <w:b/>
              </w:rPr>
              <w:t xml:space="preserve">rācija. </w:t>
            </w:r>
          </w:p>
        </w:tc>
      </w:tr>
      <w:tr w:rsidR="001B526A" w:rsidRPr="00A203F4" w14:paraId="184621FA" w14:textId="77777777" w:rsidTr="00CD15D0">
        <w:tc>
          <w:tcPr>
            <w:tcW w:w="683" w:type="dxa"/>
            <w:tcBorders>
              <w:top w:val="single" w:sz="6" w:space="0" w:color="000000"/>
              <w:left w:val="single" w:sz="6" w:space="0" w:color="000000"/>
              <w:bottom w:val="single" w:sz="6" w:space="0" w:color="000000"/>
              <w:right w:val="single" w:sz="6" w:space="0" w:color="000000"/>
            </w:tcBorders>
          </w:tcPr>
          <w:p w14:paraId="3B8936E0" w14:textId="5C5199D3" w:rsidR="001B526A" w:rsidRPr="00A203F4" w:rsidRDefault="00911777" w:rsidP="00CC42FB">
            <w:pPr>
              <w:pStyle w:val="naisc"/>
              <w:spacing w:before="0" w:after="0"/>
              <w:jc w:val="both"/>
              <w:rPr>
                <w:b/>
              </w:rPr>
            </w:pPr>
            <w:r>
              <w:rPr>
                <w:b/>
              </w:rPr>
              <w:t>11.</w:t>
            </w:r>
          </w:p>
        </w:tc>
        <w:tc>
          <w:tcPr>
            <w:tcW w:w="3286" w:type="dxa"/>
            <w:tcBorders>
              <w:top w:val="single" w:sz="6" w:space="0" w:color="000000"/>
              <w:left w:val="single" w:sz="6" w:space="0" w:color="000000"/>
              <w:bottom w:val="single" w:sz="6" w:space="0" w:color="000000"/>
              <w:right w:val="single" w:sz="6" w:space="0" w:color="000000"/>
            </w:tcBorders>
            <w:vAlign w:val="center"/>
          </w:tcPr>
          <w:p w14:paraId="421E3BA3" w14:textId="77777777" w:rsidR="00246CB8" w:rsidRPr="00A203F4" w:rsidRDefault="00246CB8" w:rsidP="00CC42FB">
            <w:pPr>
              <w:pStyle w:val="tv213"/>
              <w:spacing w:before="0" w:beforeAutospacing="0" w:after="0" w:afterAutospacing="0"/>
              <w:ind w:firstLine="720"/>
              <w:jc w:val="both"/>
            </w:pPr>
            <w:r w:rsidRPr="00A203F4">
              <w:t>11. Izteikt 17.punktu šādā redakcijā:</w:t>
            </w:r>
          </w:p>
          <w:p w14:paraId="1A0B02FF" w14:textId="0E7AABD4" w:rsidR="001B526A" w:rsidRPr="003569C6" w:rsidRDefault="00246CB8" w:rsidP="003569C6">
            <w:pPr>
              <w:pStyle w:val="tv213"/>
              <w:spacing w:before="0" w:beforeAutospacing="0" w:after="0" w:afterAutospacing="0"/>
              <w:ind w:firstLine="720"/>
              <w:jc w:val="both"/>
            </w:pPr>
            <w:r w:rsidRPr="00A203F4">
              <w:t xml:space="preserve">“17. Katru atkritumu sadedzināšanas iekārtu aprīko ar vismaz vienu papildu degli, kas automātiski ieslēdzas, lai pēc pēdējās gaisa padeves uzturētu dūmgāzu temperatūru virs 850 </w:t>
            </w:r>
            <w:r w:rsidRPr="00A203F4">
              <w:lastRenderedPageBreak/>
              <w:t xml:space="preserve">°C vai virs 1100 °C. </w:t>
            </w:r>
            <w:bookmarkStart w:id="3" w:name="p18"/>
            <w:bookmarkStart w:id="4" w:name="p-395713"/>
            <w:bookmarkEnd w:id="3"/>
            <w:bookmarkEnd w:id="4"/>
            <w:r w:rsidRPr="00A203F4">
              <w:t xml:space="preserve"> </w:t>
            </w:r>
            <w:r w:rsidRPr="00A203F4">
              <w:rPr>
                <w:bCs/>
                <w:noProof/>
              </w:rPr>
              <w:t>Papildu degļus izmanto arī atkritumu sadedzināšanas iekārtas iedarbināšanas un izslēgšanas laikā, lai sadedzināšanas kamerā nodrošinātu temperatūru attiecīgi virs 850 °C vai 1100 °C</w:t>
            </w:r>
            <w:r w:rsidRPr="00A203F4">
              <w:t xml:space="preserve"> </w:t>
            </w:r>
            <w:r w:rsidRPr="00A203F4">
              <w:rPr>
                <w:bCs/>
                <w:noProof/>
              </w:rPr>
              <w:t>šo procedūru laikā un līdz brīdim, kamēr tajā atrodas nesadedzināti atkritumi.</w:t>
            </w:r>
            <w:r w:rsidRPr="00A203F4">
              <w:rPr>
                <w:shd w:val="clear" w:color="auto" w:fill="FFFFFF"/>
              </w:rPr>
              <w:t>Papildus deglim nedrīkst pievadīt kurināmo, kas var radīt lielāk</w:t>
            </w:r>
            <w:r w:rsidRPr="00A203F4">
              <w:rPr>
                <w:bCs/>
                <w:u w:val="single"/>
                <w:shd w:val="clear" w:color="auto" w:fill="FFFFFF"/>
              </w:rPr>
              <w:t>a</w:t>
            </w:r>
            <w:r w:rsidRPr="00A203F4">
              <w:rPr>
                <w:shd w:val="clear" w:color="auto" w:fill="FFFFFF"/>
              </w:rPr>
              <w:t>s piesārņojošo vielu emisijas</w:t>
            </w:r>
            <w:r w:rsidRPr="00A203F4">
              <w:rPr>
                <w:color w:val="1F497D"/>
                <w:shd w:val="clear" w:color="auto" w:fill="FFFFFF"/>
              </w:rPr>
              <w:t> </w:t>
            </w:r>
            <w:r w:rsidRPr="00A203F4">
              <w:rPr>
                <w:shd w:val="clear" w:color="auto" w:fill="FFFFFF"/>
              </w:rPr>
              <w:t>nekā sašķidrinātā gāze</w:t>
            </w:r>
            <w:r w:rsidRPr="00A203F4">
              <w:rPr>
                <w:color w:val="1F497D"/>
                <w:shd w:val="clear" w:color="auto" w:fill="FFFFFF"/>
              </w:rPr>
              <w:t>,</w:t>
            </w:r>
            <w:r w:rsidRPr="00A203F4">
              <w:rPr>
                <w:shd w:val="clear" w:color="auto" w:fill="FFFFFF"/>
              </w:rPr>
              <w:t> dabasgāze un normatīvaj</w:t>
            </w:r>
            <w:r w:rsidRPr="00A203F4">
              <w:rPr>
                <w:bCs/>
                <w:u w:val="single"/>
                <w:shd w:val="clear" w:color="auto" w:fill="FFFFFF"/>
              </w:rPr>
              <w:t>os</w:t>
            </w:r>
            <w:r w:rsidRPr="00A203F4">
              <w:rPr>
                <w:shd w:val="clear" w:color="auto" w:fill="FFFFFF"/>
              </w:rPr>
              <w:t xml:space="preserve"> akt</w:t>
            </w:r>
            <w:r w:rsidRPr="00A203F4">
              <w:rPr>
                <w:bCs/>
                <w:u w:val="single"/>
                <w:shd w:val="clear" w:color="auto" w:fill="FFFFFF"/>
              </w:rPr>
              <w:t>os</w:t>
            </w:r>
            <w:r w:rsidRPr="00A203F4">
              <w:rPr>
                <w:shd w:val="clear" w:color="auto" w:fill="FFFFFF"/>
              </w:rPr>
              <w:t xml:space="preserve"> par sēra satura ierobežošanu atsevišķiem šķidrās degvielas veidiem noteiktā dīzeļdegviela</w:t>
            </w:r>
            <w:r w:rsidRPr="00A203F4">
              <w:t>.” ;</w:t>
            </w:r>
          </w:p>
        </w:tc>
        <w:tc>
          <w:tcPr>
            <w:tcW w:w="4536" w:type="dxa"/>
            <w:tcBorders>
              <w:top w:val="single" w:sz="6" w:space="0" w:color="000000"/>
              <w:left w:val="single" w:sz="6" w:space="0" w:color="000000"/>
              <w:bottom w:val="single" w:sz="6" w:space="0" w:color="000000"/>
              <w:right w:val="single" w:sz="6" w:space="0" w:color="000000"/>
            </w:tcBorders>
          </w:tcPr>
          <w:p w14:paraId="0CE349C3" w14:textId="77777777" w:rsidR="001B526A" w:rsidRPr="00A203F4" w:rsidRDefault="001B526A" w:rsidP="00CC42FB">
            <w:pPr>
              <w:pStyle w:val="naisc"/>
              <w:spacing w:before="0" w:after="0"/>
              <w:ind w:right="3"/>
              <w:jc w:val="both"/>
              <w:rPr>
                <w:b/>
              </w:rPr>
            </w:pPr>
            <w:r w:rsidRPr="00A203F4">
              <w:rPr>
                <w:b/>
              </w:rPr>
              <w:lastRenderedPageBreak/>
              <w:t>Tieslietu ministrija:</w:t>
            </w:r>
          </w:p>
          <w:p w14:paraId="069176DD" w14:textId="77777777" w:rsidR="00100868" w:rsidRPr="00A203F4" w:rsidRDefault="00100868" w:rsidP="00CC42FB">
            <w:pPr>
              <w:ind w:right="12" w:firstLine="567"/>
              <w:jc w:val="both"/>
            </w:pPr>
            <w:r w:rsidRPr="00A203F4">
              <w:t>5. Lūdzam izvērtēt, vai ar noteikumu projektu ir korekti pārņemtas direktīvas Nr. 2010/75/ES prasības, nepieciešamības gadījumā atbilstoši precizējot noteikumu projektu. Proti, vēršam uzmanību, ka:</w:t>
            </w:r>
          </w:p>
          <w:p w14:paraId="1589B888" w14:textId="77777777" w:rsidR="00100868" w:rsidRPr="00A203F4" w:rsidRDefault="00100868" w:rsidP="00CC42FB">
            <w:pPr>
              <w:ind w:right="12" w:firstLine="567"/>
              <w:jc w:val="both"/>
            </w:pPr>
            <w:r w:rsidRPr="00A203F4">
              <w:t xml:space="preserve">pirmkārt, no direktīvas Nr. 2010/75/ES 50. panta 3. punkta izriet, ka visas atkritumu </w:t>
            </w:r>
            <w:r w:rsidRPr="00A203F4">
              <w:lastRenderedPageBreak/>
              <w:t xml:space="preserve">sadedzināšanas iekārtu sadedzināšanas </w:t>
            </w:r>
            <w:r w:rsidRPr="00A203F4">
              <w:rPr>
                <w:u w:val="single"/>
              </w:rPr>
              <w:t>kameras</w:t>
            </w:r>
            <w:r w:rsidRPr="00A203F4">
              <w:t xml:space="preserve"> jāaprīko ar vismaz vienu papildu degli. Vienlaikus iepretim minētajam noteikumu projekta 11. punkts paredz, ka katru atkritumu sadedzināšanas iekārtu, nevis iekārtas kameru, aprīko ar vismaz vienu papildu degli;</w:t>
            </w:r>
          </w:p>
          <w:p w14:paraId="337EBF63" w14:textId="425D35BC" w:rsidR="00100868" w:rsidRPr="00A203F4" w:rsidRDefault="00100868" w:rsidP="00CC42FB">
            <w:pPr>
              <w:pStyle w:val="naisc"/>
              <w:spacing w:before="0" w:after="0"/>
              <w:ind w:right="3"/>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20810F22" w14:textId="6CB5737B" w:rsidR="001B526A" w:rsidRPr="00A203F4" w:rsidRDefault="008B55B0" w:rsidP="00CC42FB">
            <w:pPr>
              <w:pStyle w:val="naisc"/>
              <w:spacing w:before="0" w:after="0"/>
              <w:ind w:firstLine="21"/>
              <w:jc w:val="left"/>
              <w:rPr>
                <w:b/>
              </w:rPr>
            </w:pPr>
            <w:r>
              <w:rPr>
                <w:b/>
              </w:rPr>
              <w:lastRenderedPageBreak/>
              <w:t xml:space="preserve">Iebildums ir ņemts vērā. </w:t>
            </w:r>
            <w:r w:rsidR="0031175C" w:rsidRPr="0075069C">
              <w:rPr>
                <w:b/>
              </w:rPr>
              <w:t>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43B184A7" w14:textId="7C81BBCE" w:rsidR="00FD0255" w:rsidRPr="00FD0255" w:rsidRDefault="00FD0255" w:rsidP="00FD0255">
            <w:pPr>
              <w:pStyle w:val="tv213"/>
              <w:spacing w:before="0" w:beforeAutospacing="0" w:after="0" w:afterAutospacing="0"/>
              <w:jc w:val="both"/>
            </w:pPr>
            <w:r w:rsidRPr="00FD0255">
              <w:t>1</w:t>
            </w:r>
            <w:r w:rsidR="00C670D1">
              <w:t>6</w:t>
            </w:r>
            <w:r w:rsidRPr="00FD0255">
              <w:t>. Izteikt 17.punktu šādā redakcijā:</w:t>
            </w:r>
          </w:p>
          <w:p w14:paraId="122E60D9" w14:textId="0C3AD483" w:rsidR="001B526A" w:rsidRPr="00A203F4" w:rsidRDefault="00FD0255" w:rsidP="00FD0255">
            <w:pPr>
              <w:jc w:val="both"/>
              <w:rPr>
                <w:b/>
              </w:rPr>
            </w:pPr>
            <w:r w:rsidRPr="00FD0255">
              <w:t xml:space="preserve">“17. Katru atkritumu sadedzināšanas iekārtas sadedzināšanas kameru aprīko ar vismaz vienu papildu degli, kas automātiski ieslēdzas, lai pēc pēdējās gaisa padeves uzturētu dūmgāzu temperatūru virs 850 °C </w:t>
            </w:r>
            <w:r w:rsidRPr="00FD0255">
              <w:lastRenderedPageBreak/>
              <w:t xml:space="preserve">vai virs 1100 °C.  </w:t>
            </w:r>
            <w:r w:rsidRPr="00FD0255">
              <w:rPr>
                <w:bCs/>
                <w:noProof/>
              </w:rPr>
              <w:t>Papildu degļus izmanto arī atkritumu sadedzināšanas iekārtas iedarbināšanas un izslēgšanas laikā, lai sadedzināšanas kamerā nodrošinātu temperatūru attiecīgi virs 850 °C vai 1100 °C</w:t>
            </w:r>
            <w:r w:rsidRPr="00FD0255">
              <w:t xml:space="preserve"> </w:t>
            </w:r>
            <w:r w:rsidRPr="00FD0255">
              <w:rPr>
                <w:bCs/>
                <w:noProof/>
              </w:rPr>
              <w:t>šo procedūru laikā un līdz brīdim, kamēr tajā atrodas nesadedzināti atkritumi.</w:t>
            </w:r>
            <w:r w:rsidRPr="00FD0255">
              <w:rPr>
                <w:shd w:val="clear" w:color="auto" w:fill="FFFFFF"/>
              </w:rPr>
              <w:t>Papildus deglim nedrīkst pievadīt kurināmo, kas var radīt lielāk</w:t>
            </w:r>
            <w:r w:rsidRPr="00FD0255">
              <w:rPr>
                <w:bCs/>
                <w:shd w:val="clear" w:color="auto" w:fill="FFFFFF"/>
              </w:rPr>
              <w:t>a</w:t>
            </w:r>
            <w:r w:rsidRPr="00FD0255">
              <w:rPr>
                <w:shd w:val="clear" w:color="auto" w:fill="FFFFFF"/>
              </w:rPr>
              <w:t>s piesārņojošo vielu emisijas</w:t>
            </w:r>
            <w:r w:rsidRPr="00FD0255">
              <w:rPr>
                <w:color w:val="1F497D"/>
                <w:shd w:val="clear" w:color="auto" w:fill="FFFFFF"/>
              </w:rPr>
              <w:t> </w:t>
            </w:r>
            <w:r w:rsidRPr="00FD0255">
              <w:rPr>
                <w:shd w:val="clear" w:color="auto" w:fill="FFFFFF"/>
              </w:rPr>
              <w:t>nekā sašķidrinātā gāze</w:t>
            </w:r>
            <w:r w:rsidRPr="00FD0255">
              <w:rPr>
                <w:color w:val="1F497D"/>
                <w:shd w:val="clear" w:color="auto" w:fill="FFFFFF"/>
              </w:rPr>
              <w:t>,</w:t>
            </w:r>
            <w:r w:rsidRPr="00FD0255">
              <w:rPr>
                <w:shd w:val="clear" w:color="auto" w:fill="FFFFFF"/>
              </w:rPr>
              <w:t> dabasgāze un normatīvaj</w:t>
            </w:r>
            <w:r w:rsidRPr="00FD0255">
              <w:rPr>
                <w:bCs/>
                <w:shd w:val="clear" w:color="auto" w:fill="FFFFFF"/>
              </w:rPr>
              <w:t>os</w:t>
            </w:r>
            <w:r w:rsidRPr="00FD0255">
              <w:rPr>
                <w:shd w:val="clear" w:color="auto" w:fill="FFFFFF"/>
              </w:rPr>
              <w:t xml:space="preserve"> akt</w:t>
            </w:r>
            <w:r w:rsidRPr="00FD0255">
              <w:rPr>
                <w:bCs/>
                <w:shd w:val="clear" w:color="auto" w:fill="FFFFFF"/>
              </w:rPr>
              <w:t>os</w:t>
            </w:r>
            <w:r w:rsidRPr="00FD0255">
              <w:rPr>
                <w:shd w:val="clear" w:color="auto" w:fill="FFFFFF"/>
              </w:rPr>
              <w:t xml:space="preserve"> par sēra satura ierobežošanu atsevišķiem šķidrās degvielas veidiem noteiktā dīzeļdegviela</w:t>
            </w:r>
            <w:r w:rsidRPr="00FD0255">
              <w:t>.” ;</w:t>
            </w:r>
          </w:p>
        </w:tc>
      </w:tr>
      <w:tr w:rsidR="00D1373B" w:rsidRPr="00FD0255" w14:paraId="2E2602A4" w14:textId="77777777" w:rsidTr="00CD15D0">
        <w:tc>
          <w:tcPr>
            <w:tcW w:w="683" w:type="dxa"/>
            <w:tcBorders>
              <w:top w:val="single" w:sz="6" w:space="0" w:color="000000"/>
              <w:left w:val="single" w:sz="6" w:space="0" w:color="000000"/>
              <w:bottom w:val="single" w:sz="6" w:space="0" w:color="000000"/>
              <w:right w:val="single" w:sz="6" w:space="0" w:color="000000"/>
            </w:tcBorders>
          </w:tcPr>
          <w:p w14:paraId="0A1AAD77" w14:textId="29D2E3C4" w:rsidR="00D1373B" w:rsidRPr="00FD0255" w:rsidRDefault="00911777" w:rsidP="00FD0255">
            <w:pPr>
              <w:pStyle w:val="naisc"/>
              <w:spacing w:before="0" w:after="0"/>
              <w:jc w:val="both"/>
              <w:rPr>
                <w:b/>
              </w:rPr>
            </w:pPr>
            <w:r>
              <w:rPr>
                <w:b/>
              </w:rPr>
              <w:lastRenderedPageBreak/>
              <w:t>12.</w:t>
            </w:r>
          </w:p>
        </w:tc>
        <w:tc>
          <w:tcPr>
            <w:tcW w:w="3286" w:type="dxa"/>
            <w:tcBorders>
              <w:top w:val="single" w:sz="6" w:space="0" w:color="000000"/>
              <w:left w:val="single" w:sz="6" w:space="0" w:color="000000"/>
              <w:bottom w:val="single" w:sz="6" w:space="0" w:color="000000"/>
              <w:right w:val="single" w:sz="6" w:space="0" w:color="000000"/>
            </w:tcBorders>
          </w:tcPr>
          <w:p w14:paraId="0FB933C4" w14:textId="77777777" w:rsidR="00FD0255" w:rsidRPr="00FD0255" w:rsidRDefault="00FD0255" w:rsidP="00FD0255">
            <w:pPr>
              <w:pStyle w:val="naisf"/>
              <w:spacing w:before="0" w:after="0"/>
              <w:ind w:firstLine="709"/>
            </w:pPr>
            <w:r w:rsidRPr="00FD0255">
              <w:t>9. 11. punktā:</w:t>
            </w:r>
          </w:p>
          <w:p w14:paraId="4F03A1C5" w14:textId="77777777" w:rsidR="00FD0255" w:rsidRPr="00FD0255" w:rsidRDefault="00FD0255" w:rsidP="00FD0255">
            <w:pPr>
              <w:pStyle w:val="naisf"/>
              <w:spacing w:before="0" w:after="0"/>
              <w:ind w:firstLine="709"/>
            </w:pPr>
            <w:r w:rsidRPr="00FD0255">
              <w:t>izteikt 11.punkta ievaddaļu šādā redakcijā:</w:t>
            </w:r>
          </w:p>
          <w:p w14:paraId="5961EBEA" w14:textId="77777777" w:rsidR="00FD0255" w:rsidRPr="00FD0255" w:rsidRDefault="00FD0255" w:rsidP="00FD0255">
            <w:pPr>
              <w:pStyle w:val="naisf"/>
              <w:spacing w:before="0" w:after="0"/>
              <w:ind w:firstLine="709"/>
            </w:pPr>
            <w:r w:rsidRPr="00FD0255">
              <w:t xml:space="preserve">“11. Pirms atkritumu pieņemšanas atkritumu sadedzināšanas vai līdzsadedzināšanas iekārtās operators no atkritumu piegādātāja saņem atkritumu </w:t>
            </w:r>
            <w:r w:rsidRPr="00FD0255">
              <w:lastRenderedPageBreak/>
              <w:t>aprakstu, kurā norādīts atkritumu:”</w:t>
            </w:r>
          </w:p>
          <w:p w14:paraId="1CA458AF" w14:textId="77777777" w:rsidR="00FD0255" w:rsidRPr="00FD0255" w:rsidRDefault="00FD0255" w:rsidP="00FD0255">
            <w:pPr>
              <w:pStyle w:val="naisf"/>
              <w:spacing w:before="0" w:after="0"/>
              <w:ind w:firstLine="709"/>
            </w:pPr>
          </w:p>
          <w:p w14:paraId="67EB01E5" w14:textId="77777777" w:rsidR="00FD0255" w:rsidRPr="00FD0255" w:rsidRDefault="00FD0255" w:rsidP="00FD0255">
            <w:pPr>
              <w:pStyle w:val="naisf"/>
              <w:spacing w:before="0" w:after="0"/>
              <w:ind w:firstLine="709"/>
            </w:pPr>
            <w:r w:rsidRPr="00FD0255">
              <w:t>papildināt  ar 11.</w:t>
            </w:r>
            <w:r w:rsidRPr="00FD0255">
              <w:rPr>
                <w:vertAlign w:val="superscript"/>
              </w:rPr>
              <w:t>1</w:t>
            </w:r>
            <w:r w:rsidRPr="00FD0255">
              <w:t xml:space="preserve"> punktu šādā redakcijā:</w:t>
            </w:r>
          </w:p>
          <w:p w14:paraId="3C7D5C76" w14:textId="131E8AC2" w:rsidR="00D1373B" w:rsidRPr="003569C6" w:rsidRDefault="00FD0255" w:rsidP="003569C6">
            <w:pPr>
              <w:pStyle w:val="naisf"/>
              <w:spacing w:before="0" w:after="0"/>
              <w:ind w:firstLine="709"/>
            </w:pPr>
            <w:r w:rsidRPr="00FD0255">
              <w:t>“11.</w:t>
            </w:r>
            <w:r w:rsidRPr="00FD0255">
              <w:rPr>
                <w:vertAlign w:val="superscript"/>
              </w:rPr>
              <w:t>1</w:t>
            </w:r>
            <w:r w:rsidRPr="00FD0255">
              <w:t xml:space="preserve"> Pirms atkritumu piegādes un saņemšanas atkritumu sadedzināšanas vai līdzsadedzināšanas iekārtās operators pārbauda un izvērtē, vai atkritumu aprakstā minētie atkritumi atbilst šo noteikumu 7.punktā minētās atļaujas nosacījumiem un vai tos ir iespējams sadedzināt atkritumu sadedzināšanas vai līdzsadedzināšanas iekārtās atbilstoši šo noteikumu 7.punktā minētās atļaujas nosacījumiem.”</w:t>
            </w:r>
          </w:p>
        </w:tc>
        <w:tc>
          <w:tcPr>
            <w:tcW w:w="4536" w:type="dxa"/>
            <w:tcBorders>
              <w:top w:val="single" w:sz="6" w:space="0" w:color="000000"/>
              <w:left w:val="single" w:sz="6" w:space="0" w:color="000000"/>
              <w:bottom w:val="single" w:sz="6" w:space="0" w:color="000000"/>
              <w:right w:val="single" w:sz="6" w:space="0" w:color="000000"/>
            </w:tcBorders>
          </w:tcPr>
          <w:p w14:paraId="7ADBBA79" w14:textId="266A47B9" w:rsidR="00FD0255" w:rsidRPr="00FD0255" w:rsidRDefault="00FD0255" w:rsidP="00FD0255">
            <w:pPr>
              <w:ind w:right="12"/>
              <w:jc w:val="both"/>
              <w:rPr>
                <w:b/>
                <w:bCs/>
              </w:rPr>
            </w:pPr>
            <w:r w:rsidRPr="00FD0255">
              <w:rPr>
                <w:b/>
                <w:bCs/>
              </w:rPr>
              <w:lastRenderedPageBreak/>
              <w:t>Tieslietu ministrija:</w:t>
            </w:r>
          </w:p>
          <w:p w14:paraId="03400A20" w14:textId="6554A21A" w:rsidR="00D1373B" w:rsidRPr="00FD0255" w:rsidRDefault="00D1373B" w:rsidP="00FD0255">
            <w:pPr>
              <w:ind w:right="12"/>
              <w:jc w:val="both"/>
            </w:pPr>
            <w:r w:rsidRPr="00FD0255">
              <w:t>Kā arī lūdzam ar atsevišķu noteikumu projekta punktu (un nevis noteikumu projekta 9. punktu) papildināt noteikumus Nr. 401 ar 11.</w:t>
            </w:r>
            <w:r w:rsidRPr="00FD0255">
              <w:rPr>
                <w:vertAlign w:val="superscript"/>
              </w:rPr>
              <w:t>1</w:t>
            </w:r>
            <w:r w:rsidRPr="00FD0255">
              <w:t xml:space="preserve"> punktu. Norādām, ka atbilstoši noteikumu Nr. 108 148. punktam, ja noteikumus papildina ar jaunu vienību, kura pēc secības rakstāma starp esošajām vienībām, veido prim vienību, līdz ar to </w:t>
            </w:r>
            <w:r w:rsidRPr="00FD0255">
              <w:lastRenderedPageBreak/>
              <w:t>11.</w:t>
            </w:r>
            <w:r w:rsidRPr="00FD0255">
              <w:rPr>
                <w:vertAlign w:val="superscript"/>
              </w:rPr>
              <w:t>1</w:t>
            </w:r>
            <w:r w:rsidRPr="00FD0255">
              <w:t> punkts ir atsevišķa vienība, ar kuru tiek papildināti noteikumi Nr. 401, nevis noteikumu Nr. 401 11. punkta sastāvdaļa.</w:t>
            </w:r>
          </w:p>
          <w:p w14:paraId="3050F77B" w14:textId="77777777" w:rsidR="00D1373B" w:rsidRPr="00FD0255" w:rsidRDefault="00D1373B" w:rsidP="00FD0255">
            <w:pPr>
              <w:pStyle w:val="naisc"/>
              <w:spacing w:before="0" w:after="0"/>
              <w:ind w:right="3"/>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2D32F0A4" w14:textId="081C239B" w:rsidR="00D1373B" w:rsidRPr="00FD0255" w:rsidRDefault="00FD0255" w:rsidP="00FD0255">
            <w:pPr>
              <w:pStyle w:val="naisc"/>
              <w:spacing w:before="0" w:after="0"/>
              <w:ind w:firstLine="21"/>
              <w:jc w:val="both"/>
              <w:rPr>
                <w:b/>
              </w:rPr>
            </w:pPr>
            <w:r w:rsidRPr="00FD0255">
              <w:rPr>
                <w:b/>
              </w:rPr>
              <w:lastRenderedPageBreak/>
              <w:t xml:space="preserve">Iebildums ir ņemts vērā. </w:t>
            </w:r>
            <w:r w:rsidR="0031175C" w:rsidRPr="0075069C">
              <w:rPr>
                <w:b/>
              </w:rPr>
              <w:t>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0812E3D2" w14:textId="77777777" w:rsidR="00FD0255" w:rsidRPr="00FD0255" w:rsidRDefault="00FD0255" w:rsidP="00FD0255">
            <w:pPr>
              <w:pStyle w:val="naisf"/>
              <w:spacing w:before="0" w:after="0"/>
              <w:ind w:firstLine="709"/>
            </w:pPr>
            <w:r w:rsidRPr="00FD0255">
              <w:t>11. papildināt noteikumus  ar 11.</w:t>
            </w:r>
            <w:r w:rsidRPr="00FD0255">
              <w:rPr>
                <w:vertAlign w:val="superscript"/>
              </w:rPr>
              <w:t>1</w:t>
            </w:r>
            <w:r w:rsidRPr="00FD0255">
              <w:t xml:space="preserve"> punktu šādā redakcijā:</w:t>
            </w:r>
          </w:p>
          <w:p w14:paraId="16469DF2" w14:textId="57BAB13A" w:rsidR="00D1373B" w:rsidRPr="00FD0255" w:rsidRDefault="00FD0255" w:rsidP="00FD0255">
            <w:pPr>
              <w:jc w:val="both"/>
              <w:rPr>
                <w:b/>
              </w:rPr>
            </w:pPr>
            <w:r w:rsidRPr="00FD0255">
              <w:t>“11.</w:t>
            </w:r>
            <w:r w:rsidRPr="00FD0255">
              <w:rPr>
                <w:vertAlign w:val="superscript"/>
              </w:rPr>
              <w:t>1</w:t>
            </w:r>
            <w:r w:rsidRPr="00FD0255">
              <w:t xml:space="preserve"> Pirms atkritumu piegādes un saņemšanas atkritumu sadedzināšanas vai līdzsadedzināšanas iekārtās operators pārbauda un izvērtē, vai atkritumu aprakstā minētie atkritumi atbilst šo noteikumu 7.punktā </w:t>
            </w:r>
            <w:r w:rsidRPr="00FD0255">
              <w:lastRenderedPageBreak/>
              <w:t>minētās atļaujas nosacījumiem un vai tos ir iespējams sadedzināt atkritumu sadedzināšanas vai līdzsadedzināšanas iekārtās atbilstoši šo noteikumu 7.punktā minētās atļaujas nosacījumiem.”</w:t>
            </w:r>
          </w:p>
        </w:tc>
      </w:tr>
      <w:tr w:rsidR="001B526A" w:rsidRPr="00CF778B" w14:paraId="18EB6BE3" w14:textId="77777777" w:rsidTr="00CD15D0">
        <w:tc>
          <w:tcPr>
            <w:tcW w:w="683" w:type="dxa"/>
            <w:tcBorders>
              <w:top w:val="single" w:sz="6" w:space="0" w:color="000000"/>
              <w:left w:val="single" w:sz="6" w:space="0" w:color="000000"/>
              <w:bottom w:val="single" w:sz="6" w:space="0" w:color="000000"/>
              <w:right w:val="single" w:sz="6" w:space="0" w:color="000000"/>
            </w:tcBorders>
          </w:tcPr>
          <w:p w14:paraId="55922FB0" w14:textId="7EF6A801" w:rsidR="001B526A" w:rsidRPr="00CF778B" w:rsidRDefault="00911777" w:rsidP="00CF778B">
            <w:pPr>
              <w:pStyle w:val="naisc"/>
              <w:spacing w:before="0" w:after="0"/>
              <w:jc w:val="both"/>
              <w:rPr>
                <w:b/>
              </w:rPr>
            </w:pPr>
            <w:r>
              <w:rPr>
                <w:b/>
              </w:rPr>
              <w:lastRenderedPageBreak/>
              <w:t>13.</w:t>
            </w:r>
          </w:p>
        </w:tc>
        <w:tc>
          <w:tcPr>
            <w:tcW w:w="3286" w:type="dxa"/>
            <w:tcBorders>
              <w:top w:val="single" w:sz="6" w:space="0" w:color="000000"/>
              <w:left w:val="single" w:sz="6" w:space="0" w:color="000000"/>
              <w:bottom w:val="single" w:sz="6" w:space="0" w:color="000000"/>
              <w:right w:val="single" w:sz="6" w:space="0" w:color="000000"/>
            </w:tcBorders>
          </w:tcPr>
          <w:p w14:paraId="3473FFF1" w14:textId="3E3F1AF7" w:rsidR="00CF778B" w:rsidRPr="00CF778B" w:rsidRDefault="00CF778B" w:rsidP="00CF778B">
            <w:pPr>
              <w:pStyle w:val="naisf"/>
              <w:spacing w:before="0" w:after="0"/>
              <w:ind w:firstLine="709"/>
            </w:pPr>
            <w:r w:rsidRPr="00CF778B">
              <w:t>24. 4. pielikumā:</w:t>
            </w:r>
          </w:p>
          <w:p w14:paraId="4174FEEB" w14:textId="35D48160" w:rsidR="00CF778B" w:rsidRPr="00CF778B" w:rsidRDefault="00CF778B" w:rsidP="00CF778B">
            <w:pPr>
              <w:pStyle w:val="naisc"/>
              <w:spacing w:before="0" w:after="0"/>
              <w:jc w:val="both"/>
              <w:rPr>
                <w:bCs/>
              </w:rPr>
            </w:pPr>
            <w:r w:rsidRPr="00CF778B">
              <w:rPr>
                <w:bCs/>
              </w:rPr>
              <w:t>9.</w:t>
            </w:r>
            <w:r w:rsidRPr="00CF778B">
              <w:rPr>
                <w:bCs/>
                <w:vertAlign w:val="superscript"/>
              </w:rPr>
              <w:t>1</w:t>
            </w:r>
            <w:r w:rsidRPr="00CF778B">
              <w:rPr>
                <w:bCs/>
              </w:rPr>
              <w:t xml:space="preserve"> 3. C </w:t>
            </w:r>
            <w:r w:rsidRPr="00CF778B">
              <w:rPr>
                <w:bCs/>
                <w:vertAlign w:val="subscript"/>
              </w:rPr>
              <w:t>proc</w:t>
            </w:r>
            <w:r w:rsidRPr="00CF778B">
              <w:rPr>
                <w:bCs/>
              </w:rPr>
              <w:t xml:space="preserve"> šķidrajam kurināmajam (O</w:t>
            </w:r>
            <w:r w:rsidRPr="00CF778B">
              <w:rPr>
                <w:bCs/>
                <w:vertAlign w:val="subscript"/>
              </w:rPr>
              <w:t>2</w:t>
            </w:r>
            <w:r w:rsidRPr="00CF778B">
              <w:rPr>
                <w:bCs/>
              </w:rPr>
              <w:t xml:space="preserve"> saturs 6%):</w:t>
            </w:r>
          </w:p>
          <w:p w14:paraId="03055BB5" w14:textId="77777777" w:rsidR="00CF778B" w:rsidRPr="00CF778B" w:rsidRDefault="00CF778B" w:rsidP="00CF778B">
            <w:pPr>
              <w:pStyle w:val="naisc"/>
              <w:spacing w:before="0" w:after="0"/>
              <w:jc w:val="both"/>
              <w:rPr>
                <w:bCs/>
              </w:rPr>
            </w:pPr>
          </w:p>
          <w:p w14:paraId="5BC7EC25" w14:textId="77777777" w:rsidR="00CF778B" w:rsidRPr="00CF778B" w:rsidRDefault="00CF778B" w:rsidP="00CF778B">
            <w:pPr>
              <w:pStyle w:val="naisc"/>
              <w:spacing w:before="0" w:after="0"/>
              <w:jc w:val="both"/>
              <w:rPr>
                <w:bCs/>
              </w:rPr>
            </w:pPr>
            <w:r w:rsidRPr="00CF778B">
              <w:rPr>
                <w:bCs/>
              </w:rPr>
              <w:t>9.</w:t>
            </w:r>
            <w:r w:rsidRPr="00CF778B">
              <w:rPr>
                <w:bCs/>
                <w:vertAlign w:val="superscript"/>
              </w:rPr>
              <w:t>2</w:t>
            </w:r>
            <w:r w:rsidRPr="00CF778B">
              <w:rPr>
                <w:bCs/>
              </w:rPr>
              <w:t xml:space="preserve"> 3. C proc šķidrajam kurināmajam (O</w:t>
            </w:r>
            <w:r w:rsidRPr="00CF778B">
              <w:rPr>
                <w:bCs/>
                <w:vertAlign w:val="subscript"/>
              </w:rPr>
              <w:t>2</w:t>
            </w:r>
            <w:r w:rsidRPr="00CF778B">
              <w:rPr>
                <w:bCs/>
              </w:rPr>
              <w:t xml:space="preserve"> saturs 6%):</w:t>
            </w:r>
          </w:p>
          <w:p w14:paraId="643C51CB" w14:textId="77777777" w:rsidR="001B526A" w:rsidRPr="00CF778B" w:rsidRDefault="001B526A" w:rsidP="00CF778B">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56C7AA22" w14:textId="77777777" w:rsidR="001B526A" w:rsidRPr="00CF778B" w:rsidRDefault="001B526A" w:rsidP="00CF778B">
            <w:pPr>
              <w:pStyle w:val="naisc"/>
              <w:spacing w:before="0" w:after="0"/>
              <w:ind w:right="3"/>
              <w:jc w:val="both"/>
              <w:rPr>
                <w:b/>
              </w:rPr>
            </w:pPr>
            <w:r w:rsidRPr="00CF778B">
              <w:rPr>
                <w:b/>
              </w:rPr>
              <w:t>Tieslietu ministrija:</w:t>
            </w:r>
          </w:p>
          <w:p w14:paraId="791AD74C" w14:textId="15CAC8F2" w:rsidR="00100868" w:rsidRPr="00CF778B" w:rsidRDefault="00100868" w:rsidP="00CF778B">
            <w:pPr>
              <w:ind w:right="12" w:firstLine="567"/>
              <w:jc w:val="both"/>
            </w:pPr>
            <w:r w:rsidRPr="00CF778B">
              <w:t>otrkārt, no direktīvas Nr. 2010/75/ES VI pielikuma 3.2.1. apakšpunkta izriet, ka C</w:t>
            </w:r>
            <w:r w:rsidRPr="00CF778B">
              <w:rPr>
                <w:vertAlign w:val="subscript"/>
              </w:rPr>
              <w:t>proc</w:t>
            </w:r>
            <w:r w:rsidRPr="00CF778B">
              <w:t xml:space="preserve"> šķidrajam kurināmajam O</w:t>
            </w:r>
            <w:r w:rsidRPr="00CF778B">
              <w:rPr>
                <w:vertAlign w:val="subscript"/>
              </w:rPr>
              <w:t>2</w:t>
            </w:r>
            <w:r w:rsidRPr="00CF778B">
              <w:t xml:space="preserve"> saturs ir 3 %, nevis 6 %, kā paredzēts noteikumu projekta 24. punktā, ar kuru cita starpā noteikumu Nr. 401 4. pielikums papildināts ar 9.</w:t>
            </w:r>
            <w:r w:rsidRPr="00CF778B">
              <w:rPr>
                <w:vertAlign w:val="superscript"/>
              </w:rPr>
              <w:t>1</w:t>
            </w:r>
            <w:r w:rsidRPr="00CF778B">
              <w:t xml:space="preserve">3. apakšpunktu. Tāpat līdzīgi no direktīvas Nr. 2010/75/ES VI pielikuma </w:t>
            </w:r>
            <w:r w:rsidRPr="00CF778B">
              <w:lastRenderedPageBreak/>
              <w:t>3.2.2. apakšpunkta izriet, ka C</w:t>
            </w:r>
            <w:r w:rsidRPr="00CF778B">
              <w:rPr>
                <w:vertAlign w:val="subscript"/>
              </w:rPr>
              <w:t>proc</w:t>
            </w:r>
            <w:r w:rsidRPr="00CF778B">
              <w:t xml:space="preserve"> šķidrajam kurināmajam O</w:t>
            </w:r>
            <w:r w:rsidRPr="00CF778B">
              <w:rPr>
                <w:vertAlign w:val="subscript"/>
              </w:rPr>
              <w:t>2</w:t>
            </w:r>
            <w:r w:rsidRPr="00CF778B">
              <w:t xml:space="preserve"> saturs ir 3 %, nevis 6 %, kā paredzēts noteikumu projekta 24. punktā, ar kuru cita starpā noteikumu Nr. 401 4. pielikums papildināts ar 9.</w:t>
            </w:r>
            <w:r w:rsidRPr="00CF778B">
              <w:rPr>
                <w:vertAlign w:val="superscript"/>
              </w:rPr>
              <w:t>2</w:t>
            </w:r>
            <w:r w:rsidRPr="00CF778B">
              <w:t>3. apakšpunktu;</w:t>
            </w:r>
          </w:p>
        </w:tc>
        <w:tc>
          <w:tcPr>
            <w:tcW w:w="2384" w:type="dxa"/>
            <w:tcBorders>
              <w:top w:val="single" w:sz="6" w:space="0" w:color="000000"/>
              <w:left w:val="single" w:sz="6" w:space="0" w:color="000000"/>
              <w:bottom w:val="single" w:sz="6" w:space="0" w:color="000000"/>
              <w:right w:val="single" w:sz="6" w:space="0" w:color="000000"/>
            </w:tcBorders>
          </w:tcPr>
          <w:p w14:paraId="15C276CC" w14:textId="3A8EB6C5" w:rsidR="001B526A" w:rsidRPr="00CF778B" w:rsidRDefault="00CF778B" w:rsidP="00CF778B">
            <w:pPr>
              <w:pStyle w:val="naisc"/>
              <w:spacing w:before="0" w:after="0"/>
              <w:ind w:firstLine="21"/>
              <w:jc w:val="both"/>
              <w:rPr>
                <w:b/>
              </w:rPr>
            </w:pPr>
            <w:r w:rsidRPr="00CF778B">
              <w:rPr>
                <w:b/>
              </w:rPr>
              <w:lastRenderedPageBreak/>
              <w:t xml:space="preserve">Iebildums ir ņemts vērā. </w:t>
            </w:r>
            <w:r w:rsidR="0031175C" w:rsidRPr="0075069C">
              <w:rPr>
                <w:b/>
              </w:rPr>
              <w:t>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60543112" w14:textId="7FC69238" w:rsidR="001B526A" w:rsidRPr="00CF778B" w:rsidRDefault="0031175C" w:rsidP="0031175C">
            <w:pPr>
              <w:pStyle w:val="naisc"/>
              <w:spacing w:before="0" w:after="0"/>
              <w:jc w:val="both"/>
              <w:rPr>
                <w:b/>
              </w:rPr>
            </w:pPr>
            <w:r>
              <w:t xml:space="preserve">Sk.noteikumu projekta </w:t>
            </w:r>
            <w:r w:rsidR="00C670D1">
              <w:t>5</w:t>
            </w:r>
            <w:r w:rsidR="00E00030">
              <w:t>1</w:t>
            </w:r>
            <w:r>
              <w:t xml:space="preserve">.un </w:t>
            </w:r>
            <w:r w:rsidR="00C670D1">
              <w:t>5</w:t>
            </w:r>
            <w:r w:rsidR="00E00030">
              <w:t>2</w:t>
            </w:r>
            <w:r>
              <w:t>.punktu</w:t>
            </w:r>
          </w:p>
        </w:tc>
      </w:tr>
      <w:tr w:rsidR="00FF0DA6" w:rsidRPr="003E1F78" w14:paraId="4FD7F8DF" w14:textId="77777777" w:rsidTr="00CD15D0">
        <w:tc>
          <w:tcPr>
            <w:tcW w:w="683" w:type="dxa"/>
            <w:tcBorders>
              <w:top w:val="single" w:sz="6" w:space="0" w:color="000000"/>
              <w:left w:val="single" w:sz="6" w:space="0" w:color="000000"/>
              <w:bottom w:val="single" w:sz="6" w:space="0" w:color="000000"/>
              <w:right w:val="single" w:sz="6" w:space="0" w:color="000000"/>
            </w:tcBorders>
          </w:tcPr>
          <w:p w14:paraId="1A96AFF8" w14:textId="6610A62E" w:rsidR="00FF0DA6" w:rsidRPr="003E1F78" w:rsidRDefault="00911777" w:rsidP="0089734C">
            <w:pPr>
              <w:pStyle w:val="naisc"/>
              <w:spacing w:before="0" w:after="0"/>
              <w:jc w:val="left"/>
              <w:rPr>
                <w:b/>
              </w:rPr>
            </w:pPr>
            <w:r>
              <w:rPr>
                <w:b/>
              </w:rPr>
              <w:t>14.</w:t>
            </w:r>
          </w:p>
        </w:tc>
        <w:tc>
          <w:tcPr>
            <w:tcW w:w="3286" w:type="dxa"/>
            <w:tcBorders>
              <w:top w:val="single" w:sz="6" w:space="0" w:color="000000"/>
              <w:left w:val="single" w:sz="6" w:space="0" w:color="000000"/>
              <w:bottom w:val="single" w:sz="6" w:space="0" w:color="000000"/>
              <w:right w:val="single" w:sz="6" w:space="0" w:color="000000"/>
            </w:tcBorders>
          </w:tcPr>
          <w:p w14:paraId="25D6BE24" w14:textId="77777777" w:rsidR="00FF0DA6" w:rsidRPr="00FF0DA6" w:rsidRDefault="00FF0DA6" w:rsidP="0089734C">
            <w:pPr>
              <w:pStyle w:val="naisc"/>
              <w:spacing w:before="0" w:after="0"/>
              <w:jc w:val="left"/>
              <w:rPr>
                <w:bCs/>
                <w:sz w:val="20"/>
                <w:szCs w:val="20"/>
              </w:rPr>
            </w:pPr>
            <w:r w:rsidRPr="00FF0DA6">
              <w:rPr>
                <w:bCs/>
                <w:sz w:val="20"/>
                <w:szCs w:val="20"/>
              </w:rPr>
              <w:t>3.</w:t>
            </w:r>
            <w:r w:rsidRPr="00FF0DA6">
              <w:rPr>
                <w:bCs/>
                <w:sz w:val="20"/>
                <w:szCs w:val="20"/>
                <w:vertAlign w:val="superscript"/>
              </w:rPr>
              <w:t>4</w:t>
            </w:r>
            <w:r w:rsidRPr="00FF0DA6">
              <w:rPr>
                <w:bCs/>
                <w:sz w:val="20"/>
                <w:szCs w:val="20"/>
              </w:rPr>
              <w:t xml:space="preserve"> tabula</w:t>
            </w:r>
          </w:p>
          <w:tbl>
            <w:tblPr>
              <w:tblW w:w="4846"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69"/>
              <w:gridCol w:w="514"/>
              <w:gridCol w:w="428"/>
              <w:gridCol w:w="562"/>
              <w:gridCol w:w="646"/>
              <w:gridCol w:w="541"/>
            </w:tblGrid>
            <w:tr w:rsidR="00FF0DA6" w:rsidRPr="00FF0DA6" w14:paraId="4419BC5C" w14:textId="77777777" w:rsidTr="00962AD0">
              <w:tc>
                <w:tcPr>
                  <w:tcW w:w="452" w:type="pct"/>
                  <w:vMerge w:val="restart"/>
                  <w:tcBorders>
                    <w:top w:val="outset" w:sz="6" w:space="0" w:color="auto"/>
                    <w:left w:val="outset" w:sz="6" w:space="0" w:color="auto"/>
                    <w:bottom w:val="outset" w:sz="6" w:space="0" w:color="auto"/>
                    <w:right w:val="outset" w:sz="6" w:space="0" w:color="auto"/>
                  </w:tcBorders>
                  <w:vAlign w:val="center"/>
                </w:tcPr>
                <w:p w14:paraId="3A492500" w14:textId="77777777" w:rsidR="00FF0DA6" w:rsidRPr="00FF0DA6" w:rsidRDefault="00FF0DA6" w:rsidP="0089734C">
                  <w:pPr>
                    <w:pStyle w:val="NormalWeb"/>
                    <w:spacing w:before="0" w:after="0"/>
                    <w:rPr>
                      <w:sz w:val="20"/>
                      <w:szCs w:val="20"/>
                    </w:rPr>
                  </w:pPr>
                  <w:r w:rsidRPr="00FF0DA6">
                    <w:rPr>
                      <w:sz w:val="20"/>
                      <w:szCs w:val="20"/>
                    </w:rPr>
                    <w:t>Nr.</w:t>
                  </w:r>
                </w:p>
                <w:p w14:paraId="231D3423" w14:textId="77777777" w:rsidR="00FF0DA6" w:rsidRPr="00FF0DA6" w:rsidRDefault="00FF0DA6" w:rsidP="0089734C">
                  <w:pPr>
                    <w:pStyle w:val="NormalWeb"/>
                    <w:spacing w:before="0" w:after="0"/>
                    <w:rPr>
                      <w:sz w:val="20"/>
                      <w:szCs w:val="20"/>
                    </w:rPr>
                  </w:pPr>
                  <w:r w:rsidRPr="00FF0DA6">
                    <w:rPr>
                      <w:sz w:val="20"/>
                      <w:szCs w:val="20"/>
                    </w:rPr>
                    <w:t>p.k.</w:t>
                  </w:r>
                </w:p>
              </w:tc>
              <w:tc>
                <w:tcPr>
                  <w:tcW w:w="869" w:type="pct"/>
                  <w:vMerge w:val="restart"/>
                  <w:tcBorders>
                    <w:top w:val="outset" w:sz="6" w:space="0" w:color="auto"/>
                    <w:left w:val="outset" w:sz="6" w:space="0" w:color="auto"/>
                    <w:bottom w:val="outset" w:sz="6" w:space="0" w:color="auto"/>
                    <w:right w:val="outset" w:sz="6" w:space="0" w:color="auto"/>
                  </w:tcBorders>
                  <w:vAlign w:val="center"/>
                </w:tcPr>
                <w:p w14:paraId="3265F2F7" w14:textId="77777777" w:rsidR="00FF0DA6" w:rsidRPr="00FF0DA6" w:rsidRDefault="00FF0DA6" w:rsidP="0089734C">
                  <w:pPr>
                    <w:pStyle w:val="naisc"/>
                    <w:spacing w:before="0" w:after="0"/>
                    <w:jc w:val="left"/>
                    <w:rPr>
                      <w:sz w:val="20"/>
                      <w:szCs w:val="20"/>
                    </w:rPr>
                  </w:pPr>
                  <w:r w:rsidRPr="00FF0DA6">
                    <w:rPr>
                      <w:sz w:val="20"/>
                      <w:szCs w:val="20"/>
                    </w:rPr>
                    <w:t>Piesārņojošā viela</w:t>
                  </w:r>
                </w:p>
              </w:tc>
              <w:tc>
                <w:tcPr>
                  <w:tcW w:w="3679" w:type="pct"/>
                  <w:gridSpan w:val="4"/>
                  <w:tcBorders>
                    <w:top w:val="outset" w:sz="6" w:space="0" w:color="auto"/>
                    <w:left w:val="outset" w:sz="6" w:space="0" w:color="auto"/>
                    <w:bottom w:val="outset" w:sz="6" w:space="0" w:color="auto"/>
                    <w:right w:val="outset" w:sz="6" w:space="0" w:color="auto"/>
                  </w:tcBorders>
                  <w:vAlign w:val="center"/>
                </w:tcPr>
                <w:p w14:paraId="0C26B5D1" w14:textId="77777777" w:rsidR="00FF0DA6" w:rsidRPr="00FF0DA6" w:rsidRDefault="00FF0DA6" w:rsidP="0089734C">
                  <w:pPr>
                    <w:pStyle w:val="naisc"/>
                    <w:spacing w:before="0" w:after="0"/>
                    <w:jc w:val="left"/>
                    <w:rPr>
                      <w:sz w:val="20"/>
                      <w:szCs w:val="20"/>
                    </w:rPr>
                  </w:pPr>
                  <w:r w:rsidRPr="00FF0DA6">
                    <w:rPr>
                      <w:sz w:val="20"/>
                      <w:szCs w:val="20"/>
                    </w:rPr>
                    <w:t>Nominālā ievadītā siltuma jauda</w:t>
                  </w:r>
                </w:p>
              </w:tc>
            </w:tr>
            <w:tr w:rsidR="00FF0DA6" w:rsidRPr="00FF0DA6" w14:paraId="3AD9230D" w14:textId="77777777" w:rsidTr="00962AD0">
              <w:tc>
                <w:tcPr>
                  <w:tcW w:w="452" w:type="pct"/>
                  <w:vMerge/>
                  <w:tcBorders>
                    <w:top w:val="outset" w:sz="6" w:space="0" w:color="auto"/>
                    <w:left w:val="outset" w:sz="6" w:space="0" w:color="auto"/>
                    <w:bottom w:val="outset" w:sz="6" w:space="0" w:color="auto"/>
                    <w:right w:val="outset" w:sz="6" w:space="0" w:color="auto"/>
                  </w:tcBorders>
                  <w:vAlign w:val="center"/>
                </w:tcPr>
                <w:p w14:paraId="2A5C006C" w14:textId="77777777" w:rsidR="00FF0DA6" w:rsidRPr="00FF0DA6" w:rsidRDefault="00FF0DA6" w:rsidP="0089734C">
                  <w:pPr>
                    <w:rPr>
                      <w:sz w:val="20"/>
                      <w:szCs w:val="20"/>
                    </w:rPr>
                  </w:pPr>
                </w:p>
              </w:tc>
              <w:tc>
                <w:tcPr>
                  <w:tcW w:w="869" w:type="pct"/>
                  <w:vMerge/>
                  <w:tcBorders>
                    <w:top w:val="outset" w:sz="6" w:space="0" w:color="auto"/>
                    <w:left w:val="outset" w:sz="6" w:space="0" w:color="auto"/>
                    <w:bottom w:val="outset" w:sz="6" w:space="0" w:color="auto"/>
                    <w:right w:val="outset" w:sz="6" w:space="0" w:color="auto"/>
                  </w:tcBorders>
                  <w:vAlign w:val="center"/>
                </w:tcPr>
                <w:p w14:paraId="2688F166" w14:textId="77777777" w:rsidR="00FF0DA6" w:rsidRPr="00FF0DA6" w:rsidRDefault="00FF0DA6" w:rsidP="0089734C">
                  <w:pPr>
                    <w:rPr>
                      <w:sz w:val="20"/>
                      <w:szCs w:val="20"/>
                    </w:rPr>
                  </w:pPr>
                </w:p>
              </w:tc>
              <w:tc>
                <w:tcPr>
                  <w:tcW w:w="723" w:type="pct"/>
                  <w:tcBorders>
                    <w:top w:val="outset" w:sz="6" w:space="0" w:color="auto"/>
                    <w:left w:val="outset" w:sz="6" w:space="0" w:color="auto"/>
                    <w:bottom w:val="outset" w:sz="6" w:space="0" w:color="auto"/>
                    <w:right w:val="outset" w:sz="6" w:space="0" w:color="auto"/>
                  </w:tcBorders>
                  <w:vAlign w:val="center"/>
                </w:tcPr>
                <w:p w14:paraId="6EA19870" w14:textId="77777777" w:rsidR="00FF0DA6" w:rsidRPr="00FF0DA6" w:rsidRDefault="00FF0DA6" w:rsidP="0089734C">
                  <w:pPr>
                    <w:pStyle w:val="naisc"/>
                    <w:spacing w:before="0" w:after="0"/>
                    <w:jc w:val="left"/>
                    <w:rPr>
                      <w:sz w:val="20"/>
                      <w:szCs w:val="20"/>
                    </w:rPr>
                  </w:pPr>
                  <w:r w:rsidRPr="00FF0DA6">
                    <w:rPr>
                      <w:sz w:val="20"/>
                      <w:szCs w:val="20"/>
                    </w:rPr>
                    <w:t>&lt; 50 MW</w:t>
                  </w:r>
                </w:p>
              </w:tc>
              <w:tc>
                <w:tcPr>
                  <w:tcW w:w="950" w:type="pct"/>
                  <w:tcBorders>
                    <w:top w:val="outset" w:sz="6" w:space="0" w:color="auto"/>
                    <w:left w:val="outset" w:sz="6" w:space="0" w:color="auto"/>
                    <w:bottom w:val="outset" w:sz="6" w:space="0" w:color="auto"/>
                    <w:right w:val="outset" w:sz="6" w:space="0" w:color="auto"/>
                  </w:tcBorders>
                  <w:vAlign w:val="center"/>
                </w:tcPr>
                <w:p w14:paraId="4861FE58" w14:textId="77777777" w:rsidR="00FF0DA6" w:rsidRPr="00FF0DA6" w:rsidRDefault="00FF0DA6" w:rsidP="0089734C">
                  <w:pPr>
                    <w:pStyle w:val="naisc"/>
                    <w:spacing w:before="0" w:after="0"/>
                    <w:jc w:val="left"/>
                    <w:rPr>
                      <w:sz w:val="20"/>
                      <w:szCs w:val="20"/>
                    </w:rPr>
                  </w:pPr>
                  <w:r w:rsidRPr="00FF0DA6">
                    <w:rPr>
                      <w:sz w:val="20"/>
                      <w:szCs w:val="20"/>
                    </w:rPr>
                    <w:t>50–100 MW</w:t>
                  </w:r>
                </w:p>
              </w:tc>
              <w:tc>
                <w:tcPr>
                  <w:tcW w:w="1092" w:type="pct"/>
                  <w:tcBorders>
                    <w:top w:val="outset" w:sz="6" w:space="0" w:color="auto"/>
                    <w:left w:val="outset" w:sz="6" w:space="0" w:color="auto"/>
                    <w:bottom w:val="outset" w:sz="6" w:space="0" w:color="auto"/>
                    <w:right w:val="outset" w:sz="6" w:space="0" w:color="auto"/>
                  </w:tcBorders>
                  <w:vAlign w:val="center"/>
                </w:tcPr>
                <w:p w14:paraId="726740F8" w14:textId="77777777" w:rsidR="00FF0DA6" w:rsidRPr="00FF0DA6" w:rsidRDefault="00FF0DA6" w:rsidP="0089734C">
                  <w:pPr>
                    <w:pStyle w:val="naisc"/>
                    <w:spacing w:before="0" w:after="0"/>
                    <w:jc w:val="left"/>
                    <w:rPr>
                      <w:sz w:val="20"/>
                      <w:szCs w:val="20"/>
                    </w:rPr>
                  </w:pPr>
                  <w:r w:rsidRPr="00FF0DA6">
                    <w:rPr>
                      <w:sz w:val="20"/>
                      <w:szCs w:val="20"/>
                    </w:rPr>
                    <w:t>100–300 MW</w:t>
                  </w:r>
                </w:p>
              </w:tc>
              <w:tc>
                <w:tcPr>
                  <w:tcW w:w="915" w:type="pct"/>
                  <w:tcBorders>
                    <w:top w:val="outset" w:sz="6" w:space="0" w:color="auto"/>
                    <w:left w:val="outset" w:sz="6" w:space="0" w:color="auto"/>
                    <w:bottom w:val="outset" w:sz="6" w:space="0" w:color="auto"/>
                    <w:right w:val="outset" w:sz="6" w:space="0" w:color="auto"/>
                  </w:tcBorders>
                  <w:vAlign w:val="center"/>
                </w:tcPr>
                <w:p w14:paraId="7E346379" w14:textId="77777777" w:rsidR="00FF0DA6" w:rsidRPr="00FF0DA6" w:rsidRDefault="00FF0DA6" w:rsidP="0089734C">
                  <w:pPr>
                    <w:pStyle w:val="naisc"/>
                    <w:spacing w:before="0" w:after="0"/>
                    <w:jc w:val="left"/>
                    <w:rPr>
                      <w:sz w:val="20"/>
                      <w:szCs w:val="20"/>
                    </w:rPr>
                  </w:pPr>
                  <w:r w:rsidRPr="00FF0DA6">
                    <w:rPr>
                      <w:sz w:val="20"/>
                      <w:szCs w:val="20"/>
                    </w:rPr>
                    <w:t>&gt; 300 MW</w:t>
                  </w:r>
                </w:p>
              </w:tc>
            </w:tr>
            <w:tr w:rsidR="00FF0DA6" w:rsidRPr="00FF0DA6" w14:paraId="21EE18C6" w14:textId="77777777" w:rsidTr="00962AD0">
              <w:tc>
                <w:tcPr>
                  <w:tcW w:w="452" w:type="pct"/>
                  <w:tcBorders>
                    <w:top w:val="outset" w:sz="6" w:space="0" w:color="auto"/>
                    <w:left w:val="outset" w:sz="6" w:space="0" w:color="auto"/>
                    <w:bottom w:val="outset" w:sz="6" w:space="0" w:color="auto"/>
                    <w:right w:val="outset" w:sz="6" w:space="0" w:color="auto"/>
                  </w:tcBorders>
                </w:tcPr>
                <w:p w14:paraId="37227A92" w14:textId="77777777" w:rsidR="00FF0DA6" w:rsidRPr="00FF0DA6" w:rsidRDefault="00FF0DA6" w:rsidP="0089734C">
                  <w:pPr>
                    <w:pStyle w:val="naislab"/>
                    <w:spacing w:before="0" w:after="0"/>
                    <w:ind w:firstLine="8"/>
                    <w:jc w:val="left"/>
                    <w:rPr>
                      <w:sz w:val="20"/>
                      <w:szCs w:val="20"/>
                    </w:rPr>
                  </w:pPr>
                  <w:r w:rsidRPr="00FF0DA6">
                    <w:rPr>
                      <w:sz w:val="20"/>
                      <w:szCs w:val="20"/>
                    </w:rPr>
                    <w:t>1.</w:t>
                  </w:r>
                </w:p>
              </w:tc>
              <w:tc>
                <w:tcPr>
                  <w:tcW w:w="869" w:type="pct"/>
                  <w:tcBorders>
                    <w:top w:val="outset" w:sz="6" w:space="0" w:color="auto"/>
                    <w:left w:val="outset" w:sz="6" w:space="0" w:color="auto"/>
                    <w:bottom w:val="outset" w:sz="6" w:space="0" w:color="auto"/>
                    <w:right w:val="outset" w:sz="6" w:space="0" w:color="auto"/>
                  </w:tcBorders>
                </w:tcPr>
                <w:p w14:paraId="40C50C81" w14:textId="77777777" w:rsidR="00FF0DA6" w:rsidRPr="00FF0DA6" w:rsidRDefault="00FF0DA6" w:rsidP="0089734C">
                  <w:pPr>
                    <w:pStyle w:val="NormalWeb"/>
                    <w:spacing w:before="0" w:after="0"/>
                    <w:ind w:left="116"/>
                    <w:rPr>
                      <w:sz w:val="20"/>
                      <w:szCs w:val="20"/>
                      <w:vertAlign w:val="subscript"/>
                    </w:rPr>
                  </w:pPr>
                  <w:r w:rsidRPr="00FF0DA6">
                    <w:rPr>
                      <w:sz w:val="20"/>
                      <w:szCs w:val="20"/>
                    </w:rPr>
                    <w:t>SO</w:t>
                  </w:r>
                  <w:r w:rsidRPr="00FF0DA6">
                    <w:rPr>
                      <w:sz w:val="20"/>
                      <w:szCs w:val="20"/>
                      <w:vertAlign w:val="subscript"/>
                    </w:rPr>
                    <w:t>2</w:t>
                  </w:r>
                </w:p>
              </w:tc>
              <w:tc>
                <w:tcPr>
                  <w:tcW w:w="723" w:type="pct"/>
                  <w:tcBorders>
                    <w:top w:val="outset" w:sz="6" w:space="0" w:color="auto"/>
                    <w:left w:val="outset" w:sz="6" w:space="0" w:color="auto"/>
                    <w:bottom w:val="outset" w:sz="6" w:space="0" w:color="auto"/>
                    <w:right w:val="outset" w:sz="6" w:space="0" w:color="auto"/>
                  </w:tcBorders>
                </w:tcPr>
                <w:p w14:paraId="627D860E" w14:textId="77777777" w:rsidR="00FF0DA6" w:rsidRPr="00FF0DA6" w:rsidRDefault="00FF0DA6" w:rsidP="0089734C">
                  <w:pPr>
                    <w:pStyle w:val="naisc"/>
                    <w:spacing w:before="0" w:after="0"/>
                    <w:ind w:firstLine="28"/>
                    <w:jc w:val="left"/>
                    <w:rPr>
                      <w:sz w:val="20"/>
                      <w:szCs w:val="20"/>
                    </w:rPr>
                  </w:pPr>
                  <w:r w:rsidRPr="00FF0DA6">
                    <w:rPr>
                      <w:sz w:val="20"/>
                      <w:szCs w:val="20"/>
                    </w:rPr>
                    <w:t>-</w:t>
                  </w:r>
                </w:p>
              </w:tc>
              <w:tc>
                <w:tcPr>
                  <w:tcW w:w="950" w:type="pct"/>
                  <w:tcBorders>
                    <w:top w:val="outset" w:sz="6" w:space="0" w:color="auto"/>
                    <w:left w:val="outset" w:sz="6" w:space="0" w:color="auto"/>
                    <w:bottom w:val="outset" w:sz="6" w:space="0" w:color="auto"/>
                    <w:right w:val="outset" w:sz="6" w:space="0" w:color="auto"/>
                  </w:tcBorders>
                </w:tcPr>
                <w:p w14:paraId="048CB516" w14:textId="77777777" w:rsidR="00FF0DA6" w:rsidRPr="00FF0DA6" w:rsidRDefault="00FF0DA6" w:rsidP="0089734C">
                  <w:pPr>
                    <w:pStyle w:val="naisc"/>
                    <w:spacing w:before="0" w:after="0"/>
                    <w:ind w:left="118"/>
                    <w:jc w:val="left"/>
                    <w:rPr>
                      <w:sz w:val="20"/>
                      <w:szCs w:val="20"/>
                      <w:vertAlign w:val="superscript"/>
                    </w:rPr>
                  </w:pPr>
                  <w:r w:rsidRPr="00FF0DA6">
                    <w:rPr>
                      <w:sz w:val="20"/>
                      <w:szCs w:val="20"/>
                    </w:rPr>
                    <w:t>400 mg/m</w:t>
                  </w:r>
                  <w:r w:rsidRPr="00FF0DA6">
                    <w:rPr>
                      <w:sz w:val="20"/>
                      <w:szCs w:val="20"/>
                      <w:vertAlign w:val="superscript"/>
                    </w:rPr>
                    <w:t>3</w:t>
                  </w:r>
                </w:p>
                <w:p w14:paraId="250BB2FC" w14:textId="77777777" w:rsidR="00FF0DA6" w:rsidRPr="00FF0DA6" w:rsidRDefault="00FF0DA6" w:rsidP="0089734C">
                  <w:pPr>
                    <w:pStyle w:val="naisc"/>
                    <w:spacing w:before="0" w:after="0"/>
                    <w:ind w:left="118"/>
                    <w:jc w:val="left"/>
                    <w:rPr>
                      <w:sz w:val="20"/>
                      <w:szCs w:val="20"/>
                      <w:vertAlign w:val="superscript"/>
                    </w:rPr>
                  </w:pPr>
                </w:p>
                <w:p w14:paraId="4CDE248B" w14:textId="77777777" w:rsidR="00FF0DA6" w:rsidRPr="00FF0DA6" w:rsidRDefault="00FF0DA6" w:rsidP="0089734C">
                  <w:pPr>
                    <w:pStyle w:val="naisc"/>
                    <w:spacing w:before="0" w:after="0"/>
                    <w:jc w:val="left"/>
                    <w:rPr>
                      <w:sz w:val="20"/>
                      <w:szCs w:val="20"/>
                    </w:rPr>
                  </w:pPr>
                  <w:r w:rsidRPr="00FF0DA6">
                    <w:rPr>
                      <w:sz w:val="20"/>
                      <w:szCs w:val="20"/>
                    </w:rPr>
                    <w:t>Kūdrai: 300 mg/m</w:t>
                  </w:r>
                  <w:r w:rsidRPr="00FF0DA6">
                    <w:rPr>
                      <w:sz w:val="20"/>
                      <w:szCs w:val="20"/>
                      <w:vertAlign w:val="superscript"/>
                    </w:rPr>
                    <w:t>3</w:t>
                  </w:r>
                </w:p>
              </w:tc>
              <w:tc>
                <w:tcPr>
                  <w:tcW w:w="1092" w:type="pct"/>
                  <w:tcBorders>
                    <w:top w:val="outset" w:sz="6" w:space="0" w:color="auto"/>
                    <w:left w:val="outset" w:sz="6" w:space="0" w:color="auto"/>
                    <w:bottom w:val="outset" w:sz="6" w:space="0" w:color="auto"/>
                    <w:right w:val="outset" w:sz="6" w:space="0" w:color="auto"/>
                  </w:tcBorders>
                </w:tcPr>
                <w:p w14:paraId="012CCEC7" w14:textId="77777777" w:rsidR="00FF0DA6" w:rsidRPr="00FF0DA6" w:rsidRDefault="00FF0DA6" w:rsidP="0089734C">
                  <w:pPr>
                    <w:pStyle w:val="naisc"/>
                    <w:spacing w:before="0" w:after="0"/>
                    <w:ind w:left="129" w:firstLine="1"/>
                    <w:jc w:val="left"/>
                    <w:rPr>
                      <w:sz w:val="20"/>
                      <w:szCs w:val="20"/>
                      <w:vertAlign w:val="superscript"/>
                    </w:rPr>
                  </w:pPr>
                  <w:r w:rsidRPr="00FF0DA6">
                    <w:rPr>
                      <w:sz w:val="20"/>
                      <w:szCs w:val="20"/>
                    </w:rPr>
                    <w:t>200 mg/m</w:t>
                  </w:r>
                  <w:r w:rsidRPr="00FF0DA6">
                    <w:rPr>
                      <w:sz w:val="20"/>
                      <w:szCs w:val="20"/>
                      <w:vertAlign w:val="superscript"/>
                    </w:rPr>
                    <w:t>3</w:t>
                  </w:r>
                </w:p>
                <w:p w14:paraId="2F055973" w14:textId="77777777" w:rsidR="00FF0DA6" w:rsidRPr="00FF0DA6" w:rsidRDefault="00FF0DA6" w:rsidP="0089734C">
                  <w:pPr>
                    <w:pStyle w:val="naisc"/>
                    <w:spacing w:before="0" w:after="0"/>
                    <w:ind w:left="129" w:firstLine="1"/>
                    <w:jc w:val="left"/>
                    <w:rPr>
                      <w:sz w:val="20"/>
                      <w:szCs w:val="20"/>
                      <w:vertAlign w:val="superscript"/>
                    </w:rPr>
                  </w:pPr>
                </w:p>
                <w:p w14:paraId="7B454A3F" w14:textId="77777777" w:rsidR="00FF0DA6" w:rsidRPr="00FF0DA6" w:rsidRDefault="00FF0DA6" w:rsidP="0089734C">
                  <w:pPr>
                    <w:pStyle w:val="naisc"/>
                    <w:spacing w:before="0" w:after="0"/>
                    <w:ind w:left="129" w:firstLine="1"/>
                    <w:jc w:val="left"/>
                    <w:rPr>
                      <w:sz w:val="20"/>
                      <w:szCs w:val="20"/>
                    </w:rPr>
                  </w:pPr>
                  <w:r w:rsidRPr="00FF0DA6">
                    <w:rPr>
                      <w:sz w:val="20"/>
                      <w:szCs w:val="20"/>
                    </w:rPr>
                    <w:t>Kūdrai: 300 mg/m</w:t>
                  </w:r>
                  <w:r w:rsidRPr="00FF0DA6">
                    <w:rPr>
                      <w:sz w:val="20"/>
                      <w:szCs w:val="20"/>
                      <w:vertAlign w:val="superscript"/>
                    </w:rPr>
                    <w:t>3</w:t>
                  </w:r>
                  <w:r w:rsidRPr="00FF0DA6">
                    <w:rPr>
                      <w:sz w:val="20"/>
                      <w:szCs w:val="20"/>
                    </w:rPr>
                    <w:t>,</w:t>
                  </w:r>
                </w:p>
                <w:p w14:paraId="2C3E4471" w14:textId="77777777" w:rsidR="00FF0DA6" w:rsidRPr="00FF0DA6" w:rsidRDefault="00FF0DA6" w:rsidP="0089734C">
                  <w:pPr>
                    <w:pStyle w:val="naisc"/>
                    <w:spacing w:before="0" w:after="0"/>
                    <w:ind w:left="129" w:firstLine="1"/>
                    <w:jc w:val="left"/>
                    <w:rPr>
                      <w:sz w:val="20"/>
                      <w:szCs w:val="20"/>
                      <w:vertAlign w:val="superscript"/>
                    </w:rPr>
                  </w:pPr>
                  <w:r w:rsidRPr="00FF0DA6">
                    <w:rPr>
                      <w:sz w:val="20"/>
                      <w:szCs w:val="20"/>
                    </w:rPr>
                    <w:t>Izņemot sadedzināšanu verdošajā slānī: 250 mg/m</w:t>
                  </w:r>
                  <w:r w:rsidRPr="00FF0DA6">
                    <w:rPr>
                      <w:sz w:val="20"/>
                      <w:szCs w:val="20"/>
                      <w:vertAlign w:val="superscript"/>
                    </w:rPr>
                    <w:t>3</w:t>
                  </w:r>
                </w:p>
                <w:p w14:paraId="6BD47458" w14:textId="77777777" w:rsidR="00FF0DA6" w:rsidRPr="00FF0DA6" w:rsidRDefault="00FF0DA6" w:rsidP="0089734C">
                  <w:pPr>
                    <w:pStyle w:val="naisc"/>
                    <w:spacing w:before="0" w:after="0"/>
                    <w:ind w:left="129" w:firstLine="1"/>
                    <w:jc w:val="left"/>
                    <w:rPr>
                      <w:sz w:val="20"/>
                      <w:szCs w:val="20"/>
                    </w:rPr>
                  </w:pPr>
                </w:p>
              </w:tc>
              <w:tc>
                <w:tcPr>
                  <w:tcW w:w="915" w:type="pct"/>
                  <w:tcBorders>
                    <w:top w:val="outset" w:sz="6" w:space="0" w:color="auto"/>
                    <w:left w:val="outset" w:sz="6" w:space="0" w:color="auto"/>
                    <w:bottom w:val="outset" w:sz="6" w:space="0" w:color="auto"/>
                    <w:right w:val="outset" w:sz="6" w:space="0" w:color="auto"/>
                  </w:tcBorders>
                </w:tcPr>
                <w:p w14:paraId="5080573E" w14:textId="77777777" w:rsidR="00FF0DA6" w:rsidRPr="00FF0DA6" w:rsidRDefault="00FF0DA6" w:rsidP="0089734C">
                  <w:pPr>
                    <w:pStyle w:val="naisc"/>
                    <w:spacing w:before="0" w:after="0"/>
                    <w:ind w:left="113" w:firstLine="2"/>
                    <w:jc w:val="left"/>
                    <w:rPr>
                      <w:sz w:val="20"/>
                      <w:szCs w:val="20"/>
                      <w:vertAlign w:val="superscript"/>
                    </w:rPr>
                  </w:pPr>
                  <w:r w:rsidRPr="00FF0DA6">
                    <w:rPr>
                      <w:sz w:val="20"/>
                      <w:szCs w:val="20"/>
                    </w:rPr>
                    <w:t>150 mg/m</w:t>
                  </w:r>
                  <w:r w:rsidRPr="00FF0DA6">
                    <w:rPr>
                      <w:sz w:val="20"/>
                      <w:szCs w:val="20"/>
                      <w:vertAlign w:val="superscript"/>
                    </w:rPr>
                    <w:t>3</w:t>
                  </w:r>
                </w:p>
                <w:p w14:paraId="669FC85A" w14:textId="77777777" w:rsidR="00FF0DA6" w:rsidRPr="00FF0DA6" w:rsidRDefault="00FF0DA6" w:rsidP="0089734C">
                  <w:pPr>
                    <w:pStyle w:val="naisc"/>
                    <w:spacing w:before="0" w:after="0"/>
                    <w:ind w:left="129" w:firstLine="1"/>
                    <w:jc w:val="left"/>
                    <w:rPr>
                      <w:sz w:val="20"/>
                      <w:szCs w:val="20"/>
                      <w:vertAlign w:val="superscript"/>
                    </w:rPr>
                  </w:pPr>
                  <w:r w:rsidRPr="00FF0DA6">
                    <w:rPr>
                      <w:sz w:val="20"/>
                      <w:szCs w:val="20"/>
                    </w:rPr>
                    <w:t xml:space="preserve">Cirkulācijas vai verdošā slāņa sadedzināšanas iekārtas ar papildus gaisa </w:t>
                  </w:r>
                  <w:r w:rsidRPr="00FF0DA6">
                    <w:rPr>
                      <w:sz w:val="20"/>
                      <w:szCs w:val="20"/>
                    </w:rPr>
                    <w:lastRenderedPageBreak/>
                    <w:t>padevi, vai, kurinot ar kūdru, visu veidu dedzināšanai verdošā slānī: 200 mg/m</w:t>
                  </w:r>
                  <w:r w:rsidRPr="00FF0DA6">
                    <w:rPr>
                      <w:sz w:val="20"/>
                      <w:szCs w:val="20"/>
                      <w:vertAlign w:val="superscript"/>
                    </w:rPr>
                    <w:t>3</w:t>
                  </w:r>
                </w:p>
                <w:p w14:paraId="1AD614F1" w14:textId="77777777" w:rsidR="00FF0DA6" w:rsidRPr="00FF0DA6" w:rsidRDefault="00FF0DA6" w:rsidP="0089734C">
                  <w:pPr>
                    <w:pStyle w:val="naisc"/>
                    <w:spacing w:before="0" w:after="0"/>
                    <w:ind w:left="113" w:firstLine="2"/>
                    <w:jc w:val="left"/>
                    <w:rPr>
                      <w:sz w:val="20"/>
                      <w:szCs w:val="20"/>
                    </w:rPr>
                  </w:pPr>
                </w:p>
              </w:tc>
            </w:tr>
            <w:tr w:rsidR="00FF0DA6" w:rsidRPr="00FF0DA6" w14:paraId="46FBC5CC" w14:textId="77777777" w:rsidTr="00962AD0">
              <w:tc>
                <w:tcPr>
                  <w:tcW w:w="452" w:type="pct"/>
                  <w:tcBorders>
                    <w:top w:val="outset" w:sz="6" w:space="0" w:color="auto"/>
                    <w:left w:val="outset" w:sz="6" w:space="0" w:color="auto"/>
                    <w:bottom w:val="outset" w:sz="6" w:space="0" w:color="auto"/>
                    <w:right w:val="outset" w:sz="6" w:space="0" w:color="auto"/>
                  </w:tcBorders>
                </w:tcPr>
                <w:p w14:paraId="463938C0" w14:textId="77777777" w:rsidR="00FF0DA6" w:rsidRPr="00FF0DA6" w:rsidRDefault="00FF0DA6" w:rsidP="0089734C">
                  <w:pPr>
                    <w:pStyle w:val="naislab"/>
                    <w:spacing w:before="0" w:after="0"/>
                    <w:ind w:firstLine="8"/>
                    <w:jc w:val="left"/>
                    <w:rPr>
                      <w:sz w:val="20"/>
                      <w:szCs w:val="20"/>
                    </w:rPr>
                  </w:pPr>
                  <w:r w:rsidRPr="00FF0DA6">
                    <w:rPr>
                      <w:sz w:val="20"/>
                      <w:szCs w:val="20"/>
                    </w:rPr>
                    <w:lastRenderedPageBreak/>
                    <w:t>2.</w:t>
                  </w:r>
                </w:p>
              </w:tc>
              <w:tc>
                <w:tcPr>
                  <w:tcW w:w="869" w:type="pct"/>
                  <w:tcBorders>
                    <w:top w:val="outset" w:sz="6" w:space="0" w:color="auto"/>
                    <w:left w:val="outset" w:sz="6" w:space="0" w:color="auto"/>
                    <w:bottom w:val="outset" w:sz="6" w:space="0" w:color="auto"/>
                    <w:right w:val="outset" w:sz="6" w:space="0" w:color="auto"/>
                  </w:tcBorders>
                </w:tcPr>
                <w:p w14:paraId="1C42E8E8" w14:textId="77777777" w:rsidR="00FF0DA6" w:rsidRPr="00FF0DA6" w:rsidRDefault="00FF0DA6" w:rsidP="0089734C">
                  <w:pPr>
                    <w:pStyle w:val="NormalWeb"/>
                    <w:spacing w:before="0" w:after="0"/>
                    <w:ind w:left="116"/>
                    <w:rPr>
                      <w:sz w:val="20"/>
                      <w:szCs w:val="20"/>
                    </w:rPr>
                  </w:pPr>
                  <w:r w:rsidRPr="00FF0DA6">
                    <w:rPr>
                      <w:sz w:val="20"/>
                      <w:szCs w:val="20"/>
                    </w:rPr>
                    <w:t>NO</w:t>
                  </w:r>
                  <w:r w:rsidRPr="00FF0DA6">
                    <w:rPr>
                      <w:sz w:val="20"/>
                      <w:szCs w:val="20"/>
                      <w:vertAlign w:val="subscript"/>
                    </w:rPr>
                    <w:t>X</w:t>
                  </w:r>
                </w:p>
              </w:tc>
              <w:tc>
                <w:tcPr>
                  <w:tcW w:w="723" w:type="pct"/>
                  <w:tcBorders>
                    <w:top w:val="outset" w:sz="6" w:space="0" w:color="auto"/>
                    <w:left w:val="outset" w:sz="6" w:space="0" w:color="auto"/>
                    <w:bottom w:val="outset" w:sz="6" w:space="0" w:color="auto"/>
                    <w:right w:val="outset" w:sz="6" w:space="0" w:color="auto"/>
                  </w:tcBorders>
                </w:tcPr>
                <w:p w14:paraId="4DEDC6E0" w14:textId="77777777" w:rsidR="00FF0DA6" w:rsidRPr="00FF0DA6" w:rsidRDefault="00FF0DA6" w:rsidP="0089734C">
                  <w:pPr>
                    <w:pStyle w:val="naisc"/>
                    <w:spacing w:before="0" w:after="0"/>
                    <w:ind w:firstLine="28"/>
                    <w:jc w:val="left"/>
                    <w:rPr>
                      <w:sz w:val="20"/>
                      <w:szCs w:val="20"/>
                    </w:rPr>
                  </w:pPr>
                  <w:r w:rsidRPr="00FF0DA6">
                    <w:rPr>
                      <w:sz w:val="20"/>
                      <w:szCs w:val="20"/>
                    </w:rPr>
                    <w:t>-</w:t>
                  </w:r>
                </w:p>
              </w:tc>
              <w:tc>
                <w:tcPr>
                  <w:tcW w:w="950" w:type="pct"/>
                  <w:tcBorders>
                    <w:top w:val="outset" w:sz="6" w:space="0" w:color="auto"/>
                    <w:left w:val="outset" w:sz="6" w:space="0" w:color="auto"/>
                    <w:bottom w:val="outset" w:sz="6" w:space="0" w:color="auto"/>
                    <w:right w:val="outset" w:sz="6" w:space="0" w:color="auto"/>
                  </w:tcBorders>
                </w:tcPr>
                <w:p w14:paraId="35F35ADD" w14:textId="77777777" w:rsidR="00FF0DA6" w:rsidRPr="00FF0DA6" w:rsidRDefault="00FF0DA6" w:rsidP="0089734C">
                  <w:pPr>
                    <w:pStyle w:val="naisc"/>
                    <w:spacing w:before="0" w:after="0"/>
                    <w:ind w:left="118"/>
                    <w:jc w:val="left"/>
                    <w:rPr>
                      <w:sz w:val="20"/>
                      <w:szCs w:val="20"/>
                    </w:rPr>
                  </w:pPr>
                  <w:r w:rsidRPr="00FF0DA6">
                    <w:rPr>
                      <w:sz w:val="20"/>
                      <w:szCs w:val="20"/>
                    </w:rPr>
                    <w:t>300 mg/m</w:t>
                  </w:r>
                  <w:r w:rsidRPr="00FF0DA6">
                    <w:rPr>
                      <w:sz w:val="20"/>
                      <w:szCs w:val="20"/>
                      <w:vertAlign w:val="superscript"/>
                    </w:rPr>
                    <w:t>3</w:t>
                  </w:r>
                </w:p>
                <w:p w14:paraId="53F1A1CE" w14:textId="77777777" w:rsidR="00FF0DA6" w:rsidRPr="00FF0DA6" w:rsidRDefault="00FF0DA6" w:rsidP="0089734C">
                  <w:pPr>
                    <w:pStyle w:val="naisc"/>
                    <w:spacing w:before="0" w:after="0"/>
                    <w:ind w:left="118"/>
                    <w:jc w:val="left"/>
                    <w:rPr>
                      <w:sz w:val="20"/>
                      <w:szCs w:val="20"/>
                    </w:rPr>
                  </w:pPr>
                  <w:r w:rsidRPr="00FF0DA6">
                    <w:rPr>
                      <w:sz w:val="20"/>
                      <w:szCs w:val="20"/>
                    </w:rPr>
                    <w:t>Kūdrai: 250 mg/m</w:t>
                  </w:r>
                  <w:r w:rsidRPr="00FF0DA6">
                    <w:rPr>
                      <w:sz w:val="20"/>
                      <w:szCs w:val="20"/>
                      <w:vertAlign w:val="superscript"/>
                    </w:rPr>
                    <w:t>3</w:t>
                  </w:r>
                </w:p>
              </w:tc>
              <w:tc>
                <w:tcPr>
                  <w:tcW w:w="1092" w:type="pct"/>
                  <w:tcBorders>
                    <w:top w:val="outset" w:sz="6" w:space="0" w:color="auto"/>
                    <w:left w:val="outset" w:sz="6" w:space="0" w:color="auto"/>
                    <w:bottom w:val="outset" w:sz="6" w:space="0" w:color="auto"/>
                    <w:right w:val="outset" w:sz="6" w:space="0" w:color="auto"/>
                  </w:tcBorders>
                </w:tcPr>
                <w:p w14:paraId="77D94DA6" w14:textId="77777777" w:rsidR="00FF0DA6" w:rsidRPr="00FF0DA6" w:rsidRDefault="00FF0DA6" w:rsidP="0089734C">
                  <w:pPr>
                    <w:pStyle w:val="naisc"/>
                    <w:spacing w:before="0" w:after="0"/>
                    <w:ind w:left="129" w:firstLine="1"/>
                    <w:jc w:val="left"/>
                    <w:rPr>
                      <w:sz w:val="20"/>
                      <w:szCs w:val="20"/>
                    </w:rPr>
                  </w:pPr>
                  <w:r w:rsidRPr="00FF0DA6">
                    <w:rPr>
                      <w:sz w:val="20"/>
                      <w:szCs w:val="20"/>
                    </w:rPr>
                    <w:t>200 mg/m</w:t>
                  </w:r>
                  <w:r w:rsidRPr="00FF0DA6">
                    <w:rPr>
                      <w:sz w:val="20"/>
                      <w:szCs w:val="20"/>
                      <w:vertAlign w:val="superscript"/>
                    </w:rPr>
                    <w:t>3</w:t>
                  </w:r>
                </w:p>
              </w:tc>
              <w:tc>
                <w:tcPr>
                  <w:tcW w:w="915" w:type="pct"/>
                  <w:tcBorders>
                    <w:top w:val="outset" w:sz="6" w:space="0" w:color="auto"/>
                    <w:left w:val="outset" w:sz="6" w:space="0" w:color="auto"/>
                    <w:bottom w:val="outset" w:sz="6" w:space="0" w:color="auto"/>
                    <w:right w:val="outset" w:sz="6" w:space="0" w:color="auto"/>
                  </w:tcBorders>
                </w:tcPr>
                <w:p w14:paraId="6684D622" w14:textId="77777777" w:rsidR="00FF0DA6" w:rsidRPr="00FF0DA6" w:rsidRDefault="00FF0DA6" w:rsidP="0089734C">
                  <w:pPr>
                    <w:pStyle w:val="naisc"/>
                    <w:spacing w:before="0" w:after="0"/>
                    <w:ind w:left="113" w:firstLine="2"/>
                    <w:jc w:val="left"/>
                    <w:rPr>
                      <w:sz w:val="20"/>
                      <w:szCs w:val="20"/>
                      <w:vertAlign w:val="superscript"/>
                    </w:rPr>
                  </w:pPr>
                  <w:r w:rsidRPr="00FF0DA6">
                    <w:rPr>
                      <w:sz w:val="20"/>
                      <w:szCs w:val="20"/>
                    </w:rPr>
                    <w:t>150 mg/m</w:t>
                  </w:r>
                  <w:r w:rsidRPr="00FF0DA6">
                    <w:rPr>
                      <w:sz w:val="20"/>
                      <w:szCs w:val="20"/>
                      <w:vertAlign w:val="superscript"/>
                    </w:rPr>
                    <w:t>3</w:t>
                  </w:r>
                </w:p>
                <w:p w14:paraId="1117C7DF" w14:textId="77777777" w:rsidR="00FF0DA6" w:rsidRPr="00FF0DA6" w:rsidRDefault="00FF0DA6" w:rsidP="0089734C">
                  <w:pPr>
                    <w:pStyle w:val="naisc"/>
                    <w:spacing w:before="0" w:after="0"/>
                    <w:ind w:left="129" w:firstLine="1"/>
                    <w:jc w:val="left"/>
                    <w:rPr>
                      <w:sz w:val="20"/>
                      <w:szCs w:val="20"/>
                      <w:vertAlign w:val="superscript"/>
                    </w:rPr>
                  </w:pPr>
                  <w:r w:rsidRPr="00FF0DA6">
                    <w:rPr>
                      <w:sz w:val="20"/>
                      <w:szCs w:val="20"/>
                    </w:rPr>
                    <w:t>Putekļveida lignītam: 200 mg/m</w:t>
                  </w:r>
                  <w:r w:rsidRPr="00FF0DA6">
                    <w:rPr>
                      <w:sz w:val="20"/>
                      <w:szCs w:val="20"/>
                      <w:vertAlign w:val="superscript"/>
                    </w:rPr>
                    <w:t>3</w:t>
                  </w:r>
                </w:p>
                <w:p w14:paraId="585B709B" w14:textId="77777777" w:rsidR="00FF0DA6" w:rsidRPr="00FF0DA6" w:rsidRDefault="00FF0DA6" w:rsidP="0089734C">
                  <w:pPr>
                    <w:pStyle w:val="naisc"/>
                    <w:spacing w:before="0" w:after="0"/>
                    <w:ind w:left="113" w:firstLine="2"/>
                    <w:jc w:val="left"/>
                    <w:rPr>
                      <w:sz w:val="20"/>
                      <w:szCs w:val="20"/>
                    </w:rPr>
                  </w:pPr>
                </w:p>
              </w:tc>
            </w:tr>
            <w:tr w:rsidR="00FF0DA6" w:rsidRPr="00FF0DA6" w14:paraId="5B6E63D7" w14:textId="77777777" w:rsidTr="00962AD0">
              <w:tc>
                <w:tcPr>
                  <w:tcW w:w="452" w:type="pct"/>
                  <w:tcBorders>
                    <w:top w:val="outset" w:sz="6" w:space="0" w:color="auto"/>
                    <w:left w:val="outset" w:sz="6" w:space="0" w:color="auto"/>
                    <w:bottom w:val="outset" w:sz="6" w:space="0" w:color="auto"/>
                    <w:right w:val="outset" w:sz="6" w:space="0" w:color="auto"/>
                  </w:tcBorders>
                </w:tcPr>
                <w:p w14:paraId="43DFF4A2" w14:textId="77777777" w:rsidR="00FF0DA6" w:rsidRPr="00FD492E" w:rsidRDefault="00FF0DA6" w:rsidP="0089734C">
                  <w:pPr>
                    <w:pStyle w:val="naislab"/>
                    <w:spacing w:before="0" w:after="0"/>
                    <w:ind w:firstLine="8"/>
                    <w:jc w:val="left"/>
                    <w:rPr>
                      <w:sz w:val="28"/>
                      <w:szCs w:val="28"/>
                    </w:rPr>
                  </w:pPr>
                  <w:r w:rsidRPr="00FF0DA6">
                    <w:rPr>
                      <w:sz w:val="20"/>
                      <w:szCs w:val="20"/>
                    </w:rPr>
                    <w:lastRenderedPageBreak/>
                    <w:t>3.</w:t>
                  </w:r>
                </w:p>
              </w:tc>
              <w:tc>
                <w:tcPr>
                  <w:tcW w:w="869" w:type="pct"/>
                  <w:tcBorders>
                    <w:top w:val="outset" w:sz="6" w:space="0" w:color="auto"/>
                    <w:left w:val="outset" w:sz="6" w:space="0" w:color="auto"/>
                    <w:bottom w:val="outset" w:sz="6" w:space="0" w:color="auto"/>
                    <w:right w:val="outset" w:sz="6" w:space="0" w:color="auto"/>
                  </w:tcBorders>
                </w:tcPr>
                <w:p w14:paraId="01B8B64F" w14:textId="77777777" w:rsidR="00FF0DA6" w:rsidRPr="00FF0DA6" w:rsidRDefault="00FF0DA6" w:rsidP="0089734C">
                  <w:pPr>
                    <w:pStyle w:val="NormalWeb"/>
                    <w:spacing w:before="0" w:after="0"/>
                    <w:ind w:left="116"/>
                    <w:rPr>
                      <w:sz w:val="20"/>
                      <w:szCs w:val="20"/>
                    </w:rPr>
                  </w:pPr>
                  <w:r w:rsidRPr="00FF0DA6">
                    <w:rPr>
                      <w:sz w:val="20"/>
                      <w:szCs w:val="20"/>
                    </w:rPr>
                    <w:t>Cietās daļiņas</w:t>
                  </w:r>
                </w:p>
              </w:tc>
              <w:tc>
                <w:tcPr>
                  <w:tcW w:w="723" w:type="pct"/>
                  <w:tcBorders>
                    <w:top w:val="outset" w:sz="6" w:space="0" w:color="auto"/>
                    <w:left w:val="outset" w:sz="6" w:space="0" w:color="auto"/>
                    <w:bottom w:val="outset" w:sz="6" w:space="0" w:color="auto"/>
                    <w:right w:val="outset" w:sz="6" w:space="0" w:color="auto"/>
                  </w:tcBorders>
                </w:tcPr>
                <w:p w14:paraId="2636A4CE" w14:textId="77777777" w:rsidR="00FF0DA6" w:rsidRPr="00FF0DA6" w:rsidRDefault="00FF0DA6" w:rsidP="0089734C">
                  <w:pPr>
                    <w:pStyle w:val="naisc"/>
                    <w:spacing w:before="0" w:after="0"/>
                    <w:ind w:firstLine="28"/>
                    <w:jc w:val="left"/>
                    <w:rPr>
                      <w:sz w:val="20"/>
                      <w:szCs w:val="20"/>
                    </w:rPr>
                  </w:pPr>
                  <w:r w:rsidRPr="00FF0DA6">
                    <w:rPr>
                      <w:sz w:val="20"/>
                      <w:szCs w:val="20"/>
                    </w:rPr>
                    <w:t>50 mg/m</w:t>
                  </w:r>
                  <w:r w:rsidRPr="00FF0DA6">
                    <w:rPr>
                      <w:sz w:val="20"/>
                      <w:szCs w:val="20"/>
                      <w:vertAlign w:val="superscript"/>
                    </w:rPr>
                    <w:t>3</w:t>
                  </w:r>
                </w:p>
              </w:tc>
              <w:tc>
                <w:tcPr>
                  <w:tcW w:w="950" w:type="pct"/>
                  <w:tcBorders>
                    <w:top w:val="outset" w:sz="6" w:space="0" w:color="auto"/>
                    <w:left w:val="outset" w:sz="6" w:space="0" w:color="auto"/>
                    <w:bottom w:val="outset" w:sz="6" w:space="0" w:color="auto"/>
                    <w:right w:val="outset" w:sz="6" w:space="0" w:color="auto"/>
                  </w:tcBorders>
                </w:tcPr>
                <w:p w14:paraId="195D3DD8" w14:textId="77777777" w:rsidR="00FF0DA6" w:rsidRPr="00FF0DA6" w:rsidRDefault="00FF0DA6" w:rsidP="0089734C">
                  <w:pPr>
                    <w:pStyle w:val="naisc"/>
                    <w:spacing w:before="0" w:after="0"/>
                    <w:ind w:left="118"/>
                    <w:jc w:val="left"/>
                    <w:rPr>
                      <w:sz w:val="20"/>
                      <w:szCs w:val="20"/>
                    </w:rPr>
                  </w:pPr>
                  <w:r w:rsidRPr="00FF0DA6">
                    <w:rPr>
                      <w:sz w:val="20"/>
                      <w:szCs w:val="20"/>
                    </w:rPr>
                    <w:t>30 mg/m</w:t>
                  </w:r>
                  <w:r w:rsidRPr="00FF0DA6">
                    <w:rPr>
                      <w:sz w:val="20"/>
                      <w:szCs w:val="20"/>
                      <w:vertAlign w:val="superscript"/>
                    </w:rPr>
                    <w:t>3</w:t>
                  </w:r>
                </w:p>
              </w:tc>
              <w:tc>
                <w:tcPr>
                  <w:tcW w:w="1092" w:type="pct"/>
                  <w:tcBorders>
                    <w:top w:val="outset" w:sz="6" w:space="0" w:color="auto"/>
                    <w:left w:val="outset" w:sz="6" w:space="0" w:color="auto"/>
                    <w:bottom w:val="outset" w:sz="6" w:space="0" w:color="auto"/>
                    <w:right w:val="outset" w:sz="6" w:space="0" w:color="auto"/>
                  </w:tcBorders>
                </w:tcPr>
                <w:p w14:paraId="291A4B21" w14:textId="77777777" w:rsidR="00FF0DA6" w:rsidRPr="00FF0DA6" w:rsidRDefault="00FF0DA6" w:rsidP="0089734C">
                  <w:pPr>
                    <w:pStyle w:val="naisc"/>
                    <w:spacing w:before="0" w:after="0"/>
                    <w:ind w:left="129" w:firstLine="1"/>
                    <w:jc w:val="left"/>
                    <w:rPr>
                      <w:sz w:val="20"/>
                      <w:szCs w:val="20"/>
                    </w:rPr>
                  </w:pPr>
                  <w:r w:rsidRPr="00FF0DA6">
                    <w:rPr>
                      <w:sz w:val="20"/>
                      <w:szCs w:val="20"/>
                    </w:rPr>
                    <w:t>20 mg/m</w:t>
                  </w:r>
                  <w:r w:rsidRPr="00FF0DA6">
                    <w:rPr>
                      <w:sz w:val="20"/>
                      <w:szCs w:val="20"/>
                      <w:vertAlign w:val="superscript"/>
                    </w:rPr>
                    <w:t>3</w:t>
                  </w:r>
                </w:p>
              </w:tc>
              <w:tc>
                <w:tcPr>
                  <w:tcW w:w="915" w:type="pct"/>
                  <w:tcBorders>
                    <w:top w:val="outset" w:sz="6" w:space="0" w:color="auto"/>
                    <w:left w:val="outset" w:sz="6" w:space="0" w:color="auto"/>
                    <w:bottom w:val="outset" w:sz="6" w:space="0" w:color="auto"/>
                    <w:right w:val="outset" w:sz="6" w:space="0" w:color="auto"/>
                  </w:tcBorders>
                </w:tcPr>
                <w:p w14:paraId="70C10BA6" w14:textId="77777777" w:rsidR="00FF0DA6" w:rsidRPr="00FF0DA6" w:rsidRDefault="00FF0DA6" w:rsidP="0089734C">
                  <w:pPr>
                    <w:pStyle w:val="naisc"/>
                    <w:spacing w:before="0" w:after="0"/>
                    <w:ind w:left="113" w:firstLine="2"/>
                    <w:jc w:val="left"/>
                    <w:rPr>
                      <w:sz w:val="20"/>
                      <w:szCs w:val="20"/>
                      <w:vertAlign w:val="superscript"/>
                    </w:rPr>
                  </w:pPr>
                  <w:r w:rsidRPr="00FF0DA6">
                    <w:rPr>
                      <w:sz w:val="20"/>
                      <w:szCs w:val="20"/>
                    </w:rPr>
                    <w:t>10 mg/m</w:t>
                  </w:r>
                  <w:r w:rsidRPr="00FF0DA6">
                    <w:rPr>
                      <w:sz w:val="20"/>
                      <w:szCs w:val="20"/>
                      <w:vertAlign w:val="superscript"/>
                    </w:rPr>
                    <w:t>3</w:t>
                  </w:r>
                </w:p>
                <w:p w14:paraId="38E8D744" w14:textId="77777777" w:rsidR="00FF0DA6" w:rsidRPr="00FF0DA6" w:rsidRDefault="00FF0DA6" w:rsidP="0089734C">
                  <w:pPr>
                    <w:pStyle w:val="naisc"/>
                    <w:spacing w:before="0" w:after="0"/>
                    <w:ind w:left="129" w:firstLine="1"/>
                    <w:jc w:val="left"/>
                    <w:rPr>
                      <w:sz w:val="20"/>
                      <w:szCs w:val="20"/>
                      <w:vertAlign w:val="superscript"/>
                    </w:rPr>
                  </w:pPr>
                  <w:r w:rsidRPr="00FF0DA6">
                    <w:rPr>
                      <w:sz w:val="20"/>
                      <w:szCs w:val="20"/>
                    </w:rPr>
                    <w:t>Kūdrai: 20 mg/m</w:t>
                  </w:r>
                  <w:r w:rsidRPr="00FF0DA6">
                    <w:rPr>
                      <w:sz w:val="20"/>
                      <w:szCs w:val="20"/>
                      <w:vertAlign w:val="superscript"/>
                    </w:rPr>
                    <w:t>3</w:t>
                  </w:r>
                </w:p>
                <w:p w14:paraId="57971E33" w14:textId="77777777" w:rsidR="00FF0DA6" w:rsidRPr="00FF0DA6" w:rsidRDefault="00FF0DA6" w:rsidP="0089734C">
                  <w:pPr>
                    <w:pStyle w:val="naisc"/>
                    <w:spacing w:before="0" w:after="0"/>
                    <w:ind w:left="113" w:firstLine="2"/>
                    <w:jc w:val="left"/>
                    <w:rPr>
                      <w:sz w:val="20"/>
                      <w:szCs w:val="20"/>
                    </w:rPr>
                  </w:pPr>
                </w:p>
              </w:tc>
            </w:tr>
          </w:tbl>
          <w:p w14:paraId="21E98208" w14:textId="77777777" w:rsidR="00FF0DA6" w:rsidRPr="00CE33D2" w:rsidRDefault="00FF0DA6" w:rsidP="0089734C">
            <w:pPr>
              <w:pStyle w:val="naisc"/>
              <w:spacing w:before="0" w:after="0"/>
              <w:ind w:firstLine="12"/>
              <w:jc w:val="left"/>
              <w:rPr>
                <w:b/>
              </w:rPr>
            </w:pPr>
          </w:p>
        </w:tc>
        <w:tc>
          <w:tcPr>
            <w:tcW w:w="4536" w:type="dxa"/>
            <w:tcBorders>
              <w:top w:val="single" w:sz="6" w:space="0" w:color="000000"/>
              <w:left w:val="single" w:sz="6" w:space="0" w:color="000000"/>
              <w:bottom w:val="single" w:sz="6" w:space="0" w:color="000000"/>
              <w:right w:val="single" w:sz="6" w:space="0" w:color="000000"/>
            </w:tcBorders>
          </w:tcPr>
          <w:p w14:paraId="515BAE5C" w14:textId="77777777" w:rsidR="00FF0DA6" w:rsidRPr="0089734C" w:rsidRDefault="00FF0DA6" w:rsidP="0089734C">
            <w:pPr>
              <w:pStyle w:val="naisc"/>
              <w:spacing w:before="0" w:after="0"/>
              <w:ind w:right="3"/>
              <w:jc w:val="both"/>
              <w:rPr>
                <w:b/>
                <w:sz w:val="22"/>
                <w:szCs w:val="22"/>
              </w:rPr>
            </w:pPr>
            <w:r w:rsidRPr="0089734C">
              <w:rPr>
                <w:b/>
                <w:sz w:val="22"/>
                <w:szCs w:val="22"/>
              </w:rPr>
              <w:lastRenderedPageBreak/>
              <w:t>Tieslietu ministrija:</w:t>
            </w:r>
          </w:p>
          <w:p w14:paraId="453CF0A3" w14:textId="77777777" w:rsidR="00FF0DA6" w:rsidRPr="0089734C" w:rsidRDefault="00FF0DA6" w:rsidP="0089734C">
            <w:pPr>
              <w:ind w:right="12" w:firstLine="567"/>
              <w:jc w:val="both"/>
            </w:pPr>
            <w:r w:rsidRPr="0089734C">
              <w:t>treškārt, direktīvas Nr. 2010/75/ES VI pielikuma 3.2.2. apakšpunktā noteiktas atšķirīgas prasības iepretim noteikumu projekta 24. punktā, ar kuru noteikumu cita starpā papildināti ar 3.</w:t>
            </w:r>
            <w:r w:rsidRPr="0089734C">
              <w:rPr>
                <w:vertAlign w:val="superscript"/>
              </w:rPr>
              <w:t>4</w:t>
            </w:r>
            <w:r w:rsidRPr="0089734C">
              <w:t> tabulu, noteiktajām:</w:t>
            </w:r>
          </w:p>
          <w:p w14:paraId="4DE888A9" w14:textId="77777777" w:rsidR="00FF0DA6" w:rsidRPr="0089734C" w:rsidRDefault="00FF0DA6" w:rsidP="0089734C">
            <w:pPr>
              <w:ind w:right="12" w:firstLine="567"/>
              <w:jc w:val="both"/>
            </w:pPr>
            <w:r w:rsidRPr="0089734C">
              <w:t>1) SO</w:t>
            </w:r>
            <w:r w:rsidRPr="0089734C">
              <w:rPr>
                <w:vertAlign w:val="subscript"/>
              </w:rPr>
              <w:t xml:space="preserve">2 </w:t>
            </w:r>
            <w:r w:rsidRPr="0089734C">
              <w:t>pie nominālās siltumjaudas &gt;300 MW emisijas robežvērtība 200 mg/m</w:t>
            </w:r>
            <w:r w:rsidRPr="0089734C">
              <w:rPr>
                <w:vertAlign w:val="superscript"/>
              </w:rPr>
              <w:t>3</w:t>
            </w:r>
            <w:r w:rsidRPr="0089734C">
              <w:t xml:space="preserve"> ir gadījumos, ja cirkulācijas vai verdošā slāņa sadedzināšanas iekārtas ar </w:t>
            </w:r>
            <w:r w:rsidRPr="0089734C">
              <w:rPr>
                <w:u w:val="single"/>
              </w:rPr>
              <w:t>papildu</w:t>
            </w:r>
            <w:r w:rsidRPr="0089734C">
              <w:t xml:space="preserve"> gaisa padevi vai, kurinot ar visu kūdru, visu veidu dedzināšanai verdošā slānī. Proti, vēršam uzmanību, ka noteikumu projektā nepieciešams vārdu "papildus" aizstāt ar vārdu "papildu", ņemot vērā, ka vārds "papildu" ir attiecināms uz lietvārdu – konkrētajā gadījumā "gaisa padevi", savukārt vārds "papildus" ir attiecināms uz darbības vārdu;</w:t>
            </w:r>
          </w:p>
          <w:p w14:paraId="6CCFA75D" w14:textId="77777777" w:rsidR="00FF0DA6" w:rsidRPr="0089734C" w:rsidRDefault="00FF0DA6" w:rsidP="0089734C">
            <w:pPr>
              <w:ind w:right="12" w:firstLine="567"/>
              <w:jc w:val="both"/>
            </w:pPr>
            <w:r w:rsidRPr="0089734C">
              <w:t>2) NO</w:t>
            </w:r>
            <w:r w:rsidRPr="0089734C">
              <w:rPr>
                <w:vertAlign w:val="subscript"/>
              </w:rPr>
              <w:t>X</w:t>
            </w:r>
            <w:r w:rsidRPr="0089734C">
              <w:t xml:space="preserve"> pie nominālās siltumjaudas &gt;300 MW emisijas robežvērtība 200 mg/m</w:t>
            </w:r>
            <w:r w:rsidRPr="0089734C">
              <w:rPr>
                <w:vertAlign w:val="superscript"/>
              </w:rPr>
              <w:t>3</w:t>
            </w:r>
            <w:r w:rsidRPr="0089734C">
              <w:t xml:space="preserve"> ir putekļveida brūnoglēm, nevis lignītam (kas ir brūnogļu veids), kā norādīts noteikumu projektā;</w:t>
            </w:r>
          </w:p>
          <w:p w14:paraId="7554912B" w14:textId="77777777" w:rsidR="00FF0DA6" w:rsidRPr="0089734C" w:rsidRDefault="00FF0DA6" w:rsidP="0089734C">
            <w:pPr>
              <w:ind w:right="12" w:firstLine="567"/>
              <w:jc w:val="both"/>
            </w:pPr>
            <w:r w:rsidRPr="0089734C">
              <w:lastRenderedPageBreak/>
              <w:t>3) Cietās daļiņas pie nominālās siltumjaudas 50-100 MW emisijas robežvērtība ir 20, nevis 30 mg/m</w:t>
            </w:r>
            <w:r w:rsidRPr="0089734C">
              <w:rPr>
                <w:vertAlign w:val="superscript"/>
              </w:rPr>
              <w:t>3</w:t>
            </w:r>
            <w:r w:rsidRPr="0089734C">
              <w:t>, kā norādīts noteikumu projektā.</w:t>
            </w:r>
          </w:p>
          <w:p w14:paraId="162E2495" w14:textId="7C728B6C" w:rsidR="00FF0DA6" w:rsidRPr="00DF5371" w:rsidRDefault="00FF0DA6" w:rsidP="0089734C">
            <w:pPr>
              <w:pStyle w:val="naisc"/>
              <w:spacing w:before="0" w:after="0"/>
              <w:ind w:right="3"/>
              <w:jc w:val="left"/>
              <w:rPr>
                <w:b/>
              </w:rPr>
            </w:pPr>
          </w:p>
        </w:tc>
        <w:tc>
          <w:tcPr>
            <w:tcW w:w="2384" w:type="dxa"/>
            <w:tcBorders>
              <w:top w:val="single" w:sz="6" w:space="0" w:color="000000"/>
              <w:left w:val="single" w:sz="6" w:space="0" w:color="000000"/>
              <w:bottom w:val="single" w:sz="6" w:space="0" w:color="000000"/>
              <w:right w:val="single" w:sz="6" w:space="0" w:color="000000"/>
            </w:tcBorders>
          </w:tcPr>
          <w:p w14:paraId="033E1A09" w14:textId="7BAA0584" w:rsidR="00FF0DA6" w:rsidRPr="00DF5371" w:rsidRDefault="0089734C" w:rsidP="0089734C">
            <w:pPr>
              <w:pStyle w:val="naisc"/>
              <w:spacing w:before="0" w:after="0"/>
              <w:ind w:firstLine="21"/>
              <w:jc w:val="left"/>
              <w:rPr>
                <w:b/>
              </w:rPr>
            </w:pPr>
            <w:r>
              <w:rPr>
                <w:b/>
              </w:rPr>
              <w:lastRenderedPageBreak/>
              <w:t xml:space="preserve">Iebildums ir ņemts vērā. </w:t>
            </w:r>
            <w:r w:rsidR="0031175C" w:rsidRPr="0075069C">
              <w:rPr>
                <w:b/>
              </w:rPr>
              <w:t>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2E6201A7" w14:textId="60FA415A" w:rsidR="00FF0DA6" w:rsidRPr="00FF0DA6" w:rsidRDefault="0031175C" w:rsidP="0089734C">
            <w:pPr>
              <w:pStyle w:val="naisc"/>
              <w:spacing w:before="0" w:after="0"/>
              <w:jc w:val="left"/>
              <w:rPr>
                <w:bCs/>
                <w:sz w:val="20"/>
                <w:szCs w:val="20"/>
              </w:rPr>
            </w:pPr>
            <w:r>
              <w:rPr>
                <w:bCs/>
                <w:sz w:val="20"/>
                <w:szCs w:val="20"/>
              </w:rPr>
              <w:t xml:space="preserve">5. </w:t>
            </w:r>
            <w:r w:rsidR="00FF0DA6" w:rsidRPr="00FF0DA6">
              <w:rPr>
                <w:bCs/>
                <w:sz w:val="20"/>
                <w:szCs w:val="20"/>
              </w:rPr>
              <w:t>tabula</w:t>
            </w:r>
          </w:p>
          <w:tbl>
            <w:tblPr>
              <w:tblW w:w="4846"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03"/>
              <w:gridCol w:w="582"/>
              <w:gridCol w:w="484"/>
              <w:gridCol w:w="636"/>
              <w:gridCol w:w="731"/>
              <w:gridCol w:w="612"/>
            </w:tblGrid>
            <w:tr w:rsidR="00FF0DA6" w:rsidRPr="00FF0DA6" w14:paraId="24151402" w14:textId="77777777" w:rsidTr="00962AD0">
              <w:tc>
                <w:tcPr>
                  <w:tcW w:w="452" w:type="pct"/>
                  <w:vMerge w:val="restart"/>
                  <w:tcBorders>
                    <w:top w:val="outset" w:sz="6" w:space="0" w:color="auto"/>
                    <w:left w:val="outset" w:sz="6" w:space="0" w:color="auto"/>
                    <w:bottom w:val="outset" w:sz="6" w:space="0" w:color="auto"/>
                    <w:right w:val="outset" w:sz="6" w:space="0" w:color="auto"/>
                  </w:tcBorders>
                  <w:vAlign w:val="center"/>
                </w:tcPr>
                <w:p w14:paraId="00E63C16" w14:textId="77777777" w:rsidR="00FF0DA6" w:rsidRPr="00FF0DA6" w:rsidRDefault="00FF0DA6" w:rsidP="0089734C">
                  <w:pPr>
                    <w:pStyle w:val="NormalWeb"/>
                    <w:spacing w:before="0" w:after="0"/>
                    <w:rPr>
                      <w:sz w:val="20"/>
                      <w:szCs w:val="20"/>
                    </w:rPr>
                  </w:pPr>
                  <w:r w:rsidRPr="00FF0DA6">
                    <w:rPr>
                      <w:sz w:val="20"/>
                      <w:szCs w:val="20"/>
                    </w:rPr>
                    <w:t>Nr.</w:t>
                  </w:r>
                </w:p>
                <w:p w14:paraId="1B9BD85C" w14:textId="77777777" w:rsidR="00FF0DA6" w:rsidRPr="00FF0DA6" w:rsidRDefault="00FF0DA6" w:rsidP="0089734C">
                  <w:pPr>
                    <w:pStyle w:val="NormalWeb"/>
                    <w:spacing w:before="0" w:after="0"/>
                    <w:rPr>
                      <w:sz w:val="20"/>
                      <w:szCs w:val="20"/>
                    </w:rPr>
                  </w:pPr>
                  <w:r w:rsidRPr="00FF0DA6">
                    <w:rPr>
                      <w:sz w:val="20"/>
                      <w:szCs w:val="20"/>
                    </w:rPr>
                    <w:t>p.k.</w:t>
                  </w:r>
                </w:p>
              </w:tc>
              <w:tc>
                <w:tcPr>
                  <w:tcW w:w="869" w:type="pct"/>
                  <w:vMerge w:val="restart"/>
                  <w:tcBorders>
                    <w:top w:val="outset" w:sz="6" w:space="0" w:color="auto"/>
                    <w:left w:val="outset" w:sz="6" w:space="0" w:color="auto"/>
                    <w:bottom w:val="outset" w:sz="6" w:space="0" w:color="auto"/>
                    <w:right w:val="outset" w:sz="6" w:space="0" w:color="auto"/>
                  </w:tcBorders>
                  <w:vAlign w:val="center"/>
                </w:tcPr>
                <w:p w14:paraId="44C7F606" w14:textId="77777777" w:rsidR="00FF0DA6" w:rsidRPr="00FF0DA6" w:rsidRDefault="00FF0DA6" w:rsidP="0089734C">
                  <w:pPr>
                    <w:pStyle w:val="naisc"/>
                    <w:spacing w:before="0" w:after="0"/>
                    <w:jc w:val="left"/>
                    <w:rPr>
                      <w:sz w:val="20"/>
                      <w:szCs w:val="20"/>
                    </w:rPr>
                  </w:pPr>
                  <w:r w:rsidRPr="00FF0DA6">
                    <w:rPr>
                      <w:sz w:val="20"/>
                      <w:szCs w:val="20"/>
                    </w:rPr>
                    <w:t>Piesārņojošā viela</w:t>
                  </w:r>
                </w:p>
              </w:tc>
              <w:tc>
                <w:tcPr>
                  <w:tcW w:w="3679" w:type="pct"/>
                  <w:gridSpan w:val="4"/>
                  <w:tcBorders>
                    <w:top w:val="outset" w:sz="6" w:space="0" w:color="auto"/>
                    <w:left w:val="outset" w:sz="6" w:space="0" w:color="auto"/>
                    <w:bottom w:val="outset" w:sz="6" w:space="0" w:color="auto"/>
                    <w:right w:val="outset" w:sz="6" w:space="0" w:color="auto"/>
                  </w:tcBorders>
                  <w:vAlign w:val="center"/>
                </w:tcPr>
                <w:p w14:paraId="463616CA" w14:textId="77777777" w:rsidR="00FF0DA6" w:rsidRPr="00FF0DA6" w:rsidRDefault="00FF0DA6" w:rsidP="0089734C">
                  <w:pPr>
                    <w:pStyle w:val="naisc"/>
                    <w:spacing w:before="0" w:after="0"/>
                    <w:jc w:val="left"/>
                    <w:rPr>
                      <w:sz w:val="20"/>
                      <w:szCs w:val="20"/>
                    </w:rPr>
                  </w:pPr>
                  <w:r w:rsidRPr="00FF0DA6">
                    <w:rPr>
                      <w:sz w:val="20"/>
                      <w:szCs w:val="20"/>
                    </w:rPr>
                    <w:t>Nominālā ievadītā siltuma jauda</w:t>
                  </w:r>
                </w:p>
              </w:tc>
            </w:tr>
            <w:tr w:rsidR="00FF0DA6" w:rsidRPr="00FF0DA6" w14:paraId="00A82002" w14:textId="77777777" w:rsidTr="00962AD0">
              <w:tc>
                <w:tcPr>
                  <w:tcW w:w="452" w:type="pct"/>
                  <w:vMerge/>
                  <w:tcBorders>
                    <w:top w:val="outset" w:sz="6" w:space="0" w:color="auto"/>
                    <w:left w:val="outset" w:sz="6" w:space="0" w:color="auto"/>
                    <w:bottom w:val="outset" w:sz="6" w:space="0" w:color="auto"/>
                    <w:right w:val="outset" w:sz="6" w:space="0" w:color="auto"/>
                  </w:tcBorders>
                  <w:vAlign w:val="center"/>
                </w:tcPr>
                <w:p w14:paraId="57AD5549" w14:textId="77777777" w:rsidR="00FF0DA6" w:rsidRPr="00FF0DA6" w:rsidRDefault="00FF0DA6" w:rsidP="0089734C">
                  <w:pPr>
                    <w:rPr>
                      <w:sz w:val="20"/>
                      <w:szCs w:val="20"/>
                    </w:rPr>
                  </w:pPr>
                </w:p>
              </w:tc>
              <w:tc>
                <w:tcPr>
                  <w:tcW w:w="869" w:type="pct"/>
                  <w:vMerge/>
                  <w:tcBorders>
                    <w:top w:val="outset" w:sz="6" w:space="0" w:color="auto"/>
                    <w:left w:val="outset" w:sz="6" w:space="0" w:color="auto"/>
                    <w:bottom w:val="outset" w:sz="6" w:space="0" w:color="auto"/>
                    <w:right w:val="outset" w:sz="6" w:space="0" w:color="auto"/>
                  </w:tcBorders>
                  <w:vAlign w:val="center"/>
                </w:tcPr>
                <w:p w14:paraId="2FADB314" w14:textId="77777777" w:rsidR="00FF0DA6" w:rsidRPr="00FF0DA6" w:rsidRDefault="00FF0DA6" w:rsidP="0089734C">
                  <w:pPr>
                    <w:rPr>
                      <w:sz w:val="20"/>
                      <w:szCs w:val="20"/>
                    </w:rPr>
                  </w:pPr>
                </w:p>
              </w:tc>
              <w:tc>
                <w:tcPr>
                  <w:tcW w:w="723" w:type="pct"/>
                  <w:tcBorders>
                    <w:top w:val="outset" w:sz="6" w:space="0" w:color="auto"/>
                    <w:left w:val="outset" w:sz="6" w:space="0" w:color="auto"/>
                    <w:bottom w:val="outset" w:sz="6" w:space="0" w:color="auto"/>
                    <w:right w:val="outset" w:sz="6" w:space="0" w:color="auto"/>
                  </w:tcBorders>
                  <w:vAlign w:val="center"/>
                </w:tcPr>
                <w:p w14:paraId="35BBCCC6" w14:textId="77777777" w:rsidR="00FF0DA6" w:rsidRPr="00FF0DA6" w:rsidRDefault="00FF0DA6" w:rsidP="0089734C">
                  <w:pPr>
                    <w:pStyle w:val="naisc"/>
                    <w:spacing w:before="0" w:after="0"/>
                    <w:jc w:val="left"/>
                    <w:rPr>
                      <w:sz w:val="20"/>
                      <w:szCs w:val="20"/>
                    </w:rPr>
                  </w:pPr>
                  <w:r w:rsidRPr="00FF0DA6">
                    <w:rPr>
                      <w:sz w:val="20"/>
                      <w:szCs w:val="20"/>
                    </w:rPr>
                    <w:t>&lt; 50 MW</w:t>
                  </w:r>
                </w:p>
              </w:tc>
              <w:tc>
                <w:tcPr>
                  <w:tcW w:w="950" w:type="pct"/>
                  <w:tcBorders>
                    <w:top w:val="outset" w:sz="6" w:space="0" w:color="auto"/>
                    <w:left w:val="outset" w:sz="6" w:space="0" w:color="auto"/>
                    <w:bottom w:val="outset" w:sz="6" w:space="0" w:color="auto"/>
                    <w:right w:val="outset" w:sz="6" w:space="0" w:color="auto"/>
                  </w:tcBorders>
                  <w:vAlign w:val="center"/>
                </w:tcPr>
                <w:p w14:paraId="00AB9EDA" w14:textId="77777777" w:rsidR="00FF0DA6" w:rsidRPr="00FF0DA6" w:rsidRDefault="00FF0DA6" w:rsidP="0089734C">
                  <w:pPr>
                    <w:pStyle w:val="naisc"/>
                    <w:spacing w:before="0" w:after="0"/>
                    <w:jc w:val="left"/>
                    <w:rPr>
                      <w:sz w:val="20"/>
                      <w:szCs w:val="20"/>
                    </w:rPr>
                  </w:pPr>
                  <w:r w:rsidRPr="00FF0DA6">
                    <w:rPr>
                      <w:sz w:val="20"/>
                      <w:szCs w:val="20"/>
                    </w:rPr>
                    <w:t>50–100 MW</w:t>
                  </w:r>
                </w:p>
              </w:tc>
              <w:tc>
                <w:tcPr>
                  <w:tcW w:w="1092" w:type="pct"/>
                  <w:tcBorders>
                    <w:top w:val="outset" w:sz="6" w:space="0" w:color="auto"/>
                    <w:left w:val="outset" w:sz="6" w:space="0" w:color="auto"/>
                    <w:bottom w:val="outset" w:sz="6" w:space="0" w:color="auto"/>
                    <w:right w:val="outset" w:sz="6" w:space="0" w:color="auto"/>
                  </w:tcBorders>
                  <w:vAlign w:val="center"/>
                </w:tcPr>
                <w:p w14:paraId="52F9B948" w14:textId="77777777" w:rsidR="00FF0DA6" w:rsidRPr="00FF0DA6" w:rsidRDefault="00FF0DA6" w:rsidP="0089734C">
                  <w:pPr>
                    <w:pStyle w:val="naisc"/>
                    <w:spacing w:before="0" w:after="0"/>
                    <w:jc w:val="left"/>
                    <w:rPr>
                      <w:sz w:val="20"/>
                      <w:szCs w:val="20"/>
                    </w:rPr>
                  </w:pPr>
                  <w:r w:rsidRPr="00FF0DA6">
                    <w:rPr>
                      <w:sz w:val="20"/>
                      <w:szCs w:val="20"/>
                    </w:rPr>
                    <w:t>100–300 MW</w:t>
                  </w:r>
                </w:p>
              </w:tc>
              <w:tc>
                <w:tcPr>
                  <w:tcW w:w="915" w:type="pct"/>
                  <w:tcBorders>
                    <w:top w:val="outset" w:sz="6" w:space="0" w:color="auto"/>
                    <w:left w:val="outset" w:sz="6" w:space="0" w:color="auto"/>
                    <w:bottom w:val="outset" w:sz="6" w:space="0" w:color="auto"/>
                    <w:right w:val="outset" w:sz="6" w:space="0" w:color="auto"/>
                  </w:tcBorders>
                  <w:vAlign w:val="center"/>
                </w:tcPr>
                <w:p w14:paraId="5145DFD0" w14:textId="77777777" w:rsidR="00FF0DA6" w:rsidRPr="00FF0DA6" w:rsidRDefault="00FF0DA6" w:rsidP="0089734C">
                  <w:pPr>
                    <w:pStyle w:val="naisc"/>
                    <w:spacing w:before="0" w:after="0"/>
                    <w:jc w:val="left"/>
                    <w:rPr>
                      <w:sz w:val="20"/>
                      <w:szCs w:val="20"/>
                    </w:rPr>
                  </w:pPr>
                  <w:r w:rsidRPr="00FF0DA6">
                    <w:rPr>
                      <w:sz w:val="20"/>
                      <w:szCs w:val="20"/>
                    </w:rPr>
                    <w:t>&gt; 300 MW</w:t>
                  </w:r>
                </w:p>
              </w:tc>
            </w:tr>
            <w:tr w:rsidR="00FF0DA6" w:rsidRPr="00FF0DA6" w14:paraId="3D0E6ABE" w14:textId="77777777" w:rsidTr="00962AD0">
              <w:tc>
                <w:tcPr>
                  <w:tcW w:w="452" w:type="pct"/>
                  <w:tcBorders>
                    <w:top w:val="outset" w:sz="6" w:space="0" w:color="auto"/>
                    <w:left w:val="outset" w:sz="6" w:space="0" w:color="auto"/>
                    <w:bottom w:val="outset" w:sz="6" w:space="0" w:color="auto"/>
                    <w:right w:val="outset" w:sz="6" w:space="0" w:color="auto"/>
                  </w:tcBorders>
                </w:tcPr>
                <w:p w14:paraId="4CE0A05A" w14:textId="77777777" w:rsidR="00FF0DA6" w:rsidRPr="00FF0DA6" w:rsidRDefault="00FF0DA6" w:rsidP="0089734C">
                  <w:pPr>
                    <w:pStyle w:val="naislab"/>
                    <w:spacing w:before="0" w:after="0"/>
                    <w:ind w:firstLine="8"/>
                    <w:jc w:val="left"/>
                    <w:rPr>
                      <w:sz w:val="20"/>
                      <w:szCs w:val="20"/>
                    </w:rPr>
                  </w:pPr>
                  <w:r w:rsidRPr="00FF0DA6">
                    <w:rPr>
                      <w:sz w:val="20"/>
                      <w:szCs w:val="20"/>
                    </w:rPr>
                    <w:t>1.</w:t>
                  </w:r>
                </w:p>
              </w:tc>
              <w:tc>
                <w:tcPr>
                  <w:tcW w:w="869" w:type="pct"/>
                  <w:tcBorders>
                    <w:top w:val="outset" w:sz="6" w:space="0" w:color="auto"/>
                    <w:left w:val="outset" w:sz="6" w:space="0" w:color="auto"/>
                    <w:bottom w:val="outset" w:sz="6" w:space="0" w:color="auto"/>
                    <w:right w:val="outset" w:sz="6" w:space="0" w:color="auto"/>
                  </w:tcBorders>
                </w:tcPr>
                <w:p w14:paraId="60747C4E" w14:textId="77777777" w:rsidR="00FF0DA6" w:rsidRPr="00FF0DA6" w:rsidRDefault="00FF0DA6" w:rsidP="0089734C">
                  <w:pPr>
                    <w:pStyle w:val="NormalWeb"/>
                    <w:spacing w:before="0" w:after="0"/>
                    <w:ind w:left="116"/>
                    <w:rPr>
                      <w:sz w:val="20"/>
                      <w:szCs w:val="20"/>
                      <w:vertAlign w:val="subscript"/>
                    </w:rPr>
                  </w:pPr>
                  <w:r w:rsidRPr="00FF0DA6">
                    <w:rPr>
                      <w:sz w:val="20"/>
                      <w:szCs w:val="20"/>
                    </w:rPr>
                    <w:t>SO</w:t>
                  </w:r>
                  <w:r w:rsidRPr="00FF0DA6">
                    <w:rPr>
                      <w:sz w:val="20"/>
                      <w:szCs w:val="20"/>
                      <w:vertAlign w:val="subscript"/>
                    </w:rPr>
                    <w:t>2</w:t>
                  </w:r>
                </w:p>
              </w:tc>
              <w:tc>
                <w:tcPr>
                  <w:tcW w:w="723" w:type="pct"/>
                  <w:tcBorders>
                    <w:top w:val="outset" w:sz="6" w:space="0" w:color="auto"/>
                    <w:left w:val="outset" w:sz="6" w:space="0" w:color="auto"/>
                    <w:bottom w:val="outset" w:sz="6" w:space="0" w:color="auto"/>
                    <w:right w:val="outset" w:sz="6" w:space="0" w:color="auto"/>
                  </w:tcBorders>
                </w:tcPr>
                <w:p w14:paraId="6FD198F2" w14:textId="77777777" w:rsidR="00FF0DA6" w:rsidRPr="00FF0DA6" w:rsidRDefault="00FF0DA6" w:rsidP="0089734C">
                  <w:pPr>
                    <w:pStyle w:val="naisc"/>
                    <w:spacing w:before="0" w:after="0"/>
                    <w:ind w:firstLine="28"/>
                    <w:jc w:val="left"/>
                    <w:rPr>
                      <w:sz w:val="20"/>
                      <w:szCs w:val="20"/>
                    </w:rPr>
                  </w:pPr>
                  <w:r w:rsidRPr="00FF0DA6">
                    <w:rPr>
                      <w:sz w:val="20"/>
                      <w:szCs w:val="20"/>
                    </w:rPr>
                    <w:t>-</w:t>
                  </w:r>
                </w:p>
              </w:tc>
              <w:tc>
                <w:tcPr>
                  <w:tcW w:w="950" w:type="pct"/>
                  <w:tcBorders>
                    <w:top w:val="outset" w:sz="6" w:space="0" w:color="auto"/>
                    <w:left w:val="outset" w:sz="6" w:space="0" w:color="auto"/>
                    <w:bottom w:val="outset" w:sz="6" w:space="0" w:color="auto"/>
                    <w:right w:val="outset" w:sz="6" w:space="0" w:color="auto"/>
                  </w:tcBorders>
                </w:tcPr>
                <w:p w14:paraId="56E5693C" w14:textId="77777777" w:rsidR="00FF0DA6" w:rsidRPr="00FF0DA6" w:rsidRDefault="00FF0DA6" w:rsidP="0089734C">
                  <w:pPr>
                    <w:pStyle w:val="naisc"/>
                    <w:spacing w:before="0" w:after="0"/>
                    <w:ind w:left="118"/>
                    <w:jc w:val="left"/>
                    <w:rPr>
                      <w:sz w:val="20"/>
                      <w:szCs w:val="20"/>
                      <w:vertAlign w:val="superscript"/>
                    </w:rPr>
                  </w:pPr>
                  <w:r w:rsidRPr="00FF0DA6">
                    <w:rPr>
                      <w:sz w:val="20"/>
                      <w:szCs w:val="20"/>
                    </w:rPr>
                    <w:t>400 mg/m</w:t>
                  </w:r>
                  <w:r w:rsidRPr="00FF0DA6">
                    <w:rPr>
                      <w:sz w:val="20"/>
                      <w:szCs w:val="20"/>
                      <w:vertAlign w:val="superscript"/>
                    </w:rPr>
                    <w:t>3</w:t>
                  </w:r>
                </w:p>
                <w:p w14:paraId="3A02FD3C" w14:textId="77777777" w:rsidR="00FF0DA6" w:rsidRPr="00FF0DA6" w:rsidRDefault="00FF0DA6" w:rsidP="0089734C">
                  <w:pPr>
                    <w:pStyle w:val="naisc"/>
                    <w:spacing w:before="0" w:after="0"/>
                    <w:ind w:left="118"/>
                    <w:jc w:val="left"/>
                    <w:rPr>
                      <w:sz w:val="20"/>
                      <w:szCs w:val="20"/>
                      <w:vertAlign w:val="superscript"/>
                    </w:rPr>
                  </w:pPr>
                </w:p>
                <w:p w14:paraId="1FB9C9DB" w14:textId="77777777" w:rsidR="00FF0DA6" w:rsidRPr="00FF0DA6" w:rsidRDefault="00FF0DA6" w:rsidP="0089734C">
                  <w:pPr>
                    <w:pStyle w:val="naisc"/>
                    <w:spacing w:before="0" w:after="0"/>
                    <w:jc w:val="left"/>
                    <w:rPr>
                      <w:sz w:val="20"/>
                      <w:szCs w:val="20"/>
                    </w:rPr>
                  </w:pPr>
                  <w:r w:rsidRPr="00FF0DA6">
                    <w:rPr>
                      <w:sz w:val="20"/>
                      <w:szCs w:val="20"/>
                    </w:rPr>
                    <w:t>Kūdrai: 300 mg/m</w:t>
                  </w:r>
                  <w:r w:rsidRPr="00FF0DA6">
                    <w:rPr>
                      <w:sz w:val="20"/>
                      <w:szCs w:val="20"/>
                      <w:vertAlign w:val="superscript"/>
                    </w:rPr>
                    <w:t>3</w:t>
                  </w:r>
                </w:p>
              </w:tc>
              <w:tc>
                <w:tcPr>
                  <w:tcW w:w="1092" w:type="pct"/>
                  <w:tcBorders>
                    <w:top w:val="outset" w:sz="6" w:space="0" w:color="auto"/>
                    <w:left w:val="outset" w:sz="6" w:space="0" w:color="auto"/>
                    <w:bottom w:val="outset" w:sz="6" w:space="0" w:color="auto"/>
                    <w:right w:val="outset" w:sz="6" w:space="0" w:color="auto"/>
                  </w:tcBorders>
                </w:tcPr>
                <w:p w14:paraId="35818EFB" w14:textId="77777777" w:rsidR="00FF0DA6" w:rsidRPr="00FF0DA6" w:rsidRDefault="00FF0DA6" w:rsidP="0089734C">
                  <w:pPr>
                    <w:pStyle w:val="naisc"/>
                    <w:spacing w:before="0" w:after="0"/>
                    <w:ind w:left="129" w:firstLine="1"/>
                    <w:jc w:val="left"/>
                    <w:rPr>
                      <w:sz w:val="20"/>
                      <w:szCs w:val="20"/>
                      <w:vertAlign w:val="superscript"/>
                    </w:rPr>
                  </w:pPr>
                  <w:r w:rsidRPr="00FF0DA6">
                    <w:rPr>
                      <w:sz w:val="20"/>
                      <w:szCs w:val="20"/>
                    </w:rPr>
                    <w:t>200 mg/m</w:t>
                  </w:r>
                  <w:r w:rsidRPr="00FF0DA6">
                    <w:rPr>
                      <w:sz w:val="20"/>
                      <w:szCs w:val="20"/>
                      <w:vertAlign w:val="superscript"/>
                    </w:rPr>
                    <w:t>3</w:t>
                  </w:r>
                </w:p>
                <w:p w14:paraId="46570468" w14:textId="77777777" w:rsidR="00FF0DA6" w:rsidRPr="00FF0DA6" w:rsidRDefault="00FF0DA6" w:rsidP="0089734C">
                  <w:pPr>
                    <w:pStyle w:val="naisc"/>
                    <w:spacing w:before="0" w:after="0"/>
                    <w:ind w:left="129" w:firstLine="1"/>
                    <w:jc w:val="left"/>
                    <w:rPr>
                      <w:sz w:val="20"/>
                      <w:szCs w:val="20"/>
                      <w:vertAlign w:val="superscript"/>
                    </w:rPr>
                  </w:pPr>
                </w:p>
                <w:p w14:paraId="1350DFBA" w14:textId="77777777" w:rsidR="00FF0DA6" w:rsidRPr="00FF0DA6" w:rsidRDefault="00FF0DA6" w:rsidP="0089734C">
                  <w:pPr>
                    <w:pStyle w:val="naisc"/>
                    <w:spacing w:before="0" w:after="0"/>
                    <w:ind w:left="129" w:firstLine="1"/>
                    <w:jc w:val="left"/>
                    <w:rPr>
                      <w:sz w:val="20"/>
                      <w:szCs w:val="20"/>
                    </w:rPr>
                  </w:pPr>
                  <w:r w:rsidRPr="00FF0DA6">
                    <w:rPr>
                      <w:sz w:val="20"/>
                      <w:szCs w:val="20"/>
                    </w:rPr>
                    <w:t>Kūdrai: 300 mg/m</w:t>
                  </w:r>
                  <w:r w:rsidRPr="00FF0DA6">
                    <w:rPr>
                      <w:sz w:val="20"/>
                      <w:szCs w:val="20"/>
                      <w:vertAlign w:val="superscript"/>
                    </w:rPr>
                    <w:t>3</w:t>
                  </w:r>
                  <w:r w:rsidRPr="00FF0DA6">
                    <w:rPr>
                      <w:sz w:val="20"/>
                      <w:szCs w:val="20"/>
                    </w:rPr>
                    <w:t>,</w:t>
                  </w:r>
                </w:p>
                <w:p w14:paraId="20A3A329" w14:textId="77777777" w:rsidR="00FF0DA6" w:rsidRPr="00FF0DA6" w:rsidRDefault="00FF0DA6" w:rsidP="0089734C">
                  <w:pPr>
                    <w:pStyle w:val="naisc"/>
                    <w:spacing w:before="0" w:after="0"/>
                    <w:ind w:left="129" w:firstLine="1"/>
                    <w:jc w:val="left"/>
                    <w:rPr>
                      <w:sz w:val="20"/>
                      <w:szCs w:val="20"/>
                      <w:vertAlign w:val="superscript"/>
                    </w:rPr>
                  </w:pPr>
                  <w:r w:rsidRPr="00FF0DA6">
                    <w:rPr>
                      <w:sz w:val="20"/>
                      <w:szCs w:val="20"/>
                    </w:rPr>
                    <w:t>Izņemot sadedzināšanu verdošajā slānī: 250 mg/m</w:t>
                  </w:r>
                  <w:r w:rsidRPr="00FF0DA6">
                    <w:rPr>
                      <w:sz w:val="20"/>
                      <w:szCs w:val="20"/>
                      <w:vertAlign w:val="superscript"/>
                    </w:rPr>
                    <w:t>3</w:t>
                  </w:r>
                </w:p>
                <w:p w14:paraId="40B72566" w14:textId="77777777" w:rsidR="00FF0DA6" w:rsidRPr="00FF0DA6" w:rsidRDefault="00FF0DA6" w:rsidP="0089734C">
                  <w:pPr>
                    <w:pStyle w:val="naisc"/>
                    <w:spacing w:before="0" w:after="0"/>
                    <w:ind w:left="129" w:firstLine="1"/>
                    <w:jc w:val="left"/>
                    <w:rPr>
                      <w:sz w:val="20"/>
                      <w:szCs w:val="20"/>
                    </w:rPr>
                  </w:pPr>
                </w:p>
              </w:tc>
              <w:tc>
                <w:tcPr>
                  <w:tcW w:w="915" w:type="pct"/>
                  <w:tcBorders>
                    <w:top w:val="outset" w:sz="6" w:space="0" w:color="auto"/>
                    <w:left w:val="outset" w:sz="6" w:space="0" w:color="auto"/>
                    <w:bottom w:val="outset" w:sz="6" w:space="0" w:color="auto"/>
                    <w:right w:val="outset" w:sz="6" w:space="0" w:color="auto"/>
                  </w:tcBorders>
                </w:tcPr>
                <w:p w14:paraId="4D229B29" w14:textId="77777777" w:rsidR="00FF0DA6" w:rsidRPr="00FF0DA6" w:rsidRDefault="00FF0DA6" w:rsidP="0089734C">
                  <w:pPr>
                    <w:pStyle w:val="naisc"/>
                    <w:spacing w:before="0" w:after="0"/>
                    <w:ind w:left="113" w:firstLine="2"/>
                    <w:jc w:val="left"/>
                    <w:rPr>
                      <w:sz w:val="20"/>
                      <w:szCs w:val="20"/>
                      <w:vertAlign w:val="superscript"/>
                    </w:rPr>
                  </w:pPr>
                  <w:r w:rsidRPr="00FF0DA6">
                    <w:rPr>
                      <w:sz w:val="20"/>
                      <w:szCs w:val="20"/>
                    </w:rPr>
                    <w:t>150 mg/m</w:t>
                  </w:r>
                  <w:r w:rsidRPr="00FF0DA6">
                    <w:rPr>
                      <w:sz w:val="20"/>
                      <w:szCs w:val="20"/>
                      <w:vertAlign w:val="superscript"/>
                    </w:rPr>
                    <w:t>3</w:t>
                  </w:r>
                </w:p>
                <w:p w14:paraId="43A75D52" w14:textId="77777777" w:rsidR="00FF0DA6" w:rsidRPr="00FF0DA6" w:rsidRDefault="00FF0DA6" w:rsidP="0089734C">
                  <w:pPr>
                    <w:pStyle w:val="naisc"/>
                    <w:spacing w:before="0" w:after="0"/>
                    <w:ind w:left="129" w:firstLine="1"/>
                    <w:jc w:val="left"/>
                    <w:rPr>
                      <w:sz w:val="20"/>
                      <w:szCs w:val="20"/>
                      <w:vertAlign w:val="superscript"/>
                    </w:rPr>
                  </w:pPr>
                  <w:r w:rsidRPr="00FF0DA6">
                    <w:rPr>
                      <w:sz w:val="20"/>
                      <w:szCs w:val="20"/>
                    </w:rPr>
                    <w:t>Cirkulācijas vai verdošā slāņa sadedzināšanas iekārtas ar papildus gaisa padevi, vai, kurinot ar kūdru</w:t>
                  </w:r>
                  <w:r w:rsidRPr="00FF0DA6">
                    <w:rPr>
                      <w:sz w:val="20"/>
                      <w:szCs w:val="20"/>
                    </w:rPr>
                    <w:lastRenderedPageBreak/>
                    <w:t>, visu veidu dedzināšanai verdošā slānī: 200 mg/m</w:t>
                  </w:r>
                  <w:r w:rsidRPr="00FF0DA6">
                    <w:rPr>
                      <w:sz w:val="20"/>
                      <w:szCs w:val="20"/>
                      <w:vertAlign w:val="superscript"/>
                    </w:rPr>
                    <w:t>3</w:t>
                  </w:r>
                </w:p>
                <w:p w14:paraId="06B3DC13" w14:textId="77777777" w:rsidR="00FF0DA6" w:rsidRPr="00FF0DA6" w:rsidRDefault="00FF0DA6" w:rsidP="0089734C">
                  <w:pPr>
                    <w:pStyle w:val="naisc"/>
                    <w:spacing w:before="0" w:after="0"/>
                    <w:ind w:left="113" w:firstLine="2"/>
                    <w:jc w:val="left"/>
                    <w:rPr>
                      <w:sz w:val="20"/>
                      <w:szCs w:val="20"/>
                    </w:rPr>
                  </w:pPr>
                </w:p>
              </w:tc>
            </w:tr>
            <w:tr w:rsidR="00FF0DA6" w:rsidRPr="00FF0DA6" w14:paraId="60FD236D" w14:textId="77777777" w:rsidTr="00962AD0">
              <w:tc>
                <w:tcPr>
                  <w:tcW w:w="452" w:type="pct"/>
                  <w:tcBorders>
                    <w:top w:val="outset" w:sz="6" w:space="0" w:color="auto"/>
                    <w:left w:val="outset" w:sz="6" w:space="0" w:color="auto"/>
                    <w:bottom w:val="outset" w:sz="6" w:space="0" w:color="auto"/>
                    <w:right w:val="outset" w:sz="6" w:space="0" w:color="auto"/>
                  </w:tcBorders>
                </w:tcPr>
                <w:p w14:paraId="6D21CA72" w14:textId="77777777" w:rsidR="00FF0DA6" w:rsidRPr="00FF0DA6" w:rsidRDefault="00FF0DA6" w:rsidP="0089734C">
                  <w:pPr>
                    <w:pStyle w:val="naislab"/>
                    <w:spacing w:before="0" w:after="0"/>
                    <w:ind w:firstLine="8"/>
                    <w:jc w:val="left"/>
                    <w:rPr>
                      <w:sz w:val="20"/>
                      <w:szCs w:val="20"/>
                    </w:rPr>
                  </w:pPr>
                  <w:r w:rsidRPr="00FF0DA6">
                    <w:rPr>
                      <w:sz w:val="20"/>
                      <w:szCs w:val="20"/>
                    </w:rPr>
                    <w:lastRenderedPageBreak/>
                    <w:t>2.</w:t>
                  </w:r>
                </w:p>
              </w:tc>
              <w:tc>
                <w:tcPr>
                  <w:tcW w:w="869" w:type="pct"/>
                  <w:tcBorders>
                    <w:top w:val="outset" w:sz="6" w:space="0" w:color="auto"/>
                    <w:left w:val="outset" w:sz="6" w:space="0" w:color="auto"/>
                    <w:bottom w:val="outset" w:sz="6" w:space="0" w:color="auto"/>
                    <w:right w:val="outset" w:sz="6" w:space="0" w:color="auto"/>
                  </w:tcBorders>
                </w:tcPr>
                <w:p w14:paraId="446065EF" w14:textId="77777777" w:rsidR="00FF0DA6" w:rsidRPr="00FF0DA6" w:rsidRDefault="00FF0DA6" w:rsidP="0089734C">
                  <w:pPr>
                    <w:pStyle w:val="NormalWeb"/>
                    <w:spacing w:before="0" w:after="0"/>
                    <w:ind w:left="116"/>
                    <w:rPr>
                      <w:sz w:val="20"/>
                      <w:szCs w:val="20"/>
                    </w:rPr>
                  </w:pPr>
                  <w:r w:rsidRPr="00FF0DA6">
                    <w:rPr>
                      <w:sz w:val="20"/>
                      <w:szCs w:val="20"/>
                    </w:rPr>
                    <w:t>NO</w:t>
                  </w:r>
                  <w:r w:rsidRPr="00FF0DA6">
                    <w:rPr>
                      <w:sz w:val="20"/>
                      <w:szCs w:val="20"/>
                      <w:vertAlign w:val="subscript"/>
                    </w:rPr>
                    <w:t>X</w:t>
                  </w:r>
                </w:p>
              </w:tc>
              <w:tc>
                <w:tcPr>
                  <w:tcW w:w="723" w:type="pct"/>
                  <w:tcBorders>
                    <w:top w:val="outset" w:sz="6" w:space="0" w:color="auto"/>
                    <w:left w:val="outset" w:sz="6" w:space="0" w:color="auto"/>
                    <w:bottom w:val="outset" w:sz="6" w:space="0" w:color="auto"/>
                    <w:right w:val="outset" w:sz="6" w:space="0" w:color="auto"/>
                  </w:tcBorders>
                </w:tcPr>
                <w:p w14:paraId="413358AB" w14:textId="77777777" w:rsidR="00FF0DA6" w:rsidRPr="00FF0DA6" w:rsidRDefault="00FF0DA6" w:rsidP="0089734C">
                  <w:pPr>
                    <w:pStyle w:val="naisc"/>
                    <w:spacing w:before="0" w:after="0"/>
                    <w:ind w:firstLine="28"/>
                    <w:jc w:val="left"/>
                    <w:rPr>
                      <w:sz w:val="20"/>
                      <w:szCs w:val="20"/>
                    </w:rPr>
                  </w:pPr>
                  <w:r w:rsidRPr="00FF0DA6">
                    <w:rPr>
                      <w:sz w:val="20"/>
                      <w:szCs w:val="20"/>
                    </w:rPr>
                    <w:t>-</w:t>
                  </w:r>
                </w:p>
              </w:tc>
              <w:tc>
                <w:tcPr>
                  <w:tcW w:w="950" w:type="pct"/>
                  <w:tcBorders>
                    <w:top w:val="outset" w:sz="6" w:space="0" w:color="auto"/>
                    <w:left w:val="outset" w:sz="6" w:space="0" w:color="auto"/>
                    <w:bottom w:val="outset" w:sz="6" w:space="0" w:color="auto"/>
                    <w:right w:val="outset" w:sz="6" w:space="0" w:color="auto"/>
                  </w:tcBorders>
                </w:tcPr>
                <w:p w14:paraId="69DD5F9A" w14:textId="77777777" w:rsidR="00FF0DA6" w:rsidRPr="00FF0DA6" w:rsidRDefault="00FF0DA6" w:rsidP="0089734C">
                  <w:pPr>
                    <w:pStyle w:val="naisc"/>
                    <w:spacing w:before="0" w:after="0"/>
                    <w:ind w:left="118"/>
                    <w:jc w:val="left"/>
                    <w:rPr>
                      <w:sz w:val="20"/>
                      <w:szCs w:val="20"/>
                    </w:rPr>
                  </w:pPr>
                  <w:r w:rsidRPr="00FF0DA6">
                    <w:rPr>
                      <w:sz w:val="20"/>
                      <w:szCs w:val="20"/>
                    </w:rPr>
                    <w:t>300 mg/m</w:t>
                  </w:r>
                  <w:r w:rsidRPr="00FF0DA6">
                    <w:rPr>
                      <w:sz w:val="20"/>
                      <w:szCs w:val="20"/>
                      <w:vertAlign w:val="superscript"/>
                    </w:rPr>
                    <w:t>3</w:t>
                  </w:r>
                </w:p>
                <w:p w14:paraId="6CA97BB9" w14:textId="77777777" w:rsidR="00FF0DA6" w:rsidRPr="00FF0DA6" w:rsidRDefault="00FF0DA6" w:rsidP="0089734C">
                  <w:pPr>
                    <w:pStyle w:val="naisc"/>
                    <w:spacing w:before="0" w:after="0"/>
                    <w:ind w:left="118"/>
                    <w:jc w:val="left"/>
                    <w:rPr>
                      <w:sz w:val="20"/>
                      <w:szCs w:val="20"/>
                    </w:rPr>
                  </w:pPr>
                  <w:r w:rsidRPr="00FF0DA6">
                    <w:rPr>
                      <w:sz w:val="20"/>
                      <w:szCs w:val="20"/>
                    </w:rPr>
                    <w:t>Kūdrai: 250 mg/m</w:t>
                  </w:r>
                  <w:r w:rsidRPr="00FF0DA6">
                    <w:rPr>
                      <w:sz w:val="20"/>
                      <w:szCs w:val="20"/>
                      <w:vertAlign w:val="superscript"/>
                    </w:rPr>
                    <w:t>3</w:t>
                  </w:r>
                </w:p>
              </w:tc>
              <w:tc>
                <w:tcPr>
                  <w:tcW w:w="1092" w:type="pct"/>
                  <w:tcBorders>
                    <w:top w:val="outset" w:sz="6" w:space="0" w:color="auto"/>
                    <w:left w:val="outset" w:sz="6" w:space="0" w:color="auto"/>
                    <w:bottom w:val="outset" w:sz="6" w:space="0" w:color="auto"/>
                    <w:right w:val="outset" w:sz="6" w:space="0" w:color="auto"/>
                  </w:tcBorders>
                </w:tcPr>
                <w:p w14:paraId="3CFC4DCF" w14:textId="77777777" w:rsidR="00FF0DA6" w:rsidRPr="00FF0DA6" w:rsidRDefault="00FF0DA6" w:rsidP="0089734C">
                  <w:pPr>
                    <w:pStyle w:val="naisc"/>
                    <w:spacing w:before="0" w:after="0"/>
                    <w:ind w:left="129" w:firstLine="1"/>
                    <w:jc w:val="left"/>
                    <w:rPr>
                      <w:sz w:val="20"/>
                      <w:szCs w:val="20"/>
                    </w:rPr>
                  </w:pPr>
                  <w:r w:rsidRPr="00FF0DA6">
                    <w:rPr>
                      <w:sz w:val="20"/>
                      <w:szCs w:val="20"/>
                    </w:rPr>
                    <w:t>200 mg/m</w:t>
                  </w:r>
                  <w:r w:rsidRPr="00FF0DA6">
                    <w:rPr>
                      <w:sz w:val="20"/>
                      <w:szCs w:val="20"/>
                      <w:vertAlign w:val="superscript"/>
                    </w:rPr>
                    <w:t>3</w:t>
                  </w:r>
                </w:p>
              </w:tc>
              <w:tc>
                <w:tcPr>
                  <w:tcW w:w="915" w:type="pct"/>
                  <w:tcBorders>
                    <w:top w:val="outset" w:sz="6" w:space="0" w:color="auto"/>
                    <w:left w:val="outset" w:sz="6" w:space="0" w:color="auto"/>
                    <w:bottom w:val="outset" w:sz="6" w:space="0" w:color="auto"/>
                    <w:right w:val="outset" w:sz="6" w:space="0" w:color="auto"/>
                  </w:tcBorders>
                </w:tcPr>
                <w:p w14:paraId="3641E3BA" w14:textId="77777777" w:rsidR="00FF0DA6" w:rsidRPr="00FF0DA6" w:rsidRDefault="00FF0DA6" w:rsidP="0089734C">
                  <w:pPr>
                    <w:pStyle w:val="naisc"/>
                    <w:spacing w:before="0" w:after="0"/>
                    <w:ind w:left="113" w:firstLine="2"/>
                    <w:jc w:val="left"/>
                    <w:rPr>
                      <w:sz w:val="20"/>
                      <w:szCs w:val="20"/>
                      <w:vertAlign w:val="superscript"/>
                    </w:rPr>
                  </w:pPr>
                  <w:r w:rsidRPr="00FF0DA6">
                    <w:rPr>
                      <w:sz w:val="20"/>
                      <w:szCs w:val="20"/>
                    </w:rPr>
                    <w:t>150 mg/m</w:t>
                  </w:r>
                  <w:r w:rsidRPr="00FF0DA6">
                    <w:rPr>
                      <w:sz w:val="20"/>
                      <w:szCs w:val="20"/>
                      <w:vertAlign w:val="superscript"/>
                    </w:rPr>
                    <w:t>3</w:t>
                  </w:r>
                </w:p>
                <w:p w14:paraId="18CA3522" w14:textId="2907FEF8" w:rsidR="00FF0DA6" w:rsidRPr="00FF0DA6" w:rsidRDefault="00FF0DA6" w:rsidP="0089734C">
                  <w:pPr>
                    <w:pStyle w:val="naisc"/>
                    <w:spacing w:before="0" w:after="0"/>
                    <w:ind w:left="129" w:firstLine="1"/>
                    <w:jc w:val="left"/>
                    <w:rPr>
                      <w:sz w:val="20"/>
                      <w:szCs w:val="20"/>
                      <w:vertAlign w:val="superscript"/>
                    </w:rPr>
                  </w:pPr>
                  <w:r w:rsidRPr="00FF0DA6">
                    <w:rPr>
                      <w:sz w:val="20"/>
                      <w:szCs w:val="20"/>
                    </w:rPr>
                    <w:t xml:space="preserve">Putekļveida </w:t>
                  </w:r>
                  <w:r>
                    <w:rPr>
                      <w:sz w:val="20"/>
                      <w:szCs w:val="20"/>
                    </w:rPr>
                    <w:t>brūnoglēm</w:t>
                  </w:r>
                  <w:r w:rsidRPr="00FF0DA6">
                    <w:rPr>
                      <w:sz w:val="20"/>
                      <w:szCs w:val="20"/>
                    </w:rPr>
                    <w:t>: 200 mg/m</w:t>
                  </w:r>
                  <w:r w:rsidRPr="00FF0DA6">
                    <w:rPr>
                      <w:sz w:val="20"/>
                      <w:szCs w:val="20"/>
                      <w:vertAlign w:val="superscript"/>
                    </w:rPr>
                    <w:t>3</w:t>
                  </w:r>
                </w:p>
                <w:p w14:paraId="206515AC" w14:textId="77777777" w:rsidR="00FF0DA6" w:rsidRPr="00FF0DA6" w:rsidRDefault="00FF0DA6" w:rsidP="0089734C">
                  <w:pPr>
                    <w:pStyle w:val="naisc"/>
                    <w:spacing w:before="0" w:after="0"/>
                    <w:ind w:left="113" w:firstLine="2"/>
                    <w:jc w:val="left"/>
                    <w:rPr>
                      <w:sz w:val="20"/>
                      <w:szCs w:val="20"/>
                    </w:rPr>
                  </w:pPr>
                </w:p>
              </w:tc>
            </w:tr>
            <w:tr w:rsidR="00FF0DA6" w:rsidRPr="00FF0DA6" w14:paraId="15341380" w14:textId="77777777" w:rsidTr="00962AD0">
              <w:tc>
                <w:tcPr>
                  <w:tcW w:w="452" w:type="pct"/>
                  <w:tcBorders>
                    <w:top w:val="outset" w:sz="6" w:space="0" w:color="auto"/>
                    <w:left w:val="outset" w:sz="6" w:space="0" w:color="auto"/>
                    <w:bottom w:val="outset" w:sz="6" w:space="0" w:color="auto"/>
                    <w:right w:val="outset" w:sz="6" w:space="0" w:color="auto"/>
                  </w:tcBorders>
                </w:tcPr>
                <w:p w14:paraId="6A44F26C" w14:textId="77777777" w:rsidR="00FF0DA6" w:rsidRPr="00FD492E" w:rsidRDefault="00FF0DA6" w:rsidP="0089734C">
                  <w:pPr>
                    <w:pStyle w:val="naislab"/>
                    <w:spacing w:before="0" w:after="0"/>
                    <w:ind w:firstLine="8"/>
                    <w:jc w:val="left"/>
                    <w:rPr>
                      <w:sz w:val="28"/>
                      <w:szCs w:val="28"/>
                    </w:rPr>
                  </w:pPr>
                  <w:r w:rsidRPr="00FF0DA6">
                    <w:rPr>
                      <w:sz w:val="20"/>
                      <w:szCs w:val="20"/>
                    </w:rPr>
                    <w:t>3.</w:t>
                  </w:r>
                </w:p>
              </w:tc>
              <w:tc>
                <w:tcPr>
                  <w:tcW w:w="869" w:type="pct"/>
                  <w:tcBorders>
                    <w:top w:val="outset" w:sz="6" w:space="0" w:color="auto"/>
                    <w:left w:val="outset" w:sz="6" w:space="0" w:color="auto"/>
                    <w:bottom w:val="outset" w:sz="6" w:space="0" w:color="auto"/>
                    <w:right w:val="outset" w:sz="6" w:space="0" w:color="auto"/>
                  </w:tcBorders>
                </w:tcPr>
                <w:p w14:paraId="721513AA" w14:textId="77777777" w:rsidR="00FF0DA6" w:rsidRPr="00FF0DA6" w:rsidRDefault="00FF0DA6" w:rsidP="0089734C">
                  <w:pPr>
                    <w:pStyle w:val="NormalWeb"/>
                    <w:spacing w:before="0" w:after="0"/>
                    <w:ind w:left="116"/>
                    <w:rPr>
                      <w:sz w:val="20"/>
                      <w:szCs w:val="20"/>
                    </w:rPr>
                  </w:pPr>
                  <w:r w:rsidRPr="00FF0DA6">
                    <w:rPr>
                      <w:sz w:val="20"/>
                      <w:szCs w:val="20"/>
                    </w:rPr>
                    <w:t>Cietās daļiņas</w:t>
                  </w:r>
                </w:p>
              </w:tc>
              <w:tc>
                <w:tcPr>
                  <w:tcW w:w="723" w:type="pct"/>
                  <w:tcBorders>
                    <w:top w:val="outset" w:sz="6" w:space="0" w:color="auto"/>
                    <w:left w:val="outset" w:sz="6" w:space="0" w:color="auto"/>
                    <w:bottom w:val="outset" w:sz="6" w:space="0" w:color="auto"/>
                    <w:right w:val="outset" w:sz="6" w:space="0" w:color="auto"/>
                  </w:tcBorders>
                </w:tcPr>
                <w:p w14:paraId="2DA05952" w14:textId="77777777" w:rsidR="00FF0DA6" w:rsidRPr="00FF0DA6" w:rsidRDefault="00FF0DA6" w:rsidP="0089734C">
                  <w:pPr>
                    <w:pStyle w:val="naisc"/>
                    <w:spacing w:before="0" w:after="0"/>
                    <w:ind w:firstLine="28"/>
                    <w:jc w:val="left"/>
                    <w:rPr>
                      <w:sz w:val="20"/>
                      <w:szCs w:val="20"/>
                    </w:rPr>
                  </w:pPr>
                  <w:r w:rsidRPr="00FF0DA6">
                    <w:rPr>
                      <w:sz w:val="20"/>
                      <w:szCs w:val="20"/>
                    </w:rPr>
                    <w:t>50 mg/m</w:t>
                  </w:r>
                  <w:r w:rsidRPr="00FF0DA6">
                    <w:rPr>
                      <w:sz w:val="20"/>
                      <w:szCs w:val="20"/>
                      <w:vertAlign w:val="superscript"/>
                    </w:rPr>
                    <w:t>3</w:t>
                  </w:r>
                </w:p>
              </w:tc>
              <w:tc>
                <w:tcPr>
                  <w:tcW w:w="950" w:type="pct"/>
                  <w:tcBorders>
                    <w:top w:val="outset" w:sz="6" w:space="0" w:color="auto"/>
                    <w:left w:val="outset" w:sz="6" w:space="0" w:color="auto"/>
                    <w:bottom w:val="outset" w:sz="6" w:space="0" w:color="auto"/>
                    <w:right w:val="outset" w:sz="6" w:space="0" w:color="auto"/>
                  </w:tcBorders>
                </w:tcPr>
                <w:p w14:paraId="7B8F5C4D" w14:textId="42578014" w:rsidR="00FF0DA6" w:rsidRPr="00FF0DA6" w:rsidRDefault="0089734C" w:rsidP="0089734C">
                  <w:pPr>
                    <w:pStyle w:val="naisc"/>
                    <w:spacing w:before="0" w:after="0"/>
                    <w:ind w:left="118"/>
                    <w:jc w:val="left"/>
                    <w:rPr>
                      <w:sz w:val="20"/>
                      <w:szCs w:val="20"/>
                    </w:rPr>
                  </w:pPr>
                  <w:r>
                    <w:rPr>
                      <w:sz w:val="20"/>
                      <w:szCs w:val="20"/>
                    </w:rPr>
                    <w:t>2</w:t>
                  </w:r>
                  <w:r w:rsidR="00FF0DA6" w:rsidRPr="00FF0DA6">
                    <w:rPr>
                      <w:sz w:val="20"/>
                      <w:szCs w:val="20"/>
                    </w:rPr>
                    <w:t>0 mg/m</w:t>
                  </w:r>
                  <w:r w:rsidR="00FF0DA6" w:rsidRPr="00FF0DA6">
                    <w:rPr>
                      <w:sz w:val="20"/>
                      <w:szCs w:val="20"/>
                      <w:vertAlign w:val="superscript"/>
                    </w:rPr>
                    <w:t>3</w:t>
                  </w:r>
                </w:p>
              </w:tc>
              <w:tc>
                <w:tcPr>
                  <w:tcW w:w="1092" w:type="pct"/>
                  <w:tcBorders>
                    <w:top w:val="outset" w:sz="6" w:space="0" w:color="auto"/>
                    <w:left w:val="outset" w:sz="6" w:space="0" w:color="auto"/>
                    <w:bottom w:val="outset" w:sz="6" w:space="0" w:color="auto"/>
                    <w:right w:val="outset" w:sz="6" w:space="0" w:color="auto"/>
                  </w:tcBorders>
                </w:tcPr>
                <w:p w14:paraId="45D4FB0C" w14:textId="77777777" w:rsidR="00FF0DA6" w:rsidRPr="00FF0DA6" w:rsidRDefault="00FF0DA6" w:rsidP="0089734C">
                  <w:pPr>
                    <w:pStyle w:val="naisc"/>
                    <w:spacing w:before="0" w:after="0"/>
                    <w:ind w:left="129" w:firstLine="1"/>
                    <w:jc w:val="left"/>
                    <w:rPr>
                      <w:sz w:val="20"/>
                      <w:szCs w:val="20"/>
                    </w:rPr>
                  </w:pPr>
                  <w:r w:rsidRPr="00FF0DA6">
                    <w:rPr>
                      <w:sz w:val="20"/>
                      <w:szCs w:val="20"/>
                    </w:rPr>
                    <w:t>20 mg/m</w:t>
                  </w:r>
                  <w:r w:rsidRPr="00FF0DA6">
                    <w:rPr>
                      <w:sz w:val="20"/>
                      <w:szCs w:val="20"/>
                      <w:vertAlign w:val="superscript"/>
                    </w:rPr>
                    <w:t>3</w:t>
                  </w:r>
                </w:p>
              </w:tc>
              <w:tc>
                <w:tcPr>
                  <w:tcW w:w="915" w:type="pct"/>
                  <w:tcBorders>
                    <w:top w:val="outset" w:sz="6" w:space="0" w:color="auto"/>
                    <w:left w:val="outset" w:sz="6" w:space="0" w:color="auto"/>
                    <w:bottom w:val="outset" w:sz="6" w:space="0" w:color="auto"/>
                    <w:right w:val="outset" w:sz="6" w:space="0" w:color="auto"/>
                  </w:tcBorders>
                </w:tcPr>
                <w:p w14:paraId="16AFC59E" w14:textId="77777777" w:rsidR="00FF0DA6" w:rsidRPr="00FF0DA6" w:rsidRDefault="00FF0DA6" w:rsidP="0089734C">
                  <w:pPr>
                    <w:pStyle w:val="naisc"/>
                    <w:spacing w:before="0" w:after="0"/>
                    <w:ind w:left="113" w:firstLine="2"/>
                    <w:jc w:val="left"/>
                    <w:rPr>
                      <w:sz w:val="20"/>
                      <w:szCs w:val="20"/>
                      <w:vertAlign w:val="superscript"/>
                    </w:rPr>
                  </w:pPr>
                  <w:r w:rsidRPr="00FF0DA6">
                    <w:rPr>
                      <w:sz w:val="20"/>
                      <w:szCs w:val="20"/>
                    </w:rPr>
                    <w:t>10 mg/m</w:t>
                  </w:r>
                  <w:r w:rsidRPr="00FF0DA6">
                    <w:rPr>
                      <w:sz w:val="20"/>
                      <w:szCs w:val="20"/>
                      <w:vertAlign w:val="superscript"/>
                    </w:rPr>
                    <w:t>3</w:t>
                  </w:r>
                </w:p>
                <w:p w14:paraId="703CF219" w14:textId="77777777" w:rsidR="00FF0DA6" w:rsidRPr="00FF0DA6" w:rsidRDefault="00FF0DA6" w:rsidP="0089734C">
                  <w:pPr>
                    <w:pStyle w:val="naisc"/>
                    <w:spacing w:before="0" w:after="0"/>
                    <w:ind w:left="129" w:firstLine="1"/>
                    <w:jc w:val="left"/>
                    <w:rPr>
                      <w:sz w:val="20"/>
                      <w:szCs w:val="20"/>
                      <w:vertAlign w:val="superscript"/>
                    </w:rPr>
                  </w:pPr>
                  <w:r w:rsidRPr="00FF0DA6">
                    <w:rPr>
                      <w:sz w:val="20"/>
                      <w:szCs w:val="20"/>
                    </w:rPr>
                    <w:t>Kūdrai: 20 mg/m</w:t>
                  </w:r>
                  <w:r w:rsidRPr="00FF0DA6">
                    <w:rPr>
                      <w:sz w:val="20"/>
                      <w:szCs w:val="20"/>
                      <w:vertAlign w:val="superscript"/>
                    </w:rPr>
                    <w:t>3</w:t>
                  </w:r>
                </w:p>
                <w:p w14:paraId="6D208FA8" w14:textId="77777777" w:rsidR="00FF0DA6" w:rsidRPr="00FF0DA6" w:rsidRDefault="00FF0DA6" w:rsidP="0089734C">
                  <w:pPr>
                    <w:pStyle w:val="naisc"/>
                    <w:spacing w:before="0" w:after="0"/>
                    <w:ind w:left="113" w:firstLine="2"/>
                    <w:jc w:val="left"/>
                    <w:rPr>
                      <w:sz w:val="20"/>
                      <w:szCs w:val="20"/>
                    </w:rPr>
                  </w:pPr>
                </w:p>
              </w:tc>
            </w:tr>
          </w:tbl>
          <w:p w14:paraId="00797DB3" w14:textId="77777777" w:rsidR="00FF0DA6" w:rsidRPr="00DF5371" w:rsidRDefault="00FF0DA6" w:rsidP="0089734C">
            <w:pPr>
              <w:rPr>
                <w:b/>
              </w:rPr>
            </w:pPr>
          </w:p>
        </w:tc>
      </w:tr>
      <w:tr w:rsidR="00FF0DA6" w:rsidRPr="0089734C" w14:paraId="34660769" w14:textId="77777777" w:rsidTr="00CD15D0">
        <w:tc>
          <w:tcPr>
            <w:tcW w:w="683" w:type="dxa"/>
            <w:tcBorders>
              <w:top w:val="single" w:sz="6" w:space="0" w:color="000000"/>
              <w:left w:val="single" w:sz="6" w:space="0" w:color="000000"/>
              <w:bottom w:val="single" w:sz="6" w:space="0" w:color="000000"/>
              <w:right w:val="single" w:sz="6" w:space="0" w:color="000000"/>
            </w:tcBorders>
          </w:tcPr>
          <w:p w14:paraId="2B73605E" w14:textId="65B109CF" w:rsidR="00FF0DA6" w:rsidRPr="0089734C" w:rsidRDefault="00911777" w:rsidP="0089734C">
            <w:pPr>
              <w:pStyle w:val="naisc"/>
              <w:spacing w:before="0" w:after="0"/>
              <w:jc w:val="both"/>
              <w:rPr>
                <w:b/>
              </w:rPr>
            </w:pPr>
            <w:r>
              <w:rPr>
                <w:b/>
              </w:rPr>
              <w:lastRenderedPageBreak/>
              <w:t>15.</w:t>
            </w:r>
          </w:p>
        </w:tc>
        <w:tc>
          <w:tcPr>
            <w:tcW w:w="3286" w:type="dxa"/>
            <w:tcBorders>
              <w:top w:val="single" w:sz="6" w:space="0" w:color="000000"/>
              <w:left w:val="single" w:sz="6" w:space="0" w:color="000000"/>
              <w:bottom w:val="single" w:sz="6" w:space="0" w:color="000000"/>
              <w:right w:val="single" w:sz="6" w:space="0" w:color="000000"/>
            </w:tcBorders>
          </w:tcPr>
          <w:p w14:paraId="7641F4C4" w14:textId="77777777" w:rsidR="0089734C" w:rsidRPr="0089734C" w:rsidRDefault="0089734C" w:rsidP="0089734C">
            <w:pPr>
              <w:pStyle w:val="naisf"/>
              <w:spacing w:before="0" w:after="0"/>
              <w:ind w:firstLine="709"/>
            </w:pPr>
            <w:r w:rsidRPr="0089734C">
              <w:t>10. 12. punktā:</w:t>
            </w:r>
          </w:p>
          <w:p w14:paraId="57CA52BD" w14:textId="77777777" w:rsidR="0089734C" w:rsidRPr="0089734C" w:rsidRDefault="0089734C" w:rsidP="0089734C">
            <w:pPr>
              <w:pStyle w:val="naisf"/>
              <w:spacing w:before="0" w:after="0"/>
              <w:ind w:firstLine="709"/>
            </w:pPr>
            <w:r w:rsidRPr="0089734C">
              <w:t xml:space="preserve">izteikt 12.6.apakšpunktu šādā redakcijā: </w:t>
            </w:r>
          </w:p>
          <w:p w14:paraId="0444C953" w14:textId="15BDE46F" w:rsidR="00FF0DA6" w:rsidRPr="003569C6" w:rsidRDefault="0089734C" w:rsidP="003569C6">
            <w:pPr>
              <w:pStyle w:val="naisf"/>
              <w:spacing w:before="0" w:after="0"/>
              <w:ind w:firstLine="709"/>
            </w:pPr>
            <w:r w:rsidRPr="0089734C">
              <w:t>“12.6. ņem bīstamo atkritumu paraugus pirms to izkraušanas, lai pārbaudītu bīstamo atkritumu atbilstību šo noteikumu 11.punktā minētajam aprakstam un šo noteikumu 7.punktā minētās atļaujas nosacījumiem, kā arī lai dotu iespēju Valsts vides dienestam noteikt sadedzināmo atkritumu īpašības. Bīstamo atkritumu paraugus uzglabā ne mazāk kā mēnesi pēc to sadedzināšanas.”</w:t>
            </w:r>
          </w:p>
        </w:tc>
        <w:tc>
          <w:tcPr>
            <w:tcW w:w="4536" w:type="dxa"/>
            <w:tcBorders>
              <w:top w:val="single" w:sz="6" w:space="0" w:color="000000"/>
              <w:left w:val="single" w:sz="6" w:space="0" w:color="000000"/>
              <w:bottom w:val="single" w:sz="6" w:space="0" w:color="000000"/>
              <w:right w:val="single" w:sz="6" w:space="0" w:color="000000"/>
            </w:tcBorders>
          </w:tcPr>
          <w:p w14:paraId="2466BFDA" w14:textId="77777777" w:rsidR="00FF0DA6" w:rsidRPr="0089734C" w:rsidRDefault="00FF0DA6" w:rsidP="0089734C">
            <w:pPr>
              <w:pStyle w:val="naisc"/>
              <w:spacing w:before="0" w:after="0"/>
              <w:ind w:right="3"/>
              <w:jc w:val="both"/>
              <w:rPr>
                <w:b/>
              </w:rPr>
            </w:pPr>
            <w:r w:rsidRPr="0089734C">
              <w:rPr>
                <w:b/>
              </w:rPr>
              <w:t>Tieslietu ministrija:</w:t>
            </w:r>
          </w:p>
          <w:p w14:paraId="14DAD6CE" w14:textId="77777777" w:rsidR="00FF0DA6" w:rsidRPr="0089734C" w:rsidRDefault="00FF0DA6" w:rsidP="0089734C">
            <w:pPr>
              <w:ind w:right="12" w:firstLine="567"/>
              <w:jc w:val="both"/>
            </w:pPr>
            <w:r w:rsidRPr="0089734C">
              <w:t>6. Lūdzam izvērtēt un svītrot noteikumu projekta 10. punktā izteiktajā noteikumu Nr. 401 12.6. apakšpunktā norādi par mērķi dot iespēju Valsts vides dienestam noteikt sadedzināmo atkritumu īpašības, nepieciešamības gadījumā attiecīgu informāciju ietverot noteikumu projekta anotācijā. Norādām, ka atbilstoši noteikumu Nr. 108 3.1. apakšpunktam normatīvā akta projektā neietver normas, kas ir deklaratīvas. Alternatīvi lūdzam sniegt skaidrojumu par minētās norādes juridisko slodzi.</w:t>
            </w:r>
          </w:p>
          <w:p w14:paraId="5DEC1A17" w14:textId="1169D6EB" w:rsidR="00FF0DA6" w:rsidRPr="0089734C" w:rsidRDefault="00FF0DA6" w:rsidP="0089734C">
            <w:pPr>
              <w:pStyle w:val="naisc"/>
              <w:spacing w:before="0" w:after="0"/>
              <w:ind w:right="3"/>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45B1D340" w14:textId="44A28167" w:rsidR="00FF0DA6" w:rsidRPr="0089734C" w:rsidRDefault="0089734C" w:rsidP="0089734C">
            <w:pPr>
              <w:pStyle w:val="naisc"/>
              <w:spacing w:before="0" w:after="0"/>
              <w:ind w:firstLine="21"/>
              <w:jc w:val="both"/>
              <w:rPr>
                <w:b/>
              </w:rPr>
            </w:pPr>
            <w:r>
              <w:rPr>
                <w:b/>
              </w:rPr>
              <w:t xml:space="preserve">Iebildums ir ņemts vērā. </w:t>
            </w:r>
            <w:r w:rsidR="0031175C" w:rsidRPr="0075069C">
              <w:rPr>
                <w:b/>
              </w:rPr>
              <w:t>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04AFF6B6" w14:textId="77777777" w:rsidR="0089734C" w:rsidRPr="0089734C" w:rsidRDefault="0089734C" w:rsidP="0089734C">
            <w:pPr>
              <w:pStyle w:val="naisf"/>
              <w:spacing w:before="0" w:after="0"/>
              <w:ind w:firstLine="709"/>
            </w:pPr>
            <w:r w:rsidRPr="0089734C">
              <w:t xml:space="preserve">13. izteikt noteikumu 12.6.apakšpunktu šādā redakcijā: </w:t>
            </w:r>
          </w:p>
          <w:p w14:paraId="6D986155" w14:textId="77777777" w:rsidR="0089734C" w:rsidRPr="0089734C" w:rsidRDefault="0089734C" w:rsidP="0089734C">
            <w:pPr>
              <w:pStyle w:val="naisf"/>
              <w:spacing w:before="0" w:after="0"/>
              <w:ind w:firstLine="709"/>
            </w:pPr>
            <w:r w:rsidRPr="0089734C">
              <w:t>“12.6. ņem bīstamo atkritumu paraugus pirms to izkraušanas, lai pārbaudītu bīstamo atkritumu atbilstību šo noteikumu 11.punktā minētajam aprakstam un šo noteikumu 7.punktā minētās atļaujas nosacījumiem. Bīstamo atkritumu paraugus uzglabā ne mazāk kā mēnesi pēc to sadedzināšanas vai līdzsadedzināšanas.”</w:t>
            </w:r>
          </w:p>
          <w:p w14:paraId="5202117F" w14:textId="77777777" w:rsidR="00FF0DA6" w:rsidRPr="0089734C" w:rsidRDefault="00FF0DA6" w:rsidP="0089734C">
            <w:pPr>
              <w:jc w:val="both"/>
              <w:rPr>
                <w:b/>
              </w:rPr>
            </w:pPr>
          </w:p>
        </w:tc>
      </w:tr>
      <w:tr w:rsidR="00FF0DA6" w:rsidRPr="0089734C" w14:paraId="26A7CF10" w14:textId="77777777" w:rsidTr="00CD15D0">
        <w:tc>
          <w:tcPr>
            <w:tcW w:w="683" w:type="dxa"/>
            <w:tcBorders>
              <w:top w:val="single" w:sz="6" w:space="0" w:color="000000"/>
              <w:left w:val="single" w:sz="6" w:space="0" w:color="000000"/>
              <w:bottom w:val="single" w:sz="6" w:space="0" w:color="000000"/>
              <w:right w:val="single" w:sz="6" w:space="0" w:color="000000"/>
            </w:tcBorders>
          </w:tcPr>
          <w:p w14:paraId="49370B8E" w14:textId="6AF03BC9" w:rsidR="00FF0DA6" w:rsidRPr="0089734C" w:rsidRDefault="00911777" w:rsidP="0089734C">
            <w:pPr>
              <w:pStyle w:val="naisc"/>
              <w:spacing w:before="0" w:after="0"/>
              <w:jc w:val="both"/>
              <w:rPr>
                <w:b/>
              </w:rPr>
            </w:pPr>
            <w:r>
              <w:rPr>
                <w:b/>
              </w:rPr>
              <w:t>16.</w:t>
            </w:r>
          </w:p>
        </w:tc>
        <w:tc>
          <w:tcPr>
            <w:tcW w:w="3286" w:type="dxa"/>
            <w:tcBorders>
              <w:top w:val="single" w:sz="6" w:space="0" w:color="000000"/>
              <w:left w:val="single" w:sz="6" w:space="0" w:color="000000"/>
              <w:bottom w:val="single" w:sz="6" w:space="0" w:color="000000"/>
              <w:right w:val="single" w:sz="6" w:space="0" w:color="000000"/>
            </w:tcBorders>
          </w:tcPr>
          <w:p w14:paraId="0A4166CA" w14:textId="77777777" w:rsidR="0089734C" w:rsidRPr="0089734C" w:rsidRDefault="0089734C" w:rsidP="0089734C">
            <w:pPr>
              <w:pStyle w:val="naisf"/>
              <w:spacing w:before="0" w:after="0"/>
              <w:ind w:firstLine="720"/>
            </w:pPr>
            <w:r w:rsidRPr="0089734C">
              <w:t xml:space="preserve">12. Izteikt 22.punktu šādā redakcijā: </w:t>
            </w:r>
          </w:p>
          <w:p w14:paraId="5FC31A34" w14:textId="30F13364" w:rsidR="00FF0DA6" w:rsidRPr="003569C6" w:rsidRDefault="0089734C" w:rsidP="003569C6">
            <w:pPr>
              <w:pStyle w:val="naisf"/>
              <w:spacing w:before="0" w:after="0"/>
              <w:ind w:firstLine="720"/>
            </w:pPr>
            <w:r w:rsidRPr="0089734C">
              <w:t xml:space="preserve">“22. Valsts vides dienests šajos noteikumos minētās atļaujas nosacījumos </w:t>
            </w:r>
            <w:r w:rsidRPr="0089734C">
              <w:lastRenderedPageBreak/>
              <w:t xml:space="preserve">atkāpes no šo noteikumu 16., 17., 18. un 19.punktā noteiktajām prasībām nosaka, ja nepalielinās iegūto atlikumu daudzums vai netiek iegūti atlikumi ar augstāku organisko savienojumu saturu, kā arī ir ievērotas šajos noteikumos noteiktās emisijas robežvērtības, tai skaitā emisiju robežvērtības attiecībā uz kopējo organisko oglekli un oglekļa oksīdu atbilstoši šo noteikumu 2.pielikumam. Šo noteikumu 2.pielikumā noteiktās emisiju robežvērtības attiecas arī uz celulozes un papīra ražošanas uzņēmumu kopējām organiskā oglekļa emisijām no katliem, kurus kurina ar mizām un kuros līdzsadedzina atkritumus to rašanās vietās, kuri ir ekspluatācijā, kuriem atļaujas izsniegtas pirms 2002.gada 28.decembra un kuriem ir atļauts mainīt ekspluatācijas apstākļus saskaņā ar </w:t>
            </w:r>
            <w:r w:rsidRPr="0089734C">
              <w:lastRenderedPageBreak/>
              <w:t>normatīvajiem aktiem par piesārņojumu.”</w:t>
            </w:r>
          </w:p>
        </w:tc>
        <w:tc>
          <w:tcPr>
            <w:tcW w:w="4536" w:type="dxa"/>
            <w:tcBorders>
              <w:top w:val="single" w:sz="6" w:space="0" w:color="000000"/>
              <w:left w:val="single" w:sz="6" w:space="0" w:color="000000"/>
              <w:bottom w:val="single" w:sz="6" w:space="0" w:color="000000"/>
              <w:right w:val="single" w:sz="6" w:space="0" w:color="000000"/>
            </w:tcBorders>
          </w:tcPr>
          <w:p w14:paraId="7895BD23" w14:textId="77777777" w:rsidR="00FF0DA6" w:rsidRPr="0089734C" w:rsidRDefault="00FF0DA6" w:rsidP="0089734C">
            <w:pPr>
              <w:pStyle w:val="naisc"/>
              <w:spacing w:before="0" w:after="0"/>
              <w:ind w:right="3"/>
              <w:jc w:val="both"/>
              <w:rPr>
                <w:b/>
              </w:rPr>
            </w:pPr>
            <w:r w:rsidRPr="0089734C">
              <w:rPr>
                <w:b/>
              </w:rPr>
              <w:lastRenderedPageBreak/>
              <w:t>Tieslietu ministrija:</w:t>
            </w:r>
          </w:p>
          <w:p w14:paraId="2385DE2E" w14:textId="77777777" w:rsidR="00FF0DA6" w:rsidRPr="0089734C" w:rsidRDefault="00FF0DA6" w:rsidP="0089734C">
            <w:pPr>
              <w:ind w:right="12" w:firstLine="567"/>
              <w:jc w:val="both"/>
            </w:pPr>
            <w:r w:rsidRPr="0089734C">
              <w:t xml:space="preserve">7. Norādām, ka saskaņā ar Komerclikuma 18. pantu termins ''uzņēmums'' apzīmē organizatoriski saimniecisku vienību un nevis </w:t>
            </w:r>
            <w:r w:rsidRPr="0089734C">
              <w:lastRenderedPageBreak/>
              <w:t>komercdarbības vai saimnieciskās darbības subjektu. Ņemot vērā minēto, lūdzam izvērtēt un precizēt noteikumu projekta 12. punktā izteikto noteikumu Nr. 401 22. punktu, jēdziena ''uzņēmums'' vietā lietojot jēdzienu ''komersants'' vai ''saimnieciskās darbības veicējs''. Alternatīvi lūdzam noteikumu projekta anotācijā sniegt izvērstu skaidrojumu par jēdziena ''uzņēmums'' izpratni noteikumu projektā.</w:t>
            </w:r>
          </w:p>
          <w:p w14:paraId="5AD13201" w14:textId="0B773E17" w:rsidR="00FF0DA6" w:rsidRPr="0089734C" w:rsidRDefault="00FF0DA6" w:rsidP="0089734C">
            <w:pPr>
              <w:pStyle w:val="naisc"/>
              <w:spacing w:before="0" w:after="0"/>
              <w:ind w:right="3"/>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26782688" w14:textId="294B2E5A" w:rsidR="00FF0DA6" w:rsidRPr="0089734C" w:rsidRDefault="0089734C" w:rsidP="0089734C">
            <w:pPr>
              <w:pStyle w:val="naisc"/>
              <w:spacing w:before="0" w:after="0"/>
              <w:ind w:firstLine="21"/>
              <w:jc w:val="both"/>
              <w:rPr>
                <w:b/>
              </w:rPr>
            </w:pPr>
            <w:r w:rsidRPr="0089734C">
              <w:rPr>
                <w:b/>
              </w:rPr>
              <w:lastRenderedPageBreak/>
              <w:t xml:space="preserve">Iebildums ir ņemts vērā. </w:t>
            </w:r>
            <w:r w:rsidR="0031175C" w:rsidRPr="0075069C">
              <w:rPr>
                <w:b/>
              </w:rPr>
              <w:t xml:space="preserve">Veikto precizējumu rezultātā ir mainījusies </w:t>
            </w:r>
            <w:r w:rsidR="0031175C" w:rsidRPr="0075069C">
              <w:rPr>
                <w:b/>
              </w:rPr>
              <w:lastRenderedPageBreak/>
              <w:t>noteikumu projekta normu numerācija.</w:t>
            </w:r>
          </w:p>
        </w:tc>
        <w:tc>
          <w:tcPr>
            <w:tcW w:w="3686" w:type="dxa"/>
            <w:tcBorders>
              <w:top w:val="single" w:sz="4" w:space="0" w:color="auto"/>
              <w:left w:val="single" w:sz="4" w:space="0" w:color="auto"/>
              <w:bottom w:val="single" w:sz="4" w:space="0" w:color="auto"/>
            </w:tcBorders>
          </w:tcPr>
          <w:p w14:paraId="068EEF7C" w14:textId="70831603" w:rsidR="0089734C" w:rsidRPr="0089734C" w:rsidRDefault="0089734C" w:rsidP="0089734C">
            <w:pPr>
              <w:pStyle w:val="naisf"/>
              <w:spacing w:before="0" w:after="0"/>
              <w:ind w:firstLine="720"/>
            </w:pPr>
            <w:r w:rsidRPr="0089734C">
              <w:lastRenderedPageBreak/>
              <w:t>1</w:t>
            </w:r>
            <w:r w:rsidR="00C670D1">
              <w:t>7</w:t>
            </w:r>
            <w:r w:rsidRPr="0089734C">
              <w:t xml:space="preserve">. Izteikt 22.punktu šādā redakcijā: </w:t>
            </w:r>
          </w:p>
          <w:p w14:paraId="6A6B04E6" w14:textId="2FBAD59E" w:rsidR="00FF0DA6" w:rsidRPr="0089734C" w:rsidRDefault="0089734C" w:rsidP="0089734C">
            <w:pPr>
              <w:jc w:val="both"/>
              <w:rPr>
                <w:b/>
              </w:rPr>
            </w:pPr>
            <w:r w:rsidRPr="0089734C">
              <w:t xml:space="preserve">“22. Valsts vides dienests šajos noteikumos minētās atļaujas nosacījumos </w:t>
            </w:r>
            <w:r w:rsidR="00296C52" w:rsidRPr="0089734C">
              <w:t xml:space="preserve">nosaka </w:t>
            </w:r>
            <w:r w:rsidRPr="0089734C">
              <w:t xml:space="preserve">atkāpes no šo </w:t>
            </w:r>
            <w:r w:rsidRPr="0089734C">
              <w:lastRenderedPageBreak/>
              <w:t>noteikumu 16., 17., 18. un 19.punktā noteiktajām prasībām, ja nepalielinās iegūto atlikumu daudzums vai netiek iegūti atlikumi ar augstāku organisko savienojumu saturu, kā arī ir ievērotas šajos noteikumos noteiktās emisijas robežvērtības, tai skaitā emisiju robežvērtības attiecībā uz kopējo organisko oglekli un oglekļa oksīdu atbilstoši šo noteikumu 2.pielikumam. Šo noteikumu 2.pielikumā noteiktās emisiju robežvērtības attiecas arī uz celulozes un papīra ražošanas iekārtu  kopējām organiskā oglekļa emisijām no katliem, kurus kurina ar mizām un kuros līdzsadedzina atkritumus to rašanās vietās, kuri ir ekspluatācijā, kuriem atļaujas izsniegtas pirms 2002.gada 28.decembra un kuriem ir atļauts mainīt ekspluatācijas apstākļus saskaņā ar normatīvajiem aktiem par piesārņojumu.”</w:t>
            </w:r>
          </w:p>
        </w:tc>
      </w:tr>
      <w:tr w:rsidR="00FF0DA6" w:rsidRPr="00440FE6" w14:paraId="51853308" w14:textId="77777777" w:rsidTr="00CD15D0">
        <w:tc>
          <w:tcPr>
            <w:tcW w:w="683" w:type="dxa"/>
            <w:tcBorders>
              <w:top w:val="single" w:sz="6" w:space="0" w:color="000000"/>
              <w:left w:val="single" w:sz="6" w:space="0" w:color="000000"/>
              <w:bottom w:val="single" w:sz="6" w:space="0" w:color="000000"/>
              <w:right w:val="single" w:sz="6" w:space="0" w:color="000000"/>
            </w:tcBorders>
          </w:tcPr>
          <w:p w14:paraId="0EBF54AF" w14:textId="0E5AF4AF" w:rsidR="00FF0DA6" w:rsidRPr="00440FE6" w:rsidRDefault="00911777" w:rsidP="00255820">
            <w:pPr>
              <w:pStyle w:val="naisc"/>
              <w:spacing w:before="0" w:after="0"/>
              <w:jc w:val="both"/>
              <w:rPr>
                <w:b/>
              </w:rPr>
            </w:pPr>
            <w:r>
              <w:rPr>
                <w:b/>
              </w:rPr>
              <w:lastRenderedPageBreak/>
              <w:t>17.</w:t>
            </w:r>
          </w:p>
        </w:tc>
        <w:tc>
          <w:tcPr>
            <w:tcW w:w="3286" w:type="dxa"/>
            <w:tcBorders>
              <w:top w:val="single" w:sz="6" w:space="0" w:color="000000"/>
              <w:left w:val="single" w:sz="6" w:space="0" w:color="000000"/>
              <w:bottom w:val="single" w:sz="6" w:space="0" w:color="000000"/>
              <w:right w:val="single" w:sz="6" w:space="0" w:color="000000"/>
            </w:tcBorders>
          </w:tcPr>
          <w:p w14:paraId="4CDD8495" w14:textId="77777777" w:rsidR="0089734C" w:rsidRPr="00440FE6" w:rsidRDefault="0089734C" w:rsidP="00255820">
            <w:pPr>
              <w:pStyle w:val="naisf"/>
              <w:spacing w:before="0" w:after="0"/>
              <w:ind w:firstLine="709"/>
            </w:pPr>
            <w:r w:rsidRPr="00440FE6">
              <w:t xml:space="preserve">14. Aizstāt 34.punktā skaitli un vārdu “59.punktā” ar skaitli un vārdu “5.pielikumā”. </w:t>
            </w:r>
          </w:p>
          <w:p w14:paraId="5D207612" w14:textId="77777777" w:rsidR="00FF0DA6" w:rsidRPr="00440FE6" w:rsidRDefault="00FF0DA6" w:rsidP="00255820">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0C1CA8D6" w14:textId="77777777" w:rsidR="00FF0DA6" w:rsidRPr="00440FE6" w:rsidRDefault="00FF0DA6" w:rsidP="00255820">
            <w:pPr>
              <w:pStyle w:val="naisc"/>
              <w:spacing w:before="0" w:after="0"/>
              <w:ind w:right="3"/>
              <w:jc w:val="both"/>
              <w:rPr>
                <w:b/>
              </w:rPr>
            </w:pPr>
            <w:r w:rsidRPr="00440FE6">
              <w:rPr>
                <w:b/>
              </w:rPr>
              <w:t>Tieslietu ministrija:</w:t>
            </w:r>
          </w:p>
          <w:p w14:paraId="4285E27F" w14:textId="77777777" w:rsidR="00FF0DA6" w:rsidRPr="00440FE6" w:rsidRDefault="00FF0DA6" w:rsidP="00255820">
            <w:pPr>
              <w:ind w:right="12" w:firstLine="567"/>
              <w:jc w:val="both"/>
            </w:pPr>
            <w:r w:rsidRPr="00440FE6">
              <w:t>8. Lūdzam izvērtēt un atbilstoši precizēt noteikumu projekta 14. punktā ietverto atsauci, ņemot vērā, ka noteikumu Nr. 401 5. pielikumā pirmšķietami nav ietverti parametri, uz kuriem ietverta atsauce noteikumu projekta 14. punktā izteiktajā noteikumu Nr. 401 34. punktā.</w:t>
            </w:r>
          </w:p>
          <w:p w14:paraId="415E68BB" w14:textId="79494D05" w:rsidR="00FF0DA6" w:rsidRPr="00440FE6" w:rsidRDefault="00FF0DA6" w:rsidP="00255820">
            <w:pPr>
              <w:pStyle w:val="naisc"/>
              <w:spacing w:before="0" w:after="0"/>
              <w:ind w:right="3"/>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5DE49FC1" w14:textId="443DF5AE" w:rsidR="00FF0DA6" w:rsidRPr="00440FE6" w:rsidRDefault="00577CC0" w:rsidP="00255820">
            <w:pPr>
              <w:pStyle w:val="naisc"/>
              <w:spacing w:before="0" w:after="0"/>
              <w:ind w:firstLine="21"/>
              <w:jc w:val="both"/>
              <w:rPr>
                <w:b/>
              </w:rPr>
            </w:pPr>
            <w:r w:rsidRPr="00440FE6">
              <w:rPr>
                <w:b/>
              </w:rPr>
              <w:t xml:space="preserve">Iebildums ir ņemts vērā. </w:t>
            </w:r>
            <w:r w:rsidR="0031175C" w:rsidRPr="0075069C">
              <w:rPr>
                <w:b/>
              </w:rPr>
              <w:t>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1FC5B846" w14:textId="6918A81A" w:rsidR="00440FE6" w:rsidRPr="00440FE6" w:rsidRDefault="00C670D1" w:rsidP="00255820">
            <w:pPr>
              <w:pStyle w:val="naisf"/>
              <w:spacing w:before="0" w:after="0"/>
              <w:ind w:firstLine="0"/>
            </w:pPr>
            <w:r>
              <w:t>20</w:t>
            </w:r>
            <w:r w:rsidR="00440FE6" w:rsidRPr="00440FE6">
              <w:t xml:space="preserve">. Izteikt noteikumu 35.punkta pirmo teikumu šādā redakcijā: </w:t>
            </w:r>
          </w:p>
          <w:p w14:paraId="26D19671" w14:textId="7F3B1185" w:rsidR="00FF0DA6" w:rsidRPr="00440FE6" w:rsidRDefault="00440FE6" w:rsidP="00255820">
            <w:pPr>
              <w:jc w:val="both"/>
              <w:rPr>
                <w:b/>
              </w:rPr>
            </w:pPr>
            <w:r w:rsidRPr="00440FE6">
              <w:t>“</w:t>
            </w:r>
            <w:bookmarkStart w:id="5" w:name="p35"/>
            <w:bookmarkStart w:id="6" w:name="p-395732"/>
            <w:bookmarkEnd w:id="5"/>
            <w:bookmarkEnd w:id="6"/>
            <w:r w:rsidRPr="00440FE6">
              <w:t xml:space="preserve">35. Šo noteikumu </w:t>
            </w:r>
            <w:hyperlink r:id="rId7" w:anchor="p34" w:history="1">
              <w:r w:rsidRPr="00440FE6">
                <w:rPr>
                  <w:rStyle w:val="Hyperlink"/>
                </w:rPr>
                <w:t>34.punktā</w:t>
              </w:r>
            </w:hyperlink>
            <w:r w:rsidRPr="00440FE6">
              <w:t xml:space="preserve"> minētajos gadījumos operators aprēķina masas bilanci, ņemot vērā atbilstoši šo noteikumu VII nodaļas prasībām veikto mērījumu rezultātus un nosakot emitēto vielu daudzumu no attīrīšanas iekārtām novadītajos notekūdeņos, kā arī aprēķina, vai izplūdes gāzu attīrīšanas procesā radušies notekūdeņi pēc to attīrīšanas atbilst šo noteikumu </w:t>
            </w:r>
            <w:hyperlink r:id="rId8" w:anchor="piel5" w:history="1">
              <w:r w:rsidRPr="00440FE6">
                <w:rPr>
                  <w:rStyle w:val="Hyperlink"/>
                </w:rPr>
                <w:t>5.pielikumā</w:t>
              </w:r>
            </w:hyperlink>
            <w:r w:rsidRPr="00440FE6">
              <w:t xml:space="preserve"> noteiktajām emisijas robežvērtībām.”</w:t>
            </w:r>
          </w:p>
        </w:tc>
      </w:tr>
      <w:tr w:rsidR="00FF0DA6" w:rsidRPr="00255820" w14:paraId="75AFB578" w14:textId="77777777" w:rsidTr="00CD15D0">
        <w:tc>
          <w:tcPr>
            <w:tcW w:w="683" w:type="dxa"/>
            <w:tcBorders>
              <w:top w:val="single" w:sz="6" w:space="0" w:color="000000"/>
              <w:left w:val="single" w:sz="6" w:space="0" w:color="000000"/>
              <w:bottom w:val="single" w:sz="6" w:space="0" w:color="000000"/>
              <w:right w:val="single" w:sz="6" w:space="0" w:color="000000"/>
            </w:tcBorders>
          </w:tcPr>
          <w:p w14:paraId="7E03ACC5" w14:textId="54DBA4FD" w:rsidR="00FF0DA6" w:rsidRPr="00255820" w:rsidRDefault="00911777" w:rsidP="00255820">
            <w:pPr>
              <w:pStyle w:val="naisc"/>
              <w:spacing w:before="0" w:after="0"/>
              <w:jc w:val="both"/>
              <w:rPr>
                <w:b/>
              </w:rPr>
            </w:pPr>
            <w:r>
              <w:rPr>
                <w:b/>
              </w:rPr>
              <w:t>18.</w:t>
            </w:r>
          </w:p>
        </w:tc>
        <w:tc>
          <w:tcPr>
            <w:tcW w:w="3286" w:type="dxa"/>
            <w:tcBorders>
              <w:top w:val="single" w:sz="6" w:space="0" w:color="000000"/>
              <w:left w:val="single" w:sz="6" w:space="0" w:color="000000"/>
              <w:bottom w:val="single" w:sz="6" w:space="0" w:color="000000"/>
              <w:right w:val="single" w:sz="6" w:space="0" w:color="000000"/>
            </w:tcBorders>
          </w:tcPr>
          <w:p w14:paraId="4BE7BA7D" w14:textId="77777777" w:rsidR="00255820" w:rsidRPr="00255820" w:rsidRDefault="00255820" w:rsidP="00255820">
            <w:pPr>
              <w:pStyle w:val="naisf"/>
              <w:spacing w:before="0" w:after="0"/>
              <w:ind w:firstLine="720"/>
            </w:pPr>
            <w:r w:rsidRPr="00255820">
              <w:t>16. Izteikt 44.punktu šādā redakcijā:</w:t>
            </w:r>
          </w:p>
          <w:p w14:paraId="13EA2082" w14:textId="77777777" w:rsidR="00255820" w:rsidRPr="00255820" w:rsidRDefault="00255820" w:rsidP="00255820">
            <w:pPr>
              <w:pStyle w:val="naisf"/>
              <w:spacing w:before="0" w:after="0"/>
              <w:ind w:firstLine="720"/>
            </w:pPr>
            <w:r w:rsidRPr="00255820">
              <w:t xml:space="preserve">“44. Operators nodrošina, ka visu piesārņojošo vielu, arī dioksīnu un furānu, paraugu ņemšanas un analīzes iekārtu, kā arī automātisko mērīšanas sistēmu kvalitātes nodrošināšana un kalibrēšana tiek veikta saskaņā ar attiecīgajiem CEN standartiem </w:t>
            </w:r>
            <w:r w:rsidRPr="00255820">
              <w:lastRenderedPageBreak/>
              <w:t>vai Starptautiskās standartizācijas organizācijas (ISO), citu valstu vai starptautiskajiem standartiem, kas nodrošina, ka iegūtajiem datiem ir līdzvērtīga zinātniska kvalitāte. Lai noteiktu emisiju gaisā un ūdenī, automātiskās iekārtas katru gadu pārbauda un testē. Iekārtas ne retāk kā reizi  gadā pārbauda atbilstoši references metodēm, izmantojot paralēlus mērījumus.”</w:t>
            </w:r>
          </w:p>
          <w:p w14:paraId="6E07ECDC" w14:textId="77777777" w:rsidR="00FF0DA6" w:rsidRPr="00255820" w:rsidRDefault="00FF0DA6" w:rsidP="00255820">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18EEF748" w14:textId="77777777" w:rsidR="00FF0DA6" w:rsidRPr="00255820" w:rsidRDefault="00FF0DA6" w:rsidP="00255820">
            <w:pPr>
              <w:pStyle w:val="naisc"/>
              <w:spacing w:before="0" w:after="0"/>
              <w:ind w:right="3"/>
              <w:jc w:val="both"/>
              <w:rPr>
                <w:b/>
              </w:rPr>
            </w:pPr>
            <w:r w:rsidRPr="00255820">
              <w:rPr>
                <w:b/>
              </w:rPr>
              <w:lastRenderedPageBreak/>
              <w:t>Tieslietu ministrija:</w:t>
            </w:r>
          </w:p>
          <w:p w14:paraId="14D97E01" w14:textId="2332A9D6" w:rsidR="00FF0DA6" w:rsidRDefault="00FF0DA6" w:rsidP="003569C6">
            <w:pPr>
              <w:ind w:right="12" w:firstLine="567"/>
              <w:jc w:val="both"/>
            </w:pPr>
            <w:r w:rsidRPr="00255820">
              <w:t xml:space="preserve">9. Vēršam uzmanību, ka noteikumu projekta 16. punktā ietvertas t.s. netiešās atsauces uz standartiem jeb piemērojamiem standartiem. No konceptuālā ziņojuma "Par Latvijas nacionālās standartizācijas sistēmas pilnveidošanu", kas atbalstīts ar Ministru kabineta 2016. gada 21. septembra rīkojumu Nr. 534 "Par konceptuālo ziņojumu "Par Latvijas nacionālās standartizācijas sistēmas pilnveidošanu"" izriet, ka ar "piemērojamo </w:t>
            </w:r>
            <w:r w:rsidRPr="00255820">
              <w:lastRenderedPageBreak/>
              <w:t xml:space="preserve">standartu" saprot tādu standartu, kas normatīvajos aktos nav paredzēts kā obligāti piemērojams, bet kuru var piemērot, lai izpildītu normatīvajā aktā paredzētās obligātās prasības. Proti, normatīvajā aktā tiek noteiktas būtiskās prasības kādai precei vai pakalpojumam, bet veids, kā šīs prasības izpildīt, paliek piemērotāja ziņā – ja viņš izvēlas piemērot standartu, tiek prezumēta preces vai pakalpojuma atbilstība normatīvajos aktos noteiktajām prasībām. Savukārt, izvēloties citu risinājumu, personai jāpierāda, ka izvēlētais risinājums ļauj izpildīt normatīvajos aktos noteiktās prasības. Sarakstu ar standartiem, piemērojot kurus tiek prezumēta atbilstība normatīvajos aktos noteiktajām prasībām, publicē standartizācijas institūcijas tīmekļvietnē. Minētā izpratne un termins "piemērojamie standarti" lietots arī Standartizācijas likumā. Saistībā ar minēto lūdzam izvērtēt un nodrošināt (tai skaitā precizējot noteikumu projektu un nepieciešamības gadījumā sniedzot atbilstošu skaidrojumu arī noteikumu projekta anotācijā), ka no noteikumu projekta nepārprotami izriet tas, ka noteikumu projekta 44. punkts neparedz obligāti piemērojamos standartus, bet gan piemērojamos standartus, paredzot </w:t>
            </w:r>
            <w:r w:rsidRPr="00255820">
              <w:lastRenderedPageBreak/>
              <w:t>noteikumu projektā konkrētas būtiskās prasības kādai precei vai pakalpojumam, bet veidu, kā šīs prasības izpildīt – t.i., vai piemērot piemērojamos standartus –, atstājot operatora ziņā.</w:t>
            </w:r>
          </w:p>
          <w:p w14:paraId="69AA4E8E" w14:textId="77777777" w:rsidR="003569C6" w:rsidRPr="003569C6" w:rsidRDefault="003569C6" w:rsidP="003569C6">
            <w:pPr>
              <w:ind w:right="12" w:firstLine="567"/>
              <w:jc w:val="both"/>
            </w:pPr>
          </w:p>
          <w:p w14:paraId="5D9D9E96" w14:textId="77777777" w:rsidR="00FF0DA6" w:rsidRPr="00255820" w:rsidRDefault="00FF0DA6" w:rsidP="00255820">
            <w:pPr>
              <w:pStyle w:val="naisc"/>
              <w:spacing w:before="0" w:after="0"/>
              <w:ind w:right="3"/>
              <w:jc w:val="both"/>
              <w:rPr>
                <w:b/>
              </w:rPr>
            </w:pPr>
            <w:r w:rsidRPr="00255820">
              <w:rPr>
                <w:b/>
              </w:rPr>
              <w:t>Ekonomikas ministrija:</w:t>
            </w:r>
          </w:p>
          <w:p w14:paraId="02D9CC2B" w14:textId="77777777" w:rsidR="00FF0DA6" w:rsidRPr="00255820" w:rsidRDefault="00FF0DA6" w:rsidP="00255820">
            <w:pPr>
              <w:ind w:firstLine="851"/>
              <w:jc w:val="both"/>
            </w:pPr>
            <w:r w:rsidRPr="00255820">
              <w:t>[2] Norādām, ka izmantojot jauno pieeju, kas balstās uz netiešo atsauču izmantošanu saskaņā ar Ministru kabineta 2016.gada 21.septembrī ar rīkojumu Nr.534 apstiprinātā konceptuālajā ziņojumā “Par Latvijas nacionālās standartizācijas sistēmas pilnveidošanu” noteiktajiem principiem nepieciešams precizēt projekta 16.punktu (iekļaujot tajā atbilstības prezumpciju). Vienlaikus norādām, ka emisiju monitoringa prasības un vispārīgie principi, kas paredzēti Eiropas Parlamenta un Padomes 2010. gada 24. novembra Direktīvā Nr. 2010/75/ES par rūpnieciskajām emisijām (piesārņojuma integrēta novēršana un kontrole) ir noteiktas arī Ministru kabineta noteikumu projektā “Noteikumi par gaisa piesārņojuma ierobežošanu no sadedzināšanas iekārtām” (VSS-470), par kuru Ekonomikas ministrija sniedza atzinumu VARAM, vienojoties par redakciju.</w:t>
            </w:r>
          </w:p>
          <w:p w14:paraId="787A41C5" w14:textId="77777777" w:rsidR="00FF0DA6" w:rsidRPr="00255820" w:rsidRDefault="00FF0DA6" w:rsidP="00255820">
            <w:pPr>
              <w:ind w:firstLine="720"/>
              <w:jc w:val="both"/>
            </w:pPr>
            <w:r w:rsidRPr="00255820">
              <w:lastRenderedPageBreak/>
              <w:t>Līdz ar to, iespēju robežās aicinām vispārīgos principus un kārtību par emisiju monitoringu noteikt līdzvērtīgi abos Ministru kabineta noteikumos, kas attiecas uz sadedzināšanas iekārtām. Ņemot vērā iepriekš minēto, piedāvājam 44.punktu izteikt šādā redakcijā:</w:t>
            </w:r>
          </w:p>
          <w:p w14:paraId="4116B852" w14:textId="4594994B" w:rsidR="00FF0DA6" w:rsidRPr="003569C6" w:rsidRDefault="00FF0DA6" w:rsidP="003569C6">
            <w:pPr>
              <w:ind w:firstLine="851"/>
              <w:jc w:val="both"/>
            </w:pPr>
            <w:r w:rsidRPr="00255820">
              <w:t>“</w:t>
            </w:r>
            <w:bookmarkStart w:id="7" w:name="_Hlk60833186"/>
            <w:r w:rsidRPr="00255820">
              <w:t>44. Operators nodrošina, ka visu piesārņojošo vielu, arī dioksīnu un furānu, paraugu ņemšanas un analīzes iekārtu, kā arī automātisko mērīšanas sistēmu kvalitātes nodrošināšana un kalibrēšana tiek veikta izmantojot metodes, kas nodrošina, ka iegūtie dati ir ticami, reprezentatīvi un salīdzināmi. Ja izmantotās metodes atbilst piemērojamo standartu vai to daļu prasībām, uzskatāms, ka tās atbilst šajos noteikumos minēto prasību izpildei. Lai noteiktu emisiju gaisā un ūdenī, automātiskās iekārtas katru gadu pārbauda un testē. Iekārtas ne retāk kā reizi  gadā pārbauda atbilstoši references metodēm, izmantojot paralēlus mērījumus.</w:t>
            </w:r>
            <w:bookmarkEnd w:id="7"/>
            <w:r w:rsidRPr="00255820">
              <w:t>”</w:t>
            </w:r>
          </w:p>
        </w:tc>
        <w:tc>
          <w:tcPr>
            <w:tcW w:w="2384" w:type="dxa"/>
            <w:tcBorders>
              <w:top w:val="single" w:sz="6" w:space="0" w:color="000000"/>
              <w:left w:val="single" w:sz="6" w:space="0" w:color="000000"/>
              <w:bottom w:val="single" w:sz="6" w:space="0" w:color="000000"/>
              <w:right w:val="single" w:sz="6" w:space="0" w:color="000000"/>
            </w:tcBorders>
          </w:tcPr>
          <w:p w14:paraId="1FA9FA22" w14:textId="1806FCE3" w:rsidR="00FF0DA6" w:rsidRPr="00255820" w:rsidRDefault="00255820" w:rsidP="00255820">
            <w:pPr>
              <w:pStyle w:val="naisc"/>
              <w:spacing w:before="0" w:after="0"/>
              <w:ind w:firstLine="21"/>
              <w:jc w:val="both"/>
              <w:rPr>
                <w:b/>
              </w:rPr>
            </w:pPr>
            <w:r>
              <w:rPr>
                <w:b/>
              </w:rPr>
              <w:lastRenderedPageBreak/>
              <w:t xml:space="preserve">Iebildumi ir ņemti vērā. Noteikumu projekta norma precizēta atbilstoši Ekonomikas ministrijas atzinumā piedāvātajai redakcijai. </w:t>
            </w:r>
            <w:r w:rsidR="0031175C" w:rsidRPr="0075069C">
              <w:rPr>
                <w:b/>
              </w:rPr>
              <w:t xml:space="preserve">Veikto precizējumu rezultātā ir mainījusies </w:t>
            </w:r>
            <w:r w:rsidR="0031175C" w:rsidRPr="0075069C">
              <w:rPr>
                <w:b/>
              </w:rPr>
              <w:lastRenderedPageBreak/>
              <w:t>noteikumu projekta normu numerācija.</w:t>
            </w:r>
          </w:p>
        </w:tc>
        <w:tc>
          <w:tcPr>
            <w:tcW w:w="3686" w:type="dxa"/>
            <w:tcBorders>
              <w:top w:val="single" w:sz="4" w:space="0" w:color="auto"/>
              <w:left w:val="single" w:sz="4" w:space="0" w:color="auto"/>
              <w:bottom w:val="single" w:sz="4" w:space="0" w:color="auto"/>
            </w:tcBorders>
          </w:tcPr>
          <w:p w14:paraId="22CBF13D" w14:textId="000D091D" w:rsidR="00564C42" w:rsidRPr="00564C42" w:rsidRDefault="00564C42" w:rsidP="00564C42">
            <w:pPr>
              <w:pStyle w:val="naisf"/>
              <w:spacing w:before="0" w:after="0"/>
              <w:ind w:firstLine="0"/>
            </w:pPr>
            <w:r w:rsidRPr="00564C42">
              <w:lastRenderedPageBreak/>
              <w:t>2</w:t>
            </w:r>
            <w:r w:rsidR="00C670D1">
              <w:t>4</w:t>
            </w:r>
            <w:r w:rsidRPr="00564C42">
              <w:t>. Izteikt 44.punktu šādā redakcijā:</w:t>
            </w:r>
          </w:p>
          <w:p w14:paraId="56EDA3BF" w14:textId="04F26D4B" w:rsidR="00FF0DA6" w:rsidRPr="00255820" w:rsidRDefault="00564C42" w:rsidP="00564C42">
            <w:pPr>
              <w:jc w:val="both"/>
              <w:rPr>
                <w:b/>
              </w:rPr>
            </w:pPr>
            <w:r w:rsidRPr="00564C42">
              <w:t xml:space="preserve">“44. Operators nodrošina, ka visu piesārņojošo vielu, arī dioksīnu un furānu, paraugu ņemšanas un analīzes iekārtu, kā arī automātisko mērīšanas sistēmu kvalitātes nodrošināšana un kalibrēšana tiek veikta izmantojot metodes, kas nodrošina, ka iegūtie dati ir ticami, reprezentatīvi un salīdzināmi. Ja izmantotās metodes atbilst </w:t>
            </w:r>
            <w:r w:rsidRPr="00564C42">
              <w:lastRenderedPageBreak/>
              <w:t>piemērojamo standartu vai to daļu prasībām, uzskatāms, ka tās atbilst šajos noteikumos minēto prasību izpildei. Lai noteiktu emisiju gaisā un ūdenī, automātiskās iekārtas katru gadu pārbauda un testē. Iekārtas ne retāk kā reizi  gadā pārbauda atbilstoši references metodēm, izmantojot paralēlus mērījumus.”</w:t>
            </w:r>
          </w:p>
        </w:tc>
      </w:tr>
      <w:tr w:rsidR="00FF0DA6" w:rsidRPr="00485E8C" w14:paraId="61B87BC8" w14:textId="77777777" w:rsidTr="00CD15D0">
        <w:tc>
          <w:tcPr>
            <w:tcW w:w="683" w:type="dxa"/>
            <w:tcBorders>
              <w:top w:val="single" w:sz="6" w:space="0" w:color="000000"/>
              <w:left w:val="single" w:sz="6" w:space="0" w:color="000000"/>
              <w:bottom w:val="single" w:sz="6" w:space="0" w:color="000000"/>
              <w:right w:val="single" w:sz="6" w:space="0" w:color="000000"/>
            </w:tcBorders>
          </w:tcPr>
          <w:p w14:paraId="49941665" w14:textId="0102211F" w:rsidR="00FF0DA6" w:rsidRPr="00485E8C" w:rsidRDefault="00911777" w:rsidP="00485E8C">
            <w:pPr>
              <w:pStyle w:val="naisc"/>
              <w:spacing w:before="0" w:after="0"/>
              <w:jc w:val="both"/>
              <w:rPr>
                <w:b/>
              </w:rPr>
            </w:pPr>
            <w:r>
              <w:rPr>
                <w:b/>
              </w:rPr>
              <w:lastRenderedPageBreak/>
              <w:t>19.</w:t>
            </w:r>
          </w:p>
        </w:tc>
        <w:tc>
          <w:tcPr>
            <w:tcW w:w="3286" w:type="dxa"/>
            <w:tcBorders>
              <w:top w:val="single" w:sz="6" w:space="0" w:color="000000"/>
              <w:left w:val="single" w:sz="6" w:space="0" w:color="000000"/>
              <w:bottom w:val="single" w:sz="6" w:space="0" w:color="000000"/>
              <w:right w:val="single" w:sz="6" w:space="0" w:color="000000"/>
            </w:tcBorders>
          </w:tcPr>
          <w:p w14:paraId="512C01A6" w14:textId="77777777" w:rsidR="00FF0DA6" w:rsidRPr="00485E8C" w:rsidRDefault="00FF0DA6" w:rsidP="00485E8C">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7BACDE41" w14:textId="77777777" w:rsidR="00FF0DA6" w:rsidRPr="00485E8C" w:rsidRDefault="00FF0DA6" w:rsidP="00485E8C">
            <w:pPr>
              <w:ind w:right="12"/>
              <w:jc w:val="both"/>
              <w:rPr>
                <w:b/>
                <w:bCs/>
              </w:rPr>
            </w:pPr>
            <w:r w:rsidRPr="00485E8C">
              <w:rPr>
                <w:b/>
                <w:bCs/>
              </w:rPr>
              <w:t>Ekonomikas ministrija:</w:t>
            </w:r>
          </w:p>
          <w:p w14:paraId="31D75AC0" w14:textId="77777777" w:rsidR="00FF0DA6" w:rsidRPr="00485E8C" w:rsidRDefault="00FF0DA6" w:rsidP="00485E8C">
            <w:pPr>
              <w:ind w:firstLine="851"/>
              <w:jc w:val="both"/>
            </w:pPr>
            <w:r w:rsidRPr="00485E8C">
              <w:t>[1] Ņemot vērā, ka Projekta 44.</w:t>
            </w:r>
            <w:r w:rsidRPr="00485E8C">
              <w:rPr>
                <w:vertAlign w:val="superscript"/>
              </w:rPr>
              <w:t>1</w:t>
            </w:r>
            <w:r w:rsidRPr="00485E8C">
              <w:t xml:space="preserve"> punkts paredz, ka tiek izmantotas netiešas atsauces uz standartiem, veidojot atsauci uz piemērojamiem standartiem, lūdzam papildināt Projektu, dzēšot atsauces uz tiešajiem standartiem, kas ir iekļauti spēkā </w:t>
            </w:r>
            <w:r w:rsidRPr="00485E8C">
              <w:lastRenderedPageBreak/>
              <w:t>esošo Ministru kabineta 2011.gada 24.maija noteikumu Nr.401 "Prasības atkritumu sadedzināšanai un atkritumu sadedzināšanas iekārtu darbībai" 45. punktā un 46.1.-46.6.apakšpunktā.</w:t>
            </w:r>
          </w:p>
          <w:p w14:paraId="204818CB" w14:textId="77777777" w:rsidR="00FF0DA6" w:rsidRPr="00485E8C" w:rsidRDefault="00FF0DA6" w:rsidP="00485E8C">
            <w:pPr>
              <w:pStyle w:val="naisc"/>
              <w:spacing w:before="0" w:after="0"/>
              <w:ind w:right="3"/>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08EBF546" w14:textId="5D186C5A" w:rsidR="00FF0DA6" w:rsidRPr="00485E8C" w:rsidRDefault="00564C42" w:rsidP="00485E8C">
            <w:pPr>
              <w:pStyle w:val="naisc"/>
              <w:spacing w:before="0" w:after="0"/>
              <w:ind w:firstLine="21"/>
              <w:jc w:val="both"/>
              <w:rPr>
                <w:b/>
              </w:rPr>
            </w:pPr>
            <w:r w:rsidRPr="00485E8C">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5E5E9DD1" w14:textId="59047078" w:rsidR="00485E8C" w:rsidRPr="00485E8C" w:rsidRDefault="00485E8C" w:rsidP="00485E8C">
            <w:pPr>
              <w:pStyle w:val="naisf"/>
              <w:spacing w:before="0" w:after="0"/>
              <w:ind w:firstLine="720"/>
            </w:pPr>
            <w:r w:rsidRPr="00485E8C">
              <w:t>2</w:t>
            </w:r>
            <w:r w:rsidR="00C670D1">
              <w:t>6</w:t>
            </w:r>
            <w:r w:rsidRPr="00485E8C">
              <w:t>. Izteikt noteikumu 45. un 46.punktu šādā redakcijā:</w:t>
            </w:r>
          </w:p>
          <w:p w14:paraId="6ED934EA" w14:textId="77777777" w:rsidR="00485E8C" w:rsidRPr="00485E8C" w:rsidRDefault="00485E8C" w:rsidP="00485E8C">
            <w:pPr>
              <w:pStyle w:val="naisf"/>
              <w:spacing w:before="0" w:after="0"/>
              <w:ind w:firstLine="720"/>
            </w:pPr>
            <w:r w:rsidRPr="00485E8C">
              <w:t>“45. Operators nodrošina paraugu ņemšanas un emisijas noteikšanas vietas ierīkošanu, kā arī nodrošina gāzu attīrīšanas iekārtu efektivitātes pārbaudi.</w:t>
            </w:r>
          </w:p>
          <w:p w14:paraId="1DCFD49E" w14:textId="77777777" w:rsidR="00485E8C" w:rsidRPr="00485E8C" w:rsidRDefault="00485E8C" w:rsidP="00485E8C">
            <w:pPr>
              <w:pStyle w:val="naisf"/>
              <w:spacing w:before="0" w:after="0"/>
              <w:ind w:firstLine="720"/>
            </w:pPr>
          </w:p>
          <w:p w14:paraId="5F2D2385" w14:textId="70C9A7D0" w:rsidR="00FF0DA6" w:rsidRPr="003569C6" w:rsidRDefault="00485E8C" w:rsidP="003569C6">
            <w:pPr>
              <w:pStyle w:val="naisf"/>
              <w:spacing w:before="0" w:after="0"/>
              <w:ind w:firstLine="720"/>
            </w:pPr>
            <w:r w:rsidRPr="00485E8C">
              <w:t xml:space="preserve">46. Periodiskajā kontrolē emisijas mērījumus veic tikai attiecīgajā jomā akreditētas testēšanas laboratorijas, kas ir akreditētas nacionālajā akreditācijas institūcijā atbilstoši normatīvajiem aktiem par atbilstības novērtēšanas institūciju novērtēšanu, akreditāciju un uzraudzību, vai laboratorijā, kas akreditēta citā Eiropas Savienības dalībvalstī vai Eiropas Ekonomikas zonas valstī. Piesārņojošo vielu koncentrācijas noteikšanai lieto metroloģiski pārbaudītus mērinstrumentus, </w:t>
            </w:r>
            <w:bookmarkStart w:id="8" w:name="_Hlk60834602"/>
            <w:r w:rsidRPr="00485E8C">
              <w:t xml:space="preserve">un mērījumus veic atbilstoši </w:t>
            </w:r>
            <w:r>
              <w:t>metodikās noteiktajām prasībām</w:t>
            </w:r>
            <w:r w:rsidRPr="00485E8C">
              <w:t>.”</w:t>
            </w:r>
            <w:bookmarkEnd w:id="8"/>
          </w:p>
        </w:tc>
      </w:tr>
      <w:tr w:rsidR="00FF0DA6" w:rsidRPr="004E2551" w14:paraId="0B52E3E0" w14:textId="77777777" w:rsidTr="00CD15D0">
        <w:tc>
          <w:tcPr>
            <w:tcW w:w="683" w:type="dxa"/>
            <w:tcBorders>
              <w:top w:val="single" w:sz="6" w:space="0" w:color="000000"/>
              <w:left w:val="single" w:sz="6" w:space="0" w:color="000000"/>
              <w:bottom w:val="single" w:sz="6" w:space="0" w:color="000000"/>
              <w:right w:val="single" w:sz="6" w:space="0" w:color="000000"/>
            </w:tcBorders>
          </w:tcPr>
          <w:p w14:paraId="50A3DA1A" w14:textId="58763F80" w:rsidR="00FF0DA6" w:rsidRPr="004E2551" w:rsidRDefault="00911777" w:rsidP="00FF0DA6">
            <w:pPr>
              <w:pStyle w:val="naisc"/>
              <w:spacing w:before="0" w:after="0"/>
              <w:jc w:val="both"/>
              <w:rPr>
                <w:b/>
              </w:rPr>
            </w:pPr>
            <w:r>
              <w:rPr>
                <w:b/>
              </w:rPr>
              <w:lastRenderedPageBreak/>
              <w:t>20.</w:t>
            </w:r>
          </w:p>
        </w:tc>
        <w:tc>
          <w:tcPr>
            <w:tcW w:w="3286" w:type="dxa"/>
            <w:tcBorders>
              <w:top w:val="single" w:sz="6" w:space="0" w:color="000000"/>
              <w:left w:val="single" w:sz="6" w:space="0" w:color="000000"/>
              <w:bottom w:val="single" w:sz="6" w:space="0" w:color="000000"/>
              <w:right w:val="single" w:sz="6" w:space="0" w:color="000000"/>
            </w:tcBorders>
            <w:vAlign w:val="center"/>
          </w:tcPr>
          <w:p w14:paraId="38F2FE66" w14:textId="77777777" w:rsidR="00FF0DA6" w:rsidRPr="004E2551" w:rsidRDefault="00FF0DA6" w:rsidP="00FF0DA6">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1201BF42" w14:textId="77777777" w:rsidR="00FF0DA6" w:rsidRPr="004E2551" w:rsidRDefault="00FF0DA6" w:rsidP="00485E8C">
            <w:pPr>
              <w:pStyle w:val="naisc"/>
              <w:spacing w:before="0" w:after="0"/>
              <w:ind w:right="3"/>
              <w:jc w:val="both"/>
              <w:rPr>
                <w:b/>
              </w:rPr>
            </w:pPr>
            <w:r w:rsidRPr="004E2551">
              <w:rPr>
                <w:b/>
              </w:rPr>
              <w:t>Ekonomikas ministrija:</w:t>
            </w:r>
          </w:p>
          <w:p w14:paraId="27D8970F" w14:textId="77777777" w:rsidR="00FF0DA6" w:rsidRPr="004E2551" w:rsidRDefault="00FF0DA6" w:rsidP="00485E8C">
            <w:pPr>
              <w:ind w:firstLine="851"/>
              <w:jc w:val="both"/>
            </w:pPr>
            <w:r w:rsidRPr="004E2551">
              <w:t>[4] Lūdzam precizēt Projektu papildinot to ar jaunu punktu, izsakot 46.punktu šādā redakcijā:</w:t>
            </w:r>
          </w:p>
          <w:p w14:paraId="5D16588F" w14:textId="0337C10A" w:rsidR="00FF0DA6" w:rsidRPr="003569C6" w:rsidRDefault="00FF0DA6" w:rsidP="003569C6">
            <w:pPr>
              <w:ind w:firstLine="851"/>
              <w:jc w:val="both"/>
            </w:pPr>
            <w:r w:rsidRPr="004E2551">
              <w:t xml:space="preserve">“46. Periodiskajā kontrolē emisijas mērījumus veic tikai attiecīgajā jomā akreditētas testēšanas laboratorijas, kas ir akreditētas nacionālajā akreditācijas institūcijā atbilstoši normatīvajiem aktiem par atbilstības novērtēšanas institūciju novērtēšanu, akreditāciju un uzraudzību, vai </w:t>
            </w:r>
            <w:r w:rsidRPr="004E2551">
              <w:lastRenderedPageBreak/>
              <w:t>laboratorijā, kas akreditēta citā Eiropas Savienības dalībvalstī vai Eiropas Ekonomikas zonas valstī. Piesārņojošo vielu koncentrācijas noteikšanai lieto metroloģiskajām prasībām atbilstošus mērīšanas līdzekļus, un mērījumus veic atbilstoši metodikās noteiktajām prasībām.”</w:t>
            </w:r>
          </w:p>
        </w:tc>
        <w:tc>
          <w:tcPr>
            <w:tcW w:w="2384" w:type="dxa"/>
            <w:tcBorders>
              <w:top w:val="single" w:sz="6" w:space="0" w:color="000000"/>
              <w:left w:val="single" w:sz="6" w:space="0" w:color="000000"/>
              <w:bottom w:val="single" w:sz="6" w:space="0" w:color="000000"/>
              <w:right w:val="single" w:sz="6" w:space="0" w:color="000000"/>
            </w:tcBorders>
          </w:tcPr>
          <w:p w14:paraId="3D50470F" w14:textId="15F1BCA1" w:rsidR="00FF0DA6" w:rsidRPr="004E2551" w:rsidRDefault="00485E8C" w:rsidP="00485E8C">
            <w:pPr>
              <w:pStyle w:val="naisc"/>
              <w:spacing w:before="0" w:after="0"/>
              <w:ind w:firstLine="21"/>
              <w:jc w:val="both"/>
              <w:rPr>
                <w:b/>
              </w:rPr>
            </w:pPr>
            <w:r w:rsidRPr="004E2551">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75DE30BF" w14:textId="77777777" w:rsidR="00485E8C" w:rsidRPr="004E2551" w:rsidRDefault="00485E8C" w:rsidP="00485E8C">
            <w:pPr>
              <w:pStyle w:val="naisf"/>
              <w:spacing w:before="0" w:after="0"/>
              <w:ind w:firstLine="720"/>
            </w:pPr>
            <w:r w:rsidRPr="004E2551">
              <w:t xml:space="preserve">46. Periodiskajā kontrolē emisijas mērījumus veic tikai attiecīgajā jomā akreditētas testēšanas laboratorijas, kas ir akreditētas nacionālajā akreditācijas institūcijā atbilstoši normatīvajiem aktiem par atbilstības novērtēšanas institūciju novērtēšanu, akreditāciju un uzraudzību, vai laboratorijā, kas akreditēta citā Eiropas Savienības dalībvalstī vai Eiropas Ekonomikas </w:t>
            </w:r>
            <w:r w:rsidRPr="004E2551">
              <w:lastRenderedPageBreak/>
              <w:t>zonas valstī. Piesārņojošo vielu koncentrācijas noteikšanai lieto metroloģiski pārbaudītus mērinstrumentus, un mērījumus veic atbilstoši metodikās noteiktajām prasībām.”</w:t>
            </w:r>
          </w:p>
          <w:p w14:paraId="4BC2CD82" w14:textId="77777777" w:rsidR="00FF0DA6" w:rsidRPr="004E2551" w:rsidRDefault="00FF0DA6" w:rsidP="00485E8C">
            <w:pPr>
              <w:jc w:val="both"/>
              <w:rPr>
                <w:b/>
              </w:rPr>
            </w:pPr>
          </w:p>
        </w:tc>
      </w:tr>
      <w:tr w:rsidR="00FF0DA6" w:rsidRPr="00485E8C" w14:paraId="5A4538EC" w14:textId="77777777" w:rsidTr="00CD15D0">
        <w:tc>
          <w:tcPr>
            <w:tcW w:w="683" w:type="dxa"/>
            <w:tcBorders>
              <w:top w:val="single" w:sz="6" w:space="0" w:color="000000"/>
              <w:left w:val="single" w:sz="6" w:space="0" w:color="000000"/>
              <w:bottom w:val="single" w:sz="6" w:space="0" w:color="000000"/>
              <w:right w:val="single" w:sz="6" w:space="0" w:color="000000"/>
            </w:tcBorders>
          </w:tcPr>
          <w:p w14:paraId="70D1A9B0" w14:textId="6D95320F" w:rsidR="00FF0DA6" w:rsidRPr="00485E8C" w:rsidRDefault="00911777" w:rsidP="00485E8C">
            <w:pPr>
              <w:pStyle w:val="naisc"/>
              <w:spacing w:before="0" w:after="0"/>
              <w:jc w:val="both"/>
              <w:rPr>
                <w:b/>
              </w:rPr>
            </w:pPr>
            <w:r>
              <w:rPr>
                <w:b/>
              </w:rPr>
              <w:lastRenderedPageBreak/>
              <w:t>21.</w:t>
            </w:r>
          </w:p>
        </w:tc>
        <w:tc>
          <w:tcPr>
            <w:tcW w:w="3286" w:type="dxa"/>
            <w:tcBorders>
              <w:top w:val="single" w:sz="6" w:space="0" w:color="000000"/>
              <w:left w:val="single" w:sz="6" w:space="0" w:color="000000"/>
              <w:bottom w:val="single" w:sz="6" w:space="0" w:color="000000"/>
              <w:right w:val="single" w:sz="6" w:space="0" w:color="000000"/>
            </w:tcBorders>
          </w:tcPr>
          <w:p w14:paraId="3667B0C3" w14:textId="77777777" w:rsidR="00FF0DA6" w:rsidRPr="00485E8C" w:rsidRDefault="00FF0DA6" w:rsidP="00485E8C">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72A22128" w14:textId="77777777" w:rsidR="00FF0DA6" w:rsidRPr="00485E8C" w:rsidRDefault="00FF0DA6" w:rsidP="00485E8C">
            <w:pPr>
              <w:pStyle w:val="naisc"/>
              <w:spacing w:before="0" w:after="0"/>
              <w:ind w:right="3"/>
              <w:jc w:val="both"/>
              <w:rPr>
                <w:b/>
              </w:rPr>
            </w:pPr>
            <w:r w:rsidRPr="00485E8C">
              <w:rPr>
                <w:b/>
              </w:rPr>
              <w:t>Tieslietu ministrija:</w:t>
            </w:r>
          </w:p>
          <w:p w14:paraId="42F4EB00" w14:textId="5FDAE882" w:rsidR="00FF0DA6" w:rsidRPr="00485E8C" w:rsidRDefault="00FF0DA6" w:rsidP="00485E8C">
            <w:pPr>
              <w:ind w:right="12" w:firstLine="567"/>
              <w:jc w:val="both"/>
            </w:pPr>
            <w:r w:rsidRPr="00485E8C">
              <w:t>10. Saskaņā ar Ministru kabineta 2009. gada 15. decembra instrukcijas Nr. 19 "Tiesību akta projekta sākotnējās ietekmes izvērtēšanas kārtība" (turpmāk – instrukcija Nr. 19) 14. punktu lūdzam izvērtēt un noteikumu projekta anotāciju papildināt ar skaidrojumu par katra būtiskā grozījuma noteikumos Nr. 401 nepieciešamību un mērķi, tai skaitā anotācijas I sadaļas 2. punktā skaidri un nepārprotami identificējot, ar kurām noteikumu projekta normām tiek pārņemtas direktīvas Nr. 2010/75/EK prasības, kā arī detalizēti atspoguļojot to, kā konkrēti ar noteikumu projektu minēto direktīvu prasības tiek pārņemtas, ņemot vērā arī to, ka direktīvas Nr. 2010/75/EK prasībām atbilstoši šīs direktīvas 80. panta 1. punkta pirmajai daļai bija jābūt pārņemtām līdz 2013. gada 7. janvārim.</w:t>
            </w:r>
          </w:p>
        </w:tc>
        <w:tc>
          <w:tcPr>
            <w:tcW w:w="2384" w:type="dxa"/>
            <w:tcBorders>
              <w:top w:val="single" w:sz="6" w:space="0" w:color="000000"/>
              <w:left w:val="single" w:sz="6" w:space="0" w:color="000000"/>
              <w:bottom w:val="single" w:sz="6" w:space="0" w:color="000000"/>
              <w:right w:val="single" w:sz="6" w:space="0" w:color="000000"/>
            </w:tcBorders>
          </w:tcPr>
          <w:p w14:paraId="48E847C0" w14:textId="307679B1" w:rsidR="00FF0DA6" w:rsidRPr="00485E8C" w:rsidRDefault="00B35CE4" w:rsidP="00485E8C">
            <w:pPr>
              <w:pStyle w:val="naisc"/>
              <w:spacing w:before="0" w:after="0"/>
              <w:ind w:firstLine="21"/>
              <w:jc w:val="both"/>
              <w:rPr>
                <w:b/>
              </w:rPr>
            </w:pPr>
            <w:r>
              <w:rPr>
                <w:b/>
              </w:rPr>
              <w:t>Iebildums ir ņemts vērā.</w:t>
            </w:r>
          </w:p>
        </w:tc>
        <w:tc>
          <w:tcPr>
            <w:tcW w:w="3686" w:type="dxa"/>
            <w:tcBorders>
              <w:top w:val="single" w:sz="4" w:space="0" w:color="auto"/>
              <w:left w:val="single" w:sz="4" w:space="0" w:color="auto"/>
              <w:bottom w:val="single" w:sz="4" w:space="0" w:color="auto"/>
            </w:tcBorders>
          </w:tcPr>
          <w:p w14:paraId="1215680B" w14:textId="03E9D1E8" w:rsidR="00FF0DA6" w:rsidRPr="00485E8C" w:rsidRDefault="00EF3E56" w:rsidP="00485E8C">
            <w:pPr>
              <w:jc w:val="both"/>
              <w:rPr>
                <w:b/>
              </w:rPr>
            </w:pPr>
            <w:r>
              <w:rPr>
                <w:b/>
              </w:rPr>
              <w:t xml:space="preserve">Precizēts anotācijas I sadaļas 2.punkts. </w:t>
            </w:r>
          </w:p>
        </w:tc>
      </w:tr>
      <w:tr w:rsidR="00FF0DA6" w:rsidRPr="004E2551" w14:paraId="74018D68" w14:textId="77777777" w:rsidTr="004E2551">
        <w:tc>
          <w:tcPr>
            <w:tcW w:w="683" w:type="dxa"/>
            <w:tcBorders>
              <w:top w:val="single" w:sz="6" w:space="0" w:color="000000"/>
              <w:left w:val="single" w:sz="6" w:space="0" w:color="000000"/>
              <w:bottom w:val="single" w:sz="6" w:space="0" w:color="000000"/>
              <w:right w:val="single" w:sz="6" w:space="0" w:color="000000"/>
            </w:tcBorders>
          </w:tcPr>
          <w:p w14:paraId="2CA5A827" w14:textId="123A5F16" w:rsidR="00FF0DA6" w:rsidRPr="004E2551" w:rsidRDefault="00911777" w:rsidP="004E2551">
            <w:pPr>
              <w:pStyle w:val="naisc"/>
              <w:spacing w:before="0" w:after="0"/>
              <w:jc w:val="both"/>
              <w:rPr>
                <w:b/>
              </w:rPr>
            </w:pPr>
            <w:r>
              <w:rPr>
                <w:b/>
              </w:rPr>
              <w:lastRenderedPageBreak/>
              <w:t>22.</w:t>
            </w:r>
          </w:p>
        </w:tc>
        <w:tc>
          <w:tcPr>
            <w:tcW w:w="3286" w:type="dxa"/>
            <w:tcBorders>
              <w:top w:val="single" w:sz="6" w:space="0" w:color="000000"/>
              <w:left w:val="single" w:sz="6" w:space="0" w:color="000000"/>
              <w:bottom w:val="single" w:sz="6" w:space="0" w:color="000000"/>
              <w:right w:val="single" w:sz="6" w:space="0" w:color="000000"/>
            </w:tcBorders>
          </w:tcPr>
          <w:p w14:paraId="6A30A1A7" w14:textId="77777777" w:rsidR="00FF0DA6" w:rsidRPr="004E2551" w:rsidRDefault="00FF0DA6" w:rsidP="004E2551">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44DB3117" w14:textId="77777777" w:rsidR="00485E8C" w:rsidRPr="004E2551" w:rsidRDefault="00FF0DA6" w:rsidP="004E2551">
            <w:pPr>
              <w:ind w:right="12" w:firstLine="567"/>
              <w:jc w:val="both"/>
            </w:pPr>
            <w:r w:rsidRPr="004E2551">
              <w:rPr>
                <w:b/>
              </w:rPr>
              <w:t>Tieslietu ministrija:</w:t>
            </w:r>
            <w:r w:rsidRPr="004E2551">
              <w:t xml:space="preserve"> </w:t>
            </w:r>
          </w:p>
          <w:p w14:paraId="21040C11" w14:textId="5EB44580" w:rsidR="00FF0DA6" w:rsidRPr="004E2551" w:rsidRDefault="00FF0DA6" w:rsidP="004E2551">
            <w:pPr>
              <w:ind w:right="12" w:firstLine="567"/>
              <w:jc w:val="both"/>
            </w:pPr>
            <w:r w:rsidRPr="004E2551">
              <w:t>11. Lūdzam pārskatīt un precizēt noteikumu projekta anotācijas V sadaļas 1. tabulu atbilstoši instrukcijas Nr. 19 56. punkta prasībām. Proti, lūdzam:</w:t>
            </w:r>
          </w:p>
          <w:p w14:paraId="334FB008" w14:textId="77777777" w:rsidR="00FF0DA6" w:rsidRPr="004E2551" w:rsidRDefault="00FF0DA6" w:rsidP="004E2551">
            <w:pPr>
              <w:ind w:right="12" w:firstLine="567"/>
              <w:jc w:val="both"/>
            </w:pPr>
            <w:r w:rsidRPr="004E2551">
              <w:t>pirmkārt, izsmeļoši norādīt direktīvas Nr. 2010/75/ES normas, kuru prasības ar noteikumu projektu tiek pārņemtas. Piemēram, vēršam uzmanību, ka ar noteikumu projekta 20. punktu varētu būt pārņemtas arī direktīvas Nr. 2010/75/ES VI pielikuma 6. daļas 2.7. apakšpunkta trešās daļas prasības. Tāpat, piemēram, vēršam uzmanību, ka ar noteikumu projekta 6. punktu varētu būt pārņemtas arī direktīvas Nr. 2010/75/ES 44. panta "d" apakšpunktā ietvertās prasības.</w:t>
            </w:r>
          </w:p>
          <w:p w14:paraId="66B67A6D" w14:textId="0CF55475" w:rsidR="00FF0DA6" w:rsidRPr="003569C6" w:rsidRDefault="00FF0DA6" w:rsidP="003569C6">
            <w:pPr>
              <w:ind w:right="12" w:firstLine="567"/>
              <w:jc w:val="both"/>
            </w:pPr>
            <w:r w:rsidRPr="004E2551">
              <w:t>Kā arī lūdzam noteikumu projekta anotācijas V sadaļas 1. tabulā direktīvas Nr. 2010/75/ES normas atspoguļot korekti. Norādām, ka minētajā direktīvā nav 52. panta 4. apakšpunkta, kā arī nav skaidrs, kas domāts ar 52. panta 4. punkta otro teikumu (52. pantā ir 4. punkts, kas ir sadalīts divās daļās un pirmajā daļā ir divi apakšpunkti – "a" un "b";</w:t>
            </w:r>
          </w:p>
        </w:tc>
        <w:tc>
          <w:tcPr>
            <w:tcW w:w="2384" w:type="dxa"/>
            <w:tcBorders>
              <w:top w:val="single" w:sz="6" w:space="0" w:color="000000"/>
              <w:left w:val="single" w:sz="6" w:space="0" w:color="000000"/>
              <w:bottom w:val="single" w:sz="6" w:space="0" w:color="000000"/>
              <w:right w:val="single" w:sz="6" w:space="0" w:color="000000"/>
            </w:tcBorders>
          </w:tcPr>
          <w:p w14:paraId="0183A3FC" w14:textId="25C2EAA0" w:rsidR="00FF0DA6" w:rsidRPr="001C4C47" w:rsidRDefault="001C4C47" w:rsidP="004E2551">
            <w:pPr>
              <w:pStyle w:val="naisc"/>
              <w:spacing w:before="0" w:after="0"/>
              <w:ind w:firstLine="21"/>
              <w:jc w:val="both"/>
              <w:rPr>
                <w:b/>
              </w:rPr>
            </w:pPr>
            <w:r w:rsidRPr="00534967">
              <w:rPr>
                <w:b/>
              </w:rPr>
              <w:t>Iebildums ir ņemts vērā.</w:t>
            </w:r>
            <w:r w:rsidRPr="004A7B1B">
              <w:rPr>
                <w:bCs/>
              </w:rPr>
              <w:t xml:space="preserve"> Vienlaikus VARAM informē, ka ar noteikumu projektu ir paredzēts novērst</w:t>
            </w:r>
            <w:r w:rsidRPr="001C4C47">
              <w:rPr>
                <w:b/>
              </w:rPr>
              <w:t xml:space="preserve"> </w:t>
            </w:r>
            <w:r w:rsidRPr="001C4C47">
              <w:t xml:space="preserve">EU Pilot lietā Nr. EUP (2016)8656 par direktīvas 2010/75/ES nepareizu transponēšanu konstatētās nepilnības MK noteikumos Nr.401. </w:t>
            </w:r>
          </w:p>
        </w:tc>
        <w:tc>
          <w:tcPr>
            <w:tcW w:w="3686" w:type="dxa"/>
            <w:tcBorders>
              <w:top w:val="single" w:sz="4" w:space="0" w:color="auto"/>
              <w:left w:val="single" w:sz="4" w:space="0" w:color="auto"/>
              <w:bottom w:val="single" w:sz="4" w:space="0" w:color="auto"/>
            </w:tcBorders>
          </w:tcPr>
          <w:p w14:paraId="32369BBE" w14:textId="2FD0A82A" w:rsidR="00FF0DA6" w:rsidRPr="004E2551" w:rsidRDefault="001A06E1" w:rsidP="004E2551">
            <w:pPr>
              <w:jc w:val="both"/>
              <w:rPr>
                <w:b/>
              </w:rPr>
            </w:pPr>
            <w:r>
              <w:rPr>
                <w:b/>
              </w:rPr>
              <w:t>Precizēta noteikumu projekta anotācijas V.sadaļa</w:t>
            </w:r>
          </w:p>
        </w:tc>
      </w:tr>
      <w:tr w:rsidR="00FF0DA6" w:rsidRPr="004E2551" w14:paraId="2BBCFD48" w14:textId="77777777" w:rsidTr="004E2551">
        <w:tc>
          <w:tcPr>
            <w:tcW w:w="683" w:type="dxa"/>
            <w:tcBorders>
              <w:top w:val="single" w:sz="6" w:space="0" w:color="000000"/>
              <w:left w:val="single" w:sz="6" w:space="0" w:color="000000"/>
              <w:bottom w:val="single" w:sz="6" w:space="0" w:color="000000"/>
              <w:right w:val="single" w:sz="6" w:space="0" w:color="000000"/>
            </w:tcBorders>
          </w:tcPr>
          <w:p w14:paraId="433C5B7A" w14:textId="0A300028" w:rsidR="00FF0DA6" w:rsidRPr="004E2551" w:rsidRDefault="00911777" w:rsidP="004E2551">
            <w:pPr>
              <w:pStyle w:val="naisc"/>
              <w:spacing w:before="0" w:after="0"/>
              <w:jc w:val="both"/>
              <w:rPr>
                <w:b/>
              </w:rPr>
            </w:pPr>
            <w:r>
              <w:rPr>
                <w:b/>
              </w:rPr>
              <w:t>23.</w:t>
            </w:r>
          </w:p>
        </w:tc>
        <w:tc>
          <w:tcPr>
            <w:tcW w:w="3286" w:type="dxa"/>
            <w:tcBorders>
              <w:top w:val="single" w:sz="6" w:space="0" w:color="000000"/>
              <w:left w:val="single" w:sz="6" w:space="0" w:color="000000"/>
              <w:bottom w:val="single" w:sz="6" w:space="0" w:color="000000"/>
              <w:right w:val="single" w:sz="6" w:space="0" w:color="000000"/>
            </w:tcBorders>
          </w:tcPr>
          <w:p w14:paraId="7D8E398C" w14:textId="77777777" w:rsidR="00FF0DA6" w:rsidRPr="004E2551" w:rsidRDefault="00FF0DA6" w:rsidP="004E2551">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5F981499" w14:textId="77777777" w:rsidR="00FF0DA6" w:rsidRPr="004E2551" w:rsidRDefault="00FF0DA6" w:rsidP="004E2551">
            <w:pPr>
              <w:ind w:right="12" w:firstLine="567"/>
              <w:jc w:val="both"/>
              <w:rPr>
                <w:b/>
              </w:rPr>
            </w:pPr>
            <w:r w:rsidRPr="004E2551">
              <w:rPr>
                <w:b/>
              </w:rPr>
              <w:t>Tieslietu ministrija:</w:t>
            </w:r>
          </w:p>
          <w:p w14:paraId="5442B515" w14:textId="3AB5CC59" w:rsidR="00FF0DA6" w:rsidRPr="003569C6" w:rsidRDefault="00FF0DA6" w:rsidP="003569C6">
            <w:pPr>
              <w:ind w:right="12" w:firstLine="567"/>
              <w:jc w:val="both"/>
            </w:pPr>
            <w:r w:rsidRPr="004E2551">
              <w:t xml:space="preserve">otrkārt, izsmeļoši norādīt visas noteikumu projekta normas, ar kurām tiek </w:t>
            </w:r>
            <w:r w:rsidRPr="004E2551">
              <w:lastRenderedPageBreak/>
              <w:t>pārņemtas direktīvas Nr. 2010/75/ES prasības. Piemēram, vēršam uzmanību, ka ar noteikumu projekta 5. punktu varētu būt pārņemtas direktīvas Nr. 2010/75/ES 42. panta 1. punkta ceturtās daļas prasības. Norādām, ka noteikumu projekta anotācijas V sadaļas 1. tabula ir atbilstoši jāaizpilda tai skaitā arī gadījumos, ja ar noteikumu projektu tiek izdarīti grozījumi noteikumu Nr. 401 vienībās, ar kurām iepriekš tikušas pārņemtas minētās direktīvas prasības.</w:t>
            </w:r>
          </w:p>
        </w:tc>
        <w:tc>
          <w:tcPr>
            <w:tcW w:w="2384" w:type="dxa"/>
            <w:tcBorders>
              <w:top w:val="single" w:sz="6" w:space="0" w:color="000000"/>
              <w:left w:val="single" w:sz="6" w:space="0" w:color="000000"/>
              <w:bottom w:val="single" w:sz="6" w:space="0" w:color="000000"/>
              <w:right w:val="single" w:sz="6" w:space="0" w:color="000000"/>
            </w:tcBorders>
          </w:tcPr>
          <w:p w14:paraId="1E29BEF9" w14:textId="1B3D66B3" w:rsidR="00FF0DA6" w:rsidRPr="004E2551" w:rsidRDefault="001A06E1" w:rsidP="004E2551">
            <w:pPr>
              <w:pStyle w:val="naisc"/>
              <w:spacing w:before="0" w:after="0"/>
              <w:ind w:firstLine="21"/>
              <w:jc w:val="both"/>
              <w:rPr>
                <w:b/>
              </w:rPr>
            </w:pPr>
            <w:r>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42900FDA" w14:textId="25A0FDE6" w:rsidR="00FF0DA6" w:rsidRPr="004E2551" w:rsidRDefault="001A06E1" w:rsidP="004E2551">
            <w:pPr>
              <w:jc w:val="both"/>
              <w:rPr>
                <w:b/>
              </w:rPr>
            </w:pPr>
            <w:r>
              <w:rPr>
                <w:b/>
              </w:rPr>
              <w:t>Precizēta noteikumu projekta anotācijas V.sadaļa</w:t>
            </w:r>
          </w:p>
        </w:tc>
      </w:tr>
      <w:tr w:rsidR="004E2551" w:rsidRPr="003E1F78" w14:paraId="25CD16B3" w14:textId="77777777" w:rsidTr="00962AD0">
        <w:tc>
          <w:tcPr>
            <w:tcW w:w="14575" w:type="dxa"/>
            <w:gridSpan w:val="5"/>
            <w:tcBorders>
              <w:top w:val="single" w:sz="6" w:space="0" w:color="000000"/>
              <w:left w:val="single" w:sz="6" w:space="0" w:color="000000"/>
              <w:bottom w:val="single" w:sz="6" w:space="0" w:color="000000"/>
            </w:tcBorders>
          </w:tcPr>
          <w:p w14:paraId="0223785C" w14:textId="0C1D4D10" w:rsidR="004E2551" w:rsidRPr="00DF5371" w:rsidRDefault="004E2551" w:rsidP="004E2551">
            <w:pPr>
              <w:jc w:val="center"/>
              <w:rPr>
                <w:b/>
              </w:rPr>
            </w:pPr>
            <w:r>
              <w:rPr>
                <w:b/>
              </w:rPr>
              <w:t>Priekšlikumi:</w:t>
            </w:r>
          </w:p>
        </w:tc>
      </w:tr>
      <w:tr w:rsidR="00FF0DA6" w:rsidRPr="003E1F78" w14:paraId="1E273CC6" w14:textId="77777777" w:rsidTr="004E2551">
        <w:tc>
          <w:tcPr>
            <w:tcW w:w="683" w:type="dxa"/>
            <w:tcBorders>
              <w:top w:val="single" w:sz="6" w:space="0" w:color="000000"/>
              <w:left w:val="single" w:sz="6" w:space="0" w:color="000000"/>
              <w:bottom w:val="single" w:sz="6" w:space="0" w:color="000000"/>
              <w:right w:val="single" w:sz="6" w:space="0" w:color="000000"/>
            </w:tcBorders>
          </w:tcPr>
          <w:p w14:paraId="47EC8A20" w14:textId="1B133AA3" w:rsidR="00FF0DA6" w:rsidRPr="003E1F78" w:rsidRDefault="00931761" w:rsidP="00FF0DA6">
            <w:pPr>
              <w:pStyle w:val="naisc"/>
              <w:spacing w:before="0" w:after="0"/>
              <w:jc w:val="both"/>
              <w:rPr>
                <w:b/>
              </w:rPr>
            </w:pPr>
            <w:r>
              <w:rPr>
                <w:b/>
              </w:rPr>
              <w:t>24</w:t>
            </w:r>
            <w:r w:rsidR="004E2551">
              <w:rPr>
                <w:b/>
              </w:rPr>
              <w:t>.</w:t>
            </w:r>
          </w:p>
        </w:tc>
        <w:tc>
          <w:tcPr>
            <w:tcW w:w="3286" w:type="dxa"/>
            <w:tcBorders>
              <w:top w:val="single" w:sz="6" w:space="0" w:color="000000"/>
              <w:left w:val="single" w:sz="6" w:space="0" w:color="000000"/>
              <w:bottom w:val="single" w:sz="6" w:space="0" w:color="000000"/>
              <w:right w:val="single" w:sz="6" w:space="0" w:color="000000"/>
            </w:tcBorders>
          </w:tcPr>
          <w:p w14:paraId="587BC7D6" w14:textId="10BF0DB2" w:rsidR="00FF0DA6" w:rsidRPr="00B17E44" w:rsidRDefault="00FF0DA6" w:rsidP="00B17E44">
            <w:pPr>
              <w:ind w:firstLine="709"/>
              <w:jc w:val="both"/>
            </w:pPr>
            <w:r w:rsidRPr="004E2551">
              <w:t xml:space="preserve">Izdarīt Ministru kabineta 2011.gada 24.maija noteikumos Nr.401 “Prasības atkritumu sadedzināšanai un atkritumu sadedzināšanas iekārtu darbībai” (Latvijas Vēstnesis, 2011, 82.Nr.) šādus grozījumus: </w:t>
            </w:r>
          </w:p>
        </w:tc>
        <w:tc>
          <w:tcPr>
            <w:tcW w:w="4536" w:type="dxa"/>
            <w:tcBorders>
              <w:top w:val="single" w:sz="6" w:space="0" w:color="000000"/>
              <w:left w:val="single" w:sz="6" w:space="0" w:color="000000"/>
              <w:bottom w:val="single" w:sz="6" w:space="0" w:color="000000"/>
              <w:right w:val="single" w:sz="6" w:space="0" w:color="000000"/>
            </w:tcBorders>
          </w:tcPr>
          <w:p w14:paraId="24F074C4" w14:textId="77777777" w:rsidR="00FF0DA6" w:rsidRPr="004E2551" w:rsidRDefault="00FF0DA6" w:rsidP="004E2551">
            <w:pPr>
              <w:ind w:right="12" w:firstLine="567"/>
              <w:jc w:val="both"/>
              <w:rPr>
                <w:b/>
              </w:rPr>
            </w:pPr>
            <w:r w:rsidRPr="004E2551">
              <w:rPr>
                <w:b/>
              </w:rPr>
              <w:t>Tieslietu ministrija:</w:t>
            </w:r>
          </w:p>
          <w:p w14:paraId="1FAE5142" w14:textId="4E927474" w:rsidR="00FF0DA6" w:rsidRPr="004E2551" w:rsidRDefault="00FF0DA6" w:rsidP="004E2551">
            <w:pPr>
              <w:ind w:right="12" w:firstLine="567"/>
              <w:jc w:val="both"/>
            </w:pPr>
            <w:r w:rsidRPr="004E2551">
              <w:t>1. Lūdzam papildināt noteikumu projekta ievaddaļu ar pilnīgu grozījumu publikāciju Latvijas Vēstnesī uzskaitījumu un tādējādi ievērot noteikumu Nr. 108 141.8. apakšpunkta prasības.</w:t>
            </w:r>
          </w:p>
        </w:tc>
        <w:tc>
          <w:tcPr>
            <w:tcW w:w="2384" w:type="dxa"/>
            <w:tcBorders>
              <w:top w:val="single" w:sz="6" w:space="0" w:color="000000"/>
              <w:left w:val="single" w:sz="6" w:space="0" w:color="000000"/>
              <w:bottom w:val="single" w:sz="6" w:space="0" w:color="000000"/>
              <w:right w:val="single" w:sz="6" w:space="0" w:color="000000"/>
            </w:tcBorders>
          </w:tcPr>
          <w:p w14:paraId="7D7015C2" w14:textId="3AB76FC7" w:rsidR="00FF0DA6" w:rsidRPr="004E2551" w:rsidRDefault="00FF0DA6" w:rsidP="004E2551">
            <w:pPr>
              <w:pStyle w:val="naisc"/>
              <w:spacing w:before="0" w:after="0"/>
              <w:ind w:firstLine="21"/>
              <w:jc w:val="both"/>
              <w:rPr>
                <w:b/>
              </w:rPr>
            </w:pPr>
            <w:r w:rsidRPr="004E2551">
              <w:rPr>
                <w:b/>
              </w:rPr>
              <w:t xml:space="preserve">Priekšlikums ir ņemts vērā. </w:t>
            </w:r>
          </w:p>
        </w:tc>
        <w:tc>
          <w:tcPr>
            <w:tcW w:w="3686" w:type="dxa"/>
            <w:tcBorders>
              <w:top w:val="single" w:sz="4" w:space="0" w:color="auto"/>
              <w:left w:val="single" w:sz="4" w:space="0" w:color="auto"/>
              <w:bottom w:val="single" w:sz="4" w:space="0" w:color="auto"/>
            </w:tcBorders>
          </w:tcPr>
          <w:p w14:paraId="4FFFA9F0" w14:textId="6B6D3382" w:rsidR="00FF0DA6" w:rsidRPr="003569C6" w:rsidRDefault="00FF0DA6" w:rsidP="003569C6">
            <w:pPr>
              <w:ind w:firstLine="709"/>
              <w:jc w:val="both"/>
            </w:pPr>
            <w:r w:rsidRPr="004E2551">
              <w:t xml:space="preserve">Izdarīt Ministru kabineta 2011.gada 24.maija noteikumos Nr.401 “Prasības atkritumu sadedzināšanai un atkritumu sadedzināšanas iekārtu darbībai” (Latvijas Vēstnesis, 2011, 82.nr.; 2012, 158.nr.; 2014, 47.nr.; 2016, 227.nr.) šādus grozījumus: </w:t>
            </w:r>
          </w:p>
        </w:tc>
      </w:tr>
      <w:tr w:rsidR="00FF0DA6" w:rsidRPr="003E1F78" w14:paraId="70A5EBB1" w14:textId="77777777" w:rsidTr="004E2551">
        <w:tc>
          <w:tcPr>
            <w:tcW w:w="683" w:type="dxa"/>
            <w:tcBorders>
              <w:top w:val="single" w:sz="6" w:space="0" w:color="000000"/>
              <w:left w:val="single" w:sz="6" w:space="0" w:color="000000"/>
              <w:bottom w:val="single" w:sz="6" w:space="0" w:color="000000"/>
              <w:right w:val="single" w:sz="6" w:space="0" w:color="000000"/>
            </w:tcBorders>
          </w:tcPr>
          <w:p w14:paraId="29A43F80" w14:textId="4BBD49B1" w:rsidR="00FF0DA6" w:rsidRPr="003E1F78" w:rsidRDefault="004E2551" w:rsidP="00CD15D0">
            <w:pPr>
              <w:pStyle w:val="naisc"/>
              <w:spacing w:before="0" w:after="0"/>
              <w:jc w:val="both"/>
              <w:rPr>
                <w:b/>
              </w:rPr>
            </w:pPr>
            <w:r>
              <w:rPr>
                <w:b/>
              </w:rPr>
              <w:t>2</w:t>
            </w:r>
            <w:r w:rsidR="00931761">
              <w:rPr>
                <w:b/>
              </w:rPr>
              <w:t>5</w:t>
            </w:r>
            <w:r>
              <w:rPr>
                <w:b/>
              </w:rPr>
              <w:t>.</w:t>
            </w:r>
          </w:p>
        </w:tc>
        <w:tc>
          <w:tcPr>
            <w:tcW w:w="3286" w:type="dxa"/>
            <w:tcBorders>
              <w:top w:val="single" w:sz="6" w:space="0" w:color="000000"/>
              <w:left w:val="single" w:sz="6" w:space="0" w:color="000000"/>
              <w:bottom w:val="single" w:sz="6" w:space="0" w:color="000000"/>
              <w:right w:val="single" w:sz="6" w:space="0" w:color="000000"/>
            </w:tcBorders>
          </w:tcPr>
          <w:p w14:paraId="1D24EB1E" w14:textId="3EB11E69" w:rsidR="00FF0DA6" w:rsidRPr="00CE33D2" w:rsidRDefault="00FF0DA6" w:rsidP="00CD15D0">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15C5C5D8" w14:textId="77777777" w:rsidR="00FF0DA6" w:rsidRPr="004E2551" w:rsidRDefault="00FF0DA6" w:rsidP="004E2551">
            <w:pPr>
              <w:ind w:right="12" w:firstLine="567"/>
              <w:jc w:val="both"/>
              <w:rPr>
                <w:b/>
              </w:rPr>
            </w:pPr>
            <w:r w:rsidRPr="004E2551">
              <w:rPr>
                <w:b/>
              </w:rPr>
              <w:t>Tieslietu ministrija:</w:t>
            </w:r>
          </w:p>
          <w:p w14:paraId="5F43BE71" w14:textId="77777777" w:rsidR="00FF0DA6" w:rsidRPr="004E2551" w:rsidRDefault="00FF0DA6" w:rsidP="004E2551">
            <w:pPr>
              <w:ind w:right="12" w:firstLine="567"/>
              <w:jc w:val="both"/>
            </w:pPr>
            <w:r w:rsidRPr="004E2551">
              <w:t>2. Lūdzam precizēt tehnisku kļūdu noteikumu projekta 5. punktā, jo noteikumi Nr. 401 tiek papildināti nevis ar 4.1. apakšpunktu, bet ar 4.</w:t>
            </w:r>
            <w:r w:rsidRPr="004E2551">
              <w:rPr>
                <w:vertAlign w:val="superscript"/>
              </w:rPr>
              <w:t>1</w:t>
            </w:r>
            <w:r w:rsidRPr="004E2551">
              <w:t> punktu, tāpat līdzīgi lūdzam precizēt noteikumu projekta 24. punktā, ar kuru noteikumi Nr. 401 cita starpā papildināti ar 9.</w:t>
            </w:r>
            <w:r w:rsidRPr="004E2551">
              <w:rPr>
                <w:vertAlign w:val="superscript"/>
              </w:rPr>
              <w:t>2</w:t>
            </w:r>
            <w:r w:rsidRPr="004E2551">
              <w:t xml:space="preserve"> punktu, ietverto </w:t>
            </w:r>
            <w:r w:rsidRPr="004E2551">
              <w:lastRenderedPageBreak/>
              <w:t>atsauci uz 4. pielikuma 9.</w:t>
            </w:r>
            <w:r w:rsidRPr="004E2551">
              <w:rPr>
                <w:vertAlign w:val="superscript"/>
              </w:rPr>
              <w:t>1</w:t>
            </w:r>
            <w:r w:rsidRPr="004E2551">
              <w:t> punktu, nevis 9.1. apakšpunktu.</w:t>
            </w:r>
          </w:p>
          <w:p w14:paraId="2C5C9AAB" w14:textId="575DF431" w:rsidR="00FF0DA6" w:rsidRPr="003569C6" w:rsidRDefault="00FF0DA6" w:rsidP="003569C6">
            <w:pPr>
              <w:ind w:right="12" w:firstLine="567"/>
              <w:jc w:val="both"/>
            </w:pPr>
            <w:r w:rsidRPr="004E2551">
              <w:t>Tāpat līdzīgi lūdzam precizēt tehnisku kļūdu noteikumu projekta 11. punktā, kur vairākos gadījumos nepamatoti veikti pasvītrojumi.</w:t>
            </w:r>
          </w:p>
        </w:tc>
        <w:tc>
          <w:tcPr>
            <w:tcW w:w="2384" w:type="dxa"/>
            <w:tcBorders>
              <w:top w:val="single" w:sz="6" w:space="0" w:color="000000"/>
              <w:left w:val="single" w:sz="6" w:space="0" w:color="000000"/>
              <w:bottom w:val="single" w:sz="6" w:space="0" w:color="000000"/>
              <w:right w:val="single" w:sz="6" w:space="0" w:color="000000"/>
            </w:tcBorders>
          </w:tcPr>
          <w:p w14:paraId="77A65182" w14:textId="63BA0C07" w:rsidR="00FF0DA6" w:rsidRPr="004E2551" w:rsidRDefault="00FF0DA6" w:rsidP="004E2551">
            <w:pPr>
              <w:pStyle w:val="naisc"/>
              <w:spacing w:before="0" w:after="0"/>
              <w:ind w:firstLine="21"/>
              <w:jc w:val="both"/>
              <w:rPr>
                <w:b/>
              </w:rPr>
            </w:pPr>
            <w:r w:rsidRPr="004E2551">
              <w:rPr>
                <w:b/>
              </w:rPr>
              <w:lastRenderedPageBreak/>
              <w:t xml:space="preserve">Priekšlikums ir ņemts vērā. Veikto precizējumu rezultātā ir mainījusies noteikumu projekta normu numerācija. </w:t>
            </w:r>
          </w:p>
        </w:tc>
        <w:tc>
          <w:tcPr>
            <w:tcW w:w="3686" w:type="dxa"/>
            <w:tcBorders>
              <w:top w:val="single" w:sz="4" w:space="0" w:color="auto"/>
              <w:left w:val="single" w:sz="4" w:space="0" w:color="auto"/>
              <w:bottom w:val="single" w:sz="4" w:space="0" w:color="auto"/>
            </w:tcBorders>
          </w:tcPr>
          <w:p w14:paraId="64D4D02E" w14:textId="77777777" w:rsidR="00FF0DA6" w:rsidRPr="004E2551" w:rsidRDefault="00FF0DA6" w:rsidP="004E2551">
            <w:pPr>
              <w:pStyle w:val="naisf"/>
              <w:spacing w:before="0" w:after="0"/>
              <w:ind w:firstLine="709"/>
            </w:pPr>
            <w:r w:rsidRPr="004E2551">
              <w:t>2. Papildināt noteikumus ar 2.</w:t>
            </w:r>
            <w:r w:rsidRPr="004E2551">
              <w:rPr>
                <w:vertAlign w:val="superscript"/>
              </w:rPr>
              <w:t>1</w:t>
            </w:r>
            <w:r w:rsidRPr="004E2551">
              <w:t xml:space="preserve"> punktu šādā redakcijā:</w:t>
            </w:r>
          </w:p>
          <w:p w14:paraId="53435392" w14:textId="51FA7494" w:rsidR="00FF0DA6" w:rsidRPr="004E2551" w:rsidRDefault="00FF0DA6" w:rsidP="004E2551">
            <w:pPr>
              <w:pStyle w:val="naisf"/>
              <w:spacing w:before="0" w:after="0"/>
              <w:ind w:firstLine="709"/>
            </w:pPr>
            <w:r w:rsidRPr="004E2551">
              <w:t>“2.</w:t>
            </w:r>
            <w:r w:rsidRPr="004E2551">
              <w:rPr>
                <w:vertAlign w:val="superscript"/>
              </w:rPr>
              <w:t>1</w:t>
            </w:r>
            <w:r w:rsidRPr="004E2551">
              <w:t xml:space="preserve"> Par </w:t>
            </w:r>
            <w:r w:rsidRPr="004E2551">
              <w:rPr>
                <w:bCs/>
                <w:noProof/>
              </w:rPr>
              <w:t xml:space="preserve">atkritumu sadedzināšanas vai līdzsadedzināšanas iekārtu uzskata arī atkritumu termiskās apstrādes procesu, gan arī tam sekojošo sadedzināšanas procesu, ja atkritumu termiskai apstrādei </w:t>
            </w:r>
            <w:r w:rsidRPr="004E2551">
              <w:rPr>
                <w:bCs/>
                <w:noProof/>
              </w:rPr>
              <w:lastRenderedPageBreak/>
              <w:t>izmanto nevis oksidāciju, bet citus procesus,  piemēram, pirolīzi, gazifikāciju vai plazmas procesu.”</w:t>
            </w:r>
            <w:r w:rsidRPr="004E2551">
              <w:t>;</w:t>
            </w:r>
          </w:p>
          <w:p w14:paraId="4291DBB1" w14:textId="77777777" w:rsidR="00FF0DA6" w:rsidRPr="004E2551" w:rsidRDefault="00FF0DA6" w:rsidP="004E2551">
            <w:pPr>
              <w:jc w:val="both"/>
              <w:rPr>
                <w:b/>
              </w:rPr>
            </w:pPr>
          </w:p>
        </w:tc>
      </w:tr>
      <w:tr w:rsidR="00FF0DA6" w:rsidRPr="00CD15D0" w14:paraId="647B8CD4" w14:textId="77777777" w:rsidTr="00CD15D0">
        <w:tc>
          <w:tcPr>
            <w:tcW w:w="683" w:type="dxa"/>
            <w:tcBorders>
              <w:top w:val="single" w:sz="6" w:space="0" w:color="000000"/>
              <w:left w:val="single" w:sz="6" w:space="0" w:color="000000"/>
              <w:bottom w:val="single" w:sz="6" w:space="0" w:color="000000"/>
              <w:right w:val="single" w:sz="6" w:space="0" w:color="000000"/>
            </w:tcBorders>
          </w:tcPr>
          <w:p w14:paraId="62533093" w14:textId="28E0AF4F" w:rsidR="00FF0DA6" w:rsidRPr="00CD15D0" w:rsidRDefault="00931761" w:rsidP="00CD15D0">
            <w:pPr>
              <w:pStyle w:val="naisc"/>
              <w:spacing w:before="0" w:after="0"/>
              <w:jc w:val="both"/>
              <w:rPr>
                <w:b/>
              </w:rPr>
            </w:pPr>
            <w:r>
              <w:rPr>
                <w:b/>
              </w:rPr>
              <w:lastRenderedPageBreak/>
              <w:t>26</w:t>
            </w:r>
            <w:r w:rsidR="004E2551">
              <w:rPr>
                <w:b/>
              </w:rPr>
              <w:t>.</w:t>
            </w:r>
          </w:p>
        </w:tc>
        <w:tc>
          <w:tcPr>
            <w:tcW w:w="3286" w:type="dxa"/>
            <w:tcBorders>
              <w:top w:val="single" w:sz="6" w:space="0" w:color="000000"/>
              <w:left w:val="single" w:sz="6" w:space="0" w:color="000000"/>
              <w:bottom w:val="single" w:sz="6" w:space="0" w:color="000000"/>
              <w:right w:val="single" w:sz="6" w:space="0" w:color="000000"/>
            </w:tcBorders>
          </w:tcPr>
          <w:p w14:paraId="2C7B5D88" w14:textId="77777777" w:rsidR="00FF0DA6" w:rsidRPr="00CD15D0" w:rsidRDefault="00FF0DA6" w:rsidP="00CD15D0">
            <w:pPr>
              <w:pStyle w:val="naisf"/>
              <w:spacing w:before="0" w:after="0"/>
              <w:ind w:firstLine="709"/>
              <w:rPr>
                <w:b/>
              </w:rPr>
            </w:pPr>
          </w:p>
        </w:tc>
        <w:tc>
          <w:tcPr>
            <w:tcW w:w="4536" w:type="dxa"/>
            <w:tcBorders>
              <w:top w:val="single" w:sz="6" w:space="0" w:color="000000"/>
              <w:left w:val="single" w:sz="6" w:space="0" w:color="000000"/>
              <w:bottom w:val="single" w:sz="6" w:space="0" w:color="000000"/>
              <w:right w:val="single" w:sz="6" w:space="0" w:color="000000"/>
            </w:tcBorders>
          </w:tcPr>
          <w:p w14:paraId="310D2268" w14:textId="77777777" w:rsidR="00FF0DA6" w:rsidRPr="00CD15D0" w:rsidRDefault="00FF0DA6" w:rsidP="00CD15D0">
            <w:pPr>
              <w:ind w:right="12" w:firstLine="567"/>
              <w:jc w:val="both"/>
              <w:rPr>
                <w:b/>
              </w:rPr>
            </w:pPr>
            <w:r w:rsidRPr="00CD15D0">
              <w:rPr>
                <w:b/>
              </w:rPr>
              <w:t>Tieslietu ministrija:</w:t>
            </w:r>
          </w:p>
          <w:p w14:paraId="5FEDC56C" w14:textId="77777777" w:rsidR="00FF0DA6" w:rsidRPr="00CD15D0" w:rsidRDefault="00FF0DA6" w:rsidP="00CD15D0">
            <w:pPr>
              <w:ind w:right="12" w:firstLine="567"/>
              <w:jc w:val="both"/>
            </w:pPr>
            <w:r w:rsidRPr="00CD15D0">
              <w:t>3. Aicinām precizēt noteikumu projekta 14. punktā ietverto atsauci uz noteikumu projekta 34. punktu, jo vārdi "59. punktā" ietverti noteikumu Nr. 401 34. punkta ievaddaļā.</w:t>
            </w:r>
          </w:p>
          <w:p w14:paraId="13BFF3FD" w14:textId="5F0A813E" w:rsidR="00FF0DA6" w:rsidRPr="00CD15D0" w:rsidRDefault="00FF0DA6" w:rsidP="00CD15D0">
            <w:pPr>
              <w:ind w:right="12" w:firstLine="567"/>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45FFF29F" w14:textId="0DB9AE79" w:rsidR="00FF0DA6" w:rsidRPr="00CD15D0" w:rsidRDefault="00FF0DA6" w:rsidP="00CD15D0">
            <w:pPr>
              <w:pStyle w:val="naisc"/>
              <w:spacing w:before="0" w:after="0"/>
              <w:ind w:firstLine="21"/>
              <w:jc w:val="both"/>
              <w:rPr>
                <w:b/>
              </w:rPr>
            </w:pPr>
            <w:r w:rsidRPr="00CD15D0">
              <w:rPr>
                <w:b/>
              </w:rPr>
              <w:t>Priekšlikums ir ņemts vērā. 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070BA312" w14:textId="3D4549E1" w:rsidR="00FF0DA6" w:rsidRPr="00CD15D0" w:rsidRDefault="00FF0DA6" w:rsidP="00CD15D0">
            <w:pPr>
              <w:pStyle w:val="naisf"/>
              <w:spacing w:before="0" w:after="0"/>
              <w:ind w:firstLine="0"/>
              <w:rPr>
                <w:b/>
              </w:rPr>
            </w:pPr>
          </w:p>
        </w:tc>
      </w:tr>
      <w:tr w:rsidR="00FF0DA6" w:rsidRPr="00CD15D0" w14:paraId="5856CC7A" w14:textId="77777777" w:rsidTr="00CD15D0">
        <w:tc>
          <w:tcPr>
            <w:tcW w:w="683" w:type="dxa"/>
            <w:tcBorders>
              <w:top w:val="single" w:sz="6" w:space="0" w:color="000000"/>
              <w:left w:val="single" w:sz="6" w:space="0" w:color="000000"/>
              <w:bottom w:val="single" w:sz="6" w:space="0" w:color="000000"/>
              <w:right w:val="single" w:sz="6" w:space="0" w:color="000000"/>
            </w:tcBorders>
          </w:tcPr>
          <w:p w14:paraId="72D6900E" w14:textId="480D7723" w:rsidR="00FF0DA6" w:rsidRPr="00CD15D0" w:rsidRDefault="00931761" w:rsidP="00CD15D0">
            <w:pPr>
              <w:pStyle w:val="naisc"/>
              <w:spacing w:before="0" w:after="0"/>
              <w:jc w:val="both"/>
              <w:rPr>
                <w:b/>
              </w:rPr>
            </w:pPr>
            <w:r>
              <w:rPr>
                <w:b/>
              </w:rPr>
              <w:t>27</w:t>
            </w:r>
            <w:r w:rsidR="004E2551">
              <w:rPr>
                <w:b/>
              </w:rPr>
              <w:t>.</w:t>
            </w:r>
          </w:p>
        </w:tc>
        <w:tc>
          <w:tcPr>
            <w:tcW w:w="3286" w:type="dxa"/>
            <w:tcBorders>
              <w:top w:val="single" w:sz="6" w:space="0" w:color="000000"/>
              <w:left w:val="single" w:sz="6" w:space="0" w:color="000000"/>
              <w:bottom w:val="single" w:sz="6" w:space="0" w:color="000000"/>
              <w:right w:val="single" w:sz="6" w:space="0" w:color="000000"/>
            </w:tcBorders>
          </w:tcPr>
          <w:p w14:paraId="2C6170A2" w14:textId="19313B5D" w:rsidR="00FF0DA6" w:rsidRPr="00B17E44" w:rsidRDefault="00FF0DA6" w:rsidP="00B17E44">
            <w:pPr>
              <w:pStyle w:val="naisf"/>
              <w:spacing w:before="0" w:after="0"/>
              <w:ind w:firstLine="709"/>
            </w:pPr>
            <w:r w:rsidRPr="00CD15D0">
              <w:t>3.1. vidējās diennakts emisijas robežvērtības cietajām daļiņām (kopā), HCl, HF, NO</w:t>
            </w:r>
            <w:r w:rsidRPr="00CD15D0">
              <w:rPr>
                <w:vertAlign w:val="subscript"/>
              </w:rPr>
              <w:t>x</w:t>
            </w:r>
            <w:r w:rsidRPr="00CD15D0">
              <w:t>, SO</w:t>
            </w:r>
            <w:r w:rsidRPr="00CD15D0">
              <w:rPr>
                <w:vertAlign w:val="subscript"/>
              </w:rPr>
              <w:t xml:space="preserve">2 </w:t>
            </w:r>
            <w:r w:rsidRPr="00CD15D0">
              <w:t xml:space="preserve">un kopējam organiskajam ogleklim ( nepārtrauktiem mērījumiem), </w:t>
            </w:r>
          </w:p>
        </w:tc>
        <w:tc>
          <w:tcPr>
            <w:tcW w:w="4536" w:type="dxa"/>
            <w:tcBorders>
              <w:top w:val="single" w:sz="6" w:space="0" w:color="000000"/>
              <w:left w:val="single" w:sz="6" w:space="0" w:color="000000"/>
              <w:bottom w:val="single" w:sz="6" w:space="0" w:color="000000"/>
              <w:right w:val="single" w:sz="6" w:space="0" w:color="000000"/>
            </w:tcBorders>
          </w:tcPr>
          <w:p w14:paraId="0B3D209B" w14:textId="77777777" w:rsidR="00FF0DA6" w:rsidRPr="00CD15D0" w:rsidRDefault="00FF0DA6" w:rsidP="00CD15D0">
            <w:pPr>
              <w:ind w:right="12" w:firstLine="567"/>
              <w:jc w:val="both"/>
              <w:rPr>
                <w:b/>
              </w:rPr>
            </w:pPr>
            <w:r w:rsidRPr="00CD15D0">
              <w:rPr>
                <w:b/>
              </w:rPr>
              <w:t>Tieslietu ministrija:</w:t>
            </w:r>
          </w:p>
          <w:p w14:paraId="312AC0F5" w14:textId="14FC40D7" w:rsidR="00FF0DA6" w:rsidRPr="00E53BC7" w:rsidRDefault="00FF0DA6" w:rsidP="00E53BC7">
            <w:pPr>
              <w:ind w:right="12" w:firstLine="567"/>
              <w:jc w:val="both"/>
            </w:pPr>
            <w:r w:rsidRPr="00CD15D0">
              <w:t>4. Aicinām noteikumu projekta 24. punktā izteiktā noteikumu Nr. 401 4. pielikuma 3.1. apakšpunktā attiecībā uz vārdiem "nepārtrauktiem mērījumiem" nelietot pieturzīmi iekavas, jo tās ir liekas.</w:t>
            </w:r>
          </w:p>
        </w:tc>
        <w:tc>
          <w:tcPr>
            <w:tcW w:w="2384" w:type="dxa"/>
            <w:tcBorders>
              <w:top w:val="single" w:sz="6" w:space="0" w:color="000000"/>
              <w:left w:val="single" w:sz="6" w:space="0" w:color="000000"/>
              <w:bottom w:val="single" w:sz="6" w:space="0" w:color="000000"/>
              <w:right w:val="single" w:sz="6" w:space="0" w:color="000000"/>
            </w:tcBorders>
          </w:tcPr>
          <w:p w14:paraId="50394321" w14:textId="13C7088C" w:rsidR="00FF0DA6" w:rsidRPr="00CD15D0" w:rsidRDefault="00FF0DA6" w:rsidP="00CD15D0">
            <w:pPr>
              <w:pStyle w:val="naisc"/>
              <w:spacing w:before="0" w:after="0"/>
              <w:ind w:firstLine="21"/>
              <w:jc w:val="both"/>
              <w:rPr>
                <w:b/>
              </w:rPr>
            </w:pPr>
            <w:r w:rsidRPr="00CD15D0">
              <w:rPr>
                <w:b/>
              </w:rPr>
              <w:t xml:space="preserve">Priekšlikums ir ņemts vērā. </w:t>
            </w:r>
          </w:p>
        </w:tc>
        <w:tc>
          <w:tcPr>
            <w:tcW w:w="3686" w:type="dxa"/>
            <w:tcBorders>
              <w:top w:val="single" w:sz="4" w:space="0" w:color="auto"/>
              <w:left w:val="single" w:sz="4" w:space="0" w:color="auto"/>
              <w:bottom w:val="single" w:sz="4" w:space="0" w:color="auto"/>
            </w:tcBorders>
          </w:tcPr>
          <w:p w14:paraId="3FD137CF" w14:textId="2C50267D" w:rsidR="00FF0DA6" w:rsidRPr="00E53BC7" w:rsidRDefault="00FF0DA6" w:rsidP="00E53BC7">
            <w:pPr>
              <w:pStyle w:val="naisf"/>
              <w:spacing w:before="0" w:after="0"/>
              <w:ind w:firstLine="0"/>
            </w:pPr>
            <w:r w:rsidRPr="00CD15D0">
              <w:t>3.1. vidējās diennakts emisijas robežvērtības cietajām daļiņām (kopā), HCl, HF, NO</w:t>
            </w:r>
            <w:r w:rsidRPr="00CD15D0">
              <w:rPr>
                <w:vertAlign w:val="subscript"/>
              </w:rPr>
              <w:t>x</w:t>
            </w:r>
            <w:r w:rsidRPr="00CD15D0">
              <w:t>, SO</w:t>
            </w:r>
            <w:r w:rsidRPr="00CD15D0">
              <w:rPr>
                <w:vertAlign w:val="subscript"/>
              </w:rPr>
              <w:t xml:space="preserve">2 </w:t>
            </w:r>
            <w:r w:rsidRPr="00CD15D0">
              <w:t xml:space="preserve">un kopējam organiskajam ogleklim  nepārtrauktiem mērījumiem, </w:t>
            </w:r>
          </w:p>
        </w:tc>
      </w:tr>
      <w:tr w:rsidR="00FF0DA6" w:rsidRPr="0079129B" w14:paraId="16FC9745" w14:textId="77777777" w:rsidTr="00CD15D0">
        <w:tc>
          <w:tcPr>
            <w:tcW w:w="683" w:type="dxa"/>
            <w:tcBorders>
              <w:top w:val="single" w:sz="6" w:space="0" w:color="000000"/>
              <w:left w:val="single" w:sz="6" w:space="0" w:color="000000"/>
              <w:bottom w:val="single" w:sz="6" w:space="0" w:color="000000"/>
              <w:right w:val="single" w:sz="6" w:space="0" w:color="000000"/>
            </w:tcBorders>
          </w:tcPr>
          <w:p w14:paraId="14EF3AB7" w14:textId="60A96DE5" w:rsidR="00FF0DA6" w:rsidRPr="0079129B" w:rsidRDefault="00931761" w:rsidP="0079129B">
            <w:pPr>
              <w:pStyle w:val="naisc"/>
              <w:spacing w:before="0" w:after="0"/>
              <w:jc w:val="both"/>
              <w:rPr>
                <w:b/>
              </w:rPr>
            </w:pPr>
            <w:r>
              <w:rPr>
                <w:b/>
              </w:rPr>
              <w:t>28.</w:t>
            </w:r>
          </w:p>
        </w:tc>
        <w:tc>
          <w:tcPr>
            <w:tcW w:w="3286" w:type="dxa"/>
            <w:tcBorders>
              <w:top w:val="single" w:sz="6" w:space="0" w:color="000000"/>
              <w:left w:val="single" w:sz="6" w:space="0" w:color="000000"/>
              <w:bottom w:val="single" w:sz="6" w:space="0" w:color="000000"/>
              <w:right w:val="single" w:sz="6" w:space="0" w:color="000000"/>
            </w:tcBorders>
          </w:tcPr>
          <w:p w14:paraId="38AC4284" w14:textId="77777777" w:rsidR="00FF0DA6" w:rsidRPr="0079129B" w:rsidRDefault="00FF0DA6" w:rsidP="0079129B">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382DBF3D" w14:textId="77777777" w:rsidR="00FF0DA6" w:rsidRPr="0079129B" w:rsidRDefault="00FF0DA6" w:rsidP="0079129B">
            <w:pPr>
              <w:ind w:right="12" w:firstLine="567"/>
              <w:jc w:val="both"/>
              <w:rPr>
                <w:b/>
              </w:rPr>
            </w:pPr>
            <w:r w:rsidRPr="0079129B">
              <w:rPr>
                <w:b/>
              </w:rPr>
              <w:t>Tieslietu ministrija:</w:t>
            </w:r>
          </w:p>
          <w:p w14:paraId="43809918" w14:textId="3703C257" w:rsidR="00FF0DA6" w:rsidRPr="00F70FFB" w:rsidRDefault="00FF0DA6" w:rsidP="00F70FFB">
            <w:pPr>
              <w:ind w:right="12" w:firstLine="567"/>
              <w:jc w:val="both"/>
            </w:pPr>
            <w:r w:rsidRPr="0079129B">
              <w:t>5. Lūdzam precizēt noteikumu projektā ietvertās atsauces uz noteikumiem Nr. 401, nodrošinot, ka tās ir pēc iespējas precīzas. Piemēram, ņemot vērā, ka noteikumu Nr. 401 4. pielikumā ietvertās tabulas ir numurētas, lūdzam noteikumu projekta 24. punktā konkrēti atsaukties uz konkrētu 4. pielikuma tabulu, nevis 4. pielikuma 9. punkta tabulu.</w:t>
            </w:r>
          </w:p>
        </w:tc>
        <w:tc>
          <w:tcPr>
            <w:tcW w:w="2384" w:type="dxa"/>
            <w:tcBorders>
              <w:top w:val="single" w:sz="6" w:space="0" w:color="000000"/>
              <w:left w:val="single" w:sz="6" w:space="0" w:color="000000"/>
              <w:bottom w:val="single" w:sz="6" w:space="0" w:color="000000"/>
              <w:right w:val="single" w:sz="6" w:space="0" w:color="000000"/>
            </w:tcBorders>
          </w:tcPr>
          <w:p w14:paraId="377E1113" w14:textId="1083372C" w:rsidR="00FF0DA6" w:rsidRPr="0079129B" w:rsidRDefault="00CD15D0" w:rsidP="0079129B">
            <w:pPr>
              <w:pStyle w:val="naisc"/>
              <w:spacing w:before="0" w:after="0"/>
              <w:ind w:firstLine="21"/>
              <w:jc w:val="both"/>
              <w:rPr>
                <w:b/>
              </w:rPr>
            </w:pPr>
            <w:r>
              <w:rPr>
                <w:b/>
              </w:rPr>
              <w:t xml:space="preserve">Priekšlikums ir ņemts vērā. </w:t>
            </w:r>
          </w:p>
        </w:tc>
        <w:tc>
          <w:tcPr>
            <w:tcW w:w="3686" w:type="dxa"/>
            <w:tcBorders>
              <w:top w:val="single" w:sz="4" w:space="0" w:color="auto"/>
              <w:left w:val="single" w:sz="4" w:space="0" w:color="auto"/>
              <w:bottom w:val="single" w:sz="4" w:space="0" w:color="auto"/>
            </w:tcBorders>
          </w:tcPr>
          <w:p w14:paraId="7A61DA32" w14:textId="612A1B4D" w:rsidR="00FF0DA6" w:rsidRPr="0079129B" w:rsidRDefault="001A06E1" w:rsidP="0079129B">
            <w:pPr>
              <w:jc w:val="both"/>
              <w:rPr>
                <w:b/>
              </w:rPr>
            </w:pPr>
            <w:r>
              <w:rPr>
                <w:b/>
              </w:rPr>
              <w:t xml:space="preserve">Priekšlikums ir ņemts vērā. </w:t>
            </w:r>
          </w:p>
        </w:tc>
      </w:tr>
      <w:tr w:rsidR="00427553" w:rsidRPr="0079129B" w14:paraId="25082470" w14:textId="77777777" w:rsidTr="00962AD0">
        <w:tc>
          <w:tcPr>
            <w:tcW w:w="14575" w:type="dxa"/>
            <w:gridSpan w:val="5"/>
            <w:tcBorders>
              <w:top w:val="single" w:sz="6" w:space="0" w:color="000000"/>
              <w:left w:val="single" w:sz="6" w:space="0" w:color="000000"/>
              <w:bottom w:val="single" w:sz="6" w:space="0" w:color="000000"/>
            </w:tcBorders>
          </w:tcPr>
          <w:p w14:paraId="585DE432" w14:textId="6048F94E" w:rsidR="00427553" w:rsidRDefault="00427553" w:rsidP="00427553">
            <w:pPr>
              <w:jc w:val="center"/>
              <w:rPr>
                <w:b/>
              </w:rPr>
            </w:pPr>
            <w:r>
              <w:rPr>
                <w:b/>
              </w:rPr>
              <w:lastRenderedPageBreak/>
              <w:t>Pēc 2021</w:t>
            </w:r>
            <w:r w:rsidR="00C670D1">
              <w:rPr>
                <w:b/>
              </w:rPr>
              <w:t>.</w:t>
            </w:r>
            <w:r>
              <w:rPr>
                <w:b/>
              </w:rPr>
              <w:t>gada 25.janvār</w:t>
            </w:r>
            <w:r w:rsidR="00C670D1">
              <w:rPr>
                <w:b/>
              </w:rPr>
              <w:t xml:space="preserve">a elektroniskās saskaņošanas </w:t>
            </w:r>
            <w:r>
              <w:rPr>
                <w:b/>
              </w:rPr>
              <w:t>saņemtie iebildumi</w:t>
            </w:r>
          </w:p>
        </w:tc>
      </w:tr>
      <w:tr w:rsidR="00427553" w:rsidRPr="0079129B" w14:paraId="30F6F1E0" w14:textId="77777777" w:rsidTr="00CD15D0">
        <w:tc>
          <w:tcPr>
            <w:tcW w:w="683" w:type="dxa"/>
            <w:tcBorders>
              <w:top w:val="single" w:sz="6" w:space="0" w:color="000000"/>
              <w:left w:val="single" w:sz="6" w:space="0" w:color="000000"/>
              <w:bottom w:val="single" w:sz="6" w:space="0" w:color="000000"/>
              <w:right w:val="single" w:sz="6" w:space="0" w:color="000000"/>
            </w:tcBorders>
          </w:tcPr>
          <w:p w14:paraId="7DC6502C" w14:textId="48DB549E" w:rsidR="00427553" w:rsidRDefault="00931761" w:rsidP="0079129B">
            <w:pPr>
              <w:pStyle w:val="naisc"/>
              <w:spacing w:before="0" w:after="0"/>
              <w:jc w:val="both"/>
              <w:rPr>
                <w:b/>
              </w:rPr>
            </w:pPr>
            <w:r>
              <w:rPr>
                <w:b/>
              </w:rPr>
              <w:t>29.</w:t>
            </w:r>
          </w:p>
        </w:tc>
        <w:tc>
          <w:tcPr>
            <w:tcW w:w="3286" w:type="dxa"/>
            <w:tcBorders>
              <w:top w:val="single" w:sz="6" w:space="0" w:color="000000"/>
              <w:left w:val="single" w:sz="6" w:space="0" w:color="000000"/>
              <w:bottom w:val="single" w:sz="6" w:space="0" w:color="000000"/>
              <w:right w:val="single" w:sz="6" w:space="0" w:color="000000"/>
            </w:tcBorders>
          </w:tcPr>
          <w:p w14:paraId="3BFEA6C3" w14:textId="77777777" w:rsidR="00427553" w:rsidRPr="0079129B" w:rsidRDefault="00427553" w:rsidP="0079129B">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63E8EF2C" w14:textId="77777777" w:rsidR="00931761" w:rsidRDefault="00931761" w:rsidP="00931761">
            <w:pPr>
              <w:jc w:val="both"/>
              <w:rPr>
                <w:b/>
              </w:rPr>
            </w:pPr>
            <w:r>
              <w:rPr>
                <w:b/>
              </w:rPr>
              <w:t>Tieslietu ministrija:</w:t>
            </w:r>
          </w:p>
          <w:p w14:paraId="33506D91" w14:textId="7DCE06D4" w:rsidR="00427553" w:rsidRPr="00427553" w:rsidRDefault="00427553" w:rsidP="00931761">
            <w:pPr>
              <w:jc w:val="both"/>
            </w:pPr>
            <w:r>
              <w:t>1. Lūdzam precizēt noteikumu projektu, nodrošinot ka Ministru kabineta 2011. gada 24. maija noteikumos Nr. 401 "Prasības atkritumu sadedzināšanai un atkritumu sadedzināšanas iekārtu darbībai” (turpmāk – noteikumi Nr. 401) katrā gadījumā korekti un precīzi tiek aizstāti vārdi “Reģionālā vides pārvalde” ar vārdiem “Valsts vides dienests”. Norādām, ka, piemēram, atbilstoši noteikumu projekta 4. punktam veidojas nekorekta konstrukcija “Valsts vides dienests Valsts vides dienests”. Tāpat, piemēram, noteikuma projektā vairākas normas paredz līdzīgu regulējumu, proti, vārdi “Reģionālā vides pārvalde” tiek aizstāti ar vārdiem “Valsts vides dienests”. Norādām, ka šādā gadījumā būtu piemērojams Ministru kabineta 2009. gada 3. februāra noteikumu Nr. 108 "Normatīvo aktu projektu sagatavošanas noteikumi" (turpmāk – noteikumu Nr. 108) 152. punkts, nepieciešamības gadījumā atrunājot konkrētus izņēmumus.</w:t>
            </w:r>
          </w:p>
        </w:tc>
        <w:tc>
          <w:tcPr>
            <w:tcW w:w="2384" w:type="dxa"/>
            <w:tcBorders>
              <w:top w:val="single" w:sz="6" w:space="0" w:color="000000"/>
              <w:left w:val="single" w:sz="6" w:space="0" w:color="000000"/>
              <w:bottom w:val="single" w:sz="6" w:space="0" w:color="000000"/>
              <w:right w:val="single" w:sz="6" w:space="0" w:color="000000"/>
            </w:tcBorders>
          </w:tcPr>
          <w:p w14:paraId="2F882EA4" w14:textId="3681FBEB" w:rsidR="00427553" w:rsidRDefault="00243692" w:rsidP="0079129B">
            <w:pPr>
              <w:pStyle w:val="naisc"/>
              <w:spacing w:before="0" w:after="0"/>
              <w:ind w:firstLine="21"/>
              <w:jc w:val="both"/>
              <w:rPr>
                <w:b/>
              </w:rPr>
            </w:pPr>
            <w:r>
              <w:rPr>
                <w:b/>
              </w:rPr>
              <w:t>Iebild</w:t>
            </w:r>
            <w:r w:rsidR="00063A0F">
              <w:rPr>
                <w:b/>
              </w:rPr>
              <w:t>ums ir ņemts vērā.</w:t>
            </w:r>
          </w:p>
        </w:tc>
        <w:tc>
          <w:tcPr>
            <w:tcW w:w="3686" w:type="dxa"/>
            <w:tcBorders>
              <w:top w:val="single" w:sz="4" w:space="0" w:color="auto"/>
              <w:left w:val="single" w:sz="4" w:space="0" w:color="auto"/>
              <w:bottom w:val="single" w:sz="4" w:space="0" w:color="auto"/>
            </w:tcBorders>
          </w:tcPr>
          <w:p w14:paraId="167210B0" w14:textId="3B307369" w:rsidR="00427553" w:rsidRDefault="00962AD0" w:rsidP="0079129B">
            <w:pPr>
              <w:jc w:val="both"/>
              <w:rPr>
                <w:b/>
              </w:rPr>
            </w:pPr>
            <w:r>
              <w:rPr>
                <w:b/>
              </w:rPr>
              <w:t xml:space="preserve">Precizēts </w:t>
            </w:r>
            <w:r w:rsidR="00CF19CE">
              <w:rPr>
                <w:b/>
              </w:rPr>
              <w:t xml:space="preserve">viss </w:t>
            </w:r>
            <w:r>
              <w:rPr>
                <w:b/>
              </w:rPr>
              <w:t xml:space="preserve">noteikumu projekta teksts. </w:t>
            </w:r>
          </w:p>
        </w:tc>
      </w:tr>
      <w:tr w:rsidR="00427553" w:rsidRPr="0079129B" w14:paraId="596D25DD" w14:textId="77777777" w:rsidTr="00CD15D0">
        <w:tc>
          <w:tcPr>
            <w:tcW w:w="683" w:type="dxa"/>
            <w:tcBorders>
              <w:top w:val="single" w:sz="6" w:space="0" w:color="000000"/>
              <w:left w:val="single" w:sz="6" w:space="0" w:color="000000"/>
              <w:bottom w:val="single" w:sz="6" w:space="0" w:color="000000"/>
              <w:right w:val="single" w:sz="6" w:space="0" w:color="000000"/>
            </w:tcBorders>
          </w:tcPr>
          <w:p w14:paraId="63B2A54C" w14:textId="25EFCD50" w:rsidR="00427553" w:rsidRDefault="00FA50CC" w:rsidP="0079129B">
            <w:pPr>
              <w:pStyle w:val="naisc"/>
              <w:spacing w:before="0" w:after="0"/>
              <w:jc w:val="both"/>
              <w:rPr>
                <w:b/>
              </w:rPr>
            </w:pPr>
            <w:r>
              <w:rPr>
                <w:b/>
              </w:rPr>
              <w:t>30.</w:t>
            </w:r>
          </w:p>
        </w:tc>
        <w:tc>
          <w:tcPr>
            <w:tcW w:w="3286" w:type="dxa"/>
            <w:tcBorders>
              <w:top w:val="single" w:sz="6" w:space="0" w:color="000000"/>
              <w:left w:val="single" w:sz="6" w:space="0" w:color="000000"/>
              <w:bottom w:val="single" w:sz="6" w:space="0" w:color="000000"/>
              <w:right w:val="single" w:sz="6" w:space="0" w:color="000000"/>
            </w:tcBorders>
          </w:tcPr>
          <w:p w14:paraId="577C44F7" w14:textId="77777777" w:rsidR="00427553" w:rsidRPr="0079129B" w:rsidRDefault="00427553" w:rsidP="0079129B">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3829D552" w14:textId="77777777" w:rsidR="00427553" w:rsidRPr="00427553" w:rsidRDefault="00427553" w:rsidP="00C55BD2">
            <w:pPr>
              <w:jc w:val="both"/>
              <w:rPr>
                <w:b/>
                <w:bCs/>
              </w:rPr>
            </w:pPr>
            <w:r w:rsidRPr="00427553">
              <w:rPr>
                <w:b/>
                <w:bCs/>
              </w:rPr>
              <w:t>Tieslietu ministrija:</w:t>
            </w:r>
          </w:p>
          <w:p w14:paraId="60CE6587" w14:textId="68AC619E" w:rsidR="00427553" w:rsidRDefault="00427553" w:rsidP="00C55BD2">
            <w:pPr>
              <w:jc w:val="both"/>
            </w:pPr>
            <w:r>
              <w:t xml:space="preserve">2. Noteikumu projekta saskaņošanas procesā noteikumu projektā vairs nav paredzēts iekļaut normu, kas paredz aizstāt noteikumu </w:t>
            </w:r>
            <w:r>
              <w:lastRenderedPageBreak/>
              <w:t>tekstā vārdus “cietās daļiņas” ar vārdiem “daļiņas vai putekļi”. Saistībā ar minēto lūdzam sniegt pamatotu skaidrojumu par attiecīgās normas nepieciešamību un mērķi un vai tās neietveršana noteikumu projektā nav pretrunā ar mērķi pienācīgi pārņemt Eiropas Savienības tiesību normu prasības. Norādām, ka Eiropas Parlamenta un Padomes 2010. gada 24. novembra Direktīva 2010/75/ES par rūpnieciskajām emisijām (piesārņojuma integrēta novēršana un kontrole) vairākos gadījumos pretēji noteikumiem Nr. 401 (arī noteikumu projekta redakcijā) lietots nevis vārds “daļiņas”, bet gan “putekļi”. Nepieciešamības gadījumā lūdzam papildināt noteikumu projektu ar atbilstošu tiesisko regulējumu.</w:t>
            </w:r>
          </w:p>
          <w:p w14:paraId="556E8C8C" w14:textId="77777777" w:rsidR="00427553" w:rsidRDefault="00427553" w:rsidP="0079129B">
            <w:pPr>
              <w:ind w:right="12" w:firstLine="567"/>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0D12C861" w14:textId="2C08B952" w:rsidR="00427553" w:rsidRDefault="000962E4" w:rsidP="0079129B">
            <w:pPr>
              <w:pStyle w:val="naisc"/>
              <w:spacing w:before="0" w:after="0"/>
              <w:ind w:firstLine="21"/>
              <w:jc w:val="both"/>
              <w:rPr>
                <w:b/>
              </w:rPr>
            </w:pPr>
            <w:r>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2E6A0CF3" w14:textId="43E5A064" w:rsidR="00427553" w:rsidRDefault="00962AD0" w:rsidP="0079129B">
            <w:pPr>
              <w:jc w:val="both"/>
              <w:rPr>
                <w:b/>
              </w:rPr>
            </w:pPr>
            <w:r>
              <w:rPr>
                <w:b/>
              </w:rPr>
              <w:t xml:space="preserve">Precizēts </w:t>
            </w:r>
            <w:r w:rsidR="00CF19CE">
              <w:rPr>
                <w:b/>
              </w:rPr>
              <w:t xml:space="preserve">viss </w:t>
            </w:r>
            <w:r>
              <w:rPr>
                <w:b/>
              </w:rPr>
              <w:t>noteikumu projekta teksts.</w:t>
            </w:r>
          </w:p>
          <w:p w14:paraId="1BE92E32" w14:textId="77777777" w:rsidR="00962AD0" w:rsidRDefault="00962AD0" w:rsidP="0079129B">
            <w:pPr>
              <w:jc w:val="both"/>
              <w:rPr>
                <w:b/>
              </w:rPr>
            </w:pPr>
            <w:r>
              <w:rPr>
                <w:b/>
              </w:rPr>
              <w:lastRenderedPageBreak/>
              <w:t>Noteikumu projekta anotācijas I.sadaļas 2.punkts ir papildināts šādā redakcijā:</w:t>
            </w:r>
          </w:p>
          <w:p w14:paraId="249DEBD6" w14:textId="58023FC0" w:rsidR="00CF19CE" w:rsidRDefault="00CF19CE" w:rsidP="0079129B">
            <w:pPr>
              <w:jc w:val="both"/>
              <w:rPr>
                <w:b/>
              </w:rPr>
            </w:pPr>
            <w:r>
              <w:t xml:space="preserve">2.2.14. izvērtējot direktīvas </w:t>
            </w:r>
            <w:r w:rsidRPr="006D5F36">
              <w:t>2010/75/ES</w:t>
            </w:r>
            <w:r>
              <w:t xml:space="preserve"> prasības atkritumu sadedzināšanas iekārtu darbībai un MK noteikumus Nr.401, tika konstatēts, ka ir lietderīgi precizēt jēdzienu “cietās daļiņas”, tā kā direktīvā 2010/75/ES attiecībā uz prasībām atkritumu sadedzināšanas iekārtām tiek lietots jēdziens “putekļi”, savukārt attiecībā uz sadedzināšanas iekārtām kopumā tiek lietots arī jēdziens “cietās daļiņas”. Lai nodrošinātu direktīvas 2010/75/ES prasību pārņemšanu, noteikumu Nr.401 tekstā jēdziens “cietās daļiņas” ir aizstāts ar jēdzienu “putekļi jeb daļiņas”, kurš ir definēts Ministru kabienta 2021.gada 7.janvāra noteikumos Nr.17 “</w:t>
            </w:r>
            <w:r w:rsidRPr="00D873E2">
              <w:t>Noteikumi par gaisa piesārņojuma ierobežošanu no sadedzināšanas iekārtām</w:t>
            </w:r>
            <w:r>
              <w:t>” 2.18.punktā.</w:t>
            </w:r>
            <w:r>
              <w:rPr>
                <w:rStyle w:val="FootnoteReference"/>
              </w:rPr>
              <w:footnoteReference w:id="1"/>
            </w:r>
          </w:p>
        </w:tc>
      </w:tr>
      <w:tr w:rsidR="002E439D" w:rsidRPr="00113DD7" w14:paraId="6BC8C4F4" w14:textId="77777777" w:rsidTr="00CD15D0">
        <w:tc>
          <w:tcPr>
            <w:tcW w:w="683" w:type="dxa"/>
            <w:tcBorders>
              <w:top w:val="single" w:sz="6" w:space="0" w:color="000000"/>
              <w:left w:val="single" w:sz="6" w:space="0" w:color="000000"/>
              <w:bottom w:val="single" w:sz="6" w:space="0" w:color="000000"/>
              <w:right w:val="single" w:sz="6" w:space="0" w:color="000000"/>
            </w:tcBorders>
          </w:tcPr>
          <w:p w14:paraId="2FDE3F65" w14:textId="6164F61C" w:rsidR="002E439D" w:rsidRPr="00113DD7" w:rsidRDefault="00FA50CC" w:rsidP="0079129B">
            <w:pPr>
              <w:pStyle w:val="naisc"/>
              <w:spacing w:before="0" w:after="0"/>
              <w:jc w:val="both"/>
              <w:rPr>
                <w:b/>
              </w:rPr>
            </w:pPr>
            <w:r>
              <w:rPr>
                <w:b/>
              </w:rPr>
              <w:lastRenderedPageBreak/>
              <w:t>31.</w:t>
            </w:r>
          </w:p>
        </w:tc>
        <w:tc>
          <w:tcPr>
            <w:tcW w:w="3286" w:type="dxa"/>
            <w:tcBorders>
              <w:top w:val="single" w:sz="6" w:space="0" w:color="000000"/>
              <w:left w:val="single" w:sz="6" w:space="0" w:color="000000"/>
              <w:bottom w:val="single" w:sz="6" w:space="0" w:color="000000"/>
              <w:right w:val="single" w:sz="6" w:space="0" w:color="000000"/>
            </w:tcBorders>
          </w:tcPr>
          <w:p w14:paraId="5028117E" w14:textId="77777777" w:rsidR="00962AD0" w:rsidRPr="00113DD7" w:rsidRDefault="00962AD0" w:rsidP="00962AD0">
            <w:pPr>
              <w:pStyle w:val="tv213"/>
              <w:spacing w:before="0" w:beforeAutospacing="0" w:after="0" w:afterAutospacing="0"/>
              <w:ind w:firstLine="720"/>
              <w:jc w:val="both"/>
            </w:pPr>
            <w:r w:rsidRPr="00113DD7">
              <w:t>15. Izteikt 17.punktu šādā redakcijā:</w:t>
            </w:r>
          </w:p>
          <w:p w14:paraId="7C32C740" w14:textId="0DC35219" w:rsidR="002E439D" w:rsidRPr="00B17E44" w:rsidRDefault="00962AD0" w:rsidP="00B17E44">
            <w:pPr>
              <w:pStyle w:val="tv213"/>
              <w:spacing w:before="0" w:beforeAutospacing="0" w:after="0" w:afterAutospacing="0"/>
              <w:ind w:firstLine="720"/>
              <w:jc w:val="both"/>
            </w:pPr>
            <w:r w:rsidRPr="00113DD7">
              <w:t xml:space="preserve">“17. Katru atkritumu sadedzināšanas iekārtas sadedzināšanas kameru aprīko ar vismaz vienu papildu degli, kas automātiski ieslēdzas, lai pēc pēdējās gaisa padeves uzturētu dūmgāzu temperatūru virs 850 °C vai virs 1100 °C.  </w:t>
            </w:r>
            <w:r w:rsidRPr="00113DD7">
              <w:rPr>
                <w:bCs/>
                <w:noProof/>
              </w:rPr>
              <w:t>Papildu degļus izmanto arī atkritumu sadedzināšanas iekārtas iedarbināšanas un izslēgšanas laikā, lai sadedzināšanas kamerā nodrošinātu temperatūru attiecīgi virs 850 °C vai 1100 °C</w:t>
            </w:r>
            <w:r w:rsidRPr="00113DD7">
              <w:t xml:space="preserve"> </w:t>
            </w:r>
            <w:r w:rsidRPr="00113DD7">
              <w:rPr>
                <w:bCs/>
                <w:noProof/>
              </w:rPr>
              <w:t>šo procedūru laikā un līdz brīdim, kamēr tajā atrodas nesadedzināti atkritumi.</w:t>
            </w:r>
            <w:r w:rsidRPr="00113DD7">
              <w:rPr>
                <w:shd w:val="clear" w:color="auto" w:fill="FFFFFF"/>
              </w:rPr>
              <w:t>Papildus deglim nedrīkst pievadīt kurināmo, kas var radīt lielāk</w:t>
            </w:r>
            <w:r w:rsidRPr="00113DD7">
              <w:rPr>
                <w:bCs/>
                <w:shd w:val="clear" w:color="auto" w:fill="FFFFFF"/>
              </w:rPr>
              <w:t>a</w:t>
            </w:r>
            <w:r w:rsidRPr="00113DD7">
              <w:rPr>
                <w:shd w:val="clear" w:color="auto" w:fill="FFFFFF"/>
              </w:rPr>
              <w:t>s piesārņojošo vielu emisijas</w:t>
            </w:r>
            <w:r w:rsidRPr="00113DD7">
              <w:rPr>
                <w:color w:val="1F497D"/>
                <w:shd w:val="clear" w:color="auto" w:fill="FFFFFF"/>
              </w:rPr>
              <w:t> </w:t>
            </w:r>
            <w:r w:rsidRPr="00113DD7">
              <w:rPr>
                <w:shd w:val="clear" w:color="auto" w:fill="FFFFFF"/>
              </w:rPr>
              <w:t>nekā sašķidrinātā gāze</w:t>
            </w:r>
            <w:r w:rsidRPr="00113DD7">
              <w:rPr>
                <w:color w:val="1F497D"/>
                <w:shd w:val="clear" w:color="auto" w:fill="FFFFFF"/>
              </w:rPr>
              <w:t>,</w:t>
            </w:r>
            <w:r w:rsidRPr="00113DD7">
              <w:rPr>
                <w:shd w:val="clear" w:color="auto" w:fill="FFFFFF"/>
              </w:rPr>
              <w:t> dabasgāze un normatīvaj</w:t>
            </w:r>
            <w:r w:rsidRPr="00113DD7">
              <w:rPr>
                <w:bCs/>
                <w:shd w:val="clear" w:color="auto" w:fill="FFFFFF"/>
              </w:rPr>
              <w:t>os</w:t>
            </w:r>
            <w:r w:rsidRPr="00113DD7">
              <w:rPr>
                <w:shd w:val="clear" w:color="auto" w:fill="FFFFFF"/>
              </w:rPr>
              <w:t xml:space="preserve"> akt</w:t>
            </w:r>
            <w:r w:rsidRPr="00113DD7">
              <w:rPr>
                <w:bCs/>
                <w:shd w:val="clear" w:color="auto" w:fill="FFFFFF"/>
              </w:rPr>
              <w:t>os</w:t>
            </w:r>
            <w:r w:rsidRPr="00113DD7">
              <w:rPr>
                <w:shd w:val="clear" w:color="auto" w:fill="FFFFFF"/>
              </w:rPr>
              <w:t xml:space="preserve"> par sēra satura ierobežošanu atsevišķiem </w:t>
            </w:r>
            <w:r w:rsidRPr="00113DD7">
              <w:rPr>
                <w:shd w:val="clear" w:color="auto" w:fill="FFFFFF"/>
              </w:rPr>
              <w:lastRenderedPageBreak/>
              <w:t>šķidrās degvielas veidiem noteiktā dīzeļdegviela</w:t>
            </w:r>
            <w:r w:rsidRPr="00113DD7">
              <w:t>.” ;</w:t>
            </w:r>
          </w:p>
        </w:tc>
        <w:tc>
          <w:tcPr>
            <w:tcW w:w="4536" w:type="dxa"/>
            <w:tcBorders>
              <w:top w:val="single" w:sz="6" w:space="0" w:color="000000"/>
              <w:left w:val="single" w:sz="6" w:space="0" w:color="000000"/>
              <w:bottom w:val="single" w:sz="6" w:space="0" w:color="000000"/>
              <w:right w:val="single" w:sz="6" w:space="0" w:color="000000"/>
            </w:tcBorders>
          </w:tcPr>
          <w:p w14:paraId="0E4CB248" w14:textId="77777777" w:rsidR="002E439D" w:rsidRPr="00113DD7" w:rsidRDefault="002E439D" w:rsidP="0079129B">
            <w:pPr>
              <w:ind w:right="12" w:firstLine="567"/>
              <w:jc w:val="both"/>
              <w:rPr>
                <w:b/>
              </w:rPr>
            </w:pPr>
            <w:r w:rsidRPr="00113DD7">
              <w:rPr>
                <w:b/>
              </w:rPr>
              <w:lastRenderedPageBreak/>
              <w:t>Tieslietu ministrija:</w:t>
            </w:r>
          </w:p>
          <w:p w14:paraId="2F602A68" w14:textId="77777777" w:rsidR="002E439D" w:rsidRPr="00113DD7" w:rsidRDefault="002E439D" w:rsidP="00534967">
            <w:pPr>
              <w:jc w:val="both"/>
            </w:pPr>
            <w:r w:rsidRPr="00113DD7">
              <w:t>3. Lūdzam izvērtēt un noteikumu projekta 15. punkta trešajā teikumā aizstāt vārdu “papildus” (attiecas uz darbības vārdu “pievadīt”) ar vārdu “papildu” (attiecas uz lietvārdu “deglis”) vai sniegt atbilstošu skaidrojumu par minētās noteikuma projekta normas piemērošanu.</w:t>
            </w:r>
          </w:p>
          <w:p w14:paraId="4312DFFB" w14:textId="024E3B7C" w:rsidR="002E439D" w:rsidRPr="00113DD7" w:rsidRDefault="002E439D" w:rsidP="0079129B">
            <w:pPr>
              <w:ind w:right="12" w:firstLine="567"/>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4627723B" w14:textId="05ACAA24" w:rsidR="002E439D" w:rsidRPr="00113DD7" w:rsidRDefault="00962AD0" w:rsidP="0079129B">
            <w:pPr>
              <w:pStyle w:val="naisc"/>
              <w:spacing w:before="0" w:after="0"/>
              <w:ind w:firstLine="21"/>
              <w:jc w:val="both"/>
              <w:rPr>
                <w:b/>
              </w:rPr>
            </w:pPr>
            <w:r w:rsidRPr="00113DD7">
              <w:rPr>
                <w:b/>
              </w:rPr>
              <w:t xml:space="preserve">Iebildums ir ņemts vērā. </w:t>
            </w:r>
            <w:r w:rsidR="000962E4" w:rsidRPr="00CD15D0">
              <w:rPr>
                <w:b/>
              </w:rPr>
              <w:t>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30EFCBC6" w14:textId="77777777" w:rsidR="000962E4" w:rsidRPr="000962E4" w:rsidRDefault="000962E4" w:rsidP="000962E4">
            <w:pPr>
              <w:pStyle w:val="tv213"/>
              <w:spacing w:before="0" w:beforeAutospacing="0" w:after="0" w:afterAutospacing="0"/>
              <w:ind w:firstLine="720"/>
              <w:jc w:val="both"/>
            </w:pPr>
            <w:r w:rsidRPr="000962E4">
              <w:t>16. Izteikt 17.punktu šādā redakcijā:</w:t>
            </w:r>
          </w:p>
          <w:p w14:paraId="7A693EFF" w14:textId="77777777" w:rsidR="000962E4" w:rsidRPr="000962E4" w:rsidRDefault="000962E4" w:rsidP="000962E4">
            <w:pPr>
              <w:pStyle w:val="tv213"/>
              <w:spacing w:before="0" w:beforeAutospacing="0" w:after="0" w:afterAutospacing="0"/>
              <w:ind w:firstLine="720"/>
              <w:jc w:val="both"/>
            </w:pPr>
            <w:r w:rsidRPr="000962E4">
              <w:t xml:space="preserve">“17. Katru atkritumu sadedzināšanas iekārtas sadedzināšanas kameru aprīko ar vismaz vienu papildu degli, kas automātiski ieslēdzas, lai pēc pēdējās gaisa padeves uzturētu dūmgāzu temperatūru virs 850 °C vai virs 1100 °C.  </w:t>
            </w:r>
            <w:r w:rsidRPr="000962E4">
              <w:rPr>
                <w:bCs/>
                <w:noProof/>
              </w:rPr>
              <w:t>Papildu degļus izmanto arī atkritumu sadedzināšanas iekārtas iedarbināšanas un izslēgšanas laikā, lai sadedzināšanas kamerā nodrošinātu temperatūru attiecīgi virs 850 °C vai 1100 °C</w:t>
            </w:r>
            <w:r w:rsidRPr="000962E4">
              <w:t xml:space="preserve"> </w:t>
            </w:r>
            <w:r w:rsidRPr="000962E4">
              <w:rPr>
                <w:bCs/>
                <w:noProof/>
              </w:rPr>
              <w:t>šo procedūru laikā un līdz brīdim, kamēr tajā atrodas nesadedzināti atkritumi.</w:t>
            </w:r>
            <w:r w:rsidRPr="000962E4">
              <w:rPr>
                <w:shd w:val="clear" w:color="auto" w:fill="FFFFFF"/>
              </w:rPr>
              <w:t>Papildu deglim nedrīkst pievadīt kurināmo, kas var radīt lielāk</w:t>
            </w:r>
            <w:r w:rsidRPr="000962E4">
              <w:rPr>
                <w:bCs/>
                <w:shd w:val="clear" w:color="auto" w:fill="FFFFFF"/>
              </w:rPr>
              <w:t>a</w:t>
            </w:r>
            <w:r w:rsidRPr="000962E4">
              <w:rPr>
                <w:shd w:val="clear" w:color="auto" w:fill="FFFFFF"/>
              </w:rPr>
              <w:t>s piesārņojošo vielu emisijas</w:t>
            </w:r>
            <w:r w:rsidRPr="000962E4">
              <w:rPr>
                <w:color w:val="1F497D"/>
                <w:shd w:val="clear" w:color="auto" w:fill="FFFFFF"/>
              </w:rPr>
              <w:t> </w:t>
            </w:r>
            <w:r w:rsidRPr="000962E4">
              <w:rPr>
                <w:shd w:val="clear" w:color="auto" w:fill="FFFFFF"/>
              </w:rPr>
              <w:t>nekā sašķidrinātā gāze</w:t>
            </w:r>
            <w:r w:rsidRPr="000962E4">
              <w:rPr>
                <w:color w:val="1F497D"/>
                <w:shd w:val="clear" w:color="auto" w:fill="FFFFFF"/>
              </w:rPr>
              <w:t>,</w:t>
            </w:r>
            <w:r w:rsidRPr="000962E4">
              <w:rPr>
                <w:shd w:val="clear" w:color="auto" w:fill="FFFFFF"/>
              </w:rPr>
              <w:t> dabasgāze un normatīvaj</w:t>
            </w:r>
            <w:r w:rsidRPr="000962E4">
              <w:rPr>
                <w:bCs/>
                <w:shd w:val="clear" w:color="auto" w:fill="FFFFFF"/>
              </w:rPr>
              <w:t>os</w:t>
            </w:r>
            <w:r w:rsidRPr="000962E4">
              <w:rPr>
                <w:shd w:val="clear" w:color="auto" w:fill="FFFFFF"/>
              </w:rPr>
              <w:t xml:space="preserve"> akt</w:t>
            </w:r>
            <w:r w:rsidRPr="000962E4">
              <w:rPr>
                <w:bCs/>
                <w:shd w:val="clear" w:color="auto" w:fill="FFFFFF"/>
              </w:rPr>
              <w:t>os</w:t>
            </w:r>
            <w:r w:rsidRPr="000962E4">
              <w:rPr>
                <w:shd w:val="clear" w:color="auto" w:fill="FFFFFF"/>
              </w:rPr>
              <w:t xml:space="preserve"> par sēra satura ierobežošanu atsevišķiem šķidrās degvielas veidiem noteiktā dīzeļdegviela</w:t>
            </w:r>
            <w:r w:rsidRPr="000962E4">
              <w:t>.” ;</w:t>
            </w:r>
          </w:p>
          <w:p w14:paraId="7256174C" w14:textId="77777777" w:rsidR="002E439D" w:rsidRPr="00113DD7" w:rsidRDefault="002E439D" w:rsidP="0079129B">
            <w:pPr>
              <w:jc w:val="both"/>
              <w:rPr>
                <w:b/>
              </w:rPr>
            </w:pPr>
          </w:p>
        </w:tc>
      </w:tr>
      <w:tr w:rsidR="00427553" w:rsidRPr="0037003A" w14:paraId="23C8EBE2" w14:textId="77777777" w:rsidTr="00CD15D0">
        <w:tc>
          <w:tcPr>
            <w:tcW w:w="683" w:type="dxa"/>
            <w:tcBorders>
              <w:top w:val="single" w:sz="6" w:space="0" w:color="000000"/>
              <w:left w:val="single" w:sz="6" w:space="0" w:color="000000"/>
              <w:bottom w:val="single" w:sz="6" w:space="0" w:color="000000"/>
              <w:right w:val="single" w:sz="6" w:space="0" w:color="000000"/>
            </w:tcBorders>
          </w:tcPr>
          <w:p w14:paraId="19C9951E" w14:textId="48289412" w:rsidR="00427553" w:rsidRPr="0037003A" w:rsidRDefault="00FA50CC" w:rsidP="0079129B">
            <w:pPr>
              <w:pStyle w:val="naisc"/>
              <w:spacing w:before="0" w:after="0"/>
              <w:jc w:val="both"/>
              <w:rPr>
                <w:b/>
              </w:rPr>
            </w:pPr>
            <w:r>
              <w:rPr>
                <w:b/>
              </w:rPr>
              <w:t>32.</w:t>
            </w:r>
          </w:p>
        </w:tc>
        <w:tc>
          <w:tcPr>
            <w:tcW w:w="3286" w:type="dxa"/>
            <w:tcBorders>
              <w:top w:val="single" w:sz="6" w:space="0" w:color="000000"/>
              <w:left w:val="single" w:sz="6" w:space="0" w:color="000000"/>
              <w:bottom w:val="single" w:sz="6" w:space="0" w:color="000000"/>
              <w:right w:val="single" w:sz="6" w:space="0" w:color="000000"/>
            </w:tcBorders>
          </w:tcPr>
          <w:p w14:paraId="3886B391" w14:textId="77777777" w:rsidR="007900F8" w:rsidRPr="0037003A" w:rsidRDefault="007900F8" w:rsidP="007900F8">
            <w:pPr>
              <w:pStyle w:val="naisf"/>
              <w:spacing w:before="0" w:after="0"/>
              <w:ind w:firstLine="720"/>
            </w:pPr>
            <w:r w:rsidRPr="0037003A">
              <w:t>21. Izteikt 44.punktu šādā redakcijā:</w:t>
            </w:r>
          </w:p>
          <w:p w14:paraId="656A55C5" w14:textId="58CEBA06" w:rsidR="00427553" w:rsidRPr="00B17E44" w:rsidRDefault="007900F8" w:rsidP="00B17E44">
            <w:pPr>
              <w:pStyle w:val="naisf"/>
              <w:spacing w:before="0" w:after="0"/>
              <w:ind w:firstLine="720"/>
            </w:pPr>
            <w:r w:rsidRPr="0037003A">
              <w:t>“44. Operators nodrošina, ka visu piesārņojošo vielu, arī dioksīnu un furānu, paraugu ņemšanas un analīzes iekārtu, kā arī automātisko mērīšanas sistēmu kvalitātes nodrošināšana un kalibrēšana tiek veikta izmantojot metodes, kas nodrošina, ka iegūtie dati ir ticami, reprezentatīvi un salīdzināmi. Ja izmantotās metodes atbilst piemērojamo standartu vai to daļu prasībām, uzskatāms, ka tās atbilst šajos noteikumos minēto prasību izpildei. Lai noteiktu emisiju gaisā un ūdenī, automātiskās iekārtas katru gadu pārbauda un testē. Iekārtas ne retāk kā reizi  gadā pārbauda atbilstoši references metodēm, izmantojot paralēlus mērījumus.”</w:t>
            </w:r>
          </w:p>
        </w:tc>
        <w:tc>
          <w:tcPr>
            <w:tcW w:w="4536" w:type="dxa"/>
            <w:tcBorders>
              <w:top w:val="single" w:sz="6" w:space="0" w:color="000000"/>
              <w:left w:val="single" w:sz="6" w:space="0" w:color="000000"/>
              <w:bottom w:val="single" w:sz="6" w:space="0" w:color="000000"/>
              <w:right w:val="single" w:sz="6" w:space="0" w:color="000000"/>
            </w:tcBorders>
          </w:tcPr>
          <w:p w14:paraId="291B5727" w14:textId="77777777" w:rsidR="00427553" w:rsidRPr="0037003A" w:rsidRDefault="002E439D" w:rsidP="007900F8">
            <w:pPr>
              <w:ind w:right="12" w:firstLine="567"/>
              <w:jc w:val="both"/>
              <w:rPr>
                <w:b/>
              </w:rPr>
            </w:pPr>
            <w:r w:rsidRPr="0037003A">
              <w:rPr>
                <w:b/>
              </w:rPr>
              <w:t>Tieslietu ministrija:</w:t>
            </w:r>
          </w:p>
          <w:p w14:paraId="18EB2EBD" w14:textId="32E96DD4" w:rsidR="002E439D" w:rsidRPr="0037003A" w:rsidRDefault="002E439D" w:rsidP="007900F8">
            <w:pPr>
              <w:jc w:val="both"/>
            </w:pPr>
            <w:r w:rsidRPr="0037003A">
              <w:t>4. Lai atvieglotu noteikumu projekta piemērošanu praksē, lūdzam noteikumu projekta 22. punktā norādīt, par kādām noteikumu Nr. 401 prasībām (t.i., kurās šo noteikumu vienībās prasības ir ietvertas) šajā normā tiek runāts.</w:t>
            </w:r>
          </w:p>
          <w:p w14:paraId="3B695769" w14:textId="04075A2E" w:rsidR="002E439D" w:rsidRPr="0037003A" w:rsidRDefault="002E439D" w:rsidP="0079129B">
            <w:pPr>
              <w:ind w:right="12" w:firstLine="567"/>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534B1FC0" w14:textId="6372559A" w:rsidR="00427553" w:rsidRPr="0037003A" w:rsidRDefault="007900F8" w:rsidP="0079129B">
            <w:pPr>
              <w:pStyle w:val="naisc"/>
              <w:spacing w:before="0" w:after="0"/>
              <w:ind w:firstLine="21"/>
              <w:jc w:val="both"/>
              <w:rPr>
                <w:b/>
              </w:rPr>
            </w:pPr>
            <w:r w:rsidRPr="0037003A">
              <w:rPr>
                <w:b/>
              </w:rPr>
              <w:t>Iebildums ir ņemts vērā.</w:t>
            </w:r>
            <w:r w:rsidR="000962E4" w:rsidRPr="00CD15D0">
              <w:rPr>
                <w:b/>
              </w:rPr>
              <w:t xml:space="preserve"> 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680C6D7E" w14:textId="5C9399BA" w:rsidR="007900F8" w:rsidRPr="0037003A" w:rsidRDefault="007900F8" w:rsidP="007900F8">
            <w:pPr>
              <w:pStyle w:val="naisf"/>
              <w:spacing w:before="0" w:after="0"/>
              <w:ind w:firstLine="720"/>
            </w:pPr>
            <w:r w:rsidRPr="0037003A">
              <w:t>2</w:t>
            </w:r>
            <w:r w:rsidR="00C670D1">
              <w:t>4</w:t>
            </w:r>
            <w:r w:rsidRPr="0037003A">
              <w:t>. Izteikt 44.punktu šādā redakcijā:</w:t>
            </w:r>
          </w:p>
          <w:p w14:paraId="3FD17056" w14:textId="77777777" w:rsidR="007900F8" w:rsidRPr="0037003A" w:rsidRDefault="007900F8" w:rsidP="007900F8">
            <w:pPr>
              <w:pStyle w:val="naisf"/>
              <w:spacing w:before="0" w:after="0"/>
              <w:ind w:firstLine="720"/>
            </w:pPr>
            <w:r w:rsidRPr="0037003A">
              <w:t>“44. Operators nodrošina, ka visu piesārņojošo vielu, arī dioksīnu un furānu, paraugu ņemšanas un analīzes iekārtu, kā arī automātisko mērīšanas sistēmu kvalitātes nodrošināšana un kalibrēšana tiek veikta izmantojot metodes, kas nodrošina, ka iegūtie dati ir ticami, reprezentatīvi un salīdzināmi. Ja izmantotās metodes atbilst piemērojamo standartu vai to daļu prasībām, uzskatāms, ka tās atbilst šajā nodaļā minēto prasību izpildei. Lai noteiktu emisiju gaisā un ūdenī, automātiskās iekārtas katru gadu pārbauda un testē. Iekārtas ne retāk kā reizi  gadā pārbauda atbilstoši references metodēm, izmantojot paralēlus mērījumus.”</w:t>
            </w:r>
          </w:p>
          <w:p w14:paraId="040DE2F8" w14:textId="77777777" w:rsidR="00427553" w:rsidRPr="0037003A" w:rsidRDefault="00427553" w:rsidP="0079129B">
            <w:pPr>
              <w:jc w:val="both"/>
              <w:rPr>
                <w:b/>
              </w:rPr>
            </w:pPr>
          </w:p>
        </w:tc>
      </w:tr>
      <w:tr w:rsidR="00427553" w:rsidRPr="00FA50CC" w14:paraId="5A95FA08" w14:textId="77777777" w:rsidTr="00CD15D0">
        <w:tc>
          <w:tcPr>
            <w:tcW w:w="683" w:type="dxa"/>
            <w:tcBorders>
              <w:top w:val="single" w:sz="6" w:space="0" w:color="000000"/>
              <w:left w:val="single" w:sz="6" w:space="0" w:color="000000"/>
              <w:bottom w:val="single" w:sz="6" w:space="0" w:color="000000"/>
              <w:right w:val="single" w:sz="6" w:space="0" w:color="000000"/>
            </w:tcBorders>
          </w:tcPr>
          <w:p w14:paraId="6D1B0D9C" w14:textId="58CD83A7" w:rsidR="00427553" w:rsidRPr="00FA50CC" w:rsidRDefault="00FA50CC" w:rsidP="00FA50CC">
            <w:pPr>
              <w:pStyle w:val="naisc"/>
              <w:spacing w:before="0" w:after="0"/>
              <w:jc w:val="both"/>
              <w:rPr>
                <w:b/>
              </w:rPr>
            </w:pPr>
            <w:r>
              <w:rPr>
                <w:b/>
              </w:rPr>
              <w:t>33.</w:t>
            </w:r>
          </w:p>
        </w:tc>
        <w:tc>
          <w:tcPr>
            <w:tcW w:w="3286" w:type="dxa"/>
            <w:tcBorders>
              <w:top w:val="single" w:sz="6" w:space="0" w:color="000000"/>
              <w:left w:val="single" w:sz="6" w:space="0" w:color="000000"/>
              <w:bottom w:val="single" w:sz="6" w:space="0" w:color="000000"/>
              <w:right w:val="single" w:sz="6" w:space="0" w:color="000000"/>
            </w:tcBorders>
          </w:tcPr>
          <w:p w14:paraId="41E601BF" w14:textId="77777777" w:rsidR="00427553" w:rsidRPr="00FA50CC" w:rsidRDefault="00427553" w:rsidP="00FA50CC">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17807196" w14:textId="77777777" w:rsidR="00427553" w:rsidRPr="00FA50CC" w:rsidRDefault="002E439D" w:rsidP="00FA50CC">
            <w:pPr>
              <w:ind w:right="12" w:firstLine="567"/>
              <w:jc w:val="both"/>
              <w:rPr>
                <w:b/>
              </w:rPr>
            </w:pPr>
            <w:r w:rsidRPr="00FA50CC">
              <w:rPr>
                <w:b/>
              </w:rPr>
              <w:t>Tieslietu ministrija:</w:t>
            </w:r>
          </w:p>
          <w:p w14:paraId="2FDDE1C4" w14:textId="5B68A6AA" w:rsidR="002E439D" w:rsidRPr="00B17E44" w:rsidRDefault="002E439D" w:rsidP="00B17E44">
            <w:pPr>
              <w:jc w:val="both"/>
            </w:pPr>
            <w:r w:rsidRPr="00FA50CC">
              <w:lastRenderedPageBreak/>
              <w:t>5. Noteikumu Nr. 108 136. punkts noteic, ka Ministru kabineta noteikumos var ietvert atsauces uz citām noteikumu projekta normām vai tāda paša vai augstāka juridiskā spēka normatīvajiem aktiem. Nacionālajos normatīvajos aktos nav iespējams juridiski korekti izdarīt atsauces uz tā saucamajiem "soft law" dokumentiem (dokumentiem, kas jau pēc savas būtības nav juridiski saistoši, piemēram, vadlīnijas, deklarācijas, rekomendācijas, rokasgrāmatas, ieteikumi, metodika). Minētais izriet no fakta, ka Latvijas Republikas normatīvo aktu normas uzliek privātpersonām saistības un ir obligātas visā Latvijas Republikas teritorijā. Vienlaikus vēršam uzmanību, ka rekomendācijas, vadlīnijas un tamlīdzīgi dokumenti ir piemērojami kā saistošo tiesību aktu normu interpretācijas palīglīdzeklis. Ņemot vērā minēto, atkārtoti lūdzam izvērtēt un noteikumu projektā neizdarīt atsauci uz metodikas prasībām.</w:t>
            </w:r>
          </w:p>
        </w:tc>
        <w:tc>
          <w:tcPr>
            <w:tcW w:w="2384" w:type="dxa"/>
            <w:tcBorders>
              <w:top w:val="single" w:sz="6" w:space="0" w:color="000000"/>
              <w:left w:val="single" w:sz="6" w:space="0" w:color="000000"/>
              <w:bottom w:val="single" w:sz="6" w:space="0" w:color="000000"/>
              <w:right w:val="single" w:sz="6" w:space="0" w:color="000000"/>
            </w:tcBorders>
          </w:tcPr>
          <w:p w14:paraId="6E2AECD3" w14:textId="1BB9D5E0" w:rsidR="00427553" w:rsidRPr="00FA50CC" w:rsidRDefault="00C576B7" w:rsidP="00FA50CC">
            <w:pPr>
              <w:pStyle w:val="naisc"/>
              <w:spacing w:before="0" w:after="0"/>
              <w:ind w:firstLine="21"/>
              <w:jc w:val="both"/>
              <w:rPr>
                <w:b/>
              </w:rPr>
            </w:pPr>
            <w:r w:rsidRPr="00FA50CC">
              <w:rPr>
                <w:b/>
              </w:rPr>
              <w:lastRenderedPageBreak/>
              <w:t xml:space="preserve">Iebildums ir ņemts vērā. </w:t>
            </w:r>
          </w:p>
        </w:tc>
        <w:tc>
          <w:tcPr>
            <w:tcW w:w="3686" w:type="dxa"/>
            <w:tcBorders>
              <w:top w:val="single" w:sz="4" w:space="0" w:color="auto"/>
              <w:left w:val="single" w:sz="4" w:space="0" w:color="auto"/>
              <w:bottom w:val="single" w:sz="4" w:space="0" w:color="auto"/>
            </w:tcBorders>
          </w:tcPr>
          <w:p w14:paraId="23D46DE7" w14:textId="77777777" w:rsidR="00C670D1" w:rsidRPr="00C670D1" w:rsidRDefault="00C670D1" w:rsidP="00C670D1">
            <w:pPr>
              <w:pStyle w:val="naisf"/>
              <w:spacing w:before="0" w:after="0"/>
              <w:ind w:firstLine="720"/>
            </w:pPr>
            <w:r w:rsidRPr="00C670D1">
              <w:t>26. Izteikt 45. un 46.punktu šādā redakcijā:</w:t>
            </w:r>
          </w:p>
          <w:p w14:paraId="434EBE21" w14:textId="77777777" w:rsidR="00C576B7" w:rsidRPr="00FA50CC" w:rsidRDefault="00C576B7" w:rsidP="00FA50CC">
            <w:pPr>
              <w:pStyle w:val="naisf"/>
              <w:spacing w:before="0" w:after="0"/>
              <w:ind w:firstLine="720"/>
            </w:pPr>
            <w:r w:rsidRPr="00FA50CC">
              <w:lastRenderedPageBreak/>
              <w:t>46. Periodiskajā kontrolē emisijas mērījumus veic tikai attiecīgajā jomā akreditētas testēšanas laboratorijas, kas ir akreditētas nacionālajā akreditācijas institūcijā atbilstoši normatīvajiem aktiem par atbilstības novērtēšanas institūciju novērtēšanu, akreditāciju un uzraudzību, vai laboratorijā, kas akreditēta citā Eiropas Savienības dalībvalstī vai Eiropas Ekonomikas zonas valstī. Piesārņojošo vielu koncentrācijas noteikšanai lieto metroloģiski pārbaudītus mērinstrumentus, un mērījumus veic atbilstoši šo noteikumu 44.punktā  noteiktajām prasībām.”</w:t>
            </w:r>
          </w:p>
          <w:p w14:paraId="7FCC4592" w14:textId="77777777" w:rsidR="00427553" w:rsidRPr="00FA50CC" w:rsidRDefault="00427553" w:rsidP="00FA50CC">
            <w:pPr>
              <w:jc w:val="both"/>
              <w:rPr>
                <w:b/>
              </w:rPr>
            </w:pPr>
          </w:p>
        </w:tc>
      </w:tr>
      <w:tr w:rsidR="00427553" w:rsidRPr="00FA50CC" w14:paraId="5D4FF276" w14:textId="77777777" w:rsidTr="00CD15D0">
        <w:tc>
          <w:tcPr>
            <w:tcW w:w="683" w:type="dxa"/>
            <w:tcBorders>
              <w:top w:val="single" w:sz="6" w:space="0" w:color="000000"/>
              <w:left w:val="single" w:sz="6" w:space="0" w:color="000000"/>
              <w:bottom w:val="single" w:sz="6" w:space="0" w:color="000000"/>
              <w:right w:val="single" w:sz="6" w:space="0" w:color="000000"/>
            </w:tcBorders>
          </w:tcPr>
          <w:p w14:paraId="64546345" w14:textId="5A10E2F1" w:rsidR="00427553" w:rsidRPr="00FA50CC" w:rsidRDefault="00FA50CC" w:rsidP="00FA50CC">
            <w:pPr>
              <w:pStyle w:val="naisc"/>
              <w:spacing w:before="0" w:after="0"/>
              <w:jc w:val="both"/>
              <w:rPr>
                <w:b/>
              </w:rPr>
            </w:pPr>
            <w:r>
              <w:rPr>
                <w:b/>
              </w:rPr>
              <w:lastRenderedPageBreak/>
              <w:t>34.</w:t>
            </w:r>
          </w:p>
        </w:tc>
        <w:tc>
          <w:tcPr>
            <w:tcW w:w="3286" w:type="dxa"/>
            <w:tcBorders>
              <w:top w:val="single" w:sz="6" w:space="0" w:color="000000"/>
              <w:left w:val="single" w:sz="6" w:space="0" w:color="000000"/>
              <w:bottom w:val="single" w:sz="6" w:space="0" w:color="000000"/>
              <w:right w:val="single" w:sz="6" w:space="0" w:color="000000"/>
            </w:tcBorders>
          </w:tcPr>
          <w:p w14:paraId="4B6FDF7F" w14:textId="77777777" w:rsidR="00C576B7" w:rsidRPr="00FA50CC" w:rsidRDefault="00C576B7" w:rsidP="00FA50CC">
            <w:pPr>
              <w:pStyle w:val="naisf"/>
              <w:spacing w:before="0" w:after="0"/>
              <w:ind w:firstLine="709"/>
            </w:pPr>
            <w:r w:rsidRPr="00FA50CC">
              <w:t>33. Izteikt 70.punkta pirmo teikumu šādā redakcijā:</w:t>
            </w:r>
          </w:p>
          <w:p w14:paraId="1DDDDCE3" w14:textId="77777777" w:rsidR="00C576B7" w:rsidRPr="00FA50CC" w:rsidRDefault="00C576B7" w:rsidP="00FA50CC">
            <w:pPr>
              <w:pStyle w:val="naisf"/>
              <w:spacing w:before="0" w:after="0"/>
              <w:ind w:firstLine="709"/>
            </w:pPr>
            <w:r w:rsidRPr="00FA50CC">
              <w:t xml:space="preserve">“Ja iekārtas nominālā jauda (atkritumu sadedzināšanas iekārtas visu jaudu summa atbilstoši iekārtas konstrukcijai saskaņā ar iekārtas </w:t>
            </w:r>
            <w:r w:rsidRPr="00FA50CC">
              <w:lastRenderedPageBreak/>
              <w:t>ražotāja tehnisko dokumentāciju ir atbilstoša atkritumu siltumietilpībai un daudzumam, ko var sadedzināt stundas laikā) ir vai pārsniedz  divas tonnas stundā vai pārsniedz divas tonna stundā, operators katru gadu iesniedz pārskatu centram.”;</w:t>
            </w:r>
          </w:p>
          <w:p w14:paraId="14712EA7" w14:textId="77777777" w:rsidR="00427553" w:rsidRPr="00FA50CC" w:rsidRDefault="00427553" w:rsidP="00FA50CC">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1622C870" w14:textId="77777777" w:rsidR="00427553" w:rsidRPr="00FA50CC" w:rsidRDefault="002E439D" w:rsidP="00FA50CC">
            <w:pPr>
              <w:ind w:right="12" w:firstLine="567"/>
              <w:jc w:val="both"/>
              <w:rPr>
                <w:b/>
              </w:rPr>
            </w:pPr>
            <w:r w:rsidRPr="00FA50CC">
              <w:rPr>
                <w:b/>
              </w:rPr>
              <w:lastRenderedPageBreak/>
              <w:t>Tieslietu ministrija:</w:t>
            </w:r>
          </w:p>
          <w:p w14:paraId="1ED17248" w14:textId="77777777" w:rsidR="002E439D" w:rsidRPr="00FA50CC" w:rsidRDefault="002E439D" w:rsidP="00FA50CC">
            <w:pPr>
              <w:jc w:val="both"/>
            </w:pPr>
            <w:r w:rsidRPr="00FA50CC">
              <w:t xml:space="preserve">6. Atkārtoti lūdzam noteikumu projekta 33. punktā svītrot vārdus “vai pārsniedz divas tonna stundā”, jo iepriekš šajā normā ir ietverta norāde “ir </w:t>
            </w:r>
            <w:r w:rsidRPr="00FA50CC">
              <w:rPr>
                <w:u w:val="single"/>
              </w:rPr>
              <w:t>vai pārsniedz divas tonnas stundā</w:t>
            </w:r>
            <w:r w:rsidRPr="00FA50CC">
              <w:t xml:space="preserve">”, tādējādi padarot noteikumu projektu neskaidri. Norādām, ka izziņā minēts, ka </w:t>
            </w:r>
            <w:r w:rsidRPr="00FA50CC">
              <w:lastRenderedPageBreak/>
              <w:t>attiecīgais Tieslietu ministrijas iebildums ticis ņemts vērā, tomēr faktiski izmaiņas nav konstatējamas.</w:t>
            </w:r>
          </w:p>
          <w:p w14:paraId="55177550" w14:textId="3D3E3277" w:rsidR="002E439D" w:rsidRPr="00FA50CC" w:rsidRDefault="002E439D" w:rsidP="00FA50CC">
            <w:pPr>
              <w:ind w:right="12" w:firstLine="567"/>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7FFC6430" w14:textId="3229911C" w:rsidR="00427553" w:rsidRPr="00FA50CC" w:rsidRDefault="00C576B7" w:rsidP="00FA50CC">
            <w:pPr>
              <w:pStyle w:val="naisc"/>
              <w:spacing w:before="0" w:after="0"/>
              <w:ind w:firstLine="21"/>
              <w:jc w:val="both"/>
              <w:rPr>
                <w:b/>
              </w:rPr>
            </w:pPr>
            <w:r w:rsidRPr="00FA50CC">
              <w:rPr>
                <w:b/>
              </w:rPr>
              <w:lastRenderedPageBreak/>
              <w:t xml:space="preserve">Iebildums ir ņemts vērā. </w:t>
            </w:r>
            <w:r w:rsidR="000962E4" w:rsidRPr="00CD15D0">
              <w:rPr>
                <w:b/>
              </w:rPr>
              <w:t>Veikto precizējumu rezultātā ir mainījusies noteikumu projekta normu numerācija.</w:t>
            </w:r>
          </w:p>
        </w:tc>
        <w:tc>
          <w:tcPr>
            <w:tcW w:w="3686" w:type="dxa"/>
            <w:tcBorders>
              <w:top w:val="single" w:sz="4" w:space="0" w:color="auto"/>
              <w:left w:val="single" w:sz="4" w:space="0" w:color="auto"/>
              <w:bottom w:val="single" w:sz="4" w:space="0" w:color="auto"/>
            </w:tcBorders>
          </w:tcPr>
          <w:p w14:paraId="2EAC8DFE" w14:textId="7A1B5B0C" w:rsidR="00C576B7" w:rsidRPr="00FA50CC" w:rsidRDefault="00C576B7" w:rsidP="00FA50CC">
            <w:pPr>
              <w:pStyle w:val="naisf"/>
              <w:spacing w:before="0" w:after="0"/>
              <w:ind w:firstLine="709"/>
            </w:pPr>
            <w:r w:rsidRPr="00FA50CC">
              <w:t>3</w:t>
            </w:r>
            <w:r w:rsidR="00E00030">
              <w:t>9</w:t>
            </w:r>
            <w:r w:rsidRPr="00FA50CC">
              <w:t>. Izteikt 70.punkta pirmo teikumu šādā redakcijā:</w:t>
            </w:r>
          </w:p>
          <w:p w14:paraId="2CD01806" w14:textId="2BE1B9F7" w:rsidR="00C576B7" w:rsidRPr="00FA50CC" w:rsidRDefault="00C576B7" w:rsidP="00FA50CC">
            <w:pPr>
              <w:pStyle w:val="naisf"/>
              <w:spacing w:before="0" w:after="0"/>
              <w:ind w:firstLine="709"/>
            </w:pPr>
            <w:r w:rsidRPr="00FA50CC">
              <w:t xml:space="preserve">“Ja iekārtas nominālā jauda (atkritumu sadedzināšanas iekārtas visu jaudu summa atbilstoši iekārtas konstrukcijai saskaņā ar iekārtas ražotāja tehnisko dokumentāciju ir </w:t>
            </w:r>
            <w:r w:rsidRPr="00FA50CC">
              <w:lastRenderedPageBreak/>
              <w:t>atbilstoša atkritumu siltumietilpībai un daudzumam, ko var sadedzināt stundas laikā) ir vai pārsniedz  divas tonnas stundā, operators katru gadu iesniedz pārskatu centram.”;</w:t>
            </w:r>
          </w:p>
          <w:p w14:paraId="109C7562" w14:textId="77777777" w:rsidR="00427553" w:rsidRPr="00FA50CC" w:rsidRDefault="00427553" w:rsidP="00FA50CC">
            <w:pPr>
              <w:jc w:val="both"/>
              <w:rPr>
                <w:b/>
              </w:rPr>
            </w:pPr>
          </w:p>
        </w:tc>
      </w:tr>
      <w:tr w:rsidR="00427553" w:rsidRPr="0079129B" w14:paraId="1E291384" w14:textId="77777777" w:rsidTr="00CD15D0">
        <w:tc>
          <w:tcPr>
            <w:tcW w:w="683" w:type="dxa"/>
            <w:tcBorders>
              <w:top w:val="single" w:sz="6" w:space="0" w:color="000000"/>
              <w:left w:val="single" w:sz="6" w:space="0" w:color="000000"/>
              <w:bottom w:val="single" w:sz="6" w:space="0" w:color="000000"/>
              <w:right w:val="single" w:sz="6" w:space="0" w:color="000000"/>
            </w:tcBorders>
          </w:tcPr>
          <w:p w14:paraId="6FE78BB9" w14:textId="06995659" w:rsidR="00427553" w:rsidRDefault="00FA50CC" w:rsidP="002C43BB">
            <w:pPr>
              <w:pStyle w:val="naisc"/>
              <w:spacing w:before="0" w:after="0"/>
              <w:jc w:val="both"/>
              <w:rPr>
                <w:b/>
              </w:rPr>
            </w:pPr>
            <w:r>
              <w:rPr>
                <w:b/>
              </w:rPr>
              <w:lastRenderedPageBreak/>
              <w:t>35.</w:t>
            </w:r>
          </w:p>
        </w:tc>
        <w:tc>
          <w:tcPr>
            <w:tcW w:w="3286" w:type="dxa"/>
            <w:tcBorders>
              <w:top w:val="single" w:sz="6" w:space="0" w:color="000000"/>
              <w:left w:val="single" w:sz="6" w:space="0" w:color="000000"/>
              <w:bottom w:val="single" w:sz="6" w:space="0" w:color="000000"/>
              <w:right w:val="single" w:sz="6" w:space="0" w:color="000000"/>
            </w:tcBorders>
          </w:tcPr>
          <w:p w14:paraId="20E82A2D" w14:textId="77777777" w:rsidR="00427553" w:rsidRPr="0079129B" w:rsidRDefault="00427553" w:rsidP="002C43BB">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14E88B37" w14:textId="77777777" w:rsidR="00427553" w:rsidRDefault="002E439D" w:rsidP="002C43BB">
            <w:pPr>
              <w:ind w:right="12" w:firstLine="567"/>
              <w:jc w:val="both"/>
              <w:rPr>
                <w:b/>
              </w:rPr>
            </w:pPr>
            <w:r>
              <w:rPr>
                <w:b/>
              </w:rPr>
              <w:t>Tieslietu ministrija:</w:t>
            </w:r>
          </w:p>
          <w:p w14:paraId="383177A6" w14:textId="77777777" w:rsidR="002E439D" w:rsidRDefault="002E439D" w:rsidP="002C43BB">
            <w:pPr>
              <w:jc w:val="both"/>
            </w:pPr>
            <w:r>
              <w:t>7. Atbilstoši Ministru kabineta 2009. gada 15. decembra instrukcijas Nr. 19 "Tiesību akta projekta sākotnējās ietekmes izvērtēšanas kārtība" 14. punktam lūdzam noteikumu projekta anotācijā atspoguļot informāciju arī par to, ka ar noteikumu projektu ir paredzēts novērst EU Pilot lietā Nr. EUP (2016)8656 par direktīvas 2010/75/ES nepareizu transponēšanu konstatētās nepilnības noteikumos Nr. 401 (uz ko šobrīd norādīts izziņā), detalizētāk sniedzot arī šo nepilnību raksturojumu.</w:t>
            </w:r>
          </w:p>
          <w:p w14:paraId="05A6BE78" w14:textId="7E4AC15A" w:rsidR="002E439D" w:rsidRDefault="002E439D" w:rsidP="002C43BB">
            <w:pPr>
              <w:ind w:right="12" w:firstLine="567"/>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68E5A4F5" w14:textId="142E3FE4" w:rsidR="00427553" w:rsidRDefault="002C43BB" w:rsidP="002C43BB">
            <w:pPr>
              <w:pStyle w:val="naisc"/>
              <w:spacing w:before="0" w:after="0"/>
              <w:ind w:firstLine="21"/>
              <w:jc w:val="both"/>
              <w:rPr>
                <w:b/>
              </w:rPr>
            </w:pPr>
            <w:r>
              <w:rPr>
                <w:b/>
              </w:rPr>
              <w:t xml:space="preserve">Iebildums ir ņemts vērā. </w:t>
            </w:r>
          </w:p>
        </w:tc>
        <w:tc>
          <w:tcPr>
            <w:tcW w:w="3686" w:type="dxa"/>
            <w:tcBorders>
              <w:top w:val="single" w:sz="4" w:space="0" w:color="auto"/>
              <w:left w:val="single" w:sz="4" w:space="0" w:color="auto"/>
              <w:bottom w:val="single" w:sz="4" w:space="0" w:color="auto"/>
            </w:tcBorders>
          </w:tcPr>
          <w:p w14:paraId="1DE0F301" w14:textId="77777777" w:rsidR="00427553" w:rsidRDefault="002C43BB" w:rsidP="002C43BB">
            <w:pPr>
              <w:jc w:val="both"/>
              <w:rPr>
                <w:b/>
              </w:rPr>
            </w:pPr>
            <w:r>
              <w:rPr>
                <w:b/>
              </w:rPr>
              <w:t xml:space="preserve">Precizēta noteikumu projekta anotācijas I.sadaļas 2.punkts: </w:t>
            </w:r>
          </w:p>
          <w:p w14:paraId="4CF64104" w14:textId="06649304" w:rsidR="008713F2" w:rsidRPr="00B17E44" w:rsidRDefault="008713F2" w:rsidP="002C43BB">
            <w:pPr>
              <w:pStyle w:val="tv2131"/>
              <w:numPr>
                <w:ilvl w:val="2"/>
                <w:numId w:val="2"/>
              </w:numPr>
              <w:spacing w:line="240" w:lineRule="auto"/>
              <w:ind w:left="0" w:right="135" w:firstLine="720"/>
              <w:jc w:val="both"/>
              <w:rPr>
                <w:color w:val="auto"/>
                <w:sz w:val="24"/>
                <w:szCs w:val="24"/>
                <w:lang w:val="lv-LV"/>
              </w:rPr>
            </w:pPr>
            <w:r w:rsidRPr="00277C06">
              <w:rPr>
                <w:color w:val="auto"/>
                <w:sz w:val="24"/>
                <w:szCs w:val="24"/>
              </w:rPr>
              <w:t>Ar noteikumu projektu ir paredzēts novērst EU Pilot lietā Nr. EUP (2016)8656 par direktīvas 2010/75/ES nepareizu transponēšanu konstatētās nepilnības noteikumos Nr. 401</w:t>
            </w:r>
            <w:r>
              <w:rPr>
                <w:color w:val="auto"/>
                <w:sz w:val="24"/>
                <w:szCs w:val="24"/>
              </w:rPr>
              <w:t>, it īpaši attiecībā uz Direktīvas 2010/75/ES IV pielikumā noteiktajām prasībām atkritumu līdzsadedzināšanas nosacījumiem un emisiju robežvērtībām.</w:t>
            </w:r>
          </w:p>
        </w:tc>
      </w:tr>
      <w:tr w:rsidR="002E439D" w:rsidRPr="002C43BB" w14:paraId="2EFE68F1" w14:textId="77777777" w:rsidTr="00CD15D0">
        <w:tc>
          <w:tcPr>
            <w:tcW w:w="683" w:type="dxa"/>
            <w:tcBorders>
              <w:top w:val="single" w:sz="6" w:space="0" w:color="000000"/>
              <w:left w:val="single" w:sz="6" w:space="0" w:color="000000"/>
              <w:bottom w:val="single" w:sz="6" w:space="0" w:color="000000"/>
              <w:right w:val="single" w:sz="6" w:space="0" w:color="000000"/>
            </w:tcBorders>
          </w:tcPr>
          <w:p w14:paraId="65DA728A" w14:textId="6D642A1E" w:rsidR="002E439D" w:rsidRPr="002C43BB" w:rsidRDefault="00FA50CC" w:rsidP="0079129B">
            <w:pPr>
              <w:pStyle w:val="naisc"/>
              <w:spacing w:before="0" w:after="0"/>
              <w:jc w:val="both"/>
              <w:rPr>
                <w:b/>
              </w:rPr>
            </w:pPr>
            <w:r w:rsidRPr="002C43BB">
              <w:rPr>
                <w:b/>
              </w:rPr>
              <w:t>36.</w:t>
            </w:r>
          </w:p>
        </w:tc>
        <w:tc>
          <w:tcPr>
            <w:tcW w:w="3286" w:type="dxa"/>
            <w:tcBorders>
              <w:top w:val="single" w:sz="6" w:space="0" w:color="000000"/>
              <w:left w:val="single" w:sz="6" w:space="0" w:color="000000"/>
              <w:bottom w:val="single" w:sz="6" w:space="0" w:color="000000"/>
              <w:right w:val="single" w:sz="6" w:space="0" w:color="000000"/>
            </w:tcBorders>
          </w:tcPr>
          <w:p w14:paraId="37F296D1" w14:textId="77777777" w:rsidR="002C43BB" w:rsidRPr="002C43BB" w:rsidRDefault="002C43BB" w:rsidP="002C43BB">
            <w:pPr>
              <w:pStyle w:val="naisf"/>
              <w:spacing w:before="0" w:after="0"/>
              <w:ind w:firstLine="709"/>
            </w:pPr>
            <w:r w:rsidRPr="002C43BB">
              <w:t>5. Papildināt</w:t>
            </w:r>
            <w:r w:rsidRPr="002C43BB">
              <w:rPr>
                <w:b/>
                <w:bCs/>
              </w:rPr>
              <w:t xml:space="preserve"> </w:t>
            </w:r>
            <w:r w:rsidRPr="002C43BB">
              <w:t>ar 6.3.</w:t>
            </w:r>
            <w:r w:rsidRPr="002C43BB">
              <w:rPr>
                <w:vertAlign w:val="superscript"/>
              </w:rPr>
              <w:t xml:space="preserve">1 </w:t>
            </w:r>
            <w:r w:rsidRPr="002C43BB">
              <w:t>apakšpunktu šādā redakcijā:</w:t>
            </w:r>
          </w:p>
          <w:p w14:paraId="70909921" w14:textId="77777777" w:rsidR="002C43BB" w:rsidRPr="002C43BB" w:rsidRDefault="002C43BB" w:rsidP="002C43BB">
            <w:pPr>
              <w:pStyle w:val="naisf"/>
              <w:spacing w:before="0" w:after="0"/>
              <w:ind w:firstLine="709"/>
            </w:pPr>
            <w:r w:rsidRPr="002C43BB">
              <w:t>“6.3.</w:t>
            </w:r>
            <w:r w:rsidRPr="002C43BB">
              <w:rPr>
                <w:vertAlign w:val="superscript"/>
              </w:rPr>
              <w:t>1</w:t>
            </w:r>
            <w:r w:rsidRPr="002C43BB">
              <w:t xml:space="preserve"> tiks samazināts atkritumu sadedzināšanas atlikumu daudzums un </w:t>
            </w:r>
            <w:r w:rsidRPr="002C43BB">
              <w:lastRenderedPageBreak/>
              <w:t>bīstamība, un, kur iespējams, tiks nodrošināta to turpmākā pārstrāde iekārtās vai citur;”</w:t>
            </w:r>
          </w:p>
          <w:p w14:paraId="08690E99" w14:textId="77777777" w:rsidR="002E439D" w:rsidRPr="002C43BB" w:rsidRDefault="002E439D" w:rsidP="0079129B">
            <w:pPr>
              <w:pStyle w:val="naisc"/>
              <w:spacing w:before="0" w:after="0"/>
              <w:ind w:firstLine="12"/>
              <w:jc w:val="both"/>
              <w:rPr>
                <w:b/>
              </w:rPr>
            </w:pPr>
          </w:p>
        </w:tc>
        <w:tc>
          <w:tcPr>
            <w:tcW w:w="4536" w:type="dxa"/>
            <w:tcBorders>
              <w:top w:val="single" w:sz="6" w:space="0" w:color="000000"/>
              <w:left w:val="single" w:sz="6" w:space="0" w:color="000000"/>
              <w:bottom w:val="single" w:sz="6" w:space="0" w:color="000000"/>
              <w:right w:val="single" w:sz="6" w:space="0" w:color="000000"/>
            </w:tcBorders>
          </w:tcPr>
          <w:p w14:paraId="6CCC9B28" w14:textId="77777777" w:rsidR="002E439D" w:rsidRPr="002C43BB" w:rsidRDefault="002E439D" w:rsidP="002C43BB">
            <w:pPr>
              <w:ind w:right="12" w:firstLine="567"/>
              <w:jc w:val="both"/>
              <w:rPr>
                <w:b/>
              </w:rPr>
            </w:pPr>
            <w:r w:rsidRPr="002C43BB">
              <w:rPr>
                <w:b/>
              </w:rPr>
              <w:lastRenderedPageBreak/>
              <w:t>Tieslietu ministrija (priekšlikums):</w:t>
            </w:r>
          </w:p>
          <w:p w14:paraId="4161BDBA" w14:textId="04732E25" w:rsidR="002E439D" w:rsidRPr="002C43BB" w:rsidRDefault="002E439D" w:rsidP="002C43BB">
            <w:pPr>
              <w:jc w:val="both"/>
            </w:pPr>
            <w:r w:rsidRPr="002C43BB">
              <w:t>Vienlaikus izsakām priekšlikumu noteikumu projekta 5. punktā norādīt, kas tiek papildināts ar 6.3.</w:t>
            </w:r>
            <w:r w:rsidRPr="002C43BB">
              <w:rPr>
                <w:vertAlign w:val="superscript"/>
              </w:rPr>
              <w:t>1</w:t>
            </w:r>
            <w:r w:rsidRPr="002C43BB">
              <w:t>apakšpunktu.</w:t>
            </w:r>
          </w:p>
        </w:tc>
        <w:tc>
          <w:tcPr>
            <w:tcW w:w="2384" w:type="dxa"/>
            <w:tcBorders>
              <w:top w:val="single" w:sz="6" w:space="0" w:color="000000"/>
              <w:left w:val="single" w:sz="6" w:space="0" w:color="000000"/>
              <w:bottom w:val="single" w:sz="6" w:space="0" w:color="000000"/>
              <w:right w:val="single" w:sz="6" w:space="0" w:color="000000"/>
            </w:tcBorders>
          </w:tcPr>
          <w:p w14:paraId="5DB8609C" w14:textId="2A3CBDB8" w:rsidR="002E439D" w:rsidRPr="002C43BB" w:rsidRDefault="002C43BB" w:rsidP="0079129B">
            <w:pPr>
              <w:pStyle w:val="naisc"/>
              <w:spacing w:before="0" w:after="0"/>
              <w:ind w:firstLine="21"/>
              <w:jc w:val="both"/>
              <w:rPr>
                <w:b/>
              </w:rPr>
            </w:pPr>
            <w:r w:rsidRPr="002C43BB">
              <w:rPr>
                <w:b/>
              </w:rPr>
              <w:t xml:space="preserve">Priekšlikums ir ņemts vērā. </w:t>
            </w:r>
          </w:p>
        </w:tc>
        <w:tc>
          <w:tcPr>
            <w:tcW w:w="3686" w:type="dxa"/>
            <w:tcBorders>
              <w:top w:val="single" w:sz="4" w:space="0" w:color="auto"/>
              <w:left w:val="single" w:sz="4" w:space="0" w:color="auto"/>
              <w:bottom w:val="single" w:sz="4" w:space="0" w:color="auto"/>
            </w:tcBorders>
          </w:tcPr>
          <w:p w14:paraId="015A8F82" w14:textId="77777777" w:rsidR="002C43BB" w:rsidRPr="002C43BB" w:rsidRDefault="002C43BB" w:rsidP="002C43BB">
            <w:pPr>
              <w:pStyle w:val="naisf"/>
              <w:spacing w:before="0" w:after="0"/>
              <w:ind w:firstLine="0"/>
            </w:pPr>
          </w:p>
          <w:p w14:paraId="0A400D53" w14:textId="77777777" w:rsidR="002C43BB" w:rsidRPr="002C43BB" w:rsidRDefault="002C43BB" w:rsidP="002C43BB">
            <w:pPr>
              <w:pStyle w:val="naisf"/>
              <w:spacing w:before="0" w:after="0"/>
              <w:ind w:firstLine="709"/>
            </w:pPr>
            <w:r w:rsidRPr="002C43BB">
              <w:t>5. Papildināt</w:t>
            </w:r>
            <w:r w:rsidRPr="002C43BB">
              <w:rPr>
                <w:b/>
                <w:bCs/>
              </w:rPr>
              <w:t xml:space="preserve"> </w:t>
            </w:r>
            <w:r w:rsidRPr="00E00030">
              <w:t>6.punktu</w:t>
            </w:r>
            <w:r w:rsidRPr="002C43BB">
              <w:rPr>
                <w:b/>
                <w:bCs/>
              </w:rPr>
              <w:t xml:space="preserve"> </w:t>
            </w:r>
            <w:r w:rsidRPr="002C43BB">
              <w:t>ar 6.3.</w:t>
            </w:r>
            <w:r w:rsidRPr="002C43BB">
              <w:rPr>
                <w:vertAlign w:val="superscript"/>
              </w:rPr>
              <w:t xml:space="preserve">1 </w:t>
            </w:r>
            <w:r w:rsidRPr="002C43BB">
              <w:t>apakšpunktu šādā redakcijā:</w:t>
            </w:r>
          </w:p>
          <w:p w14:paraId="055F2AED" w14:textId="7958A770" w:rsidR="002E439D" w:rsidRPr="00B17E44" w:rsidRDefault="002C43BB" w:rsidP="00B17E44">
            <w:pPr>
              <w:pStyle w:val="naisf"/>
              <w:spacing w:before="0" w:after="0"/>
              <w:ind w:firstLine="709"/>
            </w:pPr>
            <w:r w:rsidRPr="002C43BB">
              <w:t>“6.3.</w:t>
            </w:r>
            <w:r w:rsidRPr="002C43BB">
              <w:rPr>
                <w:vertAlign w:val="superscript"/>
              </w:rPr>
              <w:t>1</w:t>
            </w:r>
            <w:r w:rsidRPr="002C43BB">
              <w:t xml:space="preserve"> tiks samazināts atkritumu sadedzināšanas atlikumu </w:t>
            </w:r>
            <w:r w:rsidRPr="002C43BB">
              <w:lastRenderedPageBreak/>
              <w:t>daudzums un bīstamība, un, kur iespējams, tiks nodrošināta to turpmākā pārstrāde iekārtās vai citur;”</w:t>
            </w:r>
          </w:p>
        </w:tc>
      </w:tr>
      <w:tr w:rsidR="001E7F42" w:rsidRPr="002C43BB" w14:paraId="70FD28F3" w14:textId="77777777" w:rsidTr="001E7F42">
        <w:tc>
          <w:tcPr>
            <w:tcW w:w="14575" w:type="dxa"/>
            <w:gridSpan w:val="5"/>
            <w:tcBorders>
              <w:top w:val="single" w:sz="6" w:space="0" w:color="000000"/>
              <w:left w:val="single" w:sz="6" w:space="0" w:color="000000"/>
              <w:bottom w:val="single" w:sz="6" w:space="0" w:color="000000"/>
            </w:tcBorders>
          </w:tcPr>
          <w:p w14:paraId="398CFE1B" w14:textId="24777066" w:rsidR="001E7F42" w:rsidRPr="002C43BB" w:rsidRDefault="001E7F42" w:rsidP="002C43BB">
            <w:pPr>
              <w:pStyle w:val="naisf"/>
              <w:spacing w:before="0" w:after="0"/>
              <w:ind w:firstLine="0"/>
            </w:pPr>
            <w:r>
              <w:rPr>
                <w:b/>
              </w:rPr>
              <w:lastRenderedPageBreak/>
              <w:t>Pēc 2021.gada 3.marta starpministriju sanāksmes saņemtie iebildumi</w:t>
            </w:r>
          </w:p>
        </w:tc>
      </w:tr>
      <w:tr w:rsidR="00F45B10" w:rsidRPr="00F45B10" w14:paraId="7B02D0F2" w14:textId="77777777" w:rsidTr="00CD15D0">
        <w:tc>
          <w:tcPr>
            <w:tcW w:w="683" w:type="dxa"/>
            <w:tcBorders>
              <w:top w:val="single" w:sz="6" w:space="0" w:color="000000"/>
              <w:left w:val="single" w:sz="6" w:space="0" w:color="000000"/>
              <w:bottom w:val="single" w:sz="6" w:space="0" w:color="000000"/>
              <w:right w:val="single" w:sz="6" w:space="0" w:color="000000"/>
            </w:tcBorders>
          </w:tcPr>
          <w:p w14:paraId="1B97D4A3" w14:textId="2337DD61" w:rsidR="00F45B10" w:rsidRPr="00F45B10" w:rsidRDefault="004E2178" w:rsidP="00F45B10">
            <w:pPr>
              <w:pStyle w:val="naisc"/>
              <w:spacing w:before="0" w:after="0"/>
              <w:jc w:val="both"/>
              <w:rPr>
                <w:b/>
              </w:rPr>
            </w:pPr>
            <w:r>
              <w:rPr>
                <w:b/>
              </w:rPr>
              <w:t>37.</w:t>
            </w:r>
          </w:p>
        </w:tc>
        <w:tc>
          <w:tcPr>
            <w:tcW w:w="3286" w:type="dxa"/>
            <w:tcBorders>
              <w:top w:val="single" w:sz="6" w:space="0" w:color="000000"/>
              <w:left w:val="single" w:sz="6" w:space="0" w:color="000000"/>
              <w:bottom w:val="single" w:sz="6" w:space="0" w:color="000000"/>
              <w:right w:val="single" w:sz="6" w:space="0" w:color="000000"/>
            </w:tcBorders>
          </w:tcPr>
          <w:p w14:paraId="5FD29B5C" w14:textId="77777777" w:rsidR="00F45B10" w:rsidRPr="00F45B10" w:rsidRDefault="00F45B10" w:rsidP="00F45B10">
            <w:pPr>
              <w:pStyle w:val="naisf"/>
              <w:spacing w:before="0" w:after="0"/>
              <w:ind w:firstLine="709"/>
            </w:pPr>
            <w:r w:rsidRPr="00F45B10">
              <w:t>48. Papildināt 4.pielikumu ar 5.</w:t>
            </w:r>
            <w:r w:rsidRPr="00F45B10">
              <w:rPr>
                <w:vertAlign w:val="superscript"/>
              </w:rPr>
              <w:t>1</w:t>
            </w:r>
            <w:r w:rsidRPr="00F45B10">
              <w:t xml:space="preserve"> punktu aiz 2.tabulas:</w:t>
            </w:r>
          </w:p>
          <w:p w14:paraId="2D9F0A17" w14:textId="77777777" w:rsidR="00F45B10" w:rsidRPr="00F45B10" w:rsidRDefault="00F45B10" w:rsidP="00F45B10">
            <w:pPr>
              <w:pStyle w:val="naisf"/>
              <w:spacing w:before="0" w:after="0"/>
              <w:ind w:firstLine="709"/>
            </w:pPr>
            <w:r w:rsidRPr="00F45B10">
              <w:t>5</w:t>
            </w:r>
            <w:r w:rsidRPr="00F45B10">
              <w:rPr>
                <w:vertAlign w:val="superscript"/>
              </w:rPr>
              <w:t>1</w:t>
            </w:r>
            <w:r w:rsidRPr="00F45B10">
              <w:t>. Saskaņā ar šī pielikuma 1. un 2.tabulu noteiktās emisiju robežvērtības piemēro kā:</w:t>
            </w:r>
          </w:p>
          <w:p w14:paraId="4952DCE3" w14:textId="77777777" w:rsidR="00F45B10" w:rsidRPr="00F45B10" w:rsidRDefault="00F45B10" w:rsidP="00F45B10">
            <w:pPr>
              <w:pStyle w:val="naisf"/>
              <w:spacing w:before="0" w:after="0"/>
              <w:ind w:firstLine="709"/>
            </w:pPr>
            <w:r w:rsidRPr="00F45B10">
              <w:t>5</w:t>
            </w:r>
            <w:r w:rsidRPr="00F45B10">
              <w:rPr>
                <w:vertAlign w:val="superscript"/>
              </w:rPr>
              <w:t>1</w:t>
            </w:r>
            <w:r w:rsidRPr="00F45B10">
              <w:t>.1. vidējās diennakts emisijas robežvērtības cietajām daļiņām (kopā), HCl, HF, NO</w:t>
            </w:r>
            <w:r w:rsidRPr="00F45B10">
              <w:rPr>
                <w:vertAlign w:val="subscript"/>
              </w:rPr>
              <w:t>x</w:t>
            </w:r>
            <w:r w:rsidRPr="00F45B10">
              <w:t>, SO</w:t>
            </w:r>
            <w:r w:rsidRPr="00F45B10">
              <w:rPr>
                <w:vertAlign w:val="subscript"/>
              </w:rPr>
              <w:t xml:space="preserve">2 </w:t>
            </w:r>
            <w:r w:rsidRPr="00F45B10">
              <w:t xml:space="preserve">un kopējam organiskajam ogleklim  nepārtrauktiem mērījumiem, </w:t>
            </w:r>
          </w:p>
          <w:p w14:paraId="0AF0C3B7" w14:textId="77777777" w:rsidR="00F45B10" w:rsidRPr="00F45B10" w:rsidRDefault="00F45B10" w:rsidP="00F45B10">
            <w:pPr>
              <w:pStyle w:val="naisf"/>
              <w:spacing w:before="0" w:after="0"/>
              <w:ind w:firstLine="709"/>
            </w:pPr>
            <w:r w:rsidRPr="00F45B10">
              <w:t>5</w:t>
            </w:r>
            <w:r w:rsidRPr="00F45B10">
              <w:rPr>
                <w:vertAlign w:val="superscript"/>
              </w:rPr>
              <w:t>1</w:t>
            </w:r>
            <w:r w:rsidRPr="00F45B10">
              <w:t>.2. kā vidējās vērtības paraugu ņemšanas laikiem no 30 minūtēm līdz astoņām stundām smagajiem metāliem;</w:t>
            </w:r>
          </w:p>
          <w:p w14:paraId="5190EF63" w14:textId="77777777" w:rsidR="00F45B10" w:rsidRPr="00F45B10" w:rsidRDefault="00F45B10" w:rsidP="00F45B10">
            <w:pPr>
              <w:pStyle w:val="naisf"/>
              <w:spacing w:before="0" w:after="0"/>
              <w:ind w:firstLine="709"/>
            </w:pPr>
            <w:r w:rsidRPr="00F45B10">
              <w:t>5</w:t>
            </w:r>
            <w:r w:rsidRPr="00F45B10">
              <w:rPr>
                <w:vertAlign w:val="superscript"/>
              </w:rPr>
              <w:t>1</w:t>
            </w:r>
            <w:r w:rsidRPr="00F45B10">
              <w:t>.3. kā vidējās vērtības paraugu ņemšanas laikiem no 6 stundām līdz 8 stundām dioksīniem un furāniem.</w:t>
            </w:r>
          </w:p>
          <w:p w14:paraId="2AC53C1B" w14:textId="77777777" w:rsidR="00F45B10" w:rsidRPr="00F45B10" w:rsidRDefault="00F45B10" w:rsidP="00F45B10">
            <w:pPr>
              <w:pStyle w:val="naisf"/>
              <w:spacing w:before="0" w:after="0"/>
              <w:ind w:firstLine="709"/>
            </w:pPr>
          </w:p>
        </w:tc>
        <w:tc>
          <w:tcPr>
            <w:tcW w:w="4536" w:type="dxa"/>
            <w:tcBorders>
              <w:top w:val="single" w:sz="6" w:space="0" w:color="000000"/>
              <w:left w:val="single" w:sz="6" w:space="0" w:color="000000"/>
              <w:bottom w:val="single" w:sz="6" w:space="0" w:color="000000"/>
              <w:right w:val="single" w:sz="6" w:space="0" w:color="000000"/>
            </w:tcBorders>
          </w:tcPr>
          <w:p w14:paraId="18568A56" w14:textId="77777777" w:rsidR="00F45B10" w:rsidRPr="00F45B10" w:rsidRDefault="00F45B10" w:rsidP="00F45B10">
            <w:pPr>
              <w:ind w:right="12" w:firstLine="567"/>
              <w:jc w:val="both"/>
              <w:rPr>
                <w:b/>
              </w:rPr>
            </w:pPr>
            <w:r w:rsidRPr="00F45B10">
              <w:rPr>
                <w:b/>
              </w:rPr>
              <w:t>Tieslietu ministrija:</w:t>
            </w:r>
          </w:p>
          <w:p w14:paraId="21C15F05" w14:textId="77777777" w:rsidR="00F45B10" w:rsidRPr="00F45B10" w:rsidRDefault="00F45B10" w:rsidP="00F45B10">
            <w:pPr>
              <w:jc w:val="both"/>
            </w:pPr>
            <w:r w:rsidRPr="00F45B10">
              <w:t>1. Lai gan noteikumu projekta anotācijā minēts, ka, lai nodrošinātu direktīvas prasību pārņemšanu, Ministru kabineta 2011. gada 24. maija noteikumu Nr. 401 "Prasības atkritumu sadedzināšanai un atkritumu sadedzināšanas iekārtu darbībai”” tekstā jēdziens “cietās daļiņas” ir aizstāts ar jēdzienu “putekļi jeb daļiņas”, noteikumu projektā (sk. 48. punktu) joprojām tiek lietots arī jēdziens “cietās daļiņas (kopā). Attiecīgi lūdzam atbilstoši precizēt noteikumu projektu vai skaidrot nepieciešamību lietot atšķirīgu terminoloģiju noteikumu projekta anotācijā. Kā arī vienlaikus lūdzam noteikumu projekta anotācijas V sadaļas 1. tabulā atspoguļot arī noteikumu projekta normas, ar kurām tiek nodrošināta attiecīgo direktīvas prasību pārņemšana.</w:t>
            </w:r>
          </w:p>
          <w:p w14:paraId="6B9FB38E" w14:textId="44DAC8CF" w:rsidR="00F45B10" w:rsidRPr="00F45B10" w:rsidRDefault="00F45B10" w:rsidP="00F45B10">
            <w:pPr>
              <w:ind w:right="12" w:firstLine="567"/>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68B84BAD" w14:textId="77777777" w:rsidR="00F45B10" w:rsidRPr="00F45B10" w:rsidRDefault="00F45B10" w:rsidP="00F45B10">
            <w:pPr>
              <w:pStyle w:val="naisc"/>
              <w:spacing w:before="0" w:after="0"/>
              <w:ind w:firstLine="21"/>
              <w:jc w:val="both"/>
              <w:rPr>
                <w:b/>
              </w:rPr>
            </w:pPr>
          </w:p>
        </w:tc>
        <w:tc>
          <w:tcPr>
            <w:tcW w:w="3686" w:type="dxa"/>
            <w:tcBorders>
              <w:top w:val="single" w:sz="4" w:space="0" w:color="auto"/>
              <w:left w:val="single" w:sz="4" w:space="0" w:color="auto"/>
              <w:bottom w:val="single" w:sz="4" w:space="0" w:color="auto"/>
            </w:tcBorders>
          </w:tcPr>
          <w:p w14:paraId="2AAF1FBD" w14:textId="77777777" w:rsidR="00F45B10" w:rsidRPr="00F45B10" w:rsidRDefault="00F45B10" w:rsidP="00F45B10">
            <w:pPr>
              <w:pStyle w:val="naisf"/>
              <w:spacing w:before="0" w:after="0"/>
              <w:ind w:firstLine="709"/>
            </w:pPr>
            <w:r w:rsidRPr="00F45B10">
              <w:t>48. Papildināt 4.pielikumu ar 5.</w:t>
            </w:r>
            <w:r w:rsidRPr="00F45B10">
              <w:rPr>
                <w:vertAlign w:val="superscript"/>
              </w:rPr>
              <w:t>1</w:t>
            </w:r>
            <w:r w:rsidRPr="00F45B10">
              <w:t xml:space="preserve"> punktu aiz 2.tabulas:</w:t>
            </w:r>
          </w:p>
          <w:p w14:paraId="1B614ED5" w14:textId="77777777" w:rsidR="00F45B10" w:rsidRPr="00F45B10" w:rsidRDefault="00F45B10" w:rsidP="00F45B10">
            <w:pPr>
              <w:pStyle w:val="naisf"/>
              <w:spacing w:before="0" w:after="0"/>
              <w:ind w:firstLine="709"/>
            </w:pPr>
            <w:r w:rsidRPr="00F45B10">
              <w:t>5</w:t>
            </w:r>
            <w:r w:rsidRPr="00F45B10">
              <w:rPr>
                <w:vertAlign w:val="superscript"/>
              </w:rPr>
              <w:t>1</w:t>
            </w:r>
            <w:r w:rsidRPr="00F45B10">
              <w:t>. Saskaņā ar šī pielikuma 1. un 2.tabulu noteiktās emisiju robežvērtības piemēro kā:</w:t>
            </w:r>
          </w:p>
          <w:p w14:paraId="7F1A0B8E" w14:textId="3FBA9672" w:rsidR="00F45B10" w:rsidRPr="00F45B10" w:rsidRDefault="00F45B10" w:rsidP="00F45B10">
            <w:pPr>
              <w:pStyle w:val="naisf"/>
              <w:spacing w:before="0" w:after="0"/>
              <w:ind w:firstLine="709"/>
            </w:pPr>
            <w:r w:rsidRPr="00F45B10">
              <w:t>5</w:t>
            </w:r>
            <w:r w:rsidRPr="00F45B10">
              <w:rPr>
                <w:vertAlign w:val="superscript"/>
              </w:rPr>
              <w:t>1</w:t>
            </w:r>
            <w:r w:rsidRPr="00F45B10">
              <w:t xml:space="preserve">.1. vidējās diennakts emisijas robežvērtības </w:t>
            </w:r>
            <w:r>
              <w:t>putekļiem jeb</w:t>
            </w:r>
            <w:r w:rsidRPr="00F45B10">
              <w:t xml:space="preserve"> daļiņām (kopā), HCl, HF, NO</w:t>
            </w:r>
            <w:r w:rsidRPr="00F45B10">
              <w:rPr>
                <w:vertAlign w:val="subscript"/>
              </w:rPr>
              <w:t>x</w:t>
            </w:r>
            <w:r w:rsidRPr="00F45B10">
              <w:t>, SO</w:t>
            </w:r>
            <w:r w:rsidRPr="00F45B10">
              <w:rPr>
                <w:vertAlign w:val="subscript"/>
              </w:rPr>
              <w:t xml:space="preserve">2 </w:t>
            </w:r>
            <w:r w:rsidRPr="00F45B10">
              <w:t xml:space="preserve">un kopējam organiskajam ogleklim  nepārtrauktiem mērījumiem, </w:t>
            </w:r>
          </w:p>
          <w:p w14:paraId="253A400C" w14:textId="77777777" w:rsidR="00F45B10" w:rsidRPr="00F45B10" w:rsidRDefault="00F45B10" w:rsidP="00F45B10">
            <w:pPr>
              <w:pStyle w:val="naisf"/>
              <w:spacing w:before="0" w:after="0"/>
              <w:ind w:firstLine="709"/>
            </w:pPr>
            <w:r w:rsidRPr="00F45B10">
              <w:t>5</w:t>
            </w:r>
            <w:r w:rsidRPr="00F45B10">
              <w:rPr>
                <w:vertAlign w:val="superscript"/>
              </w:rPr>
              <w:t>1</w:t>
            </w:r>
            <w:r w:rsidRPr="00F45B10">
              <w:t>.2. kā vidējās vērtības paraugu ņemšanas laikiem no 30 minūtēm līdz astoņām stundām smagajiem metāliem;</w:t>
            </w:r>
          </w:p>
          <w:p w14:paraId="46B7D0C5" w14:textId="77777777" w:rsidR="00F45B10" w:rsidRPr="00F45B10" w:rsidRDefault="00F45B10" w:rsidP="00F45B10">
            <w:pPr>
              <w:pStyle w:val="naisf"/>
              <w:spacing w:before="0" w:after="0"/>
              <w:ind w:firstLine="709"/>
            </w:pPr>
            <w:r w:rsidRPr="00F45B10">
              <w:t>5</w:t>
            </w:r>
            <w:r w:rsidRPr="00F45B10">
              <w:rPr>
                <w:vertAlign w:val="superscript"/>
              </w:rPr>
              <w:t>1</w:t>
            </w:r>
            <w:r w:rsidRPr="00F45B10">
              <w:t>.3. kā vidējās vērtības paraugu ņemšanas laikiem no 6 stundām līdz 8 stundām dioksīniem un furāniem.</w:t>
            </w:r>
          </w:p>
          <w:p w14:paraId="4ABCDAC8" w14:textId="77777777" w:rsidR="00F45B10" w:rsidRDefault="00F45B10" w:rsidP="00F45B10">
            <w:pPr>
              <w:pStyle w:val="naisf"/>
              <w:spacing w:before="0" w:after="0"/>
              <w:ind w:firstLine="0"/>
            </w:pPr>
          </w:p>
          <w:p w14:paraId="013C2277" w14:textId="752101E3" w:rsidR="00F45B10" w:rsidRPr="00F45B10" w:rsidRDefault="00F45B10" w:rsidP="00F45B10">
            <w:pPr>
              <w:pStyle w:val="naisf"/>
              <w:spacing w:before="0" w:after="0"/>
              <w:ind w:firstLine="0"/>
            </w:pPr>
            <w:r>
              <w:t>Anotācijas V.sada</w:t>
            </w:r>
            <w:r w:rsidR="00A2105E">
              <w:t>ļ</w:t>
            </w:r>
            <w:r>
              <w:t xml:space="preserve">as 1.tabula precizēts, ka noteikumu projekta 48.punkts nodrošina direktīvas 2010/75/EK </w:t>
            </w:r>
            <w:r w:rsidRPr="006241FF">
              <w:t>VI pielikuma 4.daļas 1.punkt</w:t>
            </w:r>
            <w:r>
              <w:t>a prasību pārņemšanu.</w:t>
            </w:r>
          </w:p>
        </w:tc>
      </w:tr>
      <w:tr w:rsidR="00F45B10" w:rsidRPr="004E2178" w14:paraId="3F422229" w14:textId="77777777" w:rsidTr="00CD15D0">
        <w:tc>
          <w:tcPr>
            <w:tcW w:w="683" w:type="dxa"/>
            <w:tcBorders>
              <w:top w:val="single" w:sz="6" w:space="0" w:color="000000"/>
              <w:left w:val="single" w:sz="6" w:space="0" w:color="000000"/>
              <w:bottom w:val="single" w:sz="6" w:space="0" w:color="000000"/>
              <w:right w:val="single" w:sz="6" w:space="0" w:color="000000"/>
            </w:tcBorders>
          </w:tcPr>
          <w:p w14:paraId="1C83BD84" w14:textId="582CFAA7" w:rsidR="00F45B10" w:rsidRPr="004E2178" w:rsidRDefault="004E2178" w:rsidP="00F45B10">
            <w:pPr>
              <w:pStyle w:val="naisc"/>
              <w:spacing w:before="0" w:after="0"/>
              <w:jc w:val="both"/>
              <w:rPr>
                <w:b/>
              </w:rPr>
            </w:pPr>
            <w:r>
              <w:rPr>
                <w:b/>
              </w:rPr>
              <w:lastRenderedPageBreak/>
              <w:t>38.</w:t>
            </w:r>
          </w:p>
        </w:tc>
        <w:tc>
          <w:tcPr>
            <w:tcW w:w="3286" w:type="dxa"/>
            <w:tcBorders>
              <w:top w:val="single" w:sz="6" w:space="0" w:color="000000"/>
              <w:left w:val="single" w:sz="6" w:space="0" w:color="000000"/>
              <w:bottom w:val="single" w:sz="6" w:space="0" w:color="000000"/>
              <w:right w:val="single" w:sz="6" w:space="0" w:color="000000"/>
            </w:tcBorders>
          </w:tcPr>
          <w:p w14:paraId="60E72FB4" w14:textId="77777777" w:rsidR="004E2178" w:rsidRPr="004E2178" w:rsidRDefault="004E2178" w:rsidP="004E2178">
            <w:pPr>
              <w:pStyle w:val="naisf"/>
              <w:spacing w:before="0" w:after="0"/>
              <w:ind w:firstLine="720"/>
            </w:pPr>
            <w:r w:rsidRPr="004E2178">
              <w:t>26. Izteikt 45. un 46.punktu šādā redakcijā:</w:t>
            </w:r>
          </w:p>
          <w:p w14:paraId="201E0195" w14:textId="77777777" w:rsidR="004E2178" w:rsidRPr="004E2178" w:rsidRDefault="004E2178" w:rsidP="004E2178">
            <w:pPr>
              <w:pStyle w:val="naisf"/>
              <w:spacing w:before="0" w:after="0"/>
              <w:ind w:firstLine="720"/>
            </w:pPr>
            <w:r w:rsidRPr="004E2178">
              <w:t>“45. Operators nodrošina paraugu ņemšanas un emisijas noteikšanas vietas ierīkošanu, kā arī nodrošina gāzu attīrīšanas iekārtu efektivitātes pārbaudi.</w:t>
            </w:r>
          </w:p>
          <w:p w14:paraId="3A2F67E7" w14:textId="77777777" w:rsidR="004E2178" w:rsidRPr="004E2178" w:rsidRDefault="004E2178" w:rsidP="004E2178">
            <w:pPr>
              <w:pStyle w:val="naisf"/>
              <w:spacing w:before="0" w:after="0"/>
              <w:ind w:firstLine="720"/>
            </w:pPr>
          </w:p>
          <w:p w14:paraId="050A23FC" w14:textId="7D3BC745" w:rsidR="00F45B10" w:rsidRPr="004E2178" w:rsidRDefault="004E2178" w:rsidP="00B17E44">
            <w:pPr>
              <w:pStyle w:val="naisf"/>
              <w:spacing w:before="0" w:after="0"/>
              <w:ind w:firstLine="720"/>
            </w:pPr>
            <w:r w:rsidRPr="004E2178">
              <w:t xml:space="preserve">46. Periodiskajā kontrolē emisijas mērījumus veic tikai attiecīgajā jomā akreditētas testēšanas laboratorijas, kas ir akreditētas nacionālajā akreditācijas institūcijā atbilstoši normatīvajiem aktiem par atbilstības novērtēšanas institūciju novērtēšanu, akreditāciju un uzraudzību, vai laboratorijā, kas akreditēta citā Eiropas Savienības dalībvalstī vai Eiropas Ekonomikas zonas valstī. Piesārņojošo vielu koncentrācijas noteikšanai lieto metroloģiski pārbaudītus mērinstrumentus, un mērījumus veic atbilstoši šo noteikumu </w:t>
            </w:r>
            <w:r w:rsidRPr="004E2178">
              <w:lastRenderedPageBreak/>
              <w:t>44.punktā un 44.</w:t>
            </w:r>
            <w:r w:rsidRPr="004E2178">
              <w:rPr>
                <w:vertAlign w:val="superscript"/>
              </w:rPr>
              <w:t>1</w:t>
            </w:r>
            <w:r w:rsidRPr="004E2178">
              <w:t xml:space="preserve"> punktā  noteiktajām prasībām.”</w:t>
            </w:r>
          </w:p>
        </w:tc>
        <w:tc>
          <w:tcPr>
            <w:tcW w:w="4536" w:type="dxa"/>
            <w:tcBorders>
              <w:top w:val="single" w:sz="6" w:space="0" w:color="000000"/>
              <w:left w:val="single" w:sz="6" w:space="0" w:color="000000"/>
              <w:bottom w:val="single" w:sz="6" w:space="0" w:color="000000"/>
              <w:right w:val="single" w:sz="6" w:space="0" w:color="000000"/>
            </w:tcBorders>
          </w:tcPr>
          <w:p w14:paraId="6AC504F7" w14:textId="77777777" w:rsidR="00F45B10" w:rsidRPr="004E2178" w:rsidRDefault="00F45B10" w:rsidP="00F45B10">
            <w:pPr>
              <w:ind w:right="12" w:firstLine="567"/>
              <w:jc w:val="both"/>
              <w:rPr>
                <w:b/>
              </w:rPr>
            </w:pPr>
            <w:r w:rsidRPr="004E2178">
              <w:rPr>
                <w:b/>
              </w:rPr>
              <w:lastRenderedPageBreak/>
              <w:t>Tieslietu ministrija:</w:t>
            </w:r>
          </w:p>
          <w:p w14:paraId="14201E82" w14:textId="77777777" w:rsidR="00F45B10" w:rsidRPr="004E2178" w:rsidRDefault="00F45B10" w:rsidP="00F45B10">
            <w:pPr>
              <w:jc w:val="both"/>
            </w:pPr>
            <w:r w:rsidRPr="004E2178">
              <w:t>2. Lūdzam noteikumu projekta 46. punktā neietvert atsauci uz šo noteikumu 44.</w:t>
            </w:r>
            <w:r w:rsidRPr="004E2178">
              <w:rPr>
                <w:vertAlign w:val="superscript"/>
              </w:rPr>
              <w:t>1</w:t>
            </w:r>
            <w:r w:rsidRPr="004E2178">
              <w:t>punktā minētajām prasībām (nepieciešamības gadījumā atsauci precizējot), jo šajā punktā nav atspoguļotas prasības.</w:t>
            </w:r>
          </w:p>
          <w:p w14:paraId="71132268" w14:textId="79E895BA" w:rsidR="00F45B10" w:rsidRPr="004E2178" w:rsidRDefault="00F45B10" w:rsidP="00F45B10">
            <w:pPr>
              <w:ind w:right="12" w:firstLine="567"/>
              <w:jc w:val="both"/>
              <w:rPr>
                <w:b/>
              </w:rPr>
            </w:pPr>
          </w:p>
        </w:tc>
        <w:tc>
          <w:tcPr>
            <w:tcW w:w="2384" w:type="dxa"/>
            <w:tcBorders>
              <w:top w:val="single" w:sz="6" w:space="0" w:color="000000"/>
              <w:left w:val="single" w:sz="6" w:space="0" w:color="000000"/>
              <w:bottom w:val="single" w:sz="6" w:space="0" w:color="000000"/>
              <w:right w:val="single" w:sz="6" w:space="0" w:color="000000"/>
            </w:tcBorders>
          </w:tcPr>
          <w:p w14:paraId="061BE1E7" w14:textId="26C49AFA" w:rsidR="00F45B10" w:rsidRPr="004E2178" w:rsidRDefault="004E2178" w:rsidP="00F45B10">
            <w:pPr>
              <w:pStyle w:val="naisc"/>
              <w:spacing w:before="0" w:after="0"/>
              <w:ind w:firstLine="21"/>
              <w:jc w:val="both"/>
              <w:rPr>
                <w:b/>
              </w:rPr>
            </w:pPr>
            <w:r w:rsidRPr="004E2178">
              <w:rPr>
                <w:b/>
              </w:rPr>
              <w:t>Iebildums ir ņemts vērā.</w:t>
            </w:r>
          </w:p>
        </w:tc>
        <w:tc>
          <w:tcPr>
            <w:tcW w:w="3686" w:type="dxa"/>
            <w:tcBorders>
              <w:top w:val="single" w:sz="4" w:space="0" w:color="auto"/>
              <w:left w:val="single" w:sz="4" w:space="0" w:color="auto"/>
              <w:bottom w:val="single" w:sz="4" w:space="0" w:color="auto"/>
            </w:tcBorders>
          </w:tcPr>
          <w:p w14:paraId="6F67CA0E" w14:textId="77777777" w:rsidR="004E2178" w:rsidRPr="004E2178" w:rsidRDefault="004E2178" w:rsidP="004E2178">
            <w:pPr>
              <w:pStyle w:val="naisf"/>
              <w:spacing w:before="0" w:after="0"/>
              <w:ind w:firstLine="720"/>
            </w:pPr>
            <w:r w:rsidRPr="004E2178">
              <w:t>26. Izteikt 45. un 46.punktu šādā redakcijā:</w:t>
            </w:r>
          </w:p>
          <w:p w14:paraId="7BBF7FDB" w14:textId="77777777" w:rsidR="004E2178" w:rsidRPr="004E2178" w:rsidRDefault="004E2178" w:rsidP="004E2178">
            <w:pPr>
              <w:pStyle w:val="naisf"/>
              <w:spacing w:before="0" w:after="0"/>
              <w:ind w:firstLine="720"/>
            </w:pPr>
            <w:r w:rsidRPr="004E2178">
              <w:t>“45. Operators nodrošina paraugu ņemšanas un emisijas noteikšanas vietas ierīkošanu, kā arī nodrošina gāzu attīrīšanas iekārtu efektivitātes pārbaudi.</w:t>
            </w:r>
          </w:p>
          <w:p w14:paraId="7C98EFAA" w14:textId="77777777" w:rsidR="004E2178" w:rsidRPr="004E2178" w:rsidRDefault="004E2178" w:rsidP="004E2178">
            <w:pPr>
              <w:pStyle w:val="naisf"/>
              <w:spacing w:before="0" w:after="0"/>
              <w:ind w:firstLine="720"/>
            </w:pPr>
          </w:p>
          <w:p w14:paraId="122F3762" w14:textId="6A05F6F4" w:rsidR="004E2178" w:rsidRPr="004E2178" w:rsidRDefault="004E2178" w:rsidP="004E2178">
            <w:pPr>
              <w:pStyle w:val="naisf"/>
              <w:spacing w:before="0" w:after="0"/>
              <w:ind w:firstLine="720"/>
            </w:pPr>
            <w:r w:rsidRPr="004E2178">
              <w:t>46. Periodiskajā kontrolē emisijas mērījumus veic tikai attiecīgajā jomā akreditētas testēšanas laboratorijas, kas ir akreditētas nacionālajā akreditācijas institūcijā atbilstoši normatīvajiem aktiem par atbilstības novērtēšanas institūciju novērtēšanu, akreditāciju un uzraudzību, vai laboratorijā, kas akreditēta citā Eiropas Savienības dalībvalstī vai Eiropas Ekonomikas zonas valstī. Piesārņojošo vielu koncentrācijas noteikšanai lieto metroloģiski pārbaudītus mērinstrumentus, un mērījumus veic atbilstoši šo noteikumu 44.punktā  noteiktajām prasībām.”</w:t>
            </w:r>
          </w:p>
          <w:p w14:paraId="76B6009B" w14:textId="77777777" w:rsidR="00F45B10" w:rsidRPr="004E2178" w:rsidRDefault="00F45B10" w:rsidP="00F45B10">
            <w:pPr>
              <w:pStyle w:val="naisf"/>
              <w:spacing w:before="0" w:after="0"/>
              <w:ind w:firstLine="0"/>
            </w:pPr>
          </w:p>
        </w:tc>
      </w:tr>
    </w:tbl>
    <w:p w14:paraId="118FF614" w14:textId="19E14D99" w:rsidR="00962AD0" w:rsidRDefault="00962AD0"/>
    <w:p w14:paraId="1090A5F1" w14:textId="0C9FB72F" w:rsidR="00E53BC7" w:rsidRPr="004A1F8A" w:rsidRDefault="00E53BC7" w:rsidP="00606154">
      <w:pPr>
        <w:pStyle w:val="naisf"/>
        <w:spacing w:before="0" w:after="0"/>
        <w:ind w:firstLine="142"/>
        <w:outlineLvl w:val="0"/>
        <w:rPr>
          <w:sz w:val="22"/>
          <w:szCs w:val="22"/>
        </w:rPr>
      </w:pPr>
      <w:r w:rsidRPr="004A1F8A">
        <w:rPr>
          <w:sz w:val="22"/>
          <w:szCs w:val="22"/>
        </w:rPr>
        <w:t xml:space="preserve">Ilze Doniņa, </w:t>
      </w:r>
    </w:p>
    <w:tbl>
      <w:tblPr>
        <w:tblW w:w="0" w:type="auto"/>
        <w:tblLook w:val="00A0" w:firstRow="1" w:lastRow="0" w:firstColumn="1" w:lastColumn="0" w:noHBand="0" w:noVBand="0"/>
      </w:tblPr>
      <w:tblGrid>
        <w:gridCol w:w="8268"/>
      </w:tblGrid>
      <w:tr w:rsidR="00E53BC7" w:rsidRPr="004A1F8A" w14:paraId="3BC4D955" w14:textId="77777777" w:rsidTr="00962AD0">
        <w:tc>
          <w:tcPr>
            <w:tcW w:w="8268" w:type="dxa"/>
          </w:tcPr>
          <w:p w14:paraId="183AD224" w14:textId="77777777" w:rsidR="00E53BC7" w:rsidRPr="004A1F8A" w:rsidRDefault="00E53BC7" w:rsidP="00962AD0">
            <w:pPr>
              <w:jc w:val="both"/>
              <w:rPr>
                <w:sz w:val="22"/>
                <w:szCs w:val="22"/>
              </w:rPr>
            </w:pPr>
            <w:r w:rsidRPr="004A1F8A">
              <w:rPr>
                <w:sz w:val="22"/>
                <w:szCs w:val="22"/>
              </w:rPr>
              <w:t>Vides aizsardzības un reģionālās attīstības ministrijas</w:t>
            </w:r>
          </w:p>
          <w:p w14:paraId="239C5C69" w14:textId="77777777" w:rsidR="00E53BC7" w:rsidRPr="004A1F8A" w:rsidRDefault="00E53BC7" w:rsidP="00962AD0">
            <w:pPr>
              <w:jc w:val="both"/>
              <w:rPr>
                <w:sz w:val="22"/>
                <w:szCs w:val="22"/>
              </w:rPr>
            </w:pPr>
            <w:r w:rsidRPr="004A1F8A">
              <w:rPr>
                <w:sz w:val="22"/>
                <w:szCs w:val="22"/>
              </w:rPr>
              <w:t>Vides aizsardzības departamenta</w:t>
            </w:r>
          </w:p>
          <w:p w14:paraId="4091FDDD" w14:textId="77777777" w:rsidR="00E53BC7" w:rsidRPr="004A1F8A" w:rsidRDefault="00E53BC7" w:rsidP="00962AD0">
            <w:pPr>
              <w:jc w:val="both"/>
              <w:rPr>
                <w:sz w:val="22"/>
                <w:szCs w:val="22"/>
              </w:rPr>
            </w:pPr>
            <w:r w:rsidRPr="004A1F8A">
              <w:rPr>
                <w:sz w:val="22"/>
                <w:szCs w:val="22"/>
              </w:rPr>
              <w:t>Vides kvalitātes un atkritumu apsaimniekošanas nodaļas vecākā eksperte</w:t>
            </w:r>
          </w:p>
        </w:tc>
      </w:tr>
      <w:tr w:rsidR="00E53BC7" w:rsidRPr="004A1F8A" w14:paraId="67E2EA5E" w14:textId="77777777" w:rsidTr="00962AD0">
        <w:tc>
          <w:tcPr>
            <w:tcW w:w="8268" w:type="dxa"/>
          </w:tcPr>
          <w:p w14:paraId="09D267C0" w14:textId="77777777" w:rsidR="00E53BC7" w:rsidRPr="004A1F8A" w:rsidRDefault="00E53BC7" w:rsidP="00962AD0">
            <w:pPr>
              <w:jc w:val="both"/>
              <w:rPr>
                <w:sz w:val="22"/>
                <w:szCs w:val="22"/>
              </w:rPr>
            </w:pPr>
            <w:r w:rsidRPr="004A1F8A">
              <w:rPr>
                <w:sz w:val="22"/>
                <w:szCs w:val="22"/>
              </w:rPr>
              <w:t>Tālr: 67026515</w:t>
            </w:r>
          </w:p>
        </w:tc>
      </w:tr>
      <w:tr w:rsidR="00E53BC7" w:rsidRPr="004A1F8A" w14:paraId="254C7B73" w14:textId="77777777" w:rsidTr="00962AD0">
        <w:tc>
          <w:tcPr>
            <w:tcW w:w="8268" w:type="dxa"/>
          </w:tcPr>
          <w:p w14:paraId="07460C24" w14:textId="77777777" w:rsidR="00E53BC7" w:rsidRPr="004A1F8A" w:rsidRDefault="00080B70" w:rsidP="00962AD0">
            <w:pPr>
              <w:jc w:val="both"/>
              <w:rPr>
                <w:sz w:val="22"/>
                <w:szCs w:val="22"/>
              </w:rPr>
            </w:pPr>
            <w:hyperlink r:id="rId9" w:history="1">
              <w:r w:rsidR="00E53BC7" w:rsidRPr="004A1F8A">
                <w:rPr>
                  <w:rStyle w:val="Hyperlink"/>
                  <w:sz w:val="22"/>
                  <w:szCs w:val="22"/>
                </w:rPr>
                <w:t>ilze.donina@varam.gov.lv</w:t>
              </w:r>
            </w:hyperlink>
          </w:p>
        </w:tc>
      </w:tr>
    </w:tbl>
    <w:p w14:paraId="736AA54B" w14:textId="77777777" w:rsidR="00E53BC7" w:rsidRDefault="00E53BC7"/>
    <w:sectPr w:rsidR="00E53BC7" w:rsidSect="00E53BC7">
      <w:headerReference w:type="even" r:id="rId10"/>
      <w:headerReference w:type="default" r:id="rId11"/>
      <w:footerReference w:type="even" r:id="rId12"/>
      <w:footerReference w:type="default" r:id="rId13"/>
      <w:headerReference w:type="first" r:id="rId14"/>
      <w:footerReference w:type="first" r:id="rId15"/>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A7D47" w14:textId="77777777" w:rsidR="00810BDC" w:rsidRDefault="00810BDC" w:rsidP="00E53BC7">
      <w:r>
        <w:separator/>
      </w:r>
    </w:p>
  </w:endnote>
  <w:endnote w:type="continuationSeparator" w:id="0">
    <w:p w14:paraId="113B6D91" w14:textId="77777777" w:rsidR="00810BDC" w:rsidRDefault="00810BDC" w:rsidP="00E5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095A" w14:textId="77777777" w:rsidR="00A07B00" w:rsidRDefault="00A07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742E4" w14:textId="64C7A281" w:rsidR="001E7F42" w:rsidRDefault="001E7F42">
    <w:pPr>
      <w:pStyle w:val="Footer"/>
    </w:pPr>
    <w:r>
      <w:t>VARAMIzz_</w:t>
    </w:r>
    <w:r w:rsidR="00A2105E">
      <w:t>2</w:t>
    </w:r>
    <w:r w:rsidR="00A07B00">
      <w:t>204</w:t>
    </w:r>
    <w:r>
      <w:t>21_groz401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C7477" w14:textId="77777777" w:rsidR="00A07B00" w:rsidRDefault="00A07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73146" w14:textId="77777777" w:rsidR="00810BDC" w:rsidRDefault="00810BDC" w:rsidP="00E53BC7">
      <w:r>
        <w:separator/>
      </w:r>
    </w:p>
  </w:footnote>
  <w:footnote w:type="continuationSeparator" w:id="0">
    <w:p w14:paraId="6537E169" w14:textId="77777777" w:rsidR="00810BDC" w:rsidRDefault="00810BDC" w:rsidP="00E53BC7">
      <w:r>
        <w:continuationSeparator/>
      </w:r>
    </w:p>
  </w:footnote>
  <w:footnote w:id="1">
    <w:p w14:paraId="69549DA3" w14:textId="77777777" w:rsidR="001E7F42" w:rsidRPr="00D873E2" w:rsidRDefault="001E7F42" w:rsidP="00CF19CE">
      <w:pPr>
        <w:pStyle w:val="FootnoteText"/>
        <w:jc w:val="both"/>
      </w:pPr>
      <w:r w:rsidRPr="00D873E2">
        <w:rPr>
          <w:rStyle w:val="FootnoteReference"/>
        </w:rPr>
        <w:footnoteRef/>
      </w:r>
      <w:r w:rsidRPr="00D873E2">
        <w:t xml:space="preserve"> Ministru kabienta 2021.gada 7.janvāra noteikumu Nr.17 “Noteikumi par gaisa piesārņojuma ierobežošanu no sadedzināšanas iekārtām” </w:t>
      </w:r>
      <w:r>
        <w:t xml:space="preserve">(pieejams: </w:t>
      </w:r>
      <w:hyperlink r:id="rId1" w:history="1">
        <w:r w:rsidRPr="00EE6C2C">
          <w:rPr>
            <w:rStyle w:val="Hyperlink"/>
          </w:rPr>
          <w:t>https://likumi.lv/ta/id/320182</w:t>
        </w:r>
      </w:hyperlink>
      <w:r>
        <w:t xml:space="preserve">) </w:t>
      </w:r>
      <w:r w:rsidRPr="00D873E2">
        <w:t>2.18.punkts: 2.18. putekļi jeb daļiņas – jebkādas formas, struktūras vai blīvuma daļiņas, kuras paraugu ņemšanas vietas apstākļos izkliedētas gāzes fāzē un kuras var atdalīt, filtrējot noteiktos apstākļos, pēc tam, kad iegūts analizējamās gāzes reprezentatīvs paraugs, un kuras pēc žāvēšanas noteiktos apstākļos paliek pirms filtra un uz 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EB82" w14:textId="77777777" w:rsidR="00A07B00" w:rsidRDefault="00A07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002104"/>
      <w:docPartObj>
        <w:docPartGallery w:val="Page Numbers (Top of Page)"/>
        <w:docPartUnique/>
      </w:docPartObj>
    </w:sdtPr>
    <w:sdtEndPr>
      <w:rPr>
        <w:noProof/>
      </w:rPr>
    </w:sdtEndPr>
    <w:sdtContent>
      <w:p w14:paraId="3DE5A33A" w14:textId="359D957A" w:rsidR="001E7F42" w:rsidRDefault="001E7F42">
        <w:pPr>
          <w:pStyle w:val="Header"/>
          <w:jc w:val="center"/>
        </w:pPr>
        <w:r>
          <w:fldChar w:fldCharType="begin"/>
        </w:r>
        <w:r>
          <w:instrText xml:space="preserve"> PAGE   \* MERGEFORMAT </w:instrText>
        </w:r>
        <w:r>
          <w:fldChar w:fldCharType="separate"/>
        </w:r>
        <w:r w:rsidR="008E46CD">
          <w:rPr>
            <w:noProof/>
          </w:rPr>
          <w:t>33</w:t>
        </w:r>
        <w:r>
          <w:rPr>
            <w:noProof/>
          </w:rPr>
          <w:fldChar w:fldCharType="end"/>
        </w:r>
      </w:p>
    </w:sdtContent>
  </w:sdt>
  <w:p w14:paraId="00FA5EE8" w14:textId="77777777" w:rsidR="001E7F42" w:rsidRDefault="001E7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DC2D" w14:textId="77777777" w:rsidR="00A07B00" w:rsidRDefault="00A07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60169"/>
    <w:multiLevelType w:val="hybridMultilevel"/>
    <w:tmpl w:val="85904452"/>
    <w:lvl w:ilvl="0" w:tplc="D3D05FC6">
      <w:start w:val="1"/>
      <w:numFmt w:val="decimal"/>
      <w:lvlText w:val="%1."/>
      <w:lvlJc w:val="left"/>
      <w:pPr>
        <w:ind w:left="3762" w:hanging="360"/>
      </w:pPr>
      <w:rPr>
        <w:rFonts w:hint="default"/>
      </w:rPr>
    </w:lvl>
    <w:lvl w:ilvl="1" w:tplc="04260019" w:tentative="1">
      <w:start w:val="1"/>
      <w:numFmt w:val="lowerLetter"/>
      <w:lvlText w:val="%2."/>
      <w:lvlJc w:val="left"/>
      <w:pPr>
        <w:ind w:left="4482" w:hanging="360"/>
      </w:pPr>
    </w:lvl>
    <w:lvl w:ilvl="2" w:tplc="0426001B" w:tentative="1">
      <w:start w:val="1"/>
      <w:numFmt w:val="lowerRoman"/>
      <w:lvlText w:val="%3."/>
      <w:lvlJc w:val="right"/>
      <w:pPr>
        <w:ind w:left="5202" w:hanging="180"/>
      </w:pPr>
    </w:lvl>
    <w:lvl w:ilvl="3" w:tplc="0426000F" w:tentative="1">
      <w:start w:val="1"/>
      <w:numFmt w:val="decimal"/>
      <w:lvlText w:val="%4."/>
      <w:lvlJc w:val="left"/>
      <w:pPr>
        <w:ind w:left="5922" w:hanging="360"/>
      </w:pPr>
    </w:lvl>
    <w:lvl w:ilvl="4" w:tplc="04260019" w:tentative="1">
      <w:start w:val="1"/>
      <w:numFmt w:val="lowerLetter"/>
      <w:lvlText w:val="%5."/>
      <w:lvlJc w:val="left"/>
      <w:pPr>
        <w:ind w:left="6642" w:hanging="360"/>
      </w:pPr>
    </w:lvl>
    <w:lvl w:ilvl="5" w:tplc="0426001B" w:tentative="1">
      <w:start w:val="1"/>
      <w:numFmt w:val="lowerRoman"/>
      <w:lvlText w:val="%6."/>
      <w:lvlJc w:val="right"/>
      <w:pPr>
        <w:ind w:left="7362" w:hanging="180"/>
      </w:pPr>
    </w:lvl>
    <w:lvl w:ilvl="6" w:tplc="0426000F" w:tentative="1">
      <w:start w:val="1"/>
      <w:numFmt w:val="decimal"/>
      <w:lvlText w:val="%7."/>
      <w:lvlJc w:val="left"/>
      <w:pPr>
        <w:ind w:left="8082" w:hanging="360"/>
      </w:pPr>
    </w:lvl>
    <w:lvl w:ilvl="7" w:tplc="04260019" w:tentative="1">
      <w:start w:val="1"/>
      <w:numFmt w:val="lowerLetter"/>
      <w:lvlText w:val="%8."/>
      <w:lvlJc w:val="left"/>
      <w:pPr>
        <w:ind w:left="8802" w:hanging="360"/>
      </w:pPr>
    </w:lvl>
    <w:lvl w:ilvl="8" w:tplc="0426001B" w:tentative="1">
      <w:start w:val="1"/>
      <w:numFmt w:val="lowerRoman"/>
      <w:lvlText w:val="%9."/>
      <w:lvlJc w:val="right"/>
      <w:pPr>
        <w:ind w:left="9522" w:hanging="180"/>
      </w:pPr>
    </w:lvl>
  </w:abstractNum>
  <w:abstractNum w:abstractNumId="1" w15:restartNumberingAfterBreak="0">
    <w:nsid w:val="7EA5625B"/>
    <w:multiLevelType w:val="multilevel"/>
    <w:tmpl w:val="0184806A"/>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712" w:hanging="720"/>
      </w:pPr>
      <w:rPr>
        <w:rFonts w:hint="default"/>
        <w:i w:val="0"/>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6A"/>
    <w:rsid w:val="00063A0F"/>
    <w:rsid w:val="00077ABD"/>
    <w:rsid w:val="00080B70"/>
    <w:rsid w:val="000962E4"/>
    <w:rsid w:val="00100868"/>
    <w:rsid w:val="00113DD7"/>
    <w:rsid w:val="001A06E1"/>
    <w:rsid w:val="001B526A"/>
    <w:rsid w:val="001C0568"/>
    <w:rsid w:val="001C4C47"/>
    <w:rsid w:val="001E7F42"/>
    <w:rsid w:val="00243692"/>
    <w:rsid w:val="00246CB8"/>
    <w:rsid w:val="00255820"/>
    <w:rsid w:val="002700E3"/>
    <w:rsid w:val="00296C52"/>
    <w:rsid w:val="00297FCC"/>
    <w:rsid w:val="002C43BB"/>
    <w:rsid w:val="002E439D"/>
    <w:rsid w:val="00300A88"/>
    <w:rsid w:val="0031175C"/>
    <w:rsid w:val="003569C6"/>
    <w:rsid w:val="00364D09"/>
    <w:rsid w:val="0037003A"/>
    <w:rsid w:val="003A5966"/>
    <w:rsid w:val="003C6551"/>
    <w:rsid w:val="00427553"/>
    <w:rsid w:val="00431CCA"/>
    <w:rsid w:val="00440FE6"/>
    <w:rsid w:val="00485E8C"/>
    <w:rsid w:val="004A0E6E"/>
    <w:rsid w:val="004A7B1B"/>
    <w:rsid w:val="004E2178"/>
    <w:rsid w:val="004E2551"/>
    <w:rsid w:val="0052648F"/>
    <w:rsid w:val="00534967"/>
    <w:rsid w:val="00564C42"/>
    <w:rsid w:val="00577CC0"/>
    <w:rsid w:val="005D7181"/>
    <w:rsid w:val="006018E5"/>
    <w:rsid w:val="00606154"/>
    <w:rsid w:val="00660695"/>
    <w:rsid w:val="00664B7F"/>
    <w:rsid w:val="00674F34"/>
    <w:rsid w:val="006854FC"/>
    <w:rsid w:val="00742610"/>
    <w:rsid w:val="0075069C"/>
    <w:rsid w:val="007900F8"/>
    <w:rsid w:val="0079129B"/>
    <w:rsid w:val="007926D9"/>
    <w:rsid w:val="0080654A"/>
    <w:rsid w:val="00810BDC"/>
    <w:rsid w:val="00857D9F"/>
    <w:rsid w:val="008713F2"/>
    <w:rsid w:val="0089734C"/>
    <w:rsid w:val="008B55B0"/>
    <w:rsid w:val="008E46CD"/>
    <w:rsid w:val="00911777"/>
    <w:rsid w:val="00931761"/>
    <w:rsid w:val="00962AD0"/>
    <w:rsid w:val="009A5B46"/>
    <w:rsid w:val="009C6B2F"/>
    <w:rsid w:val="00A07B00"/>
    <w:rsid w:val="00A203F4"/>
    <w:rsid w:val="00A2105E"/>
    <w:rsid w:val="00A24220"/>
    <w:rsid w:val="00A322B3"/>
    <w:rsid w:val="00A52FA2"/>
    <w:rsid w:val="00A93C17"/>
    <w:rsid w:val="00A94FC6"/>
    <w:rsid w:val="00AF4D3F"/>
    <w:rsid w:val="00B075A9"/>
    <w:rsid w:val="00B17E44"/>
    <w:rsid w:val="00B25B20"/>
    <w:rsid w:val="00B35CE4"/>
    <w:rsid w:val="00B8133E"/>
    <w:rsid w:val="00BE67B1"/>
    <w:rsid w:val="00C02EDF"/>
    <w:rsid w:val="00C55BD2"/>
    <w:rsid w:val="00C576B7"/>
    <w:rsid w:val="00C65F7F"/>
    <w:rsid w:val="00C670D1"/>
    <w:rsid w:val="00CC42FB"/>
    <w:rsid w:val="00CD15D0"/>
    <w:rsid w:val="00CE1FD2"/>
    <w:rsid w:val="00CF19CE"/>
    <w:rsid w:val="00CF778B"/>
    <w:rsid w:val="00D1373B"/>
    <w:rsid w:val="00D21551"/>
    <w:rsid w:val="00D41A2F"/>
    <w:rsid w:val="00D47123"/>
    <w:rsid w:val="00D6430F"/>
    <w:rsid w:val="00DC269D"/>
    <w:rsid w:val="00DC64AE"/>
    <w:rsid w:val="00E00030"/>
    <w:rsid w:val="00E5189B"/>
    <w:rsid w:val="00E53BC7"/>
    <w:rsid w:val="00EF3E56"/>
    <w:rsid w:val="00F116F8"/>
    <w:rsid w:val="00F45B10"/>
    <w:rsid w:val="00F70FFB"/>
    <w:rsid w:val="00F870BC"/>
    <w:rsid w:val="00F9329D"/>
    <w:rsid w:val="00FA50CC"/>
    <w:rsid w:val="00FB2709"/>
    <w:rsid w:val="00FB7E6E"/>
    <w:rsid w:val="00FD0255"/>
    <w:rsid w:val="00FF0D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147C"/>
  <w15:chartTrackingRefBased/>
  <w15:docId w15:val="{56B65232-922F-49C8-AC57-9EF25EAC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26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B526A"/>
    <w:pPr>
      <w:spacing w:before="100" w:beforeAutospacing="1" w:after="100" w:afterAutospacing="1"/>
    </w:pPr>
  </w:style>
  <w:style w:type="paragraph" w:customStyle="1" w:styleId="naisf">
    <w:name w:val="naisf"/>
    <w:basedOn w:val="Normal"/>
    <w:rsid w:val="001B526A"/>
    <w:pPr>
      <w:spacing w:before="75" w:after="75"/>
      <w:ind w:firstLine="375"/>
      <w:jc w:val="both"/>
    </w:pPr>
  </w:style>
  <w:style w:type="paragraph" w:customStyle="1" w:styleId="naiskr">
    <w:name w:val="naiskr"/>
    <w:basedOn w:val="Normal"/>
    <w:rsid w:val="001B526A"/>
    <w:pPr>
      <w:spacing w:before="75" w:after="75"/>
    </w:pPr>
  </w:style>
  <w:style w:type="paragraph" w:customStyle="1" w:styleId="naisc">
    <w:name w:val="naisc"/>
    <w:basedOn w:val="Normal"/>
    <w:rsid w:val="001B526A"/>
    <w:pPr>
      <w:spacing w:before="75" w:after="75"/>
      <w:jc w:val="center"/>
    </w:pPr>
  </w:style>
  <w:style w:type="paragraph" w:styleId="BalloonText">
    <w:name w:val="Balloon Text"/>
    <w:basedOn w:val="Normal"/>
    <w:link w:val="BalloonTextChar"/>
    <w:uiPriority w:val="99"/>
    <w:semiHidden/>
    <w:unhideWhenUsed/>
    <w:rsid w:val="004A0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E6E"/>
    <w:rPr>
      <w:rFonts w:ascii="Segoe UI" w:eastAsia="Times New Roman" w:hAnsi="Segoe UI" w:cs="Segoe UI"/>
      <w:sz w:val="18"/>
      <w:szCs w:val="18"/>
      <w:lang w:eastAsia="lv-LV"/>
    </w:rPr>
  </w:style>
  <w:style w:type="paragraph" w:styleId="ListParagraph">
    <w:name w:val="List Paragraph"/>
    <w:basedOn w:val="Normal"/>
    <w:uiPriority w:val="34"/>
    <w:qFormat/>
    <w:rsid w:val="00E5189B"/>
    <w:pPr>
      <w:ind w:left="720"/>
      <w:contextualSpacing/>
    </w:pPr>
  </w:style>
  <w:style w:type="paragraph" w:customStyle="1" w:styleId="naislab">
    <w:name w:val="naislab"/>
    <w:basedOn w:val="Normal"/>
    <w:rsid w:val="00246CB8"/>
    <w:pPr>
      <w:spacing w:before="75" w:after="75"/>
      <w:jc w:val="right"/>
    </w:pPr>
  </w:style>
  <w:style w:type="paragraph" w:customStyle="1" w:styleId="tv213">
    <w:name w:val="tv213"/>
    <w:basedOn w:val="Normal"/>
    <w:rsid w:val="00246CB8"/>
    <w:pPr>
      <w:spacing w:before="100" w:beforeAutospacing="1" w:after="100" w:afterAutospacing="1"/>
    </w:pPr>
  </w:style>
  <w:style w:type="character" w:styleId="Hyperlink">
    <w:name w:val="Hyperlink"/>
    <w:uiPriority w:val="99"/>
    <w:rsid w:val="00440FE6"/>
    <w:rPr>
      <w:color w:val="0000FF"/>
      <w:u w:val="single"/>
    </w:rPr>
  </w:style>
  <w:style w:type="paragraph" w:styleId="Header">
    <w:name w:val="header"/>
    <w:basedOn w:val="Normal"/>
    <w:link w:val="HeaderChar"/>
    <w:uiPriority w:val="99"/>
    <w:unhideWhenUsed/>
    <w:rsid w:val="00E53BC7"/>
    <w:pPr>
      <w:tabs>
        <w:tab w:val="center" w:pos="4153"/>
        <w:tab w:val="right" w:pos="8306"/>
      </w:tabs>
    </w:pPr>
  </w:style>
  <w:style w:type="character" w:customStyle="1" w:styleId="HeaderChar">
    <w:name w:val="Header Char"/>
    <w:basedOn w:val="DefaultParagraphFont"/>
    <w:link w:val="Header"/>
    <w:uiPriority w:val="99"/>
    <w:rsid w:val="00E53BC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53BC7"/>
    <w:pPr>
      <w:tabs>
        <w:tab w:val="center" w:pos="4153"/>
        <w:tab w:val="right" w:pos="8306"/>
      </w:tabs>
    </w:pPr>
  </w:style>
  <w:style w:type="character" w:customStyle="1" w:styleId="FooterChar">
    <w:name w:val="Footer Char"/>
    <w:basedOn w:val="DefaultParagraphFont"/>
    <w:link w:val="Footer"/>
    <w:uiPriority w:val="99"/>
    <w:rsid w:val="00E53BC7"/>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F19CE"/>
    <w:rPr>
      <w:sz w:val="20"/>
      <w:szCs w:val="20"/>
    </w:rPr>
  </w:style>
  <w:style w:type="character" w:customStyle="1" w:styleId="FootnoteTextChar">
    <w:name w:val="Footnote Text Char"/>
    <w:basedOn w:val="DefaultParagraphFont"/>
    <w:link w:val="FootnoteText"/>
    <w:uiPriority w:val="99"/>
    <w:semiHidden/>
    <w:rsid w:val="00CF19C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CF19CE"/>
    <w:rPr>
      <w:vertAlign w:val="superscript"/>
    </w:rPr>
  </w:style>
  <w:style w:type="paragraph" w:customStyle="1" w:styleId="tv2131">
    <w:name w:val="tv2131"/>
    <w:basedOn w:val="Normal"/>
    <w:rsid w:val="008713F2"/>
    <w:pPr>
      <w:spacing w:line="360" w:lineRule="auto"/>
      <w:ind w:firstLine="300"/>
    </w:pPr>
    <w:rPr>
      <w:color w:val="41414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218025">
      <w:bodyDiv w:val="1"/>
      <w:marLeft w:val="0"/>
      <w:marRight w:val="0"/>
      <w:marTop w:val="0"/>
      <w:marBottom w:val="0"/>
      <w:divBdr>
        <w:top w:val="none" w:sz="0" w:space="0" w:color="auto"/>
        <w:left w:val="none" w:sz="0" w:space="0" w:color="auto"/>
        <w:bottom w:val="none" w:sz="0" w:space="0" w:color="auto"/>
        <w:right w:val="none" w:sz="0" w:space="0" w:color="auto"/>
      </w:divBdr>
    </w:div>
    <w:div w:id="1069041971">
      <w:bodyDiv w:val="1"/>
      <w:marLeft w:val="0"/>
      <w:marRight w:val="0"/>
      <w:marTop w:val="0"/>
      <w:marBottom w:val="0"/>
      <w:divBdr>
        <w:top w:val="none" w:sz="0" w:space="0" w:color="auto"/>
        <w:left w:val="none" w:sz="0" w:space="0" w:color="auto"/>
        <w:bottom w:val="none" w:sz="0" w:space="0" w:color="auto"/>
        <w:right w:val="none" w:sz="0" w:space="0" w:color="auto"/>
      </w:divBdr>
    </w:div>
    <w:div w:id="1640301871">
      <w:bodyDiv w:val="1"/>
      <w:marLeft w:val="0"/>
      <w:marRight w:val="0"/>
      <w:marTop w:val="0"/>
      <w:marBottom w:val="0"/>
      <w:divBdr>
        <w:top w:val="none" w:sz="0" w:space="0" w:color="auto"/>
        <w:left w:val="none" w:sz="0" w:space="0" w:color="auto"/>
        <w:bottom w:val="none" w:sz="0" w:space="0" w:color="auto"/>
        <w:right w:val="none" w:sz="0" w:space="0" w:color="auto"/>
      </w:divBdr>
    </w:div>
    <w:div w:id="17246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072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3072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donina@vara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0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36628</Words>
  <Characters>20879</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
  <cp:lastModifiedBy>Madara Gaile</cp:lastModifiedBy>
  <cp:revision>6</cp:revision>
  <dcterms:created xsi:type="dcterms:W3CDTF">2021-04-22T14:34:00Z</dcterms:created>
  <dcterms:modified xsi:type="dcterms:W3CDTF">2021-05-06T05:32:00Z</dcterms:modified>
</cp:coreProperties>
</file>