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BD1D" w14:textId="079EADC5" w:rsidR="003A0B62" w:rsidRDefault="00195E36">
      <w:pPr>
        <w:pStyle w:val="naisnod"/>
        <w:spacing w:before="0" w:after="0"/>
        <w:ind w:firstLine="720"/>
        <w:rPr>
          <w:sz w:val="28"/>
          <w:szCs w:val="28"/>
        </w:rPr>
      </w:pPr>
      <w:r>
        <w:rPr>
          <w:sz w:val="28"/>
          <w:szCs w:val="28"/>
        </w:rPr>
        <w:t>Izziņa par atzinumos sniegtajiem iebildumiem par Ministru kabineta rīkojuma projektu “</w:t>
      </w:r>
      <w:r w:rsidR="00B074FC" w:rsidRPr="00B074FC">
        <w:rPr>
          <w:sz w:val="28"/>
          <w:szCs w:val="28"/>
        </w:rPr>
        <w:t xml:space="preserve">Par informācijas sabiedrības attīstības pamatnostādņu ieviešanu publiskās pārvaldes informācijas sistēmu jomā (mērķarhitektūras </w:t>
      </w:r>
      <w:r w:rsidR="008A5910">
        <w:rPr>
          <w:sz w:val="28"/>
          <w:szCs w:val="28"/>
        </w:rPr>
        <w:t>59</w:t>
      </w:r>
      <w:r w:rsidR="00B074FC" w:rsidRPr="00B074FC">
        <w:rPr>
          <w:sz w:val="28"/>
          <w:szCs w:val="28"/>
        </w:rPr>
        <w:t>.0 versija)</w:t>
      </w:r>
      <w:r w:rsidR="00B074FC">
        <w:rPr>
          <w:sz w:val="28"/>
          <w:szCs w:val="28"/>
        </w:rPr>
        <w:t>”</w:t>
      </w:r>
    </w:p>
    <w:tbl>
      <w:tblPr>
        <w:tblW w:w="14003" w:type="dxa"/>
        <w:jc w:val="center"/>
        <w:tblBorders>
          <w:bottom w:val="single" w:sz="6" w:space="0" w:color="000001"/>
          <w:insideH w:val="single" w:sz="6" w:space="0" w:color="000001"/>
        </w:tblBorders>
        <w:tblLook w:val="00A0" w:firstRow="1" w:lastRow="0" w:firstColumn="1" w:lastColumn="0" w:noHBand="0" w:noVBand="0"/>
      </w:tblPr>
      <w:tblGrid>
        <w:gridCol w:w="7001"/>
        <w:gridCol w:w="7002"/>
      </w:tblGrid>
      <w:tr w:rsidR="003A0B62" w14:paraId="5C5B36E0" w14:textId="77777777">
        <w:trPr>
          <w:jc w:val="center"/>
        </w:trPr>
        <w:tc>
          <w:tcPr>
            <w:tcW w:w="7001" w:type="dxa"/>
            <w:tcBorders>
              <w:bottom w:val="single" w:sz="6" w:space="0" w:color="000001"/>
            </w:tcBorders>
            <w:shd w:val="clear" w:color="auto" w:fill="auto"/>
          </w:tcPr>
          <w:p w14:paraId="0C24DE60" w14:textId="77777777" w:rsidR="003A0B62" w:rsidRDefault="003A0B62"/>
        </w:tc>
        <w:tc>
          <w:tcPr>
            <w:tcW w:w="7001" w:type="dxa"/>
            <w:tcBorders>
              <w:bottom w:val="single" w:sz="6" w:space="0" w:color="000001"/>
            </w:tcBorders>
            <w:shd w:val="clear" w:color="auto" w:fill="auto"/>
          </w:tcPr>
          <w:p w14:paraId="7D73BE5F" w14:textId="77777777" w:rsidR="003A0B62" w:rsidRDefault="003A0B62"/>
        </w:tc>
      </w:tr>
    </w:tbl>
    <w:p w14:paraId="32550CA9" w14:textId="77777777" w:rsidR="003A0B62" w:rsidRDefault="00195E36">
      <w:pPr>
        <w:pStyle w:val="naisc"/>
        <w:spacing w:before="0" w:after="0"/>
        <w:ind w:firstLine="1080"/>
      </w:pPr>
      <w:r>
        <w:t>(dokumenta veids un nosaukums)</w:t>
      </w:r>
    </w:p>
    <w:p w14:paraId="03D38EB5" w14:textId="77777777" w:rsidR="003A0B62" w:rsidRDefault="003A0B62">
      <w:pPr>
        <w:pStyle w:val="naisf"/>
        <w:spacing w:before="0" w:after="0"/>
        <w:ind w:firstLine="720"/>
      </w:pPr>
    </w:p>
    <w:p w14:paraId="66166B07" w14:textId="77777777" w:rsidR="003A0B62" w:rsidRDefault="00195E36">
      <w:pPr>
        <w:pStyle w:val="naisf"/>
        <w:spacing w:before="0" w:after="0"/>
        <w:ind w:firstLine="0"/>
        <w:jc w:val="center"/>
        <w:rPr>
          <w:b/>
        </w:rPr>
      </w:pPr>
      <w:r>
        <w:rPr>
          <w:b/>
        </w:rPr>
        <w:t>I. Jautājumi, par kuriem saskaņošanā vienošanās nav panākta</w:t>
      </w:r>
    </w:p>
    <w:p w14:paraId="0514CB01" w14:textId="77777777" w:rsidR="003A0B62" w:rsidRDefault="003A0B62">
      <w:pPr>
        <w:pStyle w:val="naisf"/>
        <w:spacing w:before="0" w:after="0"/>
        <w:ind w:firstLine="720"/>
      </w:pPr>
    </w:p>
    <w:tbl>
      <w:tblPr>
        <w:tblW w:w="1426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708"/>
        <w:gridCol w:w="2802"/>
        <w:gridCol w:w="3286"/>
        <w:gridCol w:w="3092"/>
        <w:gridCol w:w="2459"/>
        <w:gridCol w:w="1921"/>
      </w:tblGrid>
      <w:tr w:rsidR="003A0B62" w14:paraId="0E2545AE" w14:textId="77777777" w:rsidTr="00071777">
        <w:tc>
          <w:tcPr>
            <w:tcW w:w="708"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09BCA894" w14:textId="77777777" w:rsidR="003A0B62" w:rsidRDefault="00195E36">
            <w:pPr>
              <w:pStyle w:val="naisc"/>
              <w:spacing w:before="0" w:after="0"/>
            </w:pPr>
            <w:r>
              <w:t>Nr. p. k.</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59BE69F" w14:textId="77777777" w:rsidR="003A0B62" w:rsidRDefault="00195E36">
            <w:pPr>
              <w:pStyle w:val="naisc"/>
              <w:spacing w:before="0" w:after="0"/>
              <w:ind w:firstLine="12"/>
            </w:pPr>
            <w:r>
              <w:t>Saskaņošanai nosūtītā projekta redakcija (konkrēta punkta (panta) redakcija)</w:t>
            </w:r>
          </w:p>
        </w:tc>
        <w:tc>
          <w:tcPr>
            <w:tcW w:w="3286"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68EB25B8" w14:textId="77777777" w:rsidR="003A0B62" w:rsidRDefault="00195E36">
            <w:pPr>
              <w:pStyle w:val="naisc"/>
              <w:spacing w:before="0" w:after="0"/>
              <w:ind w:right="3"/>
            </w:pPr>
            <w:r>
              <w:t>Atzinumā norādītais ministrijas (citas institūcijas) iebildums, kā arī saskaņošanā papildus izteiktais iebildums par projekta konkrēto punktu (pantu)</w:t>
            </w:r>
          </w:p>
        </w:tc>
        <w:tc>
          <w:tcPr>
            <w:tcW w:w="309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012FA62" w14:textId="77777777" w:rsidR="003A0B62" w:rsidRDefault="00195E36">
            <w:pPr>
              <w:pStyle w:val="naisc"/>
              <w:spacing w:before="0" w:after="0"/>
              <w:ind w:firstLine="21"/>
            </w:pPr>
            <w:r>
              <w:t>Atbildīgās ministrijas pamatojums iebilduma noraidījumam</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C42B8" w14:textId="77777777" w:rsidR="003A0B62" w:rsidRDefault="00195E36">
            <w:pPr>
              <w:jc w:val="center"/>
            </w:pPr>
            <w:r>
              <w:t>Atzinuma sniedzēja uzturētais iebildums, ja tas atšķiras no atzinumā norādītā iebilduma pamatojuma</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83A67" w14:textId="77777777" w:rsidR="003A0B62" w:rsidRDefault="00195E36">
            <w:pPr>
              <w:jc w:val="center"/>
            </w:pPr>
            <w:r>
              <w:t>Projekta attiecīgā punkta (panta) galīgā redakcija</w:t>
            </w:r>
          </w:p>
        </w:tc>
      </w:tr>
      <w:tr w:rsidR="003A0B62" w14:paraId="4B8D3DB5" w14:textId="77777777" w:rsidTr="00071777">
        <w:tc>
          <w:tcPr>
            <w:tcW w:w="708"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6EEE9E5" w14:textId="77777777" w:rsidR="003A0B62" w:rsidRDefault="00195E36">
            <w:pPr>
              <w:pStyle w:val="naisc"/>
              <w:spacing w:before="0" w:after="0"/>
              <w:rPr>
                <w:sz w:val="20"/>
                <w:szCs w:val="20"/>
              </w:rPr>
            </w:pPr>
            <w:r>
              <w:rPr>
                <w:sz w:val="20"/>
                <w:szCs w:val="20"/>
              </w:rPr>
              <w:t>1</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8FCD2F" w14:textId="77777777" w:rsidR="003A0B62" w:rsidRDefault="00195E36">
            <w:pPr>
              <w:pStyle w:val="naisc"/>
              <w:spacing w:before="0" w:after="0"/>
              <w:ind w:firstLine="720"/>
              <w:rPr>
                <w:sz w:val="20"/>
                <w:szCs w:val="20"/>
              </w:rPr>
            </w:pPr>
            <w:r>
              <w:rPr>
                <w:sz w:val="20"/>
                <w:szCs w:val="20"/>
              </w:rPr>
              <w:t>2</w:t>
            </w:r>
          </w:p>
        </w:tc>
        <w:tc>
          <w:tcPr>
            <w:tcW w:w="328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5BF597E" w14:textId="77777777" w:rsidR="003A0B62" w:rsidRDefault="00195E36">
            <w:pPr>
              <w:pStyle w:val="naisc"/>
              <w:spacing w:before="0" w:after="0"/>
              <w:ind w:firstLine="720"/>
              <w:rPr>
                <w:sz w:val="20"/>
                <w:szCs w:val="20"/>
              </w:rPr>
            </w:pPr>
            <w:r>
              <w:rPr>
                <w:sz w:val="20"/>
                <w:szCs w:val="20"/>
              </w:rPr>
              <w:t>3</w:t>
            </w:r>
          </w:p>
        </w:tc>
        <w:tc>
          <w:tcPr>
            <w:tcW w:w="309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D9134F" w14:textId="77777777" w:rsidR="003A0B62" w:rsidRDefault="00195E36">
            <w:pPr>
              <w:pStyle w:val="naisc"/>
              <w:spacing w:before="0" w:after="0"/>
              <w:ind w:firstLine="720"/>
              <w:rPr>
                <w:sz w:val="20"/>
                <w:szCs w:val="20"/>
              </w:rPr>
            </w:pPr>
            <w:r>
              <w:rPr>
                <w:sz w:val="20"/>
                <w:szCs w:val="20"/>
              </w:rPr>
              <w:t>4</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6A40D" w14:textId="77777777" w:rsidR="003A0B62" w:rsidRDefault="00195E36">
            <w:pPr>
              <w:jc w:val="center"/>
              <w:rPr>
                <w:sz w:val="20"/>
                <w:szCs w:val="20"/>
              </w:rPr>
            </w:pPr>
            <w:r>
              <w:rPr>
                <w:sz w:val="20"/>
                <w:szCs w:val="20"/>
              </w:rPr>
              <w:t>5</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90655B" w14:textId="77777777" w:rsidR="003A0B62" w:rsidRDefault="00195E36">
            <w:pPr>
              <w:jc w:val="center"/>
              <w:rPr>
                <w:sz w:val="20"/>
                <w:szCs w:val="20"/>
              </w:rPr>
            </w:pPr>
            <w:r>
              <w:rPr>
                <w:sz w:val="20"/>
                <w:szCs w:val="20"/>
              </w:rPr>
              <w:t>6</w:t>
            </w:r>
          </w:p>
        </w:tc>
      </w:tr>
      <w:tr w:rsidR="003A0B62" w14:paraId="7934EECA" w14:textId="77777777" w:rsidTr="00071777">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52718" w14:textId="77777777" w:rsidR="003A0B62" w:rsidRDefault="003A0B62" w:rsidP="002E4D5F">
            <w:pPr>
              <w:pStyle w:val="naisc"/>
              <w:spacing w:before="0" w:after="0"/>
              <w:ind w:left="360"/>
              <w:jc w:val="left"/>
            </w:pPr>
          </w:p>
        </w:tc>
        <w:tc>
          <w:tcPr>
            <w:tcW w:w="2802" w:type="dxa"/>
            <w:tcBorders>
              <w:left w:val="single" w:sz="6" w:space="0" w:color="000001"/>
              <w:right w:val="single" w:sz="6" w:space="0" w:color="000001"/>
            </w:tcBorders>
            <w:shd w:val="clear" w:color="auto" w:fill="auto"/>
            <w:tcMar>
              <w:left w:w="105" w:type="dxa"/>
            </w:tcMar>
          </w:tcPr>
          <w:p w14:paraId="03396B23" w14:textId="77777777" w:rsidR="003A0B62" w:rsidRDefault="003A0B62">
            <w:pPr>
              <w:pStyle w:val="naisc"/>
              <w:spacing w:before="0" w:after="0"/>
              <w:jc w:val="left"/>
            </w:pPr>
          </w:p>
        </w:tc>
        <w:tc>
          <w:tcPr>
            <w:tcW w:w="3286" w:type="dxa"/>
            <w:tcBorders>
              <w:left w:val="single" w:sz="6" w:space="0" w:color="000001"/>
              <w:right w:val="single" w:sz="6" w:space="0" w:color="000001"/>
            </w:tcBorders>
            <w:shd w:val="clear" w:color="auto" w:fill="auto"/>
            <w:tcMar>
              <w:left w:w="105" w:type="dxa"/>
            </w:tcMar>
          </w:tcPr>
          <w:p w14:paraId="6B750D88" w14:textId="77777777" w:rsidR="003A0B62" w:rsidRDefault="002E4D5F">
            <w:pPr>
              <w:pStyle w:val="naisc"/>
              <w:spacing w:before="0" w:after="0"/>
              <w:jc w:val="both"/>
              <w:rPr>
                <w:b/>
                <w:bCs/>
              </w:rPr>
            </w:pPr>
            <w:r w:rsidRPr="004028E7">
              <w:rPr>
                <w:b/>
                <w:bCs/>
              </w:rPr>
              <w:t>Latvijas Pašvaldību savienība</w:t>
            </w:r>
          </w:p>
          <w:p w14:paraId="4CCFBFA8" w14:textId="00A9DDA5" w:rsidR="00FA2C0C" w:rsidRPr="004028E7" w:rsidRDefault="00FA2C0C">
            <w:pPr>
              <w:pStyle w:val="naisc"/>
              <w:spacing w:before="0" w:after="0"/>
              <w:jc w:val="both"/>
              <w:rPr>
                <w:b/>
                <w:bCs/>
              </w:rPr>
            </w:pPr>
            <w:r>
              <w:rPr>
                <w:b/>
                <w:bCs/>
              </w:rPr>
              <w:t>0</w:t>
            </w:r>
            <w:r w:rsidR="00296846">
              <w:rPr>
                <w:b/>
                <w:bCs/>
              </w:rPr>
              <w:t>8</w:t>
            </w:r>
            <w:r>
              <w:rPr>
                <w:b/>
                <w:bCs/>
              </w:rPr>
              <w:t xml:space="preserve">.03.2021. </w:t>
            </w:r>
            <w:r w:rsidR="008D70A0" w:rsidRPr="008D70A0">
              <w:t>(</w:t>
            </w:r>
            <w:r w:rsidR="00B1268D" w:rsidRPr="008D70A0">
              <w:t>L</w:t>
            </w:r>
            <w:r w:rsidR="00B1268D" w:rsidRPr="00B1268D">
              <w:t>ielā apjomā dēļ p</w:t>
            </w:r>
            <w:r w:rsidR="00832558" w:rsidRPr="00B1268D">
              <w:t>ilnus iebilduma</w:t>
            </w:r>
            <w:r w:rsidR="00832558" w:rsidRPr="004A627C">
              <w:t xml:space="preserve"> </w:t>
            </w:r>
            <w:r w:rsidR="004A627C" w:rsidRPr="004A627C">
              <w:t>aprakstus</w:t>
            </w:r>
            <w:r w:rsidR="00832558" w:rsidRPr="004A627C">
              <w:t xml:space="preserve"> skatīt</w:t>
            </w:r>
            <w:r w:rsidR="00832558">
              <w:rPr>
                <w:b/>
                <w:bCs/>
              </w:rPr>
              <w:t xml:space="preserve"> </w:t>
            </w:r>
            <w:r w:rsidR="009C5296" w:rsidRPr="00B1268D">
              <w:t>LPS</w:t>
            </w:r>
            <w:r w:rsidR="009C5296">
              <w:rPr>
                <w:b/>
                <w:bCs/>
              </w:rPr>
              <w:t xml:space="preserve"> </w:t>
            </w:r>
            <w:r w:rsidR="00A46E52" w:rsidRPr="00A46E52">
              <w:t>08.03.2021.</w:t>
            </w:r>
            <w:r w:rsidR="00A46E52">
              <w:rPr>
                <w:b/>
                <w:bCs/>
              </w:rPr>
              <w:t xml:space="preserve"> </w:t>
            </w:r>
            <w:r w:rsidR="004A627C" w:rsidRPr="004A627C">
              <w:t>atzinumā</w:t>
            </w:r>
            <w:r w:rsidR="00656CA7">
              <w:t>,</w:t>
            </w:r>
            <w:r w:rsidR="004A627C">
              <w:t xml:space="preserve"> </w:t>
            </w:r>
            <w:r w:rsidR="00296846">
              <w:t xml:space="preserve">datne: </w:t>
            </w:r>
            <w:r w:rsidR="00B1268D" w:rsidRPr="00B1268D">
              <w:t>LPS_ID16561_NES</w:t>
            </w:r>
            <w:r w:rsidR="00B1268D">
              <w:t>.docx)</w:t>
            </w:r>
          </w:p>
        </w:tc>
        <w:tc>
          <w:tcPr>
            <w:tcW w:w="3092" w:type="dxa"/>
            <w:tcBorders>
              <w:left w:val="single" w:sz="6" w:space="0" w:color="000001"/>
              <w:right w:val="single" w:sz="6" w:space="0" w:color="000001"/>
            </w:tcBorders>
            <w:shd w:val="clear" w:color="auto" w:fill="auto"/>
            <w:tcMar>
              <w:left w:w="105" w:type="dxa"/>
            </w:tcMar>
          </w:tcPr>
          <w:p w14:paraId="58F874BC" w14:textId="77777777" w:rsidR="003A0B62" w:rsidRDefault="003A0B62">
            <w:pPr>
              <w:pStyle w:val="naisc"/>
              <w:jc w:val="left"/>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13211216" w14:textId="1BCE5D04" w:rsidR="00521AD9" w:rsidRDefault="00521AD9" w:rsidP="00521AD9">
            <w:pPr>
              <w:pStyle w:val="naisc"/>
              <w:spacing w:before="0" w:after="0"/>
              <w:jc w:val="both"/>
              <w:rPr>
                <w:b/>
                <w:bCs/>
              </w:rPr>
            </w:pPr>
            <w:r w:rsidRPr="004028E7">
              <w:rPr>
                <w:b/>
                <w:bCs/>
              </w:rPr>
              <w:t>Latvijas Pašvaldību savienība</w:t>
            </w:r>
            <w:r w:rsidR="008D70A0">
              <w:rPr>
                <w:b/>
                <w:bCs/>
              </w:rPr>
              <w:t xml:space="preserve"> </w:t>
            </w:r>
          </w:p>
          <w:p w14:paraId="4EA345EF" w14:textId="56DDF35F" w:rsidR="003A0B62" w:rsidRDefault="00A46E52" w:rsidP="00521AD9">
            <w:r>
              <w:rPr>
                <w:b/>
                <w:bCs/>
              </w:rPr>
              <w:t>22</w:t>
            </w:r>
            <w:r w:rsidR="00521AD9">
              <w:rPr>
                <w:b/>
                <w:bCs/>
              </w:rPr>
              <w:t xml:space="preserve">.03.2021. </w:t>
            </w:r>
            <w:r w:rsidR="008D70A0" w:rsidRPr="008D70A0">
              <w:t>(</w:t>
            </w:r>
            <w:r w:rsidR="00521AD9" w:rsidRPr="00B1268D">
              <w:t>Lielā apjomā dēļ pilnus iebilduma</w:t>
            </w:r>
            <w:r w:rsidR="00521AD9" w:rsidRPr="004A627C">
              <w:t xml:space="preserve"> aprakstus skatīt</w:t>
            </w:r>
            <w:r w:rsidR="00521AD9">
              <w:rPr>
                <w:b/>
                <w:bCs/>
              </w:rPr>
              <w:t xml:space="preserve"> </w:t>
            </w:r>
            <w:r w:rsidR="00656CA7" w:rsidRPr="00656CA7">
              <w:t xml:space="preserve">22.04.2021. </w:t>
            </w:r>
            <w:r w:rsidR="00521AD9" w:rsidRPr="00656CA7">
              <w:t>LPS</w:t>
            </w:r>
            <w:r w:rsidR="00521AD9">
              <w:rPr>
                <w:b/>
                <w:bCs/>
              </w:rPr>
              <w:t xml:space="preserve"> </w:t>
            </w:r>
            <w:r w:rsidR="00521AD9" w:rsidRPr="004A627C">
              <w:t>atzinumā</w:t>
            </w:r>
            <w:r w:rsidR="00656CA7">
              <w:t>,</w:t>
            </w:r>
            <w:r w:rsidR="00521AD9">
              <w:t xml:space="preserve"> datne: </w:t>
            </w:r>
            <w:r w:rsidR="00394BE6" w:rsidRPr="00394BE6">
              <w:t>LPS</w:t>
            </w:r>
            <w:r w:rsidR="00394BE6">
              <w:t>_</w:t>
            </w:r>
            <w:r w:rsidR="00394BE6" w:rsidRPr="00394BE6">
              <w:t>ID17468_NES</w:t>
            </w:r>
            <w:r w:rsidR="00521AD9">
              <w:t>)</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EC268" w14:textId="77777777" w:rsidR="003A0B62" w:rsidRDefault="003A0B62"/>
        </w:tc>
      </w:tr>
      <w:tr w:rsidR="002E4D5F" w14:paraId="6204E0CC" w14:textId="77777777" w:rsidTr="003F2298">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49016" w14:textId="77777777" w:rsidR="002E4D5F" w:rsidRDefault="002E4D5F">
            <w:pPr>
              <w:pStyle w:val="naisc"/>
              <w:numPr>
                <w:ilvl w:val="0"/>
                <w:numId w:val="1"/>
              </w:numPr>
              <w:spacing w:before="0" w:after="0"/>
            </w:pPr>
          </w:p>
        </w:tc>
        <w:tc>
          <w:tcPr>
            <w:tcW w:w="2802" w:type="dxa"/>
            <w:tcBorders>
              <w:left w:val="single" w:sz="6" w:space="0" w:color="000001"/>
              <w:right w:val="single" w:sz="6" w:space="0" w:color="000001"/>
            </w:tcBorders>
            <w:shd w:val="clear" w:color="auto" w:fill="auto"/>
            <w:tcMar>
              <w:left w:w="105" w:type="dxa"/>
            </w:tcMar>
          </w:tcPr>
          <w:p w14:paraId="65A87561" w14:textId="7F946699" w:rsidR="002E4D5F" w:rsidRDefault="000174BD">
            <w:pPr>
              <w:pStyle w:val="naisc"/>
              <w:spacing w:before="0" w:after="0"/>
              <w:jc w:val="left"/>
            </w:pPr>
            <w:r w:rsidRPr="000174BD">
              <w:t xml:space="preserve">Neattiecas uz saskaņošanai nosūtīto </w:t>
            </w:r>
            <w:r w:rsidR="00624581">
              <w:t xml:space="preserve">Ministru kabineta (turpmāk – MK) </w:t>
            </w:r>
            <w:r w:rsidRPr="000174BD">
              <w:t>rīkojuma projekta redakciju</w:t>
            </w:r>
          </w:p>
        </w:tc>
        <w:tc>
          <w:tcPr>
            <w:tcW w:w="3286" w:type="dxa"/>
            <w:tcBorders>
              <w:left w:val="single" w:sz="6" w:space="0" w:color="000001"/>
              <w:right w:val="single" w:sz="6" w:space="0" w:color="000001"/>
            </w:tcBorders>
            <w:shd w:val="clear" w:color="auto" w:fill="auto"/>
            <w:tcMar>
              <w:left w:w="105" w:type="dxa"/>
            </w:tcMar>
          </w:tcPr>
          <w:p w14:paraId="0AAC0A55" w14:textId="604C8039" w:rsidR="002E4D5F" w:rsidRDefault="002E4D5F">
            <w:pPr>
              <w:pStyle w:val="naisc"/>
              <w:spacing w:before="0" w:after="0"/>
              <w:jc w:val="both"/>
            </w:pPr>
            <w:r>
              <w:t>I</w:t>
            </w:r>
            <w:r w:rsidRPr="002E4D5F">
              <w:t xml:space="preserve">r būtiska atšķirība starp atkalizmantojamajiem datiem, kas pieejami tikai tiem, kas atbilstoši normatīvajiem aktiem tos drīkst izmantot, un atvērtajiem datiem, kuriem piekļūt var ikviens, lūdzam precizēt projekta sasniedzamos rādītājus, nosakot datu kopu skaitu, kas būs atvērtie </w:t>
            </w:r>
            <w:r w:rsidRPr="002E4D5F">
              <w:lastRenderedPageBreak/>
              <w:t>brīvpiekļuves dati, kā arī datu kopu skaitu, kas būs  tikai atkalizmantojamas, atbilstoši normatīvajos aktos  noteiktajām tiesībām lietot šos datus.</w:t>
            </w:r>
          </w:p>
        </w:tc>
        <w:tc>
          <w:tcPr>
            <w:tcW w:w="3092" w:type="dxa"/>
            <w:tcBorders>
              <w:left w:val="single" w:sz="6" w:space="0" w:color="000001"/>
              <w:right w:val="single" w:sz="6" w:space="0" w:color="000001"/>
            </w:tcBorders>
            <w:shd w:val="clear" w:color="auto" w:fill="auto"/>
            <w:tcMar>
              <w:left w:w="105" w:type="dxa"/>
            </w:tcMar>
          </w:tcPr>
          <w:p w14:paraId="749D38A0" w14:textId="77777777" w:rsidR="008C5130" w:rsidRDefault="008C5130" w:rsidP="008C5130">
            <w:pPr>
              <w:pStyle w:val="naisc"/>
              <w:spacing w:before="0" w:after="0"/>
              <w:jc w:val="both"/>
              <w:rPr>
                <w:b/>
              </w:rPr>
            </w:pPr>
            <w:r w:rsidRPr="00A307B3">
              <w:rPr>
                <w:b/>
              </w:rPr>
              <w:lastRenderedPageBreak/>
              <w:t>Nav ņemts vērā</w:t>
            </w:r>
          </w:p>
          <w:p w14:paraId="4E9238B4" w14:textId="712006D9" w:rsidR="008C5130" w:rsidRDefault="008C5130" w:rsidP="008C5130">
            <w:pPr>
              <w:pStyle w:val="naisc"/>
              <w:spacing w:before="0" w:after="0"/>
              <w:jc w:val="both"/>
              <w:rPr>
                <w:bCs/>
              </w:rPr>
            </w:pPr>
            <w:r>
              <w:rPr>
                <w:bCs/>
              </w:rPr>
              <w:t xml:space="preserve">MK rīkojuma pielikumā norādītie iznākuma rādītāji netiks mainīti, jo atbilstoši metodikai par </w:t>
            </w:r>
            <w:r w:rsidRPr="009F58F0">
              <w:rPr>
                <w:bCs/>
              </w:rPr>
              <w:t>projektu iekļaušanu IKT mērķarhitektūrā</w:t>
            </w:r>
            <w:r>
              <w:rPr>
                <w:bCs/>
              </w:rPr>
              <w:t xml:space="preserve">, kas </w:t>
            </w:r>
            <w:r w:rsidRPr="009F58F0">
              <w:rPr>
                <w:bCs/>
              </w:rPr>
              <w:t xml:space="preserve">apstiprināta ar </w:t>
            </w:r>
            <w:r w:rsidR="0025094D">
              <w:rPr>
                <w:bCs/>
              </w:rPr>
              <w:t xml:space="preserve">Vides aizsardzības un reģionālās attīstības ministrijas (turpmāk </w:t>
            </w:r>
            <w:r w:rsidR="0025094D">
              <w:rPr>
                <w:bCs/>
              </w:rPr>
              <w:lastRenderedPageBreak/>
              <w:t xml:space="preserve">– </w:t>
            </w:r>
            <w:r w:rsidRPr="009F58F0">
              <w:rPr>
                <w:bCs/>
              </w:rPr>
              <w:t>VARAM</w:t>
            </w:r>
            <w:r w:rsidR="0025094D">
              <w:rPr>
                <w:bCs/>
              </w:rPr>
              <w:t>)</w:t>
            </w:r>
            <w:r w:rsidRPr="009F58F0">
              <w:rPr>
                <w:bCs/>
              </w:rPr>
              <w:t xml:space="preserve"> 30.10.2017. rīkojumu Nr. 163</w:t>
            </w:r>
            <w:r w:rsidR="00A04B90">
              <w:rPr>
                <w:bCs/>
              </w:rPr>
              <w:t xml:space="preserve">, </w:t>
            </w:r>
            <w:r>
              <w:rPr>
                <w:bCs/>
              </w:rPr>
              <w:t xml:space="preserve">MK rīkojuma pielikums ir projekta detalizētā apraksta kopsavilkuma daļa, kurā iznākuma rādītājos norādāms atkalizmatojamo datu kopu skaits. </w:t>
            </w:r>
          </w:p>
          <w:p w14:paraId="5A961E7E" w14:textId="6E43EAFF" w:rsidR="008C5130" w:rsidRDefault="008C5130" w:rsidP="008C5130">
            <w:pPr>
              <w:pStyle w:val="naisc"/>
              <w:spacing w:before="0" w:after="0"/>
              <w:jc w:val="both"/>
              <w:rPr>
                <w:bCs/>
              </w:rPr>
            </w:pPr>
            <w:r>
              <w:rPr>
                <w:bCs/>
              </w:rPr>
              <w:t xml:space="preserve">Skaidrojam, ka projekta detalizētajā aprakstā un tā </w:t>
            </w:r>
            <w:r w:rsidRPr="009F58F0">
              <w:rPr>
                <w:bCs/>
                <w:i/>
                <w:iCs/>
              </w:rPr>
              <w:t>excel</w:t>
            </w:r>
            <w:r>
              <w:rPr>
                <w:bCs/>
              </w:rPr>
              <w:t xml:space="preserve"> pielikumā ir norādīts datu pieejamības līmenis, kā arī norādīti izņēmum</w:t>
            </w:r>
            <w:r w:rsidR="00C90B68">
              <w:rPr>
                <w:bCs/>
              </w:rPr>
              <w:t>i</w:t>
            </w:r>
            <w:r>
              <w:rPr>
                <w:bCs/>
              </w:rPr>
              <w:t>, kurām datu kopām pieejamības līmeni nosaka normatīvie akti.</w:t>
            </w:r>
          </w:p>
          <w:p w14:paraId="3517B931" w14:textId="77777777" w:rsidR="000B541A" w:rsidRDefault="000B541A" w:rsidP="008C5130">
            <w:pPr>
              <w:pStyle w:val="naisc"/>
              <w:spacing w:before="0" w:after="0"/>
              <w:jc w:val="both"/>
              <w:rPr>
                <w:bCs/>
              </w:rPr>
            </w:pPr>
          </w:p>
          <w:p w14:paraId="3E9B262F" w14:textId="29B4125B" w:rsidR="001A529C" w:rsidRDefault="001A529C" w:rsidP="008C5130">
            <w:pPr>
              <w:pStyle w:val="naisc"/>
              <w:spacing w:before="0" w:after="0"/>
              <w:jc w:val="both"/>
              <w:rPr>
                <w:bCs/>
              </w:rPr>
            </w:pPr>
            <w:r>
              <w:rPr>
                <w:bCs/>
              </w:rPr>
              <w:t>Atkārtotajā saskaņošanā</w:t>
            </w:r>
            <w:r w:rsidR="00A61845">
              <w:rPr>
                <w:bCs/>
              </w:rPr>
              <w:t xml:space="preserve"> LPS </w:t>
            </w:r>
            <w:r>
              <w:rPr>
                <w:bCs/>
              </w:rPr>
              <w:t xml:space="preserve"> </w:t>
            </w:r>
            <w:r w:rsidR="00217ACD">
              <w:rPr>
                <w:bCs/>
              </w:rPr>
              <w:t>iebildum</w:t>
            </w:r>
            <w:r w:rsidR="0042676A">
              <w:rPr>
                <w:bCs/>
              </w:rPr>
              <w:t>u</w:t>
            </w:r>
            <w:r w:rsidR="00217ACD">
              <w:rPr>
                <w:bCs/>
              </w:rPr>
              <w:t xml:space="preserve"> </w:t>
            </w:r>
            <w:r w:rsidR="0042676A">
              <w:rPr>
                <w:bCs/>
              </w:rPr>
              <w:t>papildināja ar papildu</w:t>
            </w:r>
            <w:r w:rsidR="00217ACD">
              <w:rPr>
                <w:bCs/>
              </w:rPr>
              <w:t xml:space="preserve"> </w:t>
            </w:r>
            <w:r w:rsidR="00A61845">
              <w:rPr>
                <w:bCs/>
              </w:rPr>
              <w:t>prasīb</w:t>
            </w:r>
            <w:r w:rsidR="0042676A">
              <w:rPr>
                <w:bCs/>
              </w:rPr>
              <w:t>u</w:t>
            </w:r>
            <w:r w:rsidR="00A61845">
              <w:rPr>
                <w:bCs/>
              </w:rPr>
              <w:t xml:space="preserve"> pievienot </w:t>
            </w:r>
            <w:r w:rsidR="00286E6F">
              <w:rPr>
                <w:bCs/>
              </w:rPr>
              <w:t xml:space="preserve">MK </w:t>
            </w:r>
            <w:r w:rsidR="006565C9">
              <w:rPr>
                <w:bCs/>
              </w:rPr>
              <w:t>protokoll</w:t>
            </w:r>
            <w:r w:rsidR="00286E6F">
              <w:rPr>
                <w:bCs/>
              </w:rPr>
              <w:t xml:space="preserve">ēmumu, kurā </w:t>
            </w:r>
            <w:r w:rsidR="0042676A">
              <w:rPr>
                <w:bCs/>
              </w:rPr>
              <w:t xml:space="preserve">VARAM jānodrošina </w:t>
            </w:r>
            <w:r w:rsidR="0042676A" w:rsidRPr="0042676A">
              <w:rPr>
                <w:bCs/>
              </w:rPr>
              <w:t>visos valsts pārvaldes īstenotajos un īstenojamajos informāciju tehnoloģiju projektos atkalizmantojamo datu kopu precīzu dalījumu</w:t>
            </w:r>
            <w:r w:rsidR="00A054A2">
              <w:rPr>
                <w:bCs/>
              </w:rPr>
              <w:t xml:space="preserve">. </w:t>
            </w:r>
          </w:p>
          <w:p w14:paraId="1D18BA54" w14:textId="6BDE8A02" w:rsidR="003F2298" w:rsidRDefault="00295F85" w:rsidP="008C5130">
            <w:pPr>
              <w:pStyle w:val="naisc"/>
              <w:spacing w:before="0" w:after="0"/>
              <w:jc w:val="both"/>
              <w:rPr>
                <w:bCs/>
              </w:rPr>
            </w:pPr>
            <w:r>
              <w:rPr>
                <w:bCs/>
              </w:rPr>
              <w:t xml:space="preserve">Skaidrojam, ka </w:t>
            </w:r>
            <w:r w:rsidR="00636419" w:rsidRPr="00636419">
              <w:rPr>
                <w:bCs/>
              </w:rPr>
              <w:t xml:space="preserve">Darbības programmas </w:t>
            </w:r>
            <w:r w:rsidR="00636419">
              <w:rPr>
                <w:bCs/>
              </w:rPr>
              <w:t>“</w:t>
            </w:r>
            <w:r w:rsidR="00636419" w:rsidRPr="00636419">
              <w:rPr>
                <w:bCs/>
              </w:rPr>
              <w:t>Izaugsme un nodarbinātība</w:t>
            </w:r>
            <w:r w:rsidR="00636419">
              <w:rPr>
                <w:bCs/>
              </w:rPr>
              <w:t>”</w:t>
            </w:r>
            <w:r w:rsidR="00636419" w:rsidRPr="00636419">
              <w:rPr>
                <w:bCs/>
              </w:rPr>
              <w:t xml:space="preserve"> 2.2.1. specifiskā atbalsta mērķa </w:t>
            </w:r>
            <w:r w:rsidR="00636419">
              <w:rPr>
                <w:bCs/>
              </w:rPr>
              <w:t>“</w:t>
            </w:r>
            <w:r w:rsidR="00636419" w:rsidRPr="00636419">
              <w:rPr>
                <w:bCs/>
              </w:rPr>
              <w:t xml:space="preserve">Nodrošināt publisko datu atkalizmantošanas pieaugumu un efektīvu publiskās </w:t>
            </w:r>
            <w:r w:rsidR="00636419" w:rsidRPr="00636419">
              <w:rPr>
                <w:bCs/>
              </w:rPr>
              <w:lastRenderedPageBreak/>
              <w:t>pārvaldes un privātā sektora mijiedarbību</w:t>
            </w:r>
            <w:r w:rsidR="00636419">
              <w:rPr>
                <w:bCs/>
              </w:rPr>
              <w:t>”</w:t>
            </w:r>
            <w:r w:rsidR="00636419" w:rsidRPr="00636419">
              <w:rPr>
                <w:bCs/>
              </w:rPr>
              <w:t xml:space="preserve"> 2.2.1.1. pasākuma "Centralizētu publiskās pārvaldes IKT platformu izveide, publiskās pārvaldes procesu optimizēšana un attīstība</w:t>
            </w:r>
            <w:r w:rsidR="00636419">
              <w:rPr>
                <w:bCs/>
              </w:rPr>
              <w:t xml:space="preserve">” </w:t>
            </w:r>
            <w:r w:rsidR="00D71271">
              <w:rPr>
                <w:bCs/>
              </w:rPr>
              <w:t xml:space="preserve">projektos </w:t>
            </w:r>
            <w:r w:rsidR="00D33102">
              <w:rPr>
                <w:bCs/>
              </w:rPr>
              <w:t xml:space="preserve">jau </w:t>
            </w:r>
            <w:r w:rsidR="00073A21">
              <w:rPr>
                <w:bCs/>
              </w:rPr>
              <w:t>tiek nodrošināta prasība</w:t>
            </w:r>
            <w:r w:rsidR="00D33102">
              <w:rPr>
                <w:bCs/>
              </w:rPr>
              <w:t xml:space="preserve"> </w:t>
            </w:r>
            <w:r w:rsidR="007D4272">
              <w:rPr>
                <w:bCs/>
              </w:rPr>
              <w:t xml:space="preserve">projektu īstenotājiem </w:t>
            </w:r>
            <w:r w:rsidR="00DB2986">
              <w:rPr>
                <w:bCs/>
              </w:rPr>
              <w:t xml:space="preserve">detalizētā projekta apraksta excel pielikuma sadaļā “Datu kopas” </w:t>
            </w:r>
            <w:r w:rsidR="003F2298">
              <w:rPr>
                <w:bCs/>
              </w:rPr>
              <w:t xml:space="preserve">norādīt </w:t>
            </w:r>
            <w:r w:rsidR="004E149B">
              <w:rPr>
                <w:bCs/>
              </w:rPr>
              <w:t>datu pieejamības līmeni</w:t>
            </w:r>
            <w:r w:rsidR="003F2298">
              <w:rPr>
                <w:bCs/>
              </w:rPr>
              <w:t>:</w:t>
            </w:r>
          </w:p>
          <w:p w14:paraId="1571245B" w14:textId="77777777" w:rsidR="003F2298" w:rsidRDefault="00A85592" w:rsidP="003F2298">
            <w:pPr>
              <w:pStyle w:val="naisc"/>
              <w:numPr>
                <w:ilvl w:val="0"/>
                <w:numId w:val="8"/>
              </w:numPr>
              <w:spacing w:before="0" w:after="0"/>
              <w:jc w:val="both"/>
              <w:rPr>
                <w:bCs/>
              </w:rPr>
            </w:pPr>
            <w:r>
              <w:rPr>
                <w:bCs/>
              </w:rPr>
              <w:t>vai</w:t>
            </w:r>
            <w:r w:rsidR="00730F0F">
              <w:rPr>
                <w:bCs/>
              </w:rPr>
              <w:t xml:space="preserve"> datu kopa būs pieejama brīvai (bezmaksas) </w:t>
            </w:r>
            <w:r w:rsidR="00517250">
              <w:rPr>
                <w:bCs/>
              </w:rPr>
              <w:t xml:space="preserve">atkārtotai izmantošanai bez ierobežojumiem, </w:t>
            </w:r>
          </w:p>
          <w:p w14:paraId="19EAACE3" w14:textId="77777777" w:rsidR="003F2298" w:rsidRDefault="00DC6173" w:rsidP="003F2298">
            <w:pPr>
              <w:pStyle w:val="naisc"/>
              <w:numPr>
                <w:ilvl w:val="0"/>
                <w:numId w:val="8"/>
              </w:numPr>
              <w:spacing w:before="0" w:after="0"/>
              <w:jc w:val="both"/>
              <w:rPr>
                <w:bCs/>
              </w:rPr>
            </w:pPr>
            <w:r>
              <w:rPr>
                <w:bCs/>
              </w:rPr>
              <w:t xml:space="preserve">vai </w:t>
            </w:r>
            <w:r w:rsidR="00445E79" w:rsidRPr="00445E79">
              <w:rPr>
                <w:bCs/>
              </w:rPr>
              <w:t xml:space="preserve">datu kopa </w:t>
            </w:r>
            <w:r w:rsidR="00517250">
              <w:rPr>
                <w:bCs/>
              </w:rPr>
              <w:t xml:space="preserve">būs </w:t>
            </w:r>
            <w:r w:rsidR="00445E79" w:rsidRPr="00445E79">
              <w:rPr>
                <w:bCs/>
              </w:rPr>
              <w:t xml:space="preserve">ierobežota izmantošanai tikai publiskās pārvaldes iestādēs uz līgumattiecību pamata, uz kuru pamata tiek noteikti datu piekļuves tehniskie ierobežojumi, </w:t>
            </w:r>
          </w:p>
          <w:p w14:paraId="7C30FE6D" w14:textId="308C8583" w:rsidR="00295F85" w:rsidRDefault="00DC6173" w:rsidP="003F2298">
            <w:pPr>
              <w:pStyle w:val="naisc"/>
              <w:numPr>
                <w:ilvl w:val="0"/>
                <w:numId w:val="8"/>
              </w:numPr>
              <w:spacing w:before="0" w:after="0"/>
              <w:jc w:val="both"/>
              <w:rPr>
                <w:bCs/>
              </w:rPr>
            </w:pPr>
            <w:r>
              <w:rPr>
                <w:bCs/>
              </w:rPr>
              <w:t>vai</w:t>
            </w:r>
            <w:r w:rsidR="00445E79" w:rsidRPr="00445E79">
              <w:rPr>
                <w:bCs/>
              </w:rPr>
              <w:t xml:space="preserve"> datu kopa izmantojama privātajā un komercsektorā</w:t>
            </w:r>
            <w:r>
              <w:rPr>
                <w:bCs/>
              </w:rPr>
              <w:t xml:space="preserve"> un</w:t>
            </w:r>
            <w:r w:rsidR="00445E79" w:rsidRPr="00445E79">
              <w:rPr>
                <w:bCs/>
              </w:rPr>
              <w:t xml:space="preserve"> to lietošanu un piekļuvi datu kopai ierobežo licences nosacījumi vai līgumattiecības.</w:t>
            </w:r>
          </w:p>
          <w:p w14:paraId="051512E2" w14:textId="77777777" w:rsidR="002E4D5F" w:rsidRDefault="002E4D5F">
            <w:pPr>
              <w:pStyle w:val="naisc"/>
              <w:jc w:val="left"/>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051B7830" w14:textId="5C25D8A1" w:rsidR="002E4D5F" w:rsidRPr="001109BA" w:rsidRDefault="00583374">
            <w:pPr>
              <w:rPr>
                <w:b/>
                <w:bCs/>
              </w:rPr>
            </w:pPr>
            <w:r w:rsidRPr="001109BA">
              <w:rPr>
                <w:b/>
                <w:bCs/>
              </w:rPr>
              <w:lastRenderedPageBreak/>
              <w:t xml:space="preserve">LPS uztur </w:t>
            </w:r>
            <w:r w:rsidR="00F44180" w:rsidRPr="001109BA">
              <w:rPr>
                <w:b/>
                <w:bCs/>
              </w:rPr>
              <w:t>iebildumu un to papildina</w:t>
            </w:r>
            <w:r w:rsidR="00A20DF1" w:rsidRPr="001109BA">
              <w:rPr>
                <w:b/>
                <w:bCs/>
              </w:rPr>
              <w:t>:</w:t>
            </w:r>
          </w:p>
          <w:p w14:paraId="696F3C46" w14:textId="77777777" w:rsidR="00A20DF1" w:rsidRDefault="00A20DF1" w:rsidP="00A20DF1">
            <w:r>
              <w:t xml:space="preserve">Tā kā pati VARAM ir pasludinājusi, ka attiecībā uz valsts pārvaldes datiem jānodrošina princips “atvērts pēc noklusējuma”, tad ir būtiski arī visos IT </w:t>
            </w:r>
            <w:r>
              <w:lastRenderedPageBreak/>
              <w:t xml:space="preserve">projektos identificēt datu kopas, kas tiešām būs atvērtas un kurām varēs brīvi piekļūt jebkurš no tām datu kopām, kuras būs tikai atkal izmantojamas, ja kādā normatīvajā aktā būs paredzētas specifiskas tiesības lietot konkrēto datu kopu, lūdzam pievienot šādu Ministru kabineta protokollēmuma projektu: </w:t>
            </w:r>
          </w:p>
          <w:p w14:paraId="6B6846B5" w14:textId="77777777" w:rsidR="00A20DF1" w:rsidRDefault="00A20DF1" w:rsidP="00A20DF1">
            <w:r>
              <w:t xml:space="preserve">“Vides aizsardzības un reģionālās attīstības ministrijai nodrošināt visos valsts pārvaldes īstenotajos un īstenojamajos informāciju tehnoloģiju projektos atkalizmantojamo datu kopu precīzu dalījumu: </w:t>
            </w:r>
          </w:p>
          <w:p w14:paraId="1A6D8292" w14:textId="77777777" w:rsidR="00A20DF1" w:rsidRDefault="00A20DF1" w:rsidP="00A20DF1">
            <w:r>
              <w:t xml:space="preserve">- datu kopās, kas būs atvērtie brīvpiekļuves un bezmaksas dati bez izmantošanas ierobežojumiem; </w:t>
            </w:r>
          </w:p>
          <w:p w14:paraId="7636D568" w14:textId="77777777" w:rsidR="00A20DF1" w:rsidRDefault="00A20DF1" w:rsidP="00A20DF1">
            <w:r>
              <w:t xml:space="preserve">- datu kopās, kas būs atkalizmantojami tikai </w:t>
            </w:r>
            <w:r>
              <w:lastRenderedPageBreak/>
              <w:t>atbilstoši specifiskiem normatīvajiem aktiem;</w:t>
            </w:r>
          </w:p>
          <w:p w14:paraId="14821DD4" w14:textId="30A5E3BA" w:rsidR="00A20DF1" w:rsidRDefault="00A20DF1" w:rsidP="00A20DF1">
            <w:r>
              <w:t>- datu kopās, kas būs atkalizmantojamas tikai publiskās pārvaldes iekšpusē, atbilstoši normatīvajiem aktiem.”</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BF0A8E" w14:textId="34BE1C30" w:rsidR="002E4D5F" w:rsidRDefault="00071777">
            <w:r w:rsidRPr="004A7D9A">
              <w:lastRenderedPageBreak/>
              <w:t xml:space="preserve">MK rīkojuma projekta </w:t>
            </w:r>
            <w:r w:rsidR="00FC5E40" w:rsidRPr="004A7D9A">
              <w:t>redakcija netiek mainīta</w:t>
            </w:r>
          </w:p>
        </w:tc>
      </w:tr>
      <w:tr w:rsidR="00AF45EC" w14:paraId="00F37E24" w14:textId="77777777" w:rsidTr="00115850">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F0FC2" w14:textId="77777777" w:rsidR="00AF45EC" w:rsidRDefault="00AF45EC" w:rsidP="00AF45EC">
            <w:pPr>
              <w:pStyle w:val="naisc"/>
              <w:numPr>
                <w:ilvl w:val="0"/>
                <w:numId w:val="1"/>
              </w:numPr>
              <w:spacing w:before="0" w:after="0"/>
            </w:pP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F4C59EB" w14:textId="4653847B" w:rsidR="00AF45EC" w:rsidRPr="000174BD" w:rsidRDefault="00AF45EC" w:rsidP="00AF45EC">
            <w:pPr>
              <w:pStyle w:val="naisc"/>
              <w:spacing w:before="0" w:after="0"/>
              <w:jc w:val="left"/>
            </w:pPr>
            <w:r w:rsidRPr="00C43669">
              <w:t>Neattiecas uz saskaņošanai nosūtīto MK rīkojuma projekta redakciju</w:t>
            </w:r>
          </w:p>
        </w:tc>
        <w:tc>
          <w:tcPr>
            <w:tcW w:w="328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606B46B" w14:textId="62A8982D" w:rsidR="00AF45EC" w:rsidRPr="00E92E73" w:rsidRDefault="00AF45EC" w:rsidP="00AF45EC">
            <w:pPr>
              <w:shd w:val="clear" w:color="auto" w:fill="FFFFFF"/>
              <w:jc w:val="both"/>
              <w:rPr>
                <w:color w:val="000000"/>
                <w:lang w:eastAsia="en-US"/>
              </w:rPr>
            </w:pPr>
            <w:r w:rsidRPr="00E92E73">
              <w:rPr>
                <w:color w:val="000000"/>
                <w:lang w:eastAsia="en-US"/>
              </w:rPr>
              <w:t xml:space="preserve">Datu kopās (datne “oData_kopa_VID”) diemžēl </w:t>
            </w:r>
            <w:r w:rsidRPr="00E92E73">
              <w:rPr>
                <w:b/>
                <w:bCs/>
                <w:color w:val="000000"/>
                <w:u w:val="single"/>
                <w:lang w:eastAsia="en-US"/>
              </w:rPr>
              <w:t>kļūdaini ir norādīts</w:t>
            </w:r>
            <w:r w:rsidRPr="00E92E73">
              <w:rPr>
                <w:color w:val="000000"/>
                <w:lang w:eastAsia="en-US"/>
              </w:rPr>
              <w:t xml:space="preserve">, ka it kā likuma “Par nodokļiem un nodevām 22.pants </w:t>
            </w:r>
            <w:r w:rsidRPr="00E92E73">
              <w:rPr>
                <w:b/>
                <w:bCs/>
                <w:color w:val="000000"/>
                <w:u w:val="single"/>
                <w:lang w:eastAsia="en-US"/>
              </w:rPr>
              <w:t>neatļauj publiskot un atvērt datus par nodokļu parādiem</w:t>
            </w:r>
            <w:r w:rsidRPr="00E92E73">
              <w:rPr>
                <w:color w:val="000000"/>
                <w:lang w:eastAsia="en-US"/>
              </w:rPr>
              <w:t>, lūdzam to labot. Vienlaikus lūdzam  papildināt datu kopu sarakstu, kas b</w:t>
            </w:r>
            <w:r w:rsidRPr="00E92E73">
              <w:rPr>
                <w:rFonts w:hint="eastAsia"/>
                <w:color w:val="000000"/>
                <w:lang w:eastAsia="en-US"/>
              </w:rPr>
              <w:t>ū</w:t>
            </w:r>
            <w:r w:rsidRPr="00E92E73">
              <w:rPr>
                <w:color w:val="000000"/>
                <w:lang w:eastAsia="en-US"/>
              </w:rPr>
              <w:t>s pieejama br</w:t>
            </w:r>
            <w:r w:rsidRPr="00E92E73">
              <w:rPr>
                <w:rFonts w:hint="eastAsia"/>
                <w:color w:val="000000"/>
                <w:lang w:eastAsia="en-US"/>
              </w:rPr>
              <w:t>ī</w:t>
            </w:r>
            <w:r w:rsidRPr="00E92E73">
              <w:rPr>
                <w:color w:val="000000"/>
                <w:lang w:eastAsia="en-US"/>
              </w:rPr>
              <w:t>vai (bezmaksas) atk</w:t>
            </w:r>
            <w:r w:rsidRPr="00E92E73">
              <w:rPr>
                <w:rFonts w:hint="eastAsia"/>
                <w:color w:val="000000"/>
                <w:lang w:eastAsia="en-US"/>
              </w:rPr>
              <w:t>ā</w:t>
            </w:r>
            <w:r w:rsidRPr="00E92E73">
              <w:rPr>
                <w:color w:val="000000"/>
                <w:lang w:eastAsia="en-US"/>
              </w:rPr>
              <w:t xml:space="preserve">rtotai izmantošanai bez ierobežojumiem, </w:t>
            </w:r>
            <w:r w:rsidRPr="00E92E73">
              <w:rPr>
                <w:b/>
                <w:bCs/>
                <w:color w:val="000000"/>
                <w:u w:val="single"/>
                <w:lang w:eastAsia="en-US"/>
              </w:rPr>
              <w:t>ar datu kopu par nodokļu parādiem</w:t>
            </w:r>
            <w:r w:rsidRPr="00E92E73">
              <w:rPr>
                <w:color w:val="000000"/>
                <w:lang w:eastAsia="en-US"/>
              </w:rPr>
              <w:t xml:space="preserve">.  </w:t>
            </w:r>
          </w:p>
          <w:p w14:paraId="7A4461D5" w14:textId="77777777" w:rsidR="00AF45EC" w:rsidRPr="00E92E73" w:rsidRDefault="00AF45EC" w:rsidP="00AF45EC">
            <w:pPr>
              <w:shd w:val="clear" w:color="auto" w:fill="FFFFFF"/>
              <w:jc w:val="both"/>
              <w:rPr>
                <w:color w:val="000000"/>
                <w:lang w:eastAsia="en-US"/>
              </w:rPr>
            </w:pPr>
            <w:r w:rsidRPr="00E92E73">
              <w:rPr>
                <w:color w:val="000000"/>
                <w:lang w:eastAsia="en-US"/>
              </w:rPr>
              <w:t>Vēršam uzmanību, ka jau šobrīd šie dati ir publiski VID mājas lapā, jo likuma “Par nodok</w:t>
            </w:r>
            <w:r w:rsidRPr="00E92E73">
              <w:rPr>
                <w:rFonts w:hint="eastAsia"/>
                <w:color w:val="000000"/>
                <w:lang w:eastAsia="en-US"/>
              </w:rPr>
              <w:t>ļ</w:t>
            </w:r>
            <w:r w:rsidRPr="00E92E73">
              <w:rPr>
                <w:color w:val="000000"/>
                <w:lang w:eastAsia="en-US"/>
              </w:rPr>
              <w:t>iem un nodev</w:t>
            </w:r>
            <w:r w:rsidRPr="00E92E73">
              <w:rPr>
                <w:rFonts w:hint="eastAsia"/>
                <w:color w:val="000000"/>
                <w:lang w:eastAsia="en-US"/>
              </w:rPr>
              <w:t>ā</w:t>
            </w:r>
            <w:r w:rsidRPr="00E92E73">
              <w:rPr>
                <w:color w:val="000000"/>
                <w:lang w:eastAsia="en-US"/>
              </w:rPr>
              <w:t xml:space="preserve">m 22.pants neparedz šo datu konfidencialitāti: </w:t>
            </w:r>
          </w:p>
          <w:p w14:paraId="2C6A170D" w14:textId="77777777" w:rsidR="00AF45EC" w:rsidRPr="00E92E73" w:rsidRDefault="00AF45EC" w:rsidP="00AF45EC">
            <w:pPr>
              <w:shd w:val="clear" w:color="auto" w:fill="FFFFFF"/>
              <w:jc w:val="both"/>
              <w:rPr>
                <w:color w:val="000000"/>
                <w:lang w:eastAsia="en-US"/>
              </w:rPr>
            </w:pPr>
            <w:r w:rsidRPr="00E92E73">
              <w:rPr>
                <w:color w:val="000000"/>
                <w:lang w:eastAsia="en-US"/>
              </w:rPr>
              <w:t xml:space="preserve">“(1) Nodokļu administrācijas ierēdnim (darbiniekam), ja šā panta otrajā daļā nav noteikts citādi, aizliegts izpaust par nodokļu maksātāju bez viņa piekrišanas jebkādu informāciju, kas šim ierēdnim (darbiniekam) kļuvusi zināma, pildot dienesta (darba) pienākumus, </w:t>
            </w:r>
            <w:r w:rsidRPr="00E92E73">
              <w:rPr>
                <w:b/>
                <w:bCs/>
                <w:color w:val="000000"/>
                <w:u w:val="single"/>
                <w:lang w:eastAsia="en-US"/>
              </w:rPr>
              <w:t>izņemot:</w:t>
            </w:r>
          </w:p>
          <w:p w14:paraId="5F228168" w14:textId="7D030C22" w:rsidR="00AF45EC" w:rsidRDefault="00AF45EC" w:rsidP="00AF45EC">
            <w:pPr>
              <w:pStyle w:val="naisc"/>
              <w:spacing w:before="0" w:after="0"/>
              <w:jc w:val="both"/>
            </w:pPr>
            <w:r w:rsidRPr="00E92E73">
              <w:rPr>
                <w:color w:val="000000"/>
                <w:lang w:eastAsia="en-US"/>
              </w:rPr>
              <w:t xml:space="preserve">1) </w:t>
            </w:r>
            <w:r w:rsidRPr="00E92E73">
              <w:rPr>
                <w:b/>
                <w:bCs/>
                <w:color w:val="000000"/>
                <w:u w:val="single"/>
                <w:lang w:eastAsia="en-US"/>
              </w:rPr>
              <w:t>informāciju par nodokļu maksātāja nodokļu parādiem</w:t>
            </w:r>
            <w:r w:rsidRPr="00E92E73">
              <w:rPr>
                <w:color w:val="000000"/>
                <w:lang w:eastAsia="en-US"/>
              </w:rPr>
              <w:t xml:space="preserve">, kas izveidojušies nodokļu </w:t>
            </w:r>
            <w:r w:rsidRPr="00E92E73">
              <w:rPr>
                <w:color w:val="000000"/>
                <w:lang w:eastAsia="en-US"/>
              </w:rPr>
              <w:lastRenderedPageBreak/>
              <w:t>revīzijas (audita) vai datu atbilstības pārbaudes rezultātā vai nodokļu maksājumu kavējuma dēļ, norādot nodokļa parāda lielumu, nodokļu maksātāja nosaukumu vai vārdu, uzvārdu un reģistrācijas kodu”</w:t>
            </w:r>
          </w:p>
        </w:tc>
        <w:tc>
          <w:tcPr>
            <w:tcW w:w="309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F58051" w14:textId="77777777" w:rsidR="00AF45EC" w:rsidRPr="00126C96" w:rsidRDefault="00AF45EC" w:rsidP="00AF45EC">
            <w:pPr>
              <w:pStyle w:val="naisc"/>
              <w:spacing w:before="0" w:after="0"/>
              <w:jc w:val="both"/>
              <w:rPr>
                <w:b/>
              </w:rPr>
            </w:pPr>
            <w:r w:rsidRPr="00126C96">
              <w:rPr>
                <w:b/>
              </w:rPr>
              <w:lastRenderedPageBreak/>
              <w:t>Nav ņemts vērā</w:t>
            </w:r>
          </w:p>
          <w:p w14:paraId="7D4888F3" w14:textId="77777777" w:rsidR="00AF45EC" w:rsidRPr="00126C96" w:rsidRDefault="00AF45EC" w:rsidP="00AF45EC">
            <w:pPr>
              <w:pStyle w:val="naisc"/>
              <w:jc w:val="both"/>
              <w:rPr>
                <w:bCs/>
              </w:rPr>
            </w:pPr>
            <w:r w:rsidRPr="00E531B9">
              <w:rPr>
                <w:bCs/>
              </w:rPr>
              <w:t>Valsts ieņēmumu dienesta (turpmāk – VID)</w:t>
            </w:r>
            <w:r w:rsidRPr="00126C96">
              <w:rPr>
                <w:bCs/>
              </w:rPr>
              <w:t xml:space="preserve">  Maksājumu administrēšanas informācijas sistēmas Normatīvo aktu izstrādes darba grupa ir izvērtējusi šo iebildumu un secinājusi, ka likuma “Par nodokļiem un nodevām” 22. pants par nodokļu parādu datu izpaušanu jāskata sasaistē ar 18. panta 5.daļu, kurā norādīti minētās informācijas izmantošanas mērķi un veids, kādā šī informācija var tikt pieprasīta. Līdz ar to, augstāk minētās datu kopas publicēšana un atvēršana to brīvai (bezmaksas) atkārtotai izmantošanai bez ierobežojumiem nebūtu atbilstoša pašreiz aktuālajam normatīvajam regulējumam.</w:t>
            </w:r>
          </w:p>
          <w:p w14:paraId="34E18228" w14:textId="77777777" w:rsidR="00AF45EC" w:rsidRPr="00126C96" w:rsidRDefault="00AF45EC" w:rsidP="00AF45EC">
            <w:pPr>
              <w:pStyle w:val="naisc"/>
              <w:jc w:val="both"/>
              <w:rPr>
                <w:bCs/>
              </w:rPr>
            </w:pPr>
            <w:r w:rsidRPr="00126C96">
              <w:rPr>
                <w:bCs/>
              </w:rPr>
              <w:t>Papildus par minētā iebilduma atbilstību Vispārīgajai datu aizsardzības regulai (turpmāk – regula)</w:t>
            </w:r>
            <w:r w:rsidRPr="00126C96">
              <w:t xml:space="preserve"> n</w:t>
            </w:r>
            <w:r w:rsidRPr="00126C96">
              <w:rPr>
                <w:bCs/>
              </w:rPr>
              <w:t xml:space="preserve">o Latvijas Republikas tiesību aktu normām izriet, ka, lai  tiktu nodrošināta normatīvajos aktos noteikto </w:t>
            </w:r>
            <w:r w:rsidRPr="00126C96">
              <w:rPr>
                <w:bCs/>
              </w:rPr>
              <w:lastRenderedPageBreak/>
              <w:t>tiešās pārvaldes iestāžu un pašvaldību funkciju izpilde, kā arī komercdarbības vides drošības, godīgas konkurences un labprātīgas nodokļu (nodevu) saistību izpildes veicināšana, VID atbilstoši regulas 6.panta c) un e) apakšpunktam ir tiesīgs un tam ir pienākums informāciju par nodokļu maksātājiem, kuru nodokļu parāda summa pārsniedz 150 euro, iekļaut VID administrēto nodokļu (nodevu) parādnieku datubāzē un nodrošināt piekļuvi tai tikai atbilstoši likuma “Par nodokļiem un nodevām” 18.panta  piektajā daļā noteiktajam, neparedzot un nenodrošinot piekļuvi minētajai informācijai citos veidos un citā apjomā.</w:t>
            </w:r>
          </w:p>
          <w:p w14:paraId="4A4AF752" w14:textId="35D705A7" w:rsidR="00AF45EC" w:rsidRPr="00126C96" w:rsidRDefault="006C16C9" w:rsidP="00AF45EC">
            <w:pPr>
              <w:pStyle w:val="naisc"/>
              <w:spacing w:before="0" w:after="0"/>
              <w:jc w:val="both"/>
              <w:rPr>
                <w:bCs/>
              </w:rPr>
            </w:pPr>
            <w:r>
              <w:rPr>
                <w:bCs/>
              </w:rPr>
              <w:t>A</w:t>
            </w:r>
            <w:r w:rsidR="00AF45EC" w:rsidRPr="00126C96">
              <w:rPr>
                <w:bCs/>
              </w:rPr>
              <w:t xml:space="preserve">pstāklis, ka fiziskas personas dati jau ir publiski pieejami, kā tas minēts Latvijas pašvaldību savienības vēstulē, neizslēdz regulas 5.panta a) un b) apakšpunktā minēto personas datu apstrādes principu prasību izpildes nepieciešamību attiecībā uz </w:t>
            </w:r>
            <w:r w:rsidR="00AF45EC" w:rsidRPr="00126C96">
              <w:rPr>
                <w:bCs/>
              </w:rPr>
              <w:lastRenderedPageBreak/>
              <w:t>jaunu tiesisko pamatu un apstrādes nolūku.</w:t>
            </w:r>
          </w:p>
          <w:p w14:paraId="49CB687E" w14:textId="77777777" w:rsidR="00AF45EC" w:rsidRPr="00A307B3" w:rsidRDefault="00AF45EC" w:rsidP="00AF45EC">
            <w:pPr>
              <w:pStyle w:val="naisc"/>
              <w:spacing w:before="0" w:after="0"/>
              <w:jc w:val="both"/>
              <w:rPr>
                <w:b/>
              </w:rPr>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046B16FF" w14:textId="77777777" w:rsidR="00457856" w:rsidRPr="00E531B9" w:rsidRDefault="002C75F2" w:rsidP="00AF45EC">
            <w:pPr>
              <w:rPr>
                <w:b/>
                <w:bCs/>
              </w:rPr>
            </w:pPr>
            <w:r w:rsidRPr="00E531B9">
              <w:rPr>
                <w:b/>
                <w:bCs/>
              </w:rPr>
              <w:lastRenderedPageBreak/>
              <w:t>LPS uztur iebildumu</w:t>
            </w:r>
            <w:r w:rsidR="00457856" w:rsidRPr="00E531B9">
              <w:rPr>
                <w:b/>
                <w:bCs/>
              </w:rPr>
              <w:t xml:space="preserve"> un norāda:</w:t>
            </w:r>
            <w:r w:rsidRPr="00E531B9">
              <w:rPr>
                <w:b/>
                <w:bCs/>
              </w:rPr>
              <w:t xml:space="preserve"> </w:t>
            </w:r>
          </w:p>
          <w:p w14:paraId="1B749154" w14:textId="3AC721DE" w:rsidR="00AF45EC" w:rsidRDefault="00C6390F" w:rsidP="00AF45EC">
            <w:r w:rsidRPr="00C6390F">
              <w:t>LPS konceptuāli nepiekrīt izziņā paustajam, ka it kā nodokļu administrācijai nebūtu tiesību publiskot nodokļu parādus, turklāt nodokļu parādu nepubliskošana ir pretrunā ar valsts realizēto politiku nodokļu parādu iekasēšanā.</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F7F80A" w14:textId="77777777" w:rsidR="00AF45EC" w:rsidRDefault="00AF45EC" w:rsidP="00AF45EC"/>
        </w:tc>
      </w:tr>
      <w:tr w:rsidR="00C6390F" w14:paraId="510FC3BB" w14:textId="77777777" w:rsidTr="00115850">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2FFB9" w14:textId="77777777" w:rsidR="00C6390F" w:rsidRDefault="00C6390F" w:rsidP="00C6390F">
            <w:pPr>
              <w:pStyle w:val="naisc"/>
              <w:numPr>
                <w:ilvl w:val="0"/>
                <w:numId w:val="1"/>
              </w:numPr>
              <w:spacing w:before="0" w:after="0"/>
            </w:pP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D7914C7" w14:textId="281FBE04" w:rsidR="00C6390F" w:rsidRPr="00C43669" w:rsidRDefault="00C6390F" w:rsidP="00C6390F">
            <w:pPr>
              <w:pStyle w:val="naisc"/>
              <w:spacing w:before="0" w:after="0"/>
              <w:jc w:val="left"/>
            </w:pPr>
            <w:r w:rsidRPr="0085689C">
              <w:t>Neattiecas uz saskaņošanai nosūtīto MK rīkojuma projekta redakciju</w:t>
            </w:r>
          </w:p>
        </w:tc>
        <w:tc>
          <w:tcPr>
            <w:tcW w:w="328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C31529B" w14:textId="643F3E97" w:rsidR="00C6390F" w:rsidRPr="00A068A2" w:rsidRDefault="008F7892" w:rsidP="00C6390F">
            <w:pPr>
              <w:shd w:val="clear" w:color="auto" w:fill="FFFFFF"/>
              <w:jc w:val="both"/>
              <w:rPr>
                <w:b/>
                <w:bCs/>
                <w:color w:val="000000"/>
                <w:lang w:eastAsia="en-US"/>
              </w:rPr>
            </w:pPr>
            <w:r>
              <w:rPr>
                <w:color w:val="000000"/>
                <w:lang w:eastAsia="en-US"/>
              </w:rPr>
              <w:t>L</w:t>
            </w:r>
            <w:r w:rsidR="00C6390F" w:rsidRPr="00A068A2">
              <w:rPr>
                <w:color w:val="000000"/>
                <w:lang w:eastAsia="en-US"/>
              </w:rPr>
              <w:t xml:space="preserve">ūdzam pievienot šādu </w:t>
            </w:r>
            <w:r w:rsidR="00C6390F" w:rsidRPr="00A068A2">
              <w:rPr>
                <w:b/>
                <w:bCs/>
                <w:color w:val="000000"/>
                <w:lang w:eastAsia="en-US"/>
              </w:rPr>
              <w:t xml:space="preserve">Ministru kabineta protokollēmuma projekta punktu: </w:t>
            </w:r>
          </w:p>
          <w:p w14:paraId="2B3AD53C" w14:textId="77777777" w:rsidR="00C6390F" w:rsidRPr="00A068A2" w:rsidRDefault="00C6390F" w:rsidP="00C6390F">
            <w:pPr>
              <w:shd w:val="clear" w:color="auto" w:fill="FFFFFF"/>
              <w:jc w:val="both"/>
              <w:rPr>
                <w:b/>
                <w:bCs/>
                <w:color w:val="000000"/>
                <w:lang w:eastAsia="en-US"/>
              </w:rPr>
            </w:pPr>
            <w:r w:rsidRPr="00A068A2">
              <w:rPr>
                <w:b/>
                <w:bCs/>
                <w:color w:val="000000"/>
                <w:lang w:eastAsia="en-US"/>
              </w:rPr>
              <w:t xml:space="preserve">“Finanšu ministrijai (Valsts ieņēmumu dienestam) līdz </w:t>
            </w:r>
            <w:r w:rsidRPr="00A068A2">
              <w:rPr>
                <w:b/>
                <w:bCs/>
                <w:color w:val="000000"/>
                <w:u w:val="single"/>
                <w:lang w:eastAsia="en-US"/>
              </w:rPr>
              <w:t>___________</w:t>
            </w:r>
            <w:r w:rsidRPr="00A068A2">
              <w:rPr>
                <w:b/>
                <w:bCs/>
                <w:color w:val="000000"/>
                <w:lang w:eastAsia="en-US"/>
              </w:rPr>
              <w:t xml:space="preserve"> iesniegt Ministru kabinetā grozījumus Ministru kabineta 2015. gada 22. septembra noteikumos Nr. 537 “Noteikumi par nodok</w:t>
            </w:r>
            <w:r w:rsidRPr="00A068A2">
              <w:rPr>
                <w:rFonts w:hint="eastAsia"/>
                <w:b/>
                <w:bCs/>
                <w:color w:val="000000"/>
                <w:lang w:eastAsia="en-US"/>
              </w:rPr>
              <w:t>ļ</w:t>
            </w:r>
            <w:r w:rsidRPr="00A068A2">
              <w:rPr>
                <w:b/>
                <w:bCs/>
                <w:color w:val="000000"/>
                <w:lang w:eastAsia="en-US"/>
              </w:rPr>
              <w:t>u maks</w:t>
            </w:r>
            <w:r w:rsidRPr="00A068A2">
              <w:rPr>
                <w:rFonts w:hint="eastAsia"/>
                <w:b/>
                <w:bCs/>
                <w:color w:val="000000"/>
                <w:lang w:eastAsia="en-US"/>
              </w:rPr>
              <w:t>ā</w:t>
            </w:r>
            <w:r w:rsidRPr="00A068A2">
              <w:rPr>
                <w:b/>
                <w:bCs/>
                <w:color w:val="000000"/>
                <w:lang w:eastAsia="en-US"/>
              </w:rPr>
              <w:t>t</w:t>
            </w:r>
            <w:r w:rsidRPr="00A068A2">
              <w:rPr>
                <w:rFonts w:hint="eastAsia"/>
                <w:b/>
                <w:bCs/>
                <w:color w:val="000000"/>
                <w:lang w:eastAsia="en-US"/>
              </w:rPr>
              <w:t>ā</w:t>
            </w:r>
            <w:r w:rsidRPr="00A068A2">
              <w:rPr>
                <w:b/>
                <w:bCs/>
                <w:color w:val="000000"/>
                <w:lang w:eastAsia="en-US"/>
              </w:rPr>
              <w:t>ju un nodok</w:t>
            </w:r>
            <w:r w:rsidRPr="00A068A2">
              <w:rPr>
                <w:rFonts w:hint="eastAsia"/>
                <w:b/>
                <w:bCs/>
                <w:color w:val="000000"/>
                <w:lang w:eastAsia="en-US"/>
              </w:rPr>
              <w:t>ļ</w:t>
            </w:r>
            <w:r w:rsidRPr="00A068A2">
              <w:rPr>
                <w:b/>
                <w:bCs/>
                <w:color w:val="000000"/>
                <w:lang w:eastAsia="en-US"/>
              </w:rPr>
              <w:t>u maks</w:t>
            </w:r>
            <w:r w:rsidRPr="00A068A2">
              <w:rPr>
                <w:rFonts w:hint="eastAsia"/>
                <w:b/>
                <w:bCs/>
                <w:color w:val="000000"/>
                <w:lang w:eastAsia="en-US"/>
              </w:rPr>
              <w:t>ā</w:t>
            </w:r>
            <w:r w:rsidRPr="00A068A2">
              <w:rPr>
                <w:b/>
                <w:bCs/>
                <w:color w:val="000000"/>
                <w:lang w:eastAsia="en-US"/>
              </w:rPr>
              <w:t>t</w:t>
            </w:r>
            <w:r w:rsidRPr="00A068A2">
              <w:rPr>
                <w:rFonts w:hint="eastAsia"/>
                <w:b/>
                <w:bCs/>
                <w:color w:val="000000"/>
                <w:lang w:eastAsia="en-US"/>
              </w:rPr>
              <w:t>ā</w:t>
            </w:r>
            <w:r w:rsidRPr="00A068A2">
              <w:rPr>
                <w:b/>
                <w:bCs/>
                <w:color w:val="000000"/>
                <w:lang w:eastAsia="en-US"/>
              </w:rPr>
              <w:t>ju strukt</w:t>
            </w:r>
            <w:r w:rsidRPr="00A068A2">
              <w:rPr>
                <w:rFonts w:hint="eastAsia"/>
                <w:b/>
                <w:bCs/>
                <w:color w:val="000000"/>
                <w:lang w:eastAsia="en-US"/>
              </w:rPr>
              <w:t>ū</w:t>
            </w:r>
            <w:r w:rsidRPr="00A068A2">
              <w:rPr>
                <w:b/>
                <w:bCs/>
                <w:color w:val="000000"/>
                <w:lang w:eastAsia="en-US"/>
              </w:rPr>
              <w:t>rvien</w:t>
            </w:r>
            <w:r w:rsidRPr="00A068A2">
              <w:rPr>
                <w:rFonts w:hint="eastAsia"/>
                <w:b/>
                <w:bCs/>
                <w:color w:val="000000"/>
                <w:lang w:eastAsia="en-US"/>
              </w:rPr>
              <w:t>ī</w:t>
            </w:r>
            <w:r w:rsidRPr="00A068A2">
              <w:rPr>
                <w:b/>
                <w:bCs/>
                <w:color w:val="000000"/>
                <w:lang w:eastAsia="en-US"/>
              </w:rPr>
              <w:t>bu re</w:t>
            </w:r>
            <w:r w:rsidRPr="00A068A2">
              <w:rPr>
                <w:rFonts w:hint="eastAsia"/>
                <w:b/>
                <w:bCs/>
                <w:color w:val="000000"/>
                <w:lang w:eastAsia="en-US"/>
              </w:rPr>
              <w:t>ģ</w:t>
            </w:r>
            <w:r w:rsidRPr="00A068A2">
              <w:rPr>
                <w:b/>
                <w:bCs/>
                <w:color w:val="000000"/>
                <w:lang w:eastAsia="en-US"/>
              </w:rPr>
              <w:t>istr</w:t>
            </w:r>
            <w:r w:rsidRPr="00A068A2">
              <w:rPr>
                <w:rFonts w:hint="eastAsia"/>
                <w:b/>
                <w:bCs/>
                <w:color w:val="000000"/>
                <w:lang w:eastAsia="en-US"/>
              </w:rPr>
              <w:t>ā</w:t>
            </w:r>
            <w:r w:rsidRPr="00A068A2">
              <w:rPr>
                <w:b/>
                <w:bCs/>
                <w:color w:val="000000"/>
                <w:lang w:eastAsia="en-US"/>
              </w:rPr>
              <w:t>ciju Valsts ie</w:t>
            </w:r>
            <w:r w:rsidRPr="00A068A2">
              <w:rPr>
                <w:rFonts w:hint="eastAsia"/>
                <w:b/>
                <w:bCs/>
                <w:color w:val="000000"/>
                <w:lang w:eastAsia="en-US"/>
              </w:rPr>
              <w:t>ņē</w:t>
            </w:r>
            <w:r w:rsidRPr="00A068A2">
              <w:rPr>
                <w:b/>
                <w:bCs/>
                <w:color w:val="000000"/>
                <w:lang w:eastAsia="en-US"/>
              </w:rPr>
              <w:t>mumu dienest</w:t>
            </w:r>
            <w:r w:rsidRPr="00A068A2">
              <w:rPr>
                <w:rFonts w:hint="eastAsia"/>
                <w:b/>
                <w:bCs/>
                <w:color w:val="000000"/>
                <w:lang w:eastAsia="en-US"/>
              </w:rPr>
              <w:t>ā”</w:t>
            </w:r>
            <w:r w:rsidRPr="00A068A2">
              <w:rPr>
                <w:b/>
                <w:bCs/>
                <w:color w:val="000000"/>
                <w:lang w:eastAsia="en-US"/>
              </w:rPr>
              <w:t xml:space="preserve"> ņemot vērā Latvijas Pašvaldību savienības rosinājumus, kā arī veicinot Valsts inform</w:t>
            </w:r>
            <w:r w:rsidRPr="00A068A2">
              <w:rPr>
                <w:rFonts w:hint="eastAsia"/>
                <w:b/>
                <w:bCs/>
                <w:color w:val="000000"/>
                <w:lang w:eastAsia="en-US"/>
              </w:rPr>
              <w:t>ā</w:t>
            </w:r>
            <w:r w:rsidRPr="00A068A2">
              <w:rPr>
                <w:b/>
                <w:bCs/>
                <w:color w:val="000000"/>
                <w:lang w:eastAsia="en-US"/>
              </w:rPr>
              <w:t>cijas sist</w:t>
            </w:r>
            <w:r w:rsidRPr="00A068A2">
              <w:rPr>
                <w:rFonts w:hint="eastAsia"/>
                <w:b/>
                <w:bCs/>
                <w:color w:val="000000"/>
                <w:lang w:eastAsia="en-US"/>
              </w:rPr>
              <w:t>ē</w:t>
            </w:r>
            <w:r w:rsidRPr="00A068A2">
              <w:rPr>
                <w:b/>
                <w:bCs/>
                <w:color w:val="000000"/>
                <w:lang w:eastAsia="en-US"/>
              </w:rPr>
              <w:t>mu likuma 6. panta otr</w:t>
            </w:r>
            <w:r w:rsidRPr="00A068A2">
              <w:rPr>
                <w:rFonts w:hint="eastAsia"/>
                <w:b/>
                <w:bCs/>
                <w:color w:val="000000"/>
                <w:lang w:eastAsia="en-US"/>
              </w:rPr>
              <w:t>ā</w:t>
            </w:r>
            <w:r w:rsidRPr="00A068A2">
              <w:rPr>
                <w:b/>
                <w:bCs/>
                <w:color w:val="000000"/>
                <w:lang w:eastAsia="en-US"/>
              </w:rPr>
              <w:t xml:space="preserve"> un treš</w:t>
            </w:r>
            <w:r w:rsidRPr="00A068A2">
              <w:rPr>
                <w:rFonts w:hint="eastAsia"/>
                <w:b/>
                <w:bCs/>
                <w:color w:val="000000"/>
                <w:lang w:eastAsia="en-US"/>
              </w:rPr>
              <w:t>ā</w:t>
            </w:r>
            <w:r w:rsidRPr="00A068A2">
              <w:rPr>
                <w:b/>
                <w:bCs/>
                <w:color w:val="000000"/>
                <w:lang w:eastAsia="en-US"/>
              </w:rPr>
              <w:t xml:space="preserve"> da</w:t>
            </w:r>
            <w:r w:rsidRPr="00A068A2">
              <w:rPr>
                <w:rFonts w:hint="eastAsia"/>
                <w:b/>
                <w:bCs/>
                <w:color w:val="000000"/>
                <w:lang w:eastAsia="en-US"/>
              </w:rPr>
              <w:t>ļ</w:t>
            </w:r>
            <w:r w:rsidRPr="00A068A2">
              <w:rPr>
                <w:b/>
                <w:bCs/>
                <w:color w:val="000000"/>
                <w:lang w:eastAsia="en-US"/>
              </w:rPr>
              <w:t>as kā arī Nekustam</w:t>
            </w:r>
            <w:r w:rsidRPr="00A068A2">
              <w:rPr>
                <w:rFonts w:hint="eastAsia"/>
                <w:b/>
                <w:bCs/>
                <w:color w:val="000000"/>
                <w:lang w:eastAsia="en-US"/>
              </w:rPr>
              <w:t>ā</w:t>
            </w:r>
            <w:r w:rsidRPr="00A068A2">
              <w:rPr>
                <w:b/>
                <w:bCs/>
                <w:color w:val="000000"/>
                <w:lang w:eastAsia="en-US"/>
              </w:rPr>
              <w:t xml:space="preserve"> </w:t>
            </w:r>
            <w:r w:rsidRPr="00A068A2">
              <w:rPr>
                <w:rFonts w:hint="eastAsia"/>
                <w:b/>
                <w:bCs/>
                <w:color w:val="000000"/>
                <w:lang w:eastAsia="en-US"/>
              </w:rPr>
              <w:t>ī</w:t>
            </w:r>
            <w:r w:rsidRPr="00A068A2">
              <w:rPr>
                <w:b/>
                <w:bCs/>
                <w:color w:val="000000"/>
                <w:lang w:eastAsia="en-US"/>
              </w:rPr>
              <w:t>pašuma valsts kadastra likuma 55.panta trešās daļas īstenošanu praksē.”</w:t>
            </w:r>
          </w:p>
          <w:p w14:paraId="391EF574" w14:textId="5D36D0ED" w:rsidR="00C6390F" w:rsidRPr="008F7892" w:rsidRDefault="00C6390F" w:rsidP="008F7892">
            <w:pPr>
              <w:shd w:val="clear" w:color="auto" w:fill="FFFFFF"/>
              <w:jc w:val="both"/>
              <w:rPr>
                <w:color w:val="000000"/>
                <w:lang w:eastAsia="en-US"/>
              </w:rPr>
            </w:pPr>
            <w:r w:rsidRPr="00A068A2">
              <w:rPr>
                <w:color w:val="000000"/>
                <w:lang w:eastAsia="en-US"/>
              </w:rPr>
              <w:tab/>
            </w:r>
          </w:p>
        </w:tc>
        <w:tc>
          <w:tcPr>
            <w:tcW w:w="309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91F938F" w14:textId="77777777" w:rsidR="00C6390F" w:rsidRPr="00126C96" w:rsidRDefault="00C6390F" w:rsidP="00C6390F">
            <w:pPr>
              <w:pStyle w:val="naisc"/>
              <w:spacing w:before="0" w:after="0"/>
              <w:jc w:val="both"/>
              <w:rPr>
                <w:b/>
              </w:rPr>
            </w:pPr>
            <w:r w:rsidRPr="00126C96">
              <w:rPr>
                <w:b/>
              </w:rPr>
              <w:t>Nav ņemts vērā</w:t>
            </w:r>
          </w:p>
          <w:p w14:paraId="4B6CDAD9" w14:textId="77777777" w:rsidR="00C6390F" w:rsidRPr="00126C96" w:rsidRDefault="00C6390F" w:rsidP="00C6390F">
            <w:pPr>
              <w:pStyle w:val="naisc"/>
              <w:spacing w:before="0" w:after="0"/>
              <w:jc w:val="both"/>
              <w:rPr>
                <w:bCs/>
              </w:rPr>
            </w:pPr>
            <w:r w:rsidRPr="00126C96">
              <w:rPr>
                <w:bCs/>
              </w:rPr>
              <w:t>Skaidrojam:</w:t>
            </w:r>
          </w:p>
          <w:p w14:paraId="2A148116" w14:textId="27C413F8" w:rsidR="00C6390F" w:rsidRPr="00126C96" w:rsidRDefault="00C6390F" w:rsidP="00C6390F">
            <w:pPr>
              <w:pStyle w:val="naisc"/>
              <w:spacing w:before="0" w:after="0"/>
              <w:jc w:val="both"/>
              <w:rPr>
                <w:bCs/>
              </w:rPr>
            </w:pPr>
            <w:r w:rsidRPr="00126C96">
              <w:rPr>
                <w:bCs/>
              </w:rPr>
              <w:t xml:space="preserve">Šāda protokollēmuma punkta pievienošana nav attiecināma uz  MK rīkojuma projektu. Vienlaikus informējam, ka atbilstoši panāktajai vienošanai 19. februāra sanāksmē VID iesaistīs Latvijas Pašvaldību savienību grozījumu </w:t>
            </w:r>
            <w:r w:rsidRPr="00126C96">
              <w:rPr>
                <w:color w:val="000000"/>
                <w:lang w:eastAsia="en-US"/>
              </w:rPr>
              <w:t>MK noteikumos Nr. 537 “Noteikumi par nodok</w:t>
            </w:r>
            <w:r w:rsidRPr="00126C96">
              <w:rPr>
                <w:rFonts w:hint="eastAsia"/>
                <w:color w:val="000000"/>
                <w:lang w:eastAsia="en-US"/>
              </w:rPr>
              <w:t>ļ</w:t>
            </w:r>
            <w:r w:rsidRPr="00126C96">
              <w:rPr>
                <w:color w:val="000000"/>
                <w:lang w:eastAsia="en-US"/>
              </w:rPr>
              <w:t>u maks</w:t>
            </w:r>
            <w:r w:rsidRPr="00126C96">
              <w:rPr>
                <w:rFonts w:hint="eastAsia"/>
                <w:color w:val="000000"/>
                <w:lang w:eastAsia="en-US"/>
              </w:rPr>
              <w:t>ā</w:t>
            </w:r>
            <w:r w:rsidRPr="00126C96">
              <w:rPr>
                <w:color w:val="000000"/>
                <w:lang w:eastAsia="en-US"/>
              </w:rPr>
              <w:t>t</w:t>
            </w:r>
            <w:r w:rsidRPr="00126C96">
              <w:rPr>
                <w:rFonts w:hint="eastAsia"/>
                <w:color w:val="000000"/>
                <w:lang w:eastAsia="en-US"/>
              </w:rPr>
              <w:t>ā</w:t>
            </w:r>
            <w:r w:rsidRPr="00126C96">
              <w:rPr>
                <w:color w:val="000000"/>
                <w:lang w:eastAsia="en-US"/>
              </w:rPr>
              <w:t>ju un nodok</w:t>
            </w:r>
            <w:r w:rsidRPr="00126C96">
              <w:rPr>
                <w:rFonts w:hint="eastAsia"/>
                <w:color w:val="000000"/>
                <w:lang w:eastAsia="en-US"/>
              </w:rPr>
              <w:t>ļ</w:t>
            </w:r>
            <w:r w:rsidRPr="00126C96">
              <w:rPr>
                <w:color w:val="000000"/>
                <w:lang w:eastAsia="en-US"/>
              </w:rPr>
              <w:t>u maks</w:t>
            </w:r>
            <w:r w:rsidRPr="00126C96">
              <w:rPr>
                <w:rFonts w:hint="eastAsia"/>
                <w:color w:val="000000"/>
                <w:lang w:eastAsia="en-US"/>
              </w:rPr>
              <w:t>ā</w:t>
            </w:r>
            <w:r w:rsidRPr="00126C96">
              <w:rPr>
                <w:color w:val="000000"/>
                <w:lang w:eastAsia="en-US"/>
              </w:rPr>
              <w:t>t</w:t>
            </w:r>
            <w:r w:rsidRPr="00126C96">
              <w:rPr>
                <w:rFonts w:hint="eastAsia"/>
                <w:color w:val="000000"/>
                <w:lang w:eastAsia="en-US"/>
              </w:rPr>
              <w:t>ā</w:t>
            </w:r>
            <w:r w:rsidRPr="00126C96">
              <w:rPr>
                <w:color w:val="000000"/>
                <w:lang w:eastAsia="en-US"/>
              </w:rPr>
              <w:t>ju strukt</w:t>
            </w:r>
            <w:r w:rsidRPr="00126C96">
              <w:rPr>
                <w:rFonts w:hint="eastAsia"/>
                <w:color w:val="000000"/>
                <w:lang w:eastAsia="en-US"/>
              </w:rPr>
              <w:t>ū</w:t>
            </w:r>
            <w:r w:rsidRPr="00126C96">
              <w:rPr>
                <w:color w:val="000000"/>
                <w:lang w:eastAsia="en-US"/>
              </w:rPr>
              <w:t>rvien</w:t>
            </w:r>
            <w:r w:rsidRPr="00126C96">
              <w:rPr>
                <w:rFonts w:hint="eastAsia"/>
                <w:color w:val="000000"/>
                <w:lang w:eastAsia="en-US"/>
              </w:rPr>
              <w:t>ī</w:t>
            </w:r>
            <w:r w:rsidRPr="00126C96">
              <w:rPr>
                <w:color w:val="000000"/>
                <w:lang w:eastAsia="en-US"/>
              </w:rPr>
              <w:t>bu re</w:t>
            </w:r>
            <w:r w:rsidRPr="00126C96">
              <w:rPr>
                <w:rFonts w:hint="eastAsia"/>
                <w:color w:val="000000"/>
                <w:lang w:eastAsia="en-US"/>
              </w:rPr>
              <w:t>ģ</w:t>
            </w:r>
            <w:r w:rsidRPr="00126C96">
              <w:rPr>
                <w:color w:val="000000"/>
                <w:lang w:eastAsia="en-US"/>
              </w:rPr>
              <w:t>istr</w:t>
            </w:r>
            <w:r w:rsidRPr="00126C96">
              <w:rPr>
                <w:rFonts w:hint="eastAsia"/>
                <w:color w:val="000000"/>
                <w:lang w:eastAsia="en-US"/>
              </w:rPr>
              <w:t>ā</w:t>
            </w:r>
            <w:r w:rsidRPr="00126C96">
              <w:rPr>
                <w:color w:val="000000"/>
                <w:lang w:eastAsia="en-US"/>
              </w:rPr>
              <w:t>ciju Valsts ie</w:t>
            </w:r>
            <w:r w:rsidRPr="00126C96">
              <w:rPr>
                <w:rFonts w:hint="eastAsia"/>
                <w:color w:val="000000"/>
                <w:lang w:eastAsia="en-US"/>
              </w:rPr>
              <w:t>ņē</w:t>
            </w:r>
            <w:r w:rsidRPr="00126C96">
              <w:rPr>
                <w:color w:val="000000"/>
                <w:lang w:eastAsia="en-US"/>
              </w:rPr>
              <w:t>mumu dienest</w:t>
            </w:r>
            <w:r w:rsidRPr="00126C96">
              <w:rPr>
                <w:rFonts w:hint="eastAsia"/>
                <w:color w:val="000000"/>
                <w:lang w:eastAsia="en-US"/>
              </w:rPr>
              <w:t>ā”</w:t>
            </w:r>
            <w:r w:rsidRPr="00126C96">
              <w:rPr>
                <w:color w:val="000000"/>
                <w:lang w:eastAsia="en-US"/>
              </w:rPr>
              <w:t xml:space="preserve"> </w:t>
            </w:r>
            <w:r w:rsidRPr="00126C96">
              <w:rPr>
                <w:bCs/>
              </w:rPr>
              <w:t>redakciju izstrādē</w:t>
            </w:r>
            <w:r w:rsidR="00B86B7A">
              <w:rPr>
                <w:bCs/>
              </w:rPr>
              <w:t>,</w:t>
            </w:r>
            <w:r w:rsidR="00865762">
              <w:rPr>
                <w:bCs/>
              </w:rPr>
              <w:t xml:space="preserve"> normatīvajos aktos noteiktajā kārtībā.</w:t>
            </w:r>
          </w:p>
          <w:p w14:paraId="73BB30D7" w14:textId="77777777" w:rsidR="00C6390F" w:rsidRPr="00126C96" w:rsidRDefault="00C6390F" w:rsidP="00C6390F">
            <w:pPr>
              <w:pStyle w:val="naisc"/>
              <w:spacing w:before="0" w:after="0"/>
              <w:jc w:val="both"/>
              <w:rPr>
                <w:b/>
              </w:rPr>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6F4D8FCE" w14:textId="3117E221" w:rsidR="00C6390F" w:rsidRPr="00FD7ED6" w:rsidRDefault="00F4787C" w:rsidP="00C6390F">
            <w:pPr>
              <w:rPr>
                <w:b/>
                <w:bCs/>
              </w:rPr>
            </w:pPr>
            <w:r w:rsidRPr="00FD7ED6">
              <w:rPr>
                <w:b/>
                <w:bCs/>
              </w:rPr>
              <w:t>LPS uztur iebildumu</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2BAAA" w14:textId="77777777" w:rsidR="00C6390F" w:rsidRDefault="00C6390F" w:rsidP="00C6390F"/>
        </w:tc>
      </w:tr>
      <w:tr w:rsidR="001245BD" w14:paraId="5702056D" w14:textId="77777777" w:rsidTr="00115850">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8C4A75" w14:textId="77777777" w:rsidR="001245BD" w:rsidRDefault="001245BD" w:rsidP="001245BD">
            <w:pPr>
              <w:pStyle w:val="naisc"/>
              <w:numPr>
                <w:ilvl w:val="0"/>
                <w:numId w:val="1"/>
              </w:numPr>
              <w:spacing w:before="0" w:after="0"/>
            </w:pP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511579A" w14:textId="1290E8AF" w:rsidR="001245BD" w:rsidRPr="0085689C" w:rsidRDefault="001245BD" w:rsidP="001245BD">
            <w:pPr>
              <w:pStyle w:val="naisc"/>
              <w:spacing w:before="0" w:after="0"/>
              <w:jc w:val="left"/>
            </w:pPr>
            <w:r w:rsidRPr="00106825">
              <w:t>Neattiecas uz saskaņošanai nosūtīto MK rīkojuma projekta redakciju</w:t>
            </w:r>
          </w:p>
        </w:tc>
        <w:tc>
          <w:tcPr>
            <w:tcW w:w="328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3683B70" w14:textId="58216E1D" w:rsidR="001245BD" w:rsidRPr="006531F9" w:rsidRDefault="00B60A2C" w:rsidP="001245BD">
            <w:pPr>
              <w:shd w:val="clear" w:color="auto" w:fill="FFFFFF"/>
              <w:jc w:val="both"/>
              <w:rPr>
                <w:b/>
                <w:bCs/>
                <w:color w:val="000000"/>
                <w:lang w:eastAsia="en-US"/>
              </w:rPr>
            </w:pPr>
            <w:r>
              <w:rPr>
                <w:color w:val="000000"/>
                <w:lang w:eastAsia="en-US"/>
              </w:rPr>
              <w:t>L</w:t>
            </w:r>
            <w:r w:rsidR="001245BD" w:rsidRPr="006531F9">
              <w:rPr>
                <w:color w:val="000000"/>
                <w:lang w:eastAsia="en-US"/>
              </w:rPr>
              <w:t>ūdzam pievienot š</w:t>
            </w:r>
            <w:r w:rsidR="001245BD" w:rsidRPr="006531F9">
              <w:rPr>
                <w:rFonts w:hint="eastAsia"/>
                <w:color w:val="000000"/>
                <w:lang w:eastAsia="en-US"/>
              </w:rPr>
              <w:t>ā</w:t>
            </w:r>
            <w:r w:rsidR="001245BD" w:rsidRPr="006531F9">
              <w:rPr>
                <w:color w:val="000000"/>
                <w:lang w:eastAsia="en-US"/>
              </w:rPr>
              <w:t xml:space="preserve">du </w:t>
            </w:r>
            <w:r w:rsidR="001245BD" w:rsidRPr="006531F9">
              <w:rPr>
                <w:b/>
                <w:bCs/>
                <w:color w:val="000000"/>
                <w:lang w:eastAsia="en-US"/>
              </w:rPr>
              <w:t>Ministru kabineta protokoll</w:t>
            </w:r>
            <w:r w:rsidR="001245BD" w:rsidRPr="006531F9">
              <w:rPr>
                <w:rFonts w:hint="eastAsia"/>
                <w:b/>
                <w:bCs/>
                <w:color w:val="000000"/>
                <w:lang w:eastAsia="en-US"/>
              </w:rPr>
              <w:t>ē</w:t>
            </w:r>
            <w:r w:rsidR="001245BD" w:rsidRPr="006531F9">
              <w:rPr>
                <w:b/>
                <w:bCs/>
                <w:color w:val="000000"/>
                <w:lang w:eastAsia="en-US"/>
              </w:rPr>
              <w:t xml:space="preserve">muma projekta punktu: </w:t>
            </w:r>
          </w:p>
          <w:p w14:paraId="255A7468" w14:textId="70BCF5BA" w:rsidR="001245BD" w:rsidRDefault="001245BD" w:rsidP="001245BD">
            <w:pPr>
              <w:shd w:val="clear" w:color="auto" w:fill="FFFFFF"/>
              <w:jc w:val="both"/>
              <w:rPr>
                <w:color w:val="000000"/>
                <w:lang w:eastAsia="en-US"/>
              </w:rPr>
            </w:pPr>
            <w:r w:rsidRPr="006531F9">
              <w:rPr>
                <w:rFonts w:hint="eastAsia"/>
                <w:b/>
                <w:bCs/>
                <w:color w:val="000000"/>
                <w:lang w:eastAsia="en-US"/>
              </w:rPr>
              <w:t>“</w:t>
            </w:r>
            <w:r w:rsidRPr="006531F9">
              <w:rPr>
                <w:b/>
                <w:bCs/>
                <w:color w:val="000000"/>
                <w:lang w:eastAsia="en-US"/>
              </w:rPr>
              <w:t>Finanšu ministrijai (Valsts ie</w:t>
            </w:r>
            <w:r w:rsidRPr="006531F9">
              <w:rPr>
                <w:rFonts w:hint="eastAsia"/>
                <w:b/>
                <w:bCs/>
                <w:color w:val="000000"/>
                <w:lang w:eastAsia="en-US"/>
              </w:rPr>
              <w:t>ņē</w:t>
            </w:r>
            <w:r w:rsidRPr="006531F9">
              <w:rPr>
                <w:b/>
                <w:bCs/>
                <w:color w:val="000000"/>
                <w:lang w:eastAsia="en-US"/>
              </w:rPr>
              <w:t>mumu dienestam) l</w:t>
            </w:r>
            <w:r w:rsidRPr="006531F9">
              <w:rPr>
                <w:rFonts w:hint="eastAsia"/>
                <w:b/>
                <w:bCs/>
                <w:color w:val="000000"/>
                <w:lang w:eastAsia="en-US"/>
              </w:rPr>
              <w:t>ī</w:t>
            </w:r>
            <w:r w:rsidRPr="006531F9">
              <w:rPr>
                <w:b/>
                <w:bCs/>
                <w:color w:val="000000"/>
                <w:lang w:eastAsia="en-US"/>
              </w:rPr>
              <w:t xml:space="preserve">dz </w:t>
            </w:r>
            <w:r w:rsidRPr="006531F9">
              <w:rPr>
                <w:b/>
                <w:bCs/>
                <w:color w:val="000000"/>
                <w:u w:val="single"/>
                <w:lang w:eastAsia="en-US"/>
              </w:rPr>
              <w:lastRenderedPageBreak/>
              <w:t xml:space="preserve">_______ </w:t>
            </w:r>
            <w:r w:rsidRPr="006531F9">
              <w:rPr>
                <w:b/>
                <w:bCs/>
                <w:color w:val="000000"/>
                <w:lang w:eastAsia="en-US"/>
              </w:rPr>
              <w:t>iesniegt Ministru kabinet</w:t>
            </w:r>
            <w:r w:rsidRPr="006531F9">
              <w:rPr>
                <w:rFonts w:hint="eastAsia"/>
                <w:b/>
                <w:bCs/>
                <w:color w:val="000000"/>
                <w:lang w:eastAsia="en-US"/>
              </w:rPr>
              <w:t>ā</w:t>
            </w:r>
            <w:r w:rsidRPr="006531F9">
              <w:rPr>
                <w:b/>
                <w:bCs/>
                <w:color w:val="000000"/>
                <w:lang w:eastAsia="en-US"/>
              </w:rPr>
              <w:t xml:space="preserve"> groz</w:t>
            </w:r>
            <w:r w:rsidRPr="006531F9">
              <w:rPr>
                <w:rFonts w:hint="eastAsia"/>
                <w:b/>
                <w:bCs/>
                <w:color w:val="000000"/>
                <w:lang w:eastAsia="en-US"/>
              </w:rPr>
              <w:t>ī</w:t>
            </w:r>
            <w:r w:rsidRPr="006531F9">
              <w:rPr>
                <w:b/>
                <w:bCs/>
                <w:color w:val="000000"/>
                <w:lang w:eastAsia="en-US"/>
              </w:rPr>
              <w:t>jumus normatīvajos aktos, kas veicinās iespējas ar automatizētām metodēm izmantot citās valsts informācijas sistēmās esošos datus nodokļu administrēšanā, jo īpaši par nodokļu maksātāja fiziskajām darbības vietām.”</w:t>
            </w:r>
          </w:p>
        </w:tc>
        <w:tc>
          <w:tcPr>
            <w:tcW w:w="309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C2BC9B2" w14:textId="77777777" w:rsidR="001245BD" w:rsidRPr="00E8223D" w:rsidRDefault="001245BD" w:rsidP="001245BD">
            <w:pPr>
              <w:pStyle w:val="naisc"/>
              <w:spacing w:before="0" w:after="0"/>
              <w:jc w:val="both"/>
              <w:rPr>
                <w:b/>
              </w:rPr>
            </w:pPr>
            <w:r w:rsidRPr="00E8223D">
              <w:rPr>
                <w:b/>
              </w:rPr>
              <w:lastRenderedPageBreak/>
              <w:t>Daļēji ņemts vērā</w:t>
            </w:r>
          </w:p>
          <w:p w14:paraId="56E58582" w14:textId="77777777" w:rsidR="001245BD" w:rsidRPr="005549B3" w:rsidRDefault="001245BD" w:rsidP="001245BD">
            <w:pPr>
              <w:pStyle w:val="naisc"/>
              <w:jc w:val="both"/>
              <w:rPr>
                <w:bCs/>
              </w:rPr>
            </w:pPr>
            <w:r w:rsidRPr="005549B3">
              <w:rPr>
                <w:bCs/>
              </w:rPr>
              <w:t xml:space="preserve">Iebildumi ir skatāmi ārpus projekta tvēruma, jo </w:t>
            </w:r>
          </w:p>
          <w:p w14:paraId="3E3FAFE2" w14:textId="2A3E61C4" w:rsidR="001245BD" w:rsidRPr="005549B3" w:rsidRDefault="001245BD" w:rsidP="001245BD">
            <w:pPr>
              <w:pStyle w:val="naisc"/>
              <w:jc w:val="both"/>
              <w:rPr>
                <w:bCs/>
              </w:rPr>
            </w:pPr>
            <w:r w:rsidRPr="005549B3">
              <w:rPr>
                <w:bCs/>
              </w:rPr>
              <w:t xml:space="preserve">projektā paredzētais saturiskais ietvars, aktivitātes un finansējums nav </w:t>
            </w:r>
            <w:r w:rsidRPr="005549B3">
              <w:rPr>
                <w:bCs/>
              </w:rPr>
              <w:lastRenderedPageBreak/>
              <w:t>pietiekams, lai risinātu papildus izvirzītās prasības datu apmaiņai ar citām sistēmām. Primāri jānodrošina, lai šobrīd izstrādē esošā Maksājumu administrēšanas informācijas sistēma būtu funkcionējoša, atbilstu spēkā esošajam normatīvajam regulējumam un varētu nodrošināt</w:t>
            </w:r>
            <w:r w:rsidR="00FF267B">
              <w:rPr>
                <w:bCs/>
              </w:rPr>
              <w:t xml:space="preserve"> </w:t>
            </w:r>
            <w:r w:rsidRPr="00FD7ED6">
              <w:rPr>
                <w:bCs/>
              </w:rPr>
              <w:t>VID</w:t>
            </w:r>
            <w:r w:rsidRPr="005549B3">
              <w:rPr>
                <w:bCs/>
              </w:rPr>
              <w:t xml:space="preserve"> pakalpojumu sniegšanu.</w:t>
            </w:r>
          </w:p>
          <w:p w14:paraId="2C4B3AE8" w14:textId="77777777" w:rsidR="001245BD" w:rsidRPr="005549B3" w:rsidRDefault="001245BD" w:rsidP="001245BD">
            <w:pPr>
              <w:pStyle w:val="naisc"/>
              <w:jc w:val="both"/>
              <w:rPr>
                <w:bCs/>
              </w:rPr>
            </w:pPr>
            <w:r w:rsidRPr="005549B3">
              <w:rPr>
                <w:bCs/>
              </w:rPr>
              <w:t xml:space="preserve">Lai kopīgiem spēkiem virzītos uz vienas pieturas pakalpojumu īstenošanu, atbalstāma ir vienota starpresoru pakalpojuma izveide, kas integrētu gan saimnieciskās darbības adreses deklarēšanu, gan īres līguma reģistrēšanas pakalpojumu. </w:t>
            </w:r>
          </w:p>
          <w:p w14:paraId="5D1FACE6" w14:textId="77777777" w:rsidR="001245BD" w:rsidRPr="005549B3" w:rsidRDefault="001245BD" w:rsidP="001245BD">
            <w:pPr>
              <w:pStyle w:val="naisc"/>
              <w:jc w:val="both"/>
              <w:rPr>
                <w:bCs/>
              </w:rPr>
            </w:pPr>
            <w:r w:rsidRPr="005549B3">
              <w:rPr>
                <w:bCs/>
              </w:rPr>
              <w:t xml:space="preserve">Mērķa sasniegšanai vispirms jāpanāk vienošanās ar iesaistītajām institūcijām un jāveic atbilstoši nepieciešamie grozījumi normatīvajos aktos, lai secīgi paredzētu resursus un noteiktu prasības nākamo periodu investīciju tehnoloģisko risinājumu attīstības projektos, tā </w:t>
            </w:r>
            <w:r w:rsidRPr="005549B3">
              <w:rPr>
                <w:bCs/>
              </w:rPr>
              <w:lastRenderedPageBreak/>
              <w:t>īstenojot izmaiņas iesaistīto iestāžu informācijas sistēmās un organizētu datu nodošanas vai saņemšanas procesus starp iestādēm.</w:t>
            </w:r>
          </w:p>
          <w:p w14:paraId="1A307BDF" w14:textId="2338CC7F" w:rsidR="001245BD" w:rsidRPr="00126C96" w:rsidRDefault="001245BD" w:rsidP="001245BD">
            <w:pPr>
              <w:pStyle w:val="naisc"/>
              <w:spacing w:before="0" w:after="0"/>
              <w:jc w:val="both"/>
              <w:rPr>
                <w:b/>
              </w:rPr>
            </w:pPr>
            <w:r w:rsidRPr="005549B3">
              <w:rPr>
                <w:bCs/>
              </w:rPr>
              <w:t>Tā kā priekšlikumu par datu automatizētu kombinēšanu, identificētu nepieciešamās izmaiņas normatīvajā regulējumā un tehniskajos risinājumos izvērtēšanai jāpiesaista attiecīgo jomu politiku veidojošās ministrijas un sistēmu turētāji, VARAM koordinēs šī vienreizes principa nodrošināšanu valsts pārvaldes informācijas sistēmu attīstības projektu saskaņošanas un uzraudzības procesa ietvaros.</w:t>
            </w: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5E3DA042" w14:textId="13A8E8B8" w:rsidR="00F4787C" w:rsidRPr="00FD7ED6" w:rsidRDefault="00F4787C" w:rsidP="001245BD">
            <w:pPr>
              <w:rPr>
                <w:b/>
                <w:bCs/>
              </w:rPr>
            </w:pPr>
            <w:r w:rsidRPr="00FD7ED6">
              <w:rPr>
                <w:b/>
                <w:bCs/>
              </w:rPr>
              <w:lastRenderedPageBreak/>
              <w:t>LPS uztur iebildumu</w:t>
            </w:r>
            <w:r w:rsidR="00802625" w:rsidRPr="00FD7ED6">
              <w:rPr>
                <w:b/>
                <w:bCs/>
              </w:rPr>
              <w:t>:</w:t>
            </w:r>
          </w:p>
          <w:p w14:paraId="510CD56E" w14:textId="7C4AD796" w:rsidR="001245BD" w:rsidRPr="00C6390F" w:rsidRDefault="001245BD" w:rsidP="001245BD">
            <w:r w:rsidRPr="001245BD">
              <w:t xml:space="preserve">Tā kā izziņā netiek konceptuāli iebilsts pret nepieciešamību ar automatizētām metodēm izmantot </w:t>
            </w:r>
            <w:r w:rsidRPr="001245BD">
              <w:lastRenderedPageBreak/>
              <w:t>citās valsts informācijas sistēmās esošos datus, LPS neredz pamatojumu šāda Ministru kabineta uzdevuma projekta nepievienošanai.</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64B85F" w14:textId="77777777" w:rsidR="001245BD" w:rsidRDefault="001245BD" w:rsidP="001245BD"/>
        </w:tc>
      </w:tr>
      <w:tr w:rsidR="00B60A2C" w14:paraId="5ED0A6BE" w14:textId="77777777" w:rsidTr="00115850">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4897CA" w14:textId="77777777" w:rsidR="00B60A2C" w:rsidRDefault="00B60A2C" w:rsidP="00B60A2C">
            <w:pPr>
              <w:pStyle w:val="naisc"/>
              <w:numPr>
                <w:ilvl w:val="0"/>
                <w:numId w:val="1"/>
              </w:numPr>
              <w:spacing w:before="0" w:after="0"/>
            </w:pP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8F3EE3C" w14:textId="2A70AEA0" w:rsidR="00B60A2C" w:rsidRPr="00106825" w:rsidRDefault="00B60A2C" w:rsidP="00B60A2C">
            <w:pPr>
              <w:pStyle w:val="naisc"/>
              <w:spacing w:before="0" w:after="0"/>
              <w:jc w:val="left"/>
            </w:pPr>
            <w:r>
              <w:t xml:space="preserve">MK </w:t>
            </w:r>
            <w:r w:rsidRPr="00CA0899">
              <w:t xml:space="preserve">rīkojuma projekta </w:t>
            </w:r>
            <w:r>
              <w:t>pielikums</w:t>
            </w:r>
          </w:p>
        </w:tc>
        <w:tc>
          <w:tcPr>
            <w:tcW w:w="328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FE80BB0" w14:textId="20FF60D0" w:rsidR="00B60A2C" w:rsidRPr="000D0DFC" w:rsidRDefault="00B60A2C" w:rsidP="00B60A2C">
            <w:pPr>
              <w:shd w:val="clear" w:color="auto" w:fill="FFFFFF"/>
              <w:jc w:val="both"/>
              <w:rPr>
                <w:color w:val="000000"/>
                <w:lang w:eastAsia="en-US"/>
              </w:rPr>
            </w:pPr>
            <w:r w:rsidRPr="000D0DFC">
              <w:rPr>
                <w:b/>
                <w:bCs/>
                <w:color w:val="000000"/>
                <w:lang w:eastAsia="en-US"/>
              </w:rPr>
              <w:t>Tāpēc lūdzam papildināt projektu ar sadaļu, kas pilnveidos EDS, atļaujot integrēt “pilnvarot</w:t>
            </w:r>
            <w:r w:rsidRPr="000D0DFC">
              <w:rPr>
                <w:rFonts w:hint="eastAsia"/>
                <w:b/>
                <w:bCs/>
                <w:color w:val="000000"/>
                <w:lang w:eastAsia="en-US"/>
              </w:rPr>
              <w:t>ā</w:t>
            </w:r>
            <w:r w:rsidRPr="000D0DFC">
              <w:rPr>
                <w:b/>
                <w:bCs/>
                <w:color w:val="000000"/>
                <w:lang w:eastAsia="en-US"/>
              </w:rPr>
              <w:t xml:space="preserve"> e-pakalpojumu” un vienlaikus EDS veicot atzīmes, ka persona EDS lietojusi nevis pati, bet ar pilnvarotās personas palīdzību</w:t>
            </w:r>
            <w:r w:rsidRPr="000D0DFC">
              <w:rPr>
                <w:color w:val="000000"/>
                <w:lang w:eastAsia="en-US"/>
              </w:rPr>
              <w:t xml:space="preserve">. Vai arī pievienot attiecīgu Ministru kabineta protokoluzdevuma projektu ar konkrētu termiņu - </w:t>
            </w:r>
            <w:r w:rsidRPr="000D0DFC">
              <w:rPr>
                <w:color w:val="000000"/>
                <w:lang w:eastAsia="en-US"/>
              </w:rPr>
              <w:lastRenderedPageBreak/>
              <w:t>kādā šādi pilnveidojumi jāīsteno.</w:t>
            </w:r>
          </w:p>
          <w:p w14:paraId="51074312" w14:textId="77777777" w:rsidR="00B60A2C" w:rsidRPr="006531F9" w:rsidRDefault="00B60A2C" w:rsidP="00B60A2C">
            <w:pPr>
              <w:shd w:val="clear" w:color="auto" w:fill="FFFFFF"/>
              <w:jc w:val="both"/>
              <w:rPr>
                <w:color w:val="000000"/>
                <w:lang w:eastAsia="en-US"/>
              </w:rPr>
            </w:pPr>
          </w:p>
        </w:tc>
        <w:tc>
          <w:tcPr>
            <w:tcW w:w="309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415376E" w14:textId="77777777" w:rsidR="00B60A2C" w:rsidRPr="00E8223D" w:rsidRDefault="00B60A2C" w:rsidP="00B60A2C">
            <w:pPr>
              <w:pStyle w:val="naisc"/>
              <w:spacing w:before="0" w:after="0"/>
              <w:jc w:val="both"/>
              <w:rPr>
                <w:b/>
                <w:bCs/>
              </w:rPr>
            </w:pPr>
            <w:r w:rsidRPr="00E8223D">
              <w:rPr>
                <w:b/>
                <w:bCs/>
              </w:rPr>
              <w:lastRenderedPageBreak/>
              <w:t>Nav ņemts vērā</w:t>
            </w:r>
          </w:p>
          <w:p w14:paraId="6BD3B1B6" w14:textId="66A264F6" w:rsidR="003A45D4" w:rsidRDefault="0022037D" w:rsidP="00B60A2C">
            <w:pPr>
              <w:pStyle w:val="naisc"/>
              <w:spacing w:before="0" w:after="0"/>
              <w:jc w:val="both"/>
              <w:rPr>
                <w:bCs/>
              </w:rPr>
            </w:pPr>
            <w:r>
              <w:rPr>
                <w:bCs/>
              </w:rPr>
              <w:t>P</w:t>
            </w:r>
            <w:r w:rsidR="00DD60AE">
              <w:rPr>
                <w:bCs/>
              </w:rPr>
              <w:t xml:space="preserve">ilnvarotais e-pakalpojums </w:t>
            </w:r>
            <w:r w:rsidR="00334705">
              <w:rPr>
                <w:bCs/>
              </w:rPr>
              <w:t xml:space="preserve">ir pakalpojums, </w:t>
            </w:r>
            <w:r w:rsidR="00334705" w:rsidRPr="00334705">
              <w:rPr>
                <w:bCs/>
              </w:rPr>
              <w:t>kuru fiziskas personas vārdā, pamatojoties uz pilnvarojumu, piesaka vienotā klientu apkalpošanas centra darbinieks</w:t>
            </w:r>
            <w:r w:rsidR="00B70617">
              <w:rPr>
                <w:bCs/>
              </w:rPr>
              <w:t xml:space="preserve">, taču </w:t>
            </w:r>
            <w:r w:rsidR="00B70617" w:rsidRPr="00456D7B">
              <w:rPr>
                <w:bCs/>
              </w:rPr>
              <w:t>projekt</w:t>
            </w:r>
            <w:r w:rsidR="00456D7B" w:rsidRPr="00456D7B">
              <w:rPr>
                <w:bCs/>
              </w:rPr>
              <w:t>a</w:t>
            </w:r>
            <w:r w:rsidR="00D43634">
              <w:rPr>
                <w:bCs/>
              </w:rPr>
              <w:t xml:space="preserve"> “Nodokļu pakalpojumu automatizācija”</w:t>
            </w:r>
            <w:r w:rsidR="00456D7B">
              <w:rPr>
                <w:bCs/>
              </w:rPr>
              <w:t xml:space="preserve"> ietvaros</w:t>
            </w:r>
            <w:r w:rsidR="00B70617">
              <w:rPr>
                <w:bCs/>
              </w:rPr>
              <w:t xml:space="preserve"> </w:t>
            </w:r>
            <w:r w:rsidR="00D43634">
              <w:rPr>
                <w:bCs/>
              </w:rPr>
              <w:t>tiks</w:t>
            </w:r>
            <w:r w:rsidR="00D2076E">
              <w:rPr>
                <w:bCs/>
              </w:rPr>
              <w:t xml:space="preserve"> </w:t>
            </w:r>
            <w:r w:rsidR="0043717C">
              <w:rPr>
                <w:bCs/>
              </w:rPr>
              <w:t>i</w:t>
            </w:r>
            <w:r w:rsidR="005E336D" w:rsidRPr="005E336D">
              <w:rPr>
                <w:bCs/>
              </w:rPr>
              <w:t xml:space="preserve">zveidots proaktīvais pakalpojums </w:t>
            </w:r>
            <w:r w:rsidR="00242E2D">
              <w:rPr>
                <w:bCs/>
              </w:rPr>
              <w:t>- nodokļu pārmaksas</w:t>
            </w:r>
            <w:r w:rsidR="005E336D" w:rsidRPr="005E336D">
              <w:rPr>
                <w:bCs/>
              </w:rPr>
              <w:t xml:space="preserve"> automātiskā atmaksa</w:t>
            </w:r>
            <w:r w:rsidR="004A6A24">
              <w:rPr>
                <w:bCs/>
              </w:rPr>
              <w:t xml:space="preserve">, kur </w:t>
            </w:r>
            <w:r w:rsidR="004A6A24">
              <w:rPr>
                <w:bCs/>
              </w:rPr>
              <w:lastRenderedPageBreak/>
              <w:t>fiziskas personas iesaiste</w:t>
            </w:r>
            <w:r w:rsidR="00C017C0">
              <w:rPr>
                <w:bCs/>
              </w:rPr>
              <w:t>, jeb pakalpojuma pieteikšana</w:t>
            </w:r>
            <w:r w:rsidR="00520CCF">
              <w:rPr>
                <w:bCs/>
              </w:rPr>
              <w:t xml:space="preserve"> nav nepieciešama.</w:t>
            </w:r>
            <w:r w:rsidR="00131C08">
              <w:rPr>
                <w:bCs/>
              </w:rPr>
              <w:t xml:space="preserve"> L</w:t>
            </w:r>
            <w:r w:rsidR="003162BA">
              <w:rPr>
                <w:bCs/>
              </w:rPr>
              <w:t>ī</w:t>
            </w:r>
            <w:r w:rsidR="00131C08">
              <w:rPr>
                <w:bCs/>
              </w:rPr>
              <w:t xml:space="preserve">dz ar to </w:t>
            </w:r>
            <w:r w:rsidR="00F176E6">
              <w:rPr>
                <w:bCs/>
              </w:rPr>
              <w:t>EDS pilnveide pilnvarot</w:t>
            </w:r>
            <w:r w:rsidR="003A4573">
              <w:rPr>
                <w:bCs/>
              </w:rPr>
              <w:t>o e-pakalpojumu</w:t>
            </w:r>
            <w:r w:rsidR="001F2A99">
              <w:rPr>
                <w:bCs/>
              </w:rPr>
              <w:t xml:space="preserve"> integrācijai</w:t>
            </w:r>
            <w:r w:rsidR="00682689">
              <w:rPr>
                <w:bCs/>
              </w:rPr>
              <w:t xml:space="preserve"> nav šī projekta tvērumā</w:t>
            </w:r>
            <w:r w:rsidR="00BA001C">
              <w:rPr>
                <w:bCs/>
              </w:rPr>
              <w:t>.</w:t>
            </w:r>
          </w:p>
          <w:p w14:paraId="1EA4EA20" w14:textId="7F0F188C" w:rsidR="00D43634" w:rsidRPr="00131C08" w:rsidRDefault="003A45D4" w:rsidP="00B60A2C">
            <w:pPr>
              <w:pStyle w:val="naisc"/>
              <w:spacing w:before="0" w:after="0"/>
              <w:jc w:val="both"/>
              <w:rPr>
                <w:bCs/>
              </w:rPr>
            </w:pPr>
            <w:r>
              <w:rPr>
                <w:bCs/>
              </w:rPr>
              <w:t>A</w:t>
            </w:r>
            <w:r w:rsidR="001C4538">
              <w:rPr>
                <w:bCs/>
              </w:rPr>
              <w:t xml:space="preserve">tbilstoši </w:t>
            </w:r>
            <w:r>
              <w:rPr>
                <w:bCs/>
              </w:rPr>
              <w:t xml:space="preserve">VARAM un VID panāktajai konceptuālai </w:t>
            </w:r>
            <w:r w:rsidR="00B92E0E">
              <w:rPr>
                <w:bCs/>
              </w:rPr>
              <w:t>vienošanai</w:t>
            </w:r>
            <w:r w:rsidR="003F5E00">
              <w:rPr>
                <w:bCs/>
              </w:rPr>
              <w:t xml:space="preserve"> VID </w:t>
            </w:r>
            <w:r w:rsidR="007B0941">
              <w:rPr>
                <w:bCs/>
              </w:rPr>
              <w:t xml:space="preserve">ieviesīs </w:t>
            </w:r>
            <w:r w:rsidR="00A71635">
              <w:rPr>
                <w:bCs/>
              </w:rPr>
              <w:t>pilnvarotā e-pakalpojuma risinājum</w:t>
            </w:r>
            <w:r w:rsidR="00800AFC">
              <w:rPr>
                <w:bCs/>
              </w:rPr>
              <w:t>a iekļaušanu</w:t>
            </w:r>
            <w:r w:rsidR="00CD5029">
              <w:rPr>
                <w:bCs/>
              </w:rPr>
              <w:t xml:space="preserve"> savās sistēmās</w:t>
            </w:r>
            <w:r w:rsidR="00E80BA2">
              <w:rPr>
                <w:bCs/>
              </w:rPr>
              <w:t xml:space="preserve">, uzsākot tā </w:t>
            </w:r>
            <w:r w:rsidR="003F3175">
              <w:rPr>
                <w:bCs/>
              </w:rPr>
              <w:t>izstādei nepieciešamās darbības normatīvajos aktos noteiktajā kārtībā.</w:t>
            </w:r>
            <w:r w:rsidR="00C1783B">
              <w:rPr>
                <w:bCs/>
              </w:rPr>
              <w:t xml:space="preserve"> </w:t>
            </w: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17030C97" w14:textId="4FE8178D" w:rsidR="00256C5B" w:rsidRPr="0091744F" w:rsidRDefault="00256C5B" w:rsidP="00B60A2C">
            <w:pPr>
              <w:rPr>
                <w:b/>
                <w:bCs/>
              </w:rPr>
            </w:pPr>
            <w:r w:rsidRPr="0091744F">
              <w:rPr>
                <w:b/>
                <w:bCs/>
              </w:rPr>
              <w:lastRenderedPageBreak/>
              <w:t>LPS uztur iebildumu un to papildina:</w:t>
            </w:r>
          </w:p>
          <w:p w14:paraId="37B68646" w14:textId="35D3BCE9" w:rsidR="00B60A2C" w:rsidRPr="0091744F" w:rsidRDefault="00E54183" w:rsidP="00B60A2C">
            <w:r w:rsidRPr="0091744F">
              <w:t xml:space="preserve">Atkārtoti lūdzam papildināt projektu ar sadaļu, kas pilnveidos EDS, atļaujot integrēt “pilnvarotā e-pakalpojumu” un vienlaikus EDS veicot atzīmes, ka persona EDS lietojusi nevis pati, bet ar pilnvarotās personas palīdzību. </w:t>
            </w:r>
            <w:r w:rsidRPr="0091744F">
              <w:lastRenderedPageBreak/>
              <w:t>Vai arī pievienot attiecīgu Ministru kabineta protokoluzdevuma projektu ar konkrētu termiņu - kādā šādi pilnveidojumi jāīsteno.</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49EB31" w14:textId="77777777" w:rsidR="00B60A2C" w:rsidRDefault="00B60A2C" w:rsidP="00B60A2C"/>
        </w:tc>
      </w:tr>
      <w:tr w:rsidR="006E6074" w14:paraId="7FCE0053" w14:textId="77777777" w:rsidTr="00115850">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0A3A71" w14:textId="77777777" w:rsidR="006E6074" w:rsidRDefault="006E6074" w:rsidP="006E6074">
            <w:pPr>
              <w:pStyle w:val="naisc"/>
              <w:numPr>
                <w:ilvl w:val="0"/>
                <w:numId w:val="1"/>
              </w:numPr>
              <w:spacing w:before="0" w:after="0"/>
            </w:pP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270E0BD" w14:textId="0660C82F" w:rsidR="006E6074" w:rsidRDefault="006E6074" w:rsidP="006E6074">
            <w:pPr>
              <w:pStyle w:val="naisc"/>
              <w:spacing w:before="0" w:after="0"/>
              <w:jc w:val="left"/>
            </w:pPr>
            <w:r w:rsidRPr="004C2DD2">
              <w:t>MK rīkojuma projekta pielikums</w:t>
            </w:r>
          </w:p>
        </w:tc>
        <w:tc>
          <w:tcPr>
            <w:tcW w:w="328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16FAB8C" w14:textId="49F6CD9C" w:rsidR="0096162B" w:rsidRPr="00AE014A" w:rsidRDefault="006E6074" w:rsidP="0096162B">
            <w:pPr>
              <w:shd w:val="clear" w:color="auto" w:fill="FFFFFF"/>
              <w:jc w:val="both"/>
              <w:rPr>
                <w:color w:val="000000"/>
                <w:lang w:eastAsia="en-US"/>
              </w:rPr>
            </w:pPr>
            <w:r w:rsidRPr="00AE014A">
              <w:rPr>
                <w:color w:val="000000"/>
                <w:u w:val="single"/>
                <w:lang w:eastAsia="en-US"/>
              </w:rPr>
              <w:t>Atkārtoti lūdzam papildināt projektu ar detalizētu aprakstu – kādā veidā šiem iedzīvotājiem tiks paziņoti uz VID iniciatīvas pamata izdoti dokumenti</w:t>
            </w:r>
            <w:r w:rsidRPr="00AE014A">
              <w:rPr>
                <w:color w:val="000000"/>
                <w:lang w:eastAsia="en-US"/>
              </w:rPr>
              <w:t xml:space="preserve">, jo ir pilnīgi skaidrs, ka tos nevar paziņot VID EDS sistēmā, it īpaši- ja šie cilvēki nemāk lietot datoru, viedierīces un tos kā EDS lietotājus ir reģistrējuši konsultanti.  Kā arī ir virkne cilvēku, kuri lai arī prot tos lietot, tomēr ne dators, ne viedierīce nav pieejami viņiem ikdienā. </w:t>
            </w:r>
          </w:p>
          <w:p w14:paraId="677171FF" w14:textId="1C3AAE91" w:rsidR="006E6074" w:rsidRPr="00AE014A" w:rsidRDefault="006E6074" w:rsidP="006E6074">
            <w:pPr>
              <w:shd w:val="clear" w:color="auto" w:fill="FFFFFF"/>
              <w:jc w:val="both"/>
              <w:rPr>
                <w:color w:val="000000"/>
                <w:u w:val="single"/>
                <w:lang w:eastAsia="en-US"/>
              </w:rPr>
            </w:pPr>
            <w:r w:rsidRPr="00AE014A">
              <w:rPr>
                <w:color w:val="000000"/>
                <w:u w:val="single"/>
                <w:lang w:eastAsia="en-US"/>
              </w:rPr>
              <w:t xml:space="preserve">Tādejādi atkārtoti lūdzam paredzēt projektā risinājumu uz VID iniciatīvas pamata izdotu </w:t>
            </w:r>
            <w:r w:rsidRPr="00AE014A">
              <w:rPr>
                <w:color w:val="000000"/>
                <w:u w:val="single"/>
                <w:lang w:eastAsia="en-US"/>
              </w:rPr>
              <w:lastRenderedPageBreak/>
              <w:t>dokumentu, t.sk. automātiskas IIN atmaksas paziņošana fiziskajām personām, kas nelieto datorus vai viedierīces, bet kuras tikai ar konsultantu palīdzību kļuvušas par EDS lietotājām, bet faktiski EDS nelieto.</w:t>
            </w:r>
          </w:p>
          <w:p w14:paraId="062F3B14" w14:textId="77777777" w:rsidR="006E6074" w:rsidRPr="00AE014A" w:rsidRDefault="006E6074" w:rsidP="006E6074">
            <w:pPr>
              <w:shd w:val="clear" w:color="auto" w:fill="FFFFFF"/>
              <w:jc w:val="both"/>
              <w:rPr>
                <w:b/>
                <w:bCs/>
                <w:color w:val="000000"/>
                <w:lang w:eastAsia="en-US"/>
              </w:rPr>
            </w:pPr>
            <w:r w:rsidRPr="00AE014A">
              <w:rPr>
                <w:color w:val="000000"/>
                <w:lang w:eastAsia="en-US"/>
              </w:rPr>
              <w:t xml:space="preserve">LPS ieskatā labākais risinājums attiecībā pret personām, kas nemāk lietot datorus un viedierīces, būtu horizontāls: visa publiskā pārvalde pāriet uz pilnībā elektronisku dokumentu apriti, visus elektroniskos dokumentus nosūtot uz Oficiālās elektroniskās adreses informācijas sistēmu, sistēmas pārzinis elektroniskos dokumentus, kuru adresāts nav aktivizējis oficiālās elektroniskās adreses lietojumu, automatizēti  (iespējams ārpakalpojumā) pārvērš papīra dokumenta atvasinājumā, kuru nosūta adresātam uz tā deklarēto adresi. Tā kā šāds risinājums tieši skar arī VID projekta ietvaros veidojamos procesus (kā informēt, ka jāpaziņo bankas konts nodokļa atmaksai), lūdzam pievienot šādus </w:t>
            </w:r>
            <w:r w:rsidRPr="00AE014A">
              <w:rPr>
                <w:b/>
                <w:bCs/>
                <w:color w:val="000000"/>
                <w:lang w:eastAsia="en-US"/>
              </w:rPr>
              <w:t xml:space="preserve">divus Ministru kabineta </w:t>
            </w:r>
            <w:r w:rsidRPr="00AE014A">
              <w:rPr>
                <w:b/>
                <w:bCs/>
                <w:color w:val="000000"/>
                <w:lang w:eastAsia="en-US"/>
              </w:rPr>
              <w:lastRenderedPageBreak/>
              <w:t>protokollēmuma projekta punktus:</w:t>
            </w:r>
          </w:p>
          <w:p w14:paraId="5CFA0FE8" w14:textId="77777777" w:rsidR="006E6074" w:rsidRPr="00AE014A" w:rsidRDefault="006E6074" w:rsidP="006E6074">
            <w:pPr>
              <w:shd w:val="clear" w:color="auto" w:fill="FFFFFF"/>
              <w:jc w:val="both"/>
              <w:rPr>
                <w:b/>
                <w:bCs/>
                <w:color w:val="000000"/>
                <w:lang w:eastAsia="en-US"/>
              </w:rPr>
            </w:pPr>
            <w:r w:rsidRPr="00AE014A">
              <w:rPr>
                <w:b/>
                <w:bCs/>
                <w:color w:val="000000"/>
                <w:lang w:eastAsia="en-US"/>
              </w:rPr>
              <w:t>“Vides attīstības un reģionālās attīstības ministrijai līdz _________ iesniegt Ministru kabinetā normatīvo aktu projektus paredzot publiskās pārvaldes pāreju uz pilnībā elektronisku dokumentu apriti, visus elektroniskos dokumentus nosūtot uz Oficiālās elektroniskās adreses informācijas sistēmu, sistēmas pārzinim nodrošinot korespondences, kuru adresāts nav aktivizējis oficiālās elektroniskās adreses lietojumu, automatizētu pārvēršanu papīra dokumenta atvasinājumā, to nosūtot adresātam uz tā deklarēto adresi. Vienlaikus Vides aizsardzības un reģionālās attīstības ministrijai  uzdot izstrādāt  atbilstošu tehnoloģisko risinājumu.</w:t>
            </w:r>
          </w:p>
          <w:p w14:paraId="0041267B" w14:textId="77777777" w:rsidR="006E6074" w:rsidRPr="00AE014A" w:rsidRDefault="006E6074" w:rsidP="006E6074">
            <w:pPr>
              <w:shd w:val="clear" w:color="auto" w:fill="FFFFFF"/>
              <w:jc w:val="both"/>
              <w:rPr>
                <w:b/>
                <w:bCs/>
                <w:color w:val="000000"/>
                <w:lang w:eastAsia="en-US"/>
              </w:rPr>
            </w:pPr>
            <w:r w:rsidRPr="00AE014A">
              <w:rPr>
                <w:b/>
                <w:bCs/>
                <w:color w:val="000000"/>
                <w:lang w:eastAsia="en-US"/>
              </w:rPr>
              <w:t xml:space="preserve">Līdz publiskās pārvaldes pilnīgai pārejai uz elektronisku dokumentu apriti, Valsts ieņēmumu dienestam nodrošināt </w:t>
            </w:r>
            <w:r w:rsidRPr="00AE014A">
              <w:rPr>
                <w:b/>
                <w:bCs/>
                <w:color w:val="000000"/>
                <w:lang w:eastAsia="en-US"/>
              </w:rPr>
              <w:lastRenderedPageBreak/>
              <w:t>fiziskajām personām, kas nav saimnieciskās darbības veicējas, dokumentu pazi</w:t>
            </w:r>
            <w:r w:rsidRPr="00AE014A">
              <w:rPr>
                <w:rFonts w:hint="eastAsia"/>
                <w:b/>
                <w:bCs/>
                <w:color w:val="000000"/>
                <w:lang w:eastAsia="en-US"/>
              </w:rPr>
              <w:t>ņ</w:t>
            </w:r>
            <w:r w:rsidRPr="00AE014A">
              <w:rPr>
                <w:b/>
                <w:bCs/>
                <w:color w:val="000000"/>
                <w:lang w:eastAsia="en-US"/>
              </w:rPr>
              <w:t>ošanu Pazi</w:t>
            </w:r>
            <w:r w:rsidRPr="00AE014A">
              <w:rPr>
                <w:rFonts w:hint="eastAsia"/>
                <w:b/>
                <w:bCs/>
                <w:color w:val="000000"/>
                <w:lang w:eastAsia="en-US"/>
              </w:rPr>
              <w:t>ņ</w:t>
            </w:r>
            <w:r w:rsidRPr="00AE014A">
              <w:rPr>
                <w:b/>
                <w:bCs/>
                <w:color w:val="000000"/>
                <w:lang w:eastAsia="en-US"/>
              </w:rPr>
              <w:t>ošanas likum</w:t>
            </w:r>
            <w:r w:rsidRPr="00AE014A">
              <w:rPr>
                <w:rFonts w:hint="eastAsia"/>
                <w:b/>
                <w:bCs/>
                <w:color w:val="000000"/>
                <w:lang w:eastAsia="en-US"/>
              </w:rPr>
              <w:t>ā</w:t>
            </w:r>
            <w:r w:rsidRPr="00AE014A">
              <w:rPr>
                <w:b/>
                <w:bCs/>
                <w:color w:val="000000"/>
                <w:lang w:eastAsia="en-US"/>
              </w:rPr>
              <w:t xml:space="preserve"> noteiktaj</w:t>
            </w:r>
            <w:r w:rsidRPr="00AE014A">
              <w:rPr>
                <w:rFonts w:hint="eastAsia"/>
                <w:b/>
                <w:bCs/>
                <w:color w:val="000000"/>
                <w:lang w:eastAsia="en-US"/>
              </w:rPr>
              <w:t>ā</w:t>
            </w:r>
            <w:r w:rsidRPr="00AE014A">
              <w:rPr>
                <w:b/>
                <w:bCs/>
                <w:color w:val="000000"/>
                <w:lang w:eastAsia="en-US"/>
              </w:rPr>
              <w:t xml:space="preserve"> visp</w:t>
            </w:r>
            <w:r w:rsidRPr="00AE014A">
              <w:rPr>
                <w:rFonts w:hint="eastAsia"/>
                <w:b/>
                <w:bCs/>
                <w:color w:val="000000"/>
                <w:lang w:eastAsia="en-US"/>
              </w:rPr>
              <w:t>ā</w:t>
            </w:r>
            <w:r w:rsidRPr="00AE014A">
              <w:rPr>
                <w:b/>
                <w:bCs/>
                <w:color w:val="000000"/>
                <w:lang w:eastAsia="en-US"/>
              </w:rPr>
              <w:t>r</w:t>
            </w:r>
            <w:r w:rsidRPr="00AE014A">
              <w:rPr>
                <w:rFonts w:hint="eastAsia"/>
                <w:b/>
                <w:bCs/>
                <w:color w:val="000000"/>
                <w:lang w:eastAsia="en-US"/>
              </w:rPr>
              <w:t>ē</w:t>
            </w:r>
            <w:r w:rsidRPr="00AE014A">
              <w:rPr>
                <w:b/>
                <w:bCs/>
                <w:color w:val="000000"/>
                <w:lang w:eastAsia="en-US"/>
              </w:rPr>
              <w:t>j</w:t>
            </w:r>
            <w:r w:rsidRPr="00AE014A">
              <w:rPr>
                <w:rFonts w:hint="eastAsia"/>
                <w:b/>
                <w:bCs/>
                <w:color w:val="000000"/>
                <w:lang w:eastAsia="en-US"/>
              </w:rPr>
              <w:t>ā</w:t>
            </w:r>
            <w:r w:rsidRPr="00AE014A">
              <w:rPr>
                <w:b/>
                <w:bCs/>
                <w:color w:val="000000"/>
                <w:lang w:eastAsia="en-US"/>
              </w:rPr>
              <w:t xml:space="preserve"> k</w:t>
            </w:r>
            <w:r w:rsidRPr="00AE014A">
              <w:rPr>
                <w:rFonts w:hint="eastAsia"/>
                <w:b/>
                <w:bCs/>
                <w:color w:val="000000"/>
                <w:lang w:eastAsia="en-US"/>
              </w:rPr>
              <w:t>ā</w:t>
            </w:r>
            <w:r w:rsidRPr="00AE014A">
              <w:rPr>
                <w:b/>
                <w:bCs/>
                <w:color w:val="000000"/>
                <w:lang w:eastAsia="en-US"/>
              </w:rPr>
              <w:t>rt</w:t>
            </w:r>
            <w:r w:rsidRPr="00AE014A">
              <w:rPr>
                <w:rFonts w:hint="eastAsia"/>
                <w:b/>
                <w:bCs/>
                <w:color w:val="000000"/>
                <w:lang w:eastAsia="en-US"/>
              </w:rPr>
              <w:t>ī</w:t>
            </w:r>
            <w:r w:rsidRPr="00AE014A">
              <w:rPr>
                <w:b/>
                <w:bCs/>
                <w:color w:val="000000"/>
                <w:lang w:eastAsia="en-US"/>
              </w:rPr>
              <w:t>b</w:t>
            </w:r>
            <w:r w:rsidRPr="00AE014A">
              <w:rPr>
                <w:rFonts w:hint="eastAsia"/>
                <w:b/>
                <w:bCs/>
                <w:color w:val="000000"/>
                <w:lang w:eastAsia="en-US"/>
              </w:rPr>
              <w:t>ā</w:t>
            </w:r>
            <w:r w:rsidRPr="00AE014A">
              <w:rPr>
                <w:b/>
                <w:bCs/>
                <w:color w:val="000000"/>
                <w:lang w:eastAsia="en-US"/>
              </w:rPr>
              <w:t>, ja vien min</w:t>
            </w:r>
            <w:r w:rsidRPr="00AE014A">
              <w:rPr>
                <w:rFonts w:hint="eastAsia"/>
                <w:b/>
                <w:bCs/>
                <w:color w:val="000000"/>
                <w:lang w:eastAsia="en-US"/>
              </w:rPr>
              <w:t>ē</w:t>
            </w:r>
            <w:r w:rsidRPr="00AE014A">
              <w:rPr>
                <w:b/>
                <w:bCs/>
                <w:color w:val="000000"/>
                <w:lang w:eastAsia="en-US"/>
              </w:rPr>
              <w:t>t</w:t>
            </w:r>
            <w:r w:rsidRPr="00AE014A">
              <w:rPr>
                <w:rFonts w:hint="eastAsia"/>
                <w:b/>
                <w:bCs/>
                <w:color w:val="000000"/>
                <w:lang w:eastAsia="en-US"/>
              </w:rPr>
              <w:t>ā</w:t>
            </w:r>
            <w:r w:rsidRPr="00AE014A">
              <w:rPr>
                <w:b/>
                <w:bCs/>
                <w:color w:val="000000"/>
                <w:lang w:eastAsia="en-US"/>
              </w:rPr>
              <w:t>s personas nav nep</w:t>
            </w:r>
            <w:r w:rsidRPr="00AE014A">
              <w:rPr>
                <w:rFonts w:hint="eastAsia"/>
                <w:b/>
                <w:bCs/>
                <w:color w:val="000000"/>
                <w:lang w:eastAsia="en-US"/>
              </w:rPr>
              <w:t>ā</w:t>
            </w:r>
            <w:r w:rsidRPr="00AE014A">
              <w:rPr>
                <w:b/>
                <w:bCs/>
                <w:color w:val="000000"/>
                <w:lang w:eastAsia="en-US"/>
              </w:rPr>
              <w:t>rprotami piekritušas dokumentu pazi</w:t>
            </w:r>
            <w:r w:rsidRPr="00AE014A">
              <w:rPr>
                <w:rFonts w:hint="eastAsia"/>
                <w:b/>
                <w:bCs/>
                <w:color w:val="000000"/>
                <w:lang w:eastAsia="en-US"/>
              </w:rPr>
              <w:t>ņ</w:t>
            </w:r>
            <w:r w:rsidRPr="00AE014A">
              <w:rPr>
                <w:b/>
                <w:bCs/>
                <w:color w:val="000000"/>
                <w:lang w:eastAsia="en-US"/>
              </w:rPr>
              <w:t>ošanai tikai Valsts ie</w:t>
            </w:r>
            <w:r w:rsidRPr="00AE014A">
              <w:rPr>
                <w:rFonts w:hint="eastAsia"/>
                <w:b/>
                <w:bCs/>
                <w:color w:val="000000"/>
                <w:lang w:eastAsia="en-US"/>
              </w:rPr>
              <w:t>ņē</w:t>
            </w:r>
            <w:r w:rsidRPr="00AE014A">
              <w:rPr>
                <w:b/>
                <w:bCs/>
                <w:color w:val="000000"/>
                <w:lang w:eastAsia="en-US"/>
              </w:rPr>
              <w:t>mumu dienesta elektronisk</w:t>
            </w:r>
            <w:r w:rsidRPr="00AE014A">
              <w:rPr>
                <w:rFonts w:hint="eastAsia"/>
                <w:b/>
                <w:bCs/>
                <w:color w:val="000000"/>
                <w:lang w:eastAsia="en-US"/>
              </w:rPr>
              <w:t>ā</w:t>
            </w:r>
            <w:r w:rsidRPr="00AE014A">
              <w:rPr>
                <w:b/>
                <w:bCs/>
                <w:color w:val="000000"/>
                <w:lang w:eastAsia="en-US"/>
              </w:rPr>
              <w:t>s deklar</w:t>
            </w:r>
            <w:r w:rsidRPr="00AE014A">
              <w:rPr>
                <w:rFonts w:hint="eastAsia"/>
                <w:b/>
                <w:bCs/>
                <w:color w:val="000000"/>
                <w:lang w:eastAsia="en-US"/>
              </w:rPr>
              <w:t>ēš</w:t>
            </w:r>
            <w:r w:rsidRPr="00AE014A">
              <w:rPr>
                <w:b/>
                <w:bCs/>
                <w:color w:val="000000"/>
                <w:lang w:eastAsia="en-US"/>
              </w:rPr>
              <w:t>anas sist</w:t>
            </w:r>
            <w:r w:rsidRPr="00AE014A">
              <w:rPr>
                <w:rFonts w:hint="eastAsia"/>
                <w:b/>
                <w:bCs/>
                <w:color w:val="000000"/>
                <w:lang w:eastAsia="en-US"/>
              </w:rPr>
              <w:t>ē</w:t>
            </w:r>
            <w:r w:rsidRPr="00AE014A">
              <w:rPr>
                <w:b/>
                <w:bCs/>
                <w:color w:val="000000"/>
                <w:lang w:eastAsia="en-US"/>
              </w:rPr>
              <w:t>m</w:t>
            </w:r>
            <w:r w:rsidRPr="00AE014A">
              <w:rPr>
                <w:rFonts w:hint="eastAsia"/>
                <w:b/>
                <w:bCs/>
                <w:color w:val="000000"/>
                <w:lang w:eastAsia="en-US"/>
              </w:rPr>
              <w:t>ā</w:t>
            </w:r>
            <w:r w:rsidRPr="00AE014A">
              <w:rPr>
                <w:b/>
                <w:bCs/>
                <w:color w:val="000000"/>
                <w:lang w:eastAsia="en-US"/>
              </w:rPr>
              <w:t>.”</w:t>
            </w:r>
          </w:p>
          <w:p w14:paraId="3F6A647D" w14:textId="77777777" w:rsidR="006E6074" w:rsidRPr="000D0DFC" w:rsidRDefault="006E6074" w:rsidP="006E6074">
            <w:pPr>
              <w:shd w:val="clear" w:color="auto" w:fill="FFFFFF"/>
              <w:jc w:val="both"/>
              <w:rPr>
                <w:b/>
                <w:bCs/>
                <w:color w:val="000000"/>
                <w:lang w:eastAsia="en-US"/>
              </w:rPr>
            </w:pPr>
          </w:p>
        </w:tc>
        <w:tc>
          <w:tcPr>
            <w:tcW w:w="309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E6DDF13" w14:textId="77777777" w:rsidR="006E6074" w:rsidRPr="008E6814" w:rsidRDefault="006E6074" w:rsidP="006E6074">
            <w:pPr>
              <w:pStyle w:val="naisc"/>
              <w:spacing w:before="0" w:after="0"/>
              <w:jc w:val="both"/>
              <w:rPr>
                <w:b/>
              </w:rPr>
            </w:pPr>
            <w:r w:rsidRPr="008E6814">
              <w:rPr>
                <w:b/>
              </w:rPr>
              <w:lastRenderedPageBreak/>
              <w:t>Daļēji ņemts vērā</w:t>
            </w:r>
          </w:p>
          <w:p w14:paraId="3813C40E" w14:textId="77777777" w:rsidR="006E6074" w:rsidRPr="00137E46" w:rsidRDefault="006E6074" w:rsidP="006E6074">
            <w:pPr>
              <w:shd w:val="clear" w:color="auto" w:fill="FFFFFF"/>
              <w:jc w:val="both"/>
              <w:rPr>
                <w:bCs/>
              </w:rPr>
            </w:pPr>
            <w:r w:rsidRPr="00137E46">
              <w:rPr>
                <w:bCs/>
              </w:rPr>
              <w:t xml:space="preserve">Projektā paredzētais saturiskais ietvars, aktivitātes un finansējums nav pietiekams, lai risinātu iebildumā minēto. </w:t>
            </w:r>
          </w:p>
          <w:p w14:paraId="69552161" w14:textId="7E8E5B34" w:rsidR="006E6074" w:rsidRPr="00137E46" w:rsidRDefault="006E6074" w:rsidP="006E6074">
            <w:pPr>
              <w:shd w:val="clear" w:color="auto" w:fill="FFFFFF"/>
              <w:jc w:val="both"/>
              <w:rPr>
                <w:bCs/>
                <w:color w:val="FF0000"/>
                <w:u w:val="single"/>
              </w:rPr>
            </w:pPr>
            <w:r w:rsidRPr="00137E46">
              <w:t xml:space="preserve">Lai nodrošinātu </w:t>
            </w:r>
            <w:r w:rsidR="006C7194">
              <w:t>EDS</w:t>
            </w:r>
            <w:r w:rsidRPr="00137E46">
              <w:t xml:space="preserve"> iespēju fiziskajām personām iesniegt deklarāciju ar konsultanta palīdzību, nekļūstot automātiski par EDS lietotāju, VID, iekļaujoties horizontālā risinājuma pilnveidē valsts pārvaldes pakalpojumiem, īstenos pilnvarotā </w:t>
            </w:r>
            <w:r w:rsidRPr="00137E46">
              <w:br/>
              <w:t xml:space="preserve">e-pakalpojumu, kuru fiziskas personas vārdā, pamatojoties uz pilnvarojumu, pieteiktu </w:t>
            </w:r>
            <w:r w:rsidRPr="00137E46">
              <w:lastRenderedPageBreak/>
              <w:t>klientu apkalpošanas centra darbinieks, ja fiziskai personai nav pieejami personas elektroniskās identifikācijas līdzekļi.</w:t>
            </w:r>
          </w:p>
          <w:p w14:paraId="6F9DE13B" w14:textId="01EE6D58" w:rsidR="006E6074" w:rsidRPr="00E8223D" w:rsidRDefault="006E6074" w:rsidP="006E6074">
            <w:pPr>
              <w:pStyle w:val="naisc"/>
              <w:spacing w:before="0" w:after="0"/>
              <w:jc w:val="both"/>
              <w:rPr>
                <w:b/>
                <w:bCs/>
              </w:rPr>
            </w:pPr>
            <w:r w:rsidRPr="00137E46">
              <w:rPr>
                <w:lang w:eastAsia="en-US"/>
              </w:rPr>
              <w:t>VARAM ieskatā, ir svarīgi izveidot vienotu valsts politiku, lai tiesiski un praktiski nodrošinātu, ka digitāli atstumtām personām tiktu saglabāta iespēja</w:t>
            </w:r>
            <w:r>
              <w:rPr>
                <w:lang w:eastAsia="en-US"/>
              </w:rPr>
              <w:t xml:space="preserve"> </w:t>
            </w:r>
            <w:r w:rsidRPr="00137E46">
              <w:rPr>
                <w:lang w:eastAsia="en-US"/>
              </w:rPr>
              <w:t>analog</w:t>
            </w:r>
            <w:r>
              <w:rPr>
                <w:lang w:eastAsia="en-US"/>
              </w:rPr>
              <w:t>am</w:t>
            </w:r>
            <w:r w:rsidRPr="00137E46">
              <w:rPr>
                <w:lang w:eastAsia="en-US"/>
              </w:rPr>
              <w:t xml:space="preserve"> sadarbības formāt</w:t>
            </w:r>
            <w:r>
              <w:rPr>
                <w:lang w:eastAsia="en-US"/>
              </w:rPr>
              <w:t>am</w:t>
            </w:r>
            <w:r w:rsidRPr="00137E46">
              <w:rPr>
                <w:lang w:eastAsia="en-US"/>
              </w:rPr>
              <w:t xml:space="preserve">, piemēram, iesniegumu vai dokumentu iesniedzot papīra formātā. VARAM šo jautājumu plāno ietvert vienotajā valsts pārvaldes pakalpojumu pārvaldības politikā, kuras izstrāde ir paredzēta līdz 2021. gada beigām. VARAM ir uzsācis sadarbību ar VID par EDS pakalpojumu sniegšanu pilnvarotajā režīmā, nodrošinot visaptverošu klātienes atbalstu iedzīvotājiem, kuriem kādu iemeslu dēļ ir ierobežotas iespējas izmantot digitālo vidi un e-pakalpojumus (interneta pieejamība, digitālās prasmes, piekļūstamības prasības u.c.). </w:t>
            </w:r>
            <w:r w:rsidRPr="00137E46">
              <w:rPr>
                <w:lang w:eastAsia="en-US"/>
              </w:rPr>
              <w:lastRenderedPageBreak/>
              <w:t>Lai e-pakalpojumus varētu saņemt arī tie iedzīvotāji, kuri neizmanto eID karti ar elektronisko parakstu vai internetbanku, ir izstrādāts īpašs risinājums – e-asistents jeb pilnvarotais e-pakalpojums.</w:t>
            </w: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16D692C4" w14:textId="140622AF" w:rsidR="006E6074" w:rsidRPr="009902CF" w:rsidRDefault="007040E5" w:rsidP="006E6074">
            <w:pPr>
              <w:rPr>
                <w:highlight w:val="red"/>
              </w:rPr>
            </w:pPr>
            <w:r w:rsidRPr="0091744F">
              <w:rPr>
                <w:b/>
                <w:bCs/>
              </w:rPr>
              <w:lastRenderedPageBreak/>
              <w:t>LPS uztur iebildumu</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92645" w14:textId="77777777" w:rsidR="006E6074" w:rsidRDefault="006E6074" w:rsidP="006E6074"/>
        </w:tc>
      </w:tr>
      <w:tr w:rsidR="008042AE" w14:paraId="5FC8DEE7" w14:textId="77777777" w:rsidTr="00115850">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BF26BC" w14:textId="77777777" w:rsidR="008042AE" w:rsidRDefault="008042AE" w:rsidP="008042AE">
            <w:pPr>
              <w:pStyle w:val="naisc"/>
              <w:numPr>
                <w:ilvl w:val="0"/>
                <w:numId w:val="1"/>
              </w:numPr>
              <w:spacing w:before="0" w:after="0"/>
            </w:pP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93DD2F1" w14:textId="6B30A4D4" w:rsidR="008042AE" w:rsidRPr="009172C9" w:rsidRDefault="008042AE" w:rsidP="008042AE">
            <w:pPr>
              <w:pStyle w:val="naisc"/>
              <w:spacing w:before="0" w:after="0"/>
              <w:jc w:val="left"/>
              <w:rPr>
                <w:highlight w:val="yellow"/>
              </w:rPr>
            </w:pPr>
            <w:r w:rsidRPr="006F4998">
              <w:t>Neattiecas uz saskaņošanai nosūtīto MK rīkojuma projekta redakciju</w:t>
            </w:r>
          </w:p>
        </w:tc>
        <w:tc>
          <w:tcPr>
            <w:tcW w:w="328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F4EB529" w14:textId="4AEF9A9A" w:rsidR="008042AE" w:rsidRPr="005E7678" w:rsidRDefault="00E578C5" w:rsidP="008042AE">
            <w:pPr>
              <w:shd w:val="clear" w:color="auto" w:fill="FFFFFF"/>
              <w:jc w:val="both"/>
              <w:rPr>
                <w:color w:val="000000"/>
                <w:lang w:eastAsia="en-US"/>
              </w:rPr>
            </w:pPr>
            <w:r>
              <w:rPr>
                <w:color w:val="000000"/>
                <w:lang w:eastAsia="en-US"/>
              </w:rPr>
              <w:t>L</w:t>
            </w:r>
            <w:r w:rsidR="008042AE" w:rsidRPr="005E7678">
              <w:rPr>
                <w:color w:val="000000"/>
                <w:lang w:eastAsia="en-US"/>
              </w:rPr>
              <w:t xml:space="preserve">ūdzam pievienot šādu </w:t>
            </w:r>
            <w:r w:rsidR="008042AE" w:rsidRPr="005E7678">
              <w:rPr>
                <w:b/>
                <w:bCs/>
                <w:color w:val="000000"/>
                <w:lang w:eastAsia="en-US"/>
              </w:rPr>
              <w:t>Ministru kabineta protokollēmuma projekta punktu</w:t>
            </w:r>
            <w:r w:rsidR="008042AE" w:rsidRPr="005E7678">
              <w:rPr>
                <w:color w:val="000000"/>
                <w:lang w:eastAsia="en-US"/>
              </w:rPr>
              <w:t xml:space="preserve">: </w:t>
            </w:r>
          </w:p>
          <w:p w14:paraId="23D21675" w14:textId="650AD298" w:rsidR="008042AE" w:rsidRPr="00AE014A" w:rsidRDefault="008042AE" w:rsidP="008042AE">
            <w:pPr>
              <w:shd w:val="clear" w:color="auto" w:fill="FFFFFF"/>
              <w:jc w:val="both"/>
              <w:rPr>
                <w:color w:val="000000"/>
                <w:u w:val="single"/>
                <w:lang w:eastAsia="en-US"/>
              </w:rPr>
            </w:pPr>
            <w:r w:rsidRPr="005E7678">
              <w:rPr>
                <w:b/>
                <w:bCs/>
                <w:color w:val="000000"/>
                <w:lang w:eastAsia="en-US"/>
              </w:rPr>
              <w:t xml:space="preserve">“Ekonomikas ministrijai (Centrālajai statistikas pārvaldei) līdz </w:t>
            </w:r>
            <w:r w:rsidRPr="005E7678">
              <w:rPr>
                <w:b/>
                <w:bCs/>
                <w:color w:val="000000"/>
                <w:u w:val="single"/>
                <w:lang w:eastAsia="en-US"/>
              </w:rPr>
              <w:t xml:space="preserve">___________ </w:t>
            </w:r>
            <w:r w:rsidRPr="005E7678">
              <w:rPr>
                <w:b/>
                <w:bCs/>
                <w:color w:val="000000"/>
                <w:lang w:eastAsia="en-US"/>
              </w:rPr>
              <w:t xml:space="preserve"> mainīt statistiskos pārskatus, kurus vāc no respondentiem, izslēdzot jebkuru datu lauku, kuru ir iespējams iegūt no valsts informācijas sistēmās jau pieejamajiem datiem, prioritāri – Valsts ieņēmumu dienestā iesniedzamajiem datiem. Apkopot visus gadījumos, kad statistiskajām vajadzībām ir nepieciešami dati, kas ir līdzīgi valsts informācijas sistēmās jau </w:t>
            </w:r>
            <w:r w:rsidRPr="005E7678">
              <w:rPr>
                <w:b/>
                <w:bCs/>
                <w:color w:val="000000"/>
                <w:lang w:eastAsia="en-US"/>
              </w:rPr>
              <w:lastRenderedPageBreak/>
              <w:t>pieejamajiem datiem, bet nav pilnībā izmantojami statistiskajiem mērķiem, kā arī izvērtēt iespējamību precizēt valsts informācijas sistēmās pieejamos datus, lai tos būtu iespējams izmantot arī statistiskajām vajadzībām.</w:t>
            </w:r>
            <w:r w:rsidRPr="005E7678">
              <w:rPr>
                <w:color w:val="000000"/>
                <w:lang w:eastAsia="en-US"/>
              </w:rPr>
              <w:t>”</w:t>
            </w:r>
          </w:p>
        </w:tc>
        <w:tc>
          <w:tcPr>
            <w:tcW w:w="309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094A56C" w14:textId="77777777" w:rsidR="008042AE" w:rsidRPr="00026184" w:rsidRDefault="008042AE" w:rsidP="008042AE">
            <w:pPr>
              <w:pStyle w:val="naisc"/>
              <w:spacing w:before="0" w:after="0"/>
              <w:jc w:val="both"/>
              <w:rPr>
                <w:b/>
              </w:rPr>
            </w:pPr>
            <w:r>
              <w:rPr>
                <w:b/>
              </w:rPr>
              <w:lastRenderedPageBreak/>
              <w:t>Ņ</w:t>
            </w:r>
            <w:r w:rsidRPr="00026184">
              <w:rPr>
                <w:b/>
              </w:rPr>
              <w:t>emts vērā</w:t>
            </w:r>
          </w:p>
          <w:p w14:paraId="719AFE31" w14:textId="77777777" w:rsidR="008042AE" w:rsidRDefault="008042AE" w:rsidP="008042AE">
            <w:pPr>
              <w:pStyle w:val="naisc"/>
              <w:spacing w:before="0" w:after="0"/>
              <w:jc w:val="both"/>
              <w:rPr>
                <w:bCs/>
              </w:rPr>
            </w:pPr>
          </w:p>
          <w:p w14:paraId="62169576" w14:textId="77777777" w:rsidR="008042AE" w:rsidRPr="00936E0D" w:rsidRDefault="008042AE" w:rsidP="008042AE">
            <w:pPr>
              <w:pStyle w:val="naisc"/>
              <w:jc w:val="both"/>
              <w:rPr>
                <w:bCs/>
              </w:rPr>
            </w:pPr>
            <w:r w:rsidRPr="00936E0D">
              <w:rPr>
                <w:bCs/>
              </w:rPr>
              <w:t xml:space="preserve">Iebildumi ir skatāmi ārpus projekta tvēruma, jo projektā paredzētais saturiskais ietvars, aktivitātes un finansējums nav pietiekams, lai risinātu papildus izvirzītās prasības, – projekta tvērumā nav identificētas jaunas datu kategorijas, kuras papildinātu esošo datu apmaiņu ar Centrālo statistikas pārvaldi. </w:t>
            </w:r>
          </w:p>
          <w:p w14:paraId="1770ACDB" w14:textId="77777777" w:rsidR="008042AE" w:rsidRPr="00936E0D" w:rsidRDefault="008042AE" w:rsidP="008042AE">
            <w:pPr>
              <w:pStyle w:val="naisc"/>
              <w:jc w:val="both"/>
              <w:rPr>
                <w:bCs/>
              </w:rPr>
            </w:pPr>
            <w:r w:rsidRPr="00936E0D">
              <w:rPr>
                <w:bCs/>
              </w:rPr>
              <w:t xml:space="preserve">Izprotot to, ka, nodokļu maksātājiem sniedzot līdzīgu informāciju vairākās iestādēs, tiek radīts administratīvais slogs, VID, izvērtējot iebildumu, konstatēja, ka analogs pasākums ir ticis </w:t>
            </w:r>
            <w:r w:rsidRPr="00936E0D">
              <w:rPr>
                <w:bCs/>
              </w:rPr>
              <w:lastRenderedPageBreak/>
              <w:t xml:space="preserve">īstenots “Uzņēmējdarbības vides pilnveidošanas pasākumu plāna 2019.–2022.gadam” (turpmāk – EM plāns) ietvaros. Minētā plāna 4.5.1. apakšpunkts paredz veikt darbības, kuru rezultātā tiktu novērsta nodokļu deklarācijās un citos pārskatos norādāmās informācijas pārklāšanās un nodrošināta tajos ietverto datu sinhronizācija. Atbilstoši Informatīvajam ziņojumam par Uzņēmējdarbības vides pilnveidošanas pasākumu plānā iekļauto uzdevumu izpildi uz 2020. gada 29. februāri visi 4.5.1. apakšpunktā norādītie uzdevumi bija uzskatāmi par izpildītiem, un saskaņā ar MK 2020. gada 13. marta sēdes protokola Nr. 15 29.§ noteikto uzdevumu CSP katru gadu (2019., 2020. un 2021. gadā) līdz 1. martam uzdots apkopot un līdz 1. aprīlim savā tīmekļa vietnē publicēt informāciju par ziņojumā minēto pasākumu īstenošanu iepriekšējā gadā. VID sazinājās ar LPS, atsaucoties </w:t>
            </w:r>
            <w:r w:rsidRPr="00936E0D">
              <w:rPr>
                <w:bCs/>
              </w:rPr>
              <w:lastRenderedPageBreak/>
              <w:t>uz EM plānu, un lūdza identificēt konkrētus datu pārklāšanās gadījumus, kas nav izvērtēti šī plāna ietvaros. LPS sniegtajā atbildē tika norādīts uz vairākiem VID un CSP iesniedzamajos pārskatos norādāmās informācijas pārklāšanās gadījumiem CSP dokumentā “Pārskats par darbu”. Secīgi VID nosūtīja aicinājumu Ekonomikas ministrijai, gatavojot attīstības plānošanas dokumentus nākamajam periodam uzņēmējdarbības vides pilnveidošanas jomā, iekļaut uzdevumu mazināt administratīvo slogu uzņēmējiem un izvērtēt, kādi pārskati vairs netiks pieprasīti no juridiskajām personām valsts statistikas vajadzībām, un saskaņot atbilstošu protokollēmuma punktu.</w:t>
            </w:r>
          </w:p>
          <w:p w14:paraId="4DB4551A" w14:textId="77777777" w:rsidR="008042AE" w:rsidRPr="008E6814" w:rsidRDefault="008042AE" w:rsidP="008042AE">
            <w:pPr>
              <w:pStyle w:val="naisc"/>
              <w:spacing w:before="0" w:after="0"/>
              <w:jc w:val="both"/>
              <w:rPr>
                <w:b/>
              </w:rPr>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1A31B50B" w14:textId="2C0D49CB" w:rsidR="008042AE" w:rsidRPr="004C2DD2" w:rsidRDefault="00540A1B" w:rsidP="008042AE">
            <w:pPr>
              <w:rPr>
                <w:b/>
                <w:bCs/>
                <w:highlight w:val="red"/>
              </w:rPr>
            </w:pPr>
            <w:r w:rsidRPr="004C2DD2">
              <w:rPr>
                <w:b/>
                <w:bCs/>
              </w:rPr>
              <w:lastRenderedPageBreak/>
              <w:t>LPS uztur iebildumu</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B3BEF" w14:textId="3D8BB4F9" w:rsidR="008042AE" w:rsidRPr="00E8223D" w:rsidRDefault="008042AE" w:rsidP="008042AE">
            <w:r w:rsidRPr="00E8223D">
              <w:t xml:space="preserve">MK rīkojuma projekts </w:t>
            </w:r>
            <w:r w:rsidR="0043340E">
              <w:t xml:space="preserve">ir </w:t>
            </w:r>
            <w:r w:rsidRPr="00E8223D">
              <w:t xml:space="preserve">papildināts ar MK </w:t>
            </w:r>
            <w:r w:rsidR="0015381E">
              <w:t xml:space="preserve">sēdes </w:t>
            </w:r>
            <w:r w:rsidRPr="00E8223D">
              <w:t xml:space="preserve">protokollēmuma </w:t>
            </w:r>
            <w:r w:rsidR="008778BA">
              <w:t>projektu, kura 2. punktā paredzēts</w:t>
            </w:r>
            <w:r w:rsidRPr="00E8223D">
              <w:t>:</w:t>
            </w:r>
          </w:p>
          <w:p w14:paraId="7FFB1E5D" w14:textId="28971625" w:rsidR="008042AE" w:rsidRDefault="008042AE" w:rsidP="008042AE">
            <w:r w:rsidRPr="00E8223D">
              <w:t>“</w:t>
            </w:r>
            <w:r w:rsidRPr="00FE24B0">
              <w:t xml:space="preserve">Ekonomikas ministrijai, sagatavojot attīstības plānošanas dokumentus nākamajam periodam Uzņēmējdarbības vides pilnveidošanas jomā, iekļaut uzdevumu </w:t>
            </w:r>
            <w:r w:rsidRPr="00FE24B0">
              <w:lastRenderedPageBreak/>
              <w:t>mazināt administratīvo slogu uzņēmējiem un izvērtēt kādas atskaites netiks pieprasītas no juridiskajām personām valsts statistikas vajadzībām, nodrošinot informāciju no valsts informācijas sistēmās jau pieejamajiem datiem</w:t>
            </w:r>
            <w:r w:rsidRPr="00E8223D">
              <w:t>”</w:t>
            </w:r>
          </w:p>
        </w:tc>
      </w:tr>
    </w:tbl>
    <w:p w14:paraId="7EB9A182" w14:textId="77777777" w:rsidR="003A0B62" w:rsidRDefault="003A0B62">
      <w:pPr>
        <w:pStyle w:val="naisf"/>
        <w:spacing w:before="0" w:after="0"/>
        <w:ind w:firstLine="0"/>
      </w:pPr>
    </w:p>
    <w:p w14:paraId="3275E83F" w14:textId="77777777" w:rsidR="003A0B62" w:rsidRDefault="00195E36">
      <w:pPr>
        <w:pStyle w:val="naisf"/>
        <w:spacing w:before="0" w:after="0"/>
        <w:ind w:firstLine="0"/>
        <w:rPr>
          <w:b/>
        </w:rPr>
      </w:pPr>
      <w:r>
        <w:rPr>
          <w:b/>
        </w:rPr>
        <w:t>Informācija par starpministriju (starpinstitūciju) sanāksmi vai elektronisko saskaņošanu</w:t>
      </w:r>
    </w:p>
    <w:p w14:paraId="705B81A4" w14:textId="77777777" w:rsidR="003A0B62" w:rsidRDefault="003A0B62">
      <w:pPr>
        <w:pStyle w:val="naisf"/>
        <w:spacing w:before="0" w:after="0"/>
        <w:ind w:firstLine="0"/>
        <w:rPr>
          <w:b/>
        </w:rPr>
      </w:pPr>
    </w:p>
    <w:tbl>
      <w:tblPr>
        <w:tblW w:w="12582" w:type="dxa"/>
        <w:tblLook w:val="00A0" w:firstRow="1" w:lastRow="0" w:firstColumn="1" w:lastColumn="0" w:noHBand="0" w:noVBand="0"/>
      </w:tblPr>
      <w:tblGrid>
        <w:gridCol w:w="6345"/>
        <w:gridCol w:w="1202"/>
        <w:gridCol w:w="5035"/>
      </w:tblGrid>
      <w:tr w:rsidR="003A0B62" w14:paraId="49F4BABF" w14:textId="77777777">
        <w:tc>
          <w:tcPr>
            <w:tcW w:w="6345" w:type="dxa"/>
            <w:shd w:val="clear" w:color="auto" w:fill="auto"/>
          </w:tcPr>
          <w:p w14:paraId="018958BC" w14:textId="77777777" w:rsidR="003A0B62" w:rsidRDefault="00195E36">
            <w:pPr>
              <w:pStyle w:val="naisf"/>
              <w:spacing w:before="0" w:after="0"/>
              <w:ind w:firstLine="0"/>
            </w:pPr>
            <w:r>
              <w:t>Datums</w:t>
            </w:r>
          </w:p>
        </w:tc>
        <w:tc>
          <w:tcPr>
            <w:tcW w:w="6237" w:type="dxa"/>
            <w:gridSpan w:val="2"/>
            <w:tcBorders>
              <w:bottom w:val="single" w:sz="4" w:space="0" w:color="00000A"/>
            </w:tcBorders>
            <w:shd w:val="clear" w:color="auto" w:fill="auto"/>
          </w:tcPr>
          <w:p w14:paraId="0D1DC3FF" w14:textId="6B41F754" w:rsidR="003A0B62" w:rsidRDefault="007857E1">
            <w:pPr>
              <w:pStyle w:val="NormalWeb"/>
              <w:spacing w:beforeAutospacing="0" w:afterAutospacing="0"/>
              <w:ind w:firstLine="720"/>
            </w:pPr>
            <w:r w:rsidRPr="00413991">
              <w:t>5</w:t>
            </w:r>
            <w:r w:rsidR="00440EED" w:rsidRPr="00413991">
              <w:t>.0</w:t>
            </w:r>
            <w:r w:rsidR="002679A9" w:rsidRPr="00413991">
              <w:t>3</w:t>
            </w:r>
            <w:r w:rsidR="003454A8" w:rsidRPr="00413991">
              <w:t>.2021.</w:t>
            </w:r>
            <w:r w:rsidR="007057DD">
              <w:t xml:space="preserve"> un 16.04.2021.</w:t>
            </w:r>
          </w:p>
        </w:tc>
      </w:tr>
      <w:tr w:rsidR="003A0B62" w14:paraId="0C9DF616" w14:textId="77777777">
        <w:tc>
          <w:tcPr>
            <w:tcW w:w="6345" w:type="dxa"/>
            <w:shd w:val="clear" w:color="auto" w:fill="auto"/>
          </w:tcPr>
          <w:p w14:paraId="4CACFDB3" w14:textId="77777777" w:rsidR="003A0B62" w:rsidRDefault="003A0B62">
            <w:pPr>
              <w:pStyle w:val="naisf"/>
              <w:spacing w:before="0" w:after="0"/>
              <w:ind w:firstLine="0"/>
            </w:pPr>
          </w:p>
        </w:tc>
        <w:tc>
          <w:tcPr>
            <w:tcW w:w="6237" w:type="dxa"/>
            <w:gridSpan w:val="2"/>
            <w:tcBorders>
              <w:top w:val="single" w:sz="4" w:space="0" w:color="00000A"/>
            </w:tcBorders>
            <w:shd w:val="clear" w:color="auto" w:fill="auto"/>
          </w:tcPr>
          <w:p w14:paraId="238DA920" w14:textId="77777777" w:rsidR="003A0B62" w:rsidRDefault="003A0B62">
            <w:pPr>
              <w:pStyle w:val="NormalWeb"/>
              <w:spacing w:beforeAutospacing="0" w:afterAutospacing="0"/>
              <w:ind w:firstLine="720"/>
            </w:pPr>
          </w:p>
        </w:tc>
      </w:tr>
      <w:tr w:rsidR="003A0B62" w14:paraId="407030C6" w14:textId="77777777">
        <w:tc>
          <w:tcPr>
            <w:tcW w:w="6345" w:type="dxa"/>
            <w:shd w:val="clear" w:color="auto" w:fill="auto"/>
          </w:tcPr>
          <w:p w14:paraId="22F66C15" w14:textId="77777777" w:rsidR="003A0B62" w:rsidRDefault="00195E36">
            <w:pPr>
              <w:pStyle w:val="naiskr"/>
              <w:spacing w:before="0" w:after="0"/>
            </w:pPr>
            <w:r>
              <w:lastRenderedPageBreak/>
              <w:t>Saskaņošanas dalībnieki</w:t>
            </w:r>
          </w:p>
        </w:tc>
        <w:tc>
          <w:tcPr>
            <w:tcW w:w="6237" w:type="dxa"/>
            <w:gridSpan w:val="2"/>
            <w:shd w:val="clear" w:color="auto" w:fill="auto"/>
          </w:tcPr>
          <w:p w14:paraId="629D1D0C" w14:textId="77777777" w:rsidR="003A0B62" w:rsidRDefault="00195E36">
            <w:pPr>
              <w:pStyle w:val="NormalWeb"/>
              <w:spacing w:beforeAutospacing="0" w:afterAutospacing="0"/>
              <w:ind w:firstLine="720"/>
            </w:pPr>
            <w:r>
              <w:t xml:space="preserve">Finanšu ministrija, Tieslietu ministrija, Latvijas Pašvaldību savienība, Latvijas Lielo pilsētu asociācija </w:t>
            </w:r>
          </w:p>
        </w:tc>
      </w:tr>
      <w:tr w:rsidR="003A0B62" w14:paraId="4D8993DB" w14:textId="77777777">
        <w:tc>
          <w:tcPr>
            <w:tcW w:w="6345" w:type="dxa"/>
            <w:shd w:val="clear" w:color="auto" w:fill="auto"/>
          </w:tcPr>
          <w:p w14:paraId="2B0BE67C" w14:textId="77777777" w:rsidR="003A0B62" w:rsidRDefault="00195E36">
            <w:pPr>
              <w:pStyle w:val="naiskr"/>
              <w:spacing w:before="0" w:after="0"/>
              <w:ind w:firstLine="720"/>
            </w:pPr>
            <w:r>
              <w:t>  </w:t>
            </w:r>
          </w:p>
        </w:tc>
        <w:tc>
          <w:tcPr>
            <w:tcW w:w="6237" w:type="dxa"/>
            <w:gridSpan w:val="2"/>
            <w:tcBorders>
              <w:top w:val="single" w:sz="6" w:space="0" w:color="000001"/>
              <w:bottom w:val="single" w:sz="6" w:space="0" w:color="000001"/>
            </w:tcBorders>
            <w:shd w:val="clear" w:color="auto" w:fill="auto"/>
          </w:tcPr>
          <w:p w14:paraId="0295F2A0" w14:textId="77777777" w:rsidR="003A0B62" w:rsidRDefault="003A0B62">
            <w:pPr>
              <w:pStyle w:val="naiskr"/>
              <w:spacing w:before="0" w:after="0"/>
              <w:ind w:firstLine="720"/>
            </w:pPr>
          </w:p>
        </w:tc>
      </w:tr>
      <w:tr w:rsidR="003A0B62" w14:paraId="6CEEF568" w14:textId="77777777">
        <w:trPr>
          <w:trHeight w:val="285"/>
        </w:trPr>
        <w:tc>
          <w:tcPr>
            <w:tcW w:w="6345" w:type="dxa"/>
            <w:shd w:val="clear" w:color="auto" w:fill="auto"/>
          </w:tcPr>
          <w:p w14:paraId="31FA0716" w14:textId="77777777" w:rsidR="003A0B62" w:rsidRDefault="003A0B62">
            <w:pPr>
              <w:pStyle w:val="naiskr"/>
              <w:spacing w:before="0" w:after="0"/>
            </w:pPr>
          </w:p>
        </w:tc>
        <w:tc>
          <w:tcPr>
            <w:tcW w:w="1202" w:type="dxa"/>
            <w:shd w:val="clear" w:color="auto" w:fill="auto"/>
          </w:tcPr>
          <w:p w14:paraId="5FEEAF42" w14:textId="77777777" w:rsidR="003A0B62" w:rsidRDefault="003A0B62">
            <w:pPr>
              <w:pStyle w:val="naiskr"/>
              <w:spacing w:before="0" w:after="0"/>
              <w:ind w:firstLine="720"/>
            </w:pPr>
          </w:p>
        </w:tc>
        <w:tc>
          <w:tcPr>
            <w:tcW w:w="5035" w:type="dxa"/>
            <w:shd w:val="clear" w:color="auto" w:fill="auto"/>
          </w:tcPr>
          <w:p w14:paraId="62C64FC4" w14:textId="77777777" w:rsidR="003A0B62" w:rsidRDefault="003A0B62">
            <w:pPr>
              <w:pStyle w:val="naiskr"/>
              <w:spacing w:before="0" w:after="0"/>
              <w:ind w:firstLine="12"/>
            </w:pPr>
          </w:p>
        </w:tc>
      </w:tr>
    </w:tbl>
    <w:p w14:paraId="26498381" w14:textId="77777777" w:rsidR="003A0B62" w:rsidRDefault="003A0B62"/>
    <w:tbl>
      <w:tblPr>
        <w:tblW w:w="12582" w:type="dxa"/>
        <w:tblLook w:val="00A0" w:firstRow="1" w:lastRow="0" w:firstColumn="1" w:lastColumn="0" w:noHBand="0" w:noVBand="0"/>
      </w:tblPr>
      <w:tblGrid>
        <w:gridCol w:w="6707"/>
        <w:gridCol w:w="840"/>
        <w:gridCol w:w="5035"/>
      </w:tblGrid>
      <w:tr w:rsidR="003A0B62" w14:paraId="439F4A70" w14:textId="77777777">
        <w:trPr>
          <w:trHeight w:val="285"/>
        </w:trPr>
        <w:tc>
          <w:tcPr>
            <w:tcW w:w="6707" w:type="dxa"/>
            <w:shd w:val="clear" w:color="auto" w:fill="auto"/>
          </w:tcPr>
          <w:p w14:paraId="6D46B4EA" w14:textId="77777777" w:rsidR="003A0B62" w:rsidRDefault="00195E36">
            <w:pPr>
              <w:pStyle w:val="naiskr"/>
              <w:spacing w:before="0" w:after="0"/>
            </w:pPr>
            <w:r>
              <w:t>Saskaņošanas dalībnieki izskatīja šādu ministriju (citu institūciju) iebildumus</w:t>
            </w:r>
          </w:p>
        </w:tc>
        <w:tc>
          <w:tcPr>
            <w:tcW w:w="840" w:type="dxa"/>
            <w:shd w:val="clear" w:color="auto" w:fill="auto"/>
          </w:tcPr>
          <w:p w14:paraId="4C977908" w14:textId="77777777" w:rsidR="003A0B62" w:rsidRDefault="003A0B62">
            <w:pPr>
              <w:pStyle w:val="naiskr"/>
              <w:spacing w:before="0" w:after="0"/>
              <w:ind w:firstLine="720"/>
            </w:pPr>
          </w:p>
        </w:tc>
        <w:tc>
          <w:tcPr>
            <w:tcW w:w="5035" w:type="dxa"/>
            <w:shd w:val="clear" w:color="auto" w:fill="auto"/>
          </w:tcPr>
          <w:p w14:paraId="6A0B03D7" w14:textId="6DCD6BD7" w:rsidR="003A0B62" w:rsidRDefault="00195E36">
            <w:pPr>
              <w:pStyle w:val="naiskr"/>
              <w:spacing w:before="0" w:after="0"/>
              <w:ind w:firstLine="12"/>
            </w:pPr>
            <w:r>
              <w:t>Finanšu ministrija</w:t>
            </w:r>
            <w:r w:rsidR="007857E1">
              <w:t xml:space="preserve">, Latvijas </w:t>
            </w:r>
            <w:r w:rsidR="007057DD">
              <w:t>P</w:t>
            </w:r>
            <w:r w:rsidR="007857E1">
              <w:t>ašvaldību savienība</w:t>
            </w:r>
          </w:p>
        </w:tc>
      </w:tr>
      <w:tr w:rsidR="003A0B62" w14:paraId="59FC22F6" w14:textId="77777777">
        <w:trPr>
          <w:trHeight w:val="465"/>
        </w:trPr>
        <w:tc>
          <w:tcPr>
            <w:tcW w:w="6707" w:type="dxa"/>
            <w:shd w:val="clear" w:color="auto" w:fill="auto"/>
          </w:tcPr>
          <w:p w14:paraId="50F783C7" w14:textId="77777777" w:rsidR="003A0B62" w:rsidRDefault="00195E36">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42874202" w14:textId="77777777" w:rsidR="003A0B62" w:rsidRDefault="003A0B62">
            <w:pPr>
              <w:pStyle w:val="NormalWeb"/>
              <w:spacing w:beforeAutospacing="0" w:afterAutospacing="0"/>
              <w:ind w:firstLine="720"/>
            </w:pPr>
          </w:p>
        </w:tc>
      </w:tr>
      <w:tr w:rsidR="003A0B62" w14:paraId="0AD1683A" w14:textId="77777777">
        <w:trPr>
          <w:trHeight w:val="465"/>
        </w:trPr>
        <w:tc>
          <w:tcPr>
            <w:tcW w:w="12582" w:type="dxa"/>
            <w:gridSpan w:val="3"/>
            <w:shd w:val="clear" w:color="auto" w:fill="auto"/>
          </w:tcPr>
          <w:p w14:paraId="38D62836" w14:textId="77777777" w:rsidR="003A0B62" w:rsidRDefault="003A0B62">
            <w:pPr>
              <w:pStyle w:val="naisc"/>
              <w:spacing w:before="0" w:after="0"/>
            </w:pPr>
          </w:p>
        </w:tc>
      </w:tr>
      <w:tr w:rsidR="003A0B62" w14:paraId="5406F440" w14:textId="77777777">
        <w:tc>
          <w:tcPr>
            <w:tcW w:w="6707" w:type="dxa"/>
            <w:shd w:val="clear" w:color="auto" w:fill="auto"/>
          </w:tcPr>
          <w:p w14:paraId="1E982CEC" w14:textId="77777777" w:rsidR="003A0B62" w:rsidRDefault="00195E36">
            <w:pPr>
              <w:pStyle w:val="naiskr"/>
              <w:spacing w:before="0" w:after="0"/>
            </w:pPr>
            <w:r>
              <w:t>Ministrijas (citas institūcijas), kuras nav ieradušās uz sanāksmi vai kuras nav atbildējušas uz uzaicinājumu piedalīties elektroniskajā saskaņošanā</w:t>
            </w:r>
          </w:p>
        </w:tc>
        <w:tc>
          <w:tcPr>
            <w:tcW w:w="5875" w:type="dxa"/>
            <w:gridSpan w:val="2"/>
            <w:shd w:val="clear" w:color="auto" w:fill="auto"/>
          </w:tcPr>
          <w:p w14:paraId="4F0027E2" w14:textId="77777777" w:rsidR="003A0B62" w:rsidRDefault="003A0B62">
            <w:pPr>
              <w:pStyle w:val="naiskr"/>
              <w:spacing w:before="0" w:after="0"/>
              <w:ind w:firstLine="720"/>
            </w:pPr>
          </w:p>
        </w:tc>
      </w:tr>
      <w:tr w:rsidR="003A0B62" w14:paraId="2E1B5126" w14:textId="77777777">
        <w:tc>
          <w:tcPr>
            <w:tcW w:w="6707" w:type="dxa"/>
            <w:shd w:val="clear" w:color="auto" w:fill="auto"/>
          </w:tcPr>
          <w:p w14:paraId="29D50B5A" w14:textId="77777777" w:rsidR="003A0B62" w:rsidRDefault="00195E36">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6D2135D6" w14:textId="77777777" w:rsidR="003A0B62" w:rsidRDefault="003A0B62">
            <w:pPr>
              <w:pStyle w:val="naiskr"/>
              <w:spacing w:before="0" w:after="0"/>
              <w:ind w:firstLine="720"/>
            </w:pPr>
          </w:p>
        </w:tc>
      </w:tr>
      <w:tr w:rsidR="003A0B62" w14:paraId="6A17CF59" w14:textId="77777777">
        <w:tc>
          <w:tcPr>
            <w:tcW w:w="6707" w:type="dxa"/>
            <w:shd w:val="clear" w:color="auto" w:fill="auto"/>
          </w:tcPr>
          <w:p w14:paraId="6904E2C3" w14:textId="77777777" w:rsidR="003A0B62" w:rsidRDefault="00195E36">
            <w:pPr>
              <w:pStyle w:val="naiskr"/>
              <w:spacing w:before="0" w:after="0"/>
              <w:ind w:firstLine="720"/>
            </w:pPr>
            <w:r>
              <w:t>  </w:t>
            </w:r>
          </w:p>
        </w:tc>
        <w:tc>
          <w:tcPr>
            <w:tcW w:w="5875" w:type="dxa"/>
            <w:gridSpan w:val="2"/>
            <w:tcBorders>
              <w:bottom w:val="single" w:sz="6" w:space="0" w:color="000001"/>
            </w:tcBorders>
            <w:shd w:val="clear" w:color="auto" w:fill="auto"/>
          </w:tcPr>
          <w:p w14:paraId="7B7C4960" w14:textId="77777777" w:rsidR="003A0B62" w:rsidRDefault="003A0B62">
            <w:pPr>
              <w:pStyle w:val="naiskr"/>
              <w:spacing w:before="0" w:after="0"/>
              <w:ind w:firstLine="720"/>
            </w:pPr>
          </w:p>
        </w:tc>
      </w:tr>
    </w:tbl>
    <w:p w14:paraId="2E7A83B1" w14:textId="77777777" w:rsidR="003A0B62" w:rsidRDefault="003A0B62">
      <w:pPr>
        <w:pStyle w:val="naisf"/>
        <w:spacing w:before="0" w:after="0"/>
        <w:ind w:firstLine="720"/>
      </w:pPr>
    </w:p>
    <w:p w14:paraId="2D1AE888" w14:textId="77777777" w:rsidR="003A0B62" w:rsidRDefault="00195E36">
      <w:pPr>
        <w:pStyle w:val="naisf"/>
        <w:spacing w:before="0" w:after="0"/>
        <w:ind w:firstLine="0"/>
        <w:jc w:val="center"/>
        <w:rPr>
          <w:b/>
        </w:rPr>
      </w:pPr>
      <w:r>
        <w:rPr>
          <w:b/>
        </w:rPr>
        <w:t>II. Jautājumi, par kuriem saskaņošanā vienošanās ir panākta</w:t>
      </w:r>
    </w:p>
    <w:p w14:paraId="7C576AF7" w14:textId="77777777" w:rsidR="003A0B62" w:rsidRDefault="003A0B62">
      <w:pPr>
        <w:pStyle w:val="naisf"/>
        <w:spacing w:before="0" w:after="0"/>
        <w:ind w:firstLine="720"/>
      </w:pP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636"/>
        <w:gridCol w:w="2753"/>
        <w:gridCol w:w="5092"/>
        <w:gridCol w:w="2753"/>
        <w:gridCol w:w="2756"/>
      </w:tblGrid>
      <w:tr w:rsidR="00BF6B52" w14:paraId="15BB8618"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0AF8376" w14:textId="77777777" w:rsidR="003A0B62" w:rsidRDefault="00195E36">
            <w:pPr>
              <w:pStyle w:val="naisc"/>
              <w:spacing w:before="0" w:after="0"/>
            </w:pPr>
            <w:r>
              <w:t>Nr. p. k.</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85317EA" w14:textId="77777777" w:rsidR="003A0B62" w:rsidRDefault="00195E36">
            <w:pPr>
              <w:pStyle w:val="naisc"/>
              <w:spacing w:before="0" w:after="0"/>
              <w:ind w:firstLine="12"/>
            </w:pPr>
            <w:r>
              <w:t>Saskaņošanai nosūtītā projekta redakcija (konkrēta punkta (panta) redakcija)</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16C941E1" w14:textId="77777777" w:rsidR="003A0B62" w:rsidRDefault="00195E36">
            <w:pPr>
              <w:pStyle w:val="naisc"/>
              <w:spacing w:before="0" w:after="0"/>
              <w:ind w:right="3"/>
            </w:pPr>
            <w:r>
              <w:t>Atzinumā norādītais ministrijas (citas institūcijas) iebildums, kā arī saskaņošanā papildus izteiktais iebildums par projekta konkrēto punktu (pantu)</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1F10E5C" w14:textId="77777777" w:rsidR="003A0B62" w:rsidRDefault="00195E36">
            <w:pPr>
              <w:pStyle w:val="naisc"/>
              <w:spacing w:before="0" w:after="0"/>
              <w:ind w:firstLine="21"/>
            </w:pPr>
            <w:r>
              <w:t>Atbildīgās ministrijas norāde par to, ka iebildums ir ņemts vērā, vai informācija par saskaņošanā panākto alternatīvo risinājumu</w:t>
            </w: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C0AD0C" w14:textId="77777777" w:rsidR="003A0B62" w:rsidRDefault="00195E36">
            <w:pPr>
              <w:jc w:val="center"/>
            </w:pPr>
            <w:r>
              <w:t>Projekta attiecīgā punkta (panta) galīgā redakcija</w:t>
            </w:r>
          </w:p>
        </w:tc>
      </w:tr>
      <w:tr w:rsidR="00BF6B52" w14:paraId="176FF297"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140D4D" w14:textId="77777777" w:rsidR="003A0B62" w:rsidRDefault="00195E36">
            <w:pPr>
              <w:pStyle w:val="naisc"/>
              <w:spacing w:before="0" w:after="0"/>
              <w:rPr>
                <w:sz w:val="20"/>
                <w:szCs w:val="20"/>
              </w:rPr>
            </w:pPr>
            <w:r>
              <w:rPr>
                <w:sz w:val="20"/>
                <w:szCs w:val="20"/>
              </w:rPr>
              <w:t>1</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A4F20DB" w14:textId="77777777" w:rsidR="003A0B62" w:rsidRDefault="00195E36">
            <w:pPr>
              <w:pStyle w:val="naisc"/>
              <w:spacing w:before="0" w:after="0"/>
              <w:ind w:firstLine="720"/>
              <w:rPr>
                <w:sz w:val="20"/>
                <w:szCs w:val="20"/>
              </w:rPr>
            </w:pPr>
            <w:r>
              <w:rPr>
                <w:sz w:val="20"/>
                <w:szCs w:val="20"/>
              </w:rPr>
              <w:t>2</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8AC6241" w14:textId="77777777" w:rsidR="003A0B62" w:rsidRDefault="00195E36">
            <w:pPr>
              <w:pStyle w:val="naisc"/>
              <w:spacing w:before="0" w:after="0"/>
              <w:ind w:firstLine="720"/>
              <w:rPr>
                <w:sz w:val="20"/>
                <w:szCs w:val="20"/>
              </w:rPr>
            </w:pPr>
            <w:r>
              <w:rPr>
                <w:sz w:val="20"/>
                <w:szCs w:val="20"/>
              </w:rPr>
              <w:t>3</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421247" w14:textId="77777777" w:rsidR="003A0B62" w:rsidRDefault="00195E36">
            <w:pPr>
              <w:pStyle w:val="naisc"/>
              <w:spacing w:before="0" w:after="0"/>
              <w:ind w:firstLine="720"/>
              <w:rPr>
                <w:sz w:val="20"/>
                <w:szCs w:val="20"/>
              </w:rPr>
            </w:pPr>
            <w:r>
              <w:rPr>
                <w:sz w:val="20"/>
                <w:szCs w:val="20"/>
              </w:rPr>
              <w:t>4</w:t>
            </w: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4369D" w14:textId="77777777" w:rsidR="003A0B62" w:rsidRDefault="00195E36">
            <w:pPr>
              <w:jc w:val="center"/>
              <w:rPr>
                <w:sz w:val="20"/>
                <w:szCs w:val="20"/>
              </w:rPr>
            </w:pPr>
            <w:r>
              <w:rPr>
                <w:sz w:val="20"/>
                <w:szCs w:val="20"/>
              </w:rPr>
              <w:t>5</w:t>
            </w:r>
          </w:p>
        </w:tc>
      </w:tr>
      <w:tr w:rsidR="00BF6B52" w14:paraId="2C7631B2"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CBA3E42" w14:textId="23D444FC" w:rsidR="003A0B62" w:rsidRDefault="003A0B62" w:rsidP="00C7188B">
            <w:pPr>
              <w:pStyle w:val="naisc"/>
              <w:numPr>
                <w:ilvl w:val="0"/>
                <w:numId w:val="7"/>
              </w:numPr>
              <w:spacing w:before="0" w:after="0"/>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FF334AE" w14:textId="684E4B27" w:rsidR="003A0B62" w:rsidRDefault="00195E36" w:rsidP="00B074FC">
            <w:pPr>
              <w:pStyle w:val="naisc"/>
              <w:spacing w:before="0" w:after="0"/>
              <w:jc w:val="both"/>
            </w:pPr>
            <w:r>
              <w:t xml:space="preserve">MK rīkojuma </w:t>
            </w:r>
            <w:r w:rsidR="00FC2882">
              <w:t>projekta</w:t>
            </w:r>
            <w:r w:rsidR="00B074FC">
              <w:t xml:space="preserve"> </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5A3A798" w14:textId="77777777" w:rsidR="003A0B62" w:rsidRPr="00E767DB" w:rsidRDefault="00B074FC" w:rsidP="00B074FC">
            <w:pPr>
              <w:pStyle w:val="NormalWeb"/>
              <w:shd w:val="clear" w:color="auto" w:fill="FFFFFF"/>
              <w:spacing w:beforeAutospacing="0" w:afterAutospacing="0"/>
              <w:jc w:val="both"/>
              <w:rPr>
                <w:b/>
                <w:u w:val="single"/>
                <w:lang w:eastAsia="en-US"/>
              </w:rPr>
            </w:pPr>
            <w:r w:rsidRPr="00E767DB">
              <w:rPr>
                <w:b/>
                <w:u w:val="single"/>
                <w:lang w:eastAsia="en-US"/>
              </w:rPr>
              <w:t>Finanšu ministrijas iebildums:</w:t>
            </w:r>
          </w:p>
          <w:p w14:paraId="4AE3D874" w14:textId="583950D1" w:rsidR="00B074FC" w:rsidRPr="00B32723" w:rsidRDefault="004D089D" w:rsidP="00B32723">
            <w:pPr>
              <w:widowControl w:val="0"/>
              <w:jc w:val="both"/>
              <w:rPr>
                <w:szCs w:val="26"/>
              </w:rPr>
            </w:pPr>
            <w:r w:rsidRPr="004D089D">
              <w:rPr>
                <w:szCs w:val="26"/>
              </w:rPr>
              <w:t>1.</w:t>
            </w:r>
            <w:r w:rsidRPr="004D089D">
              <w:rPr>
                <w:szCs w:val="26"/>
              </w:rPr>
              <w:tab/>
              <w:t>Lūdzam rīkojuma projekta 1.punktā summu norādīt kā veselu skaitli bez cipariem aiz komata.</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1F3CA16" w14:textId="1EA5F2F5" w:rsidR="003A0B62" w:rsidRPr="00FC2882" w:rsidRDefault="0094256F">
            <w:pPr>
              <w:pStyle w:val="naisc"/>
              <w:spacing w:before="0" w:after="0"/>
              <w:jc w:val="both"/>
              <w:rPr>
                <w:b/>
              </w:rPr>
            </w:pPr>
            <w:r w:rsidRPr="00FC2882">
              <w:rPr>
                <w:b/>
              </w:rPr>
              <w:t>Ņemts vērā</w:t>
            </w: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C6FB5" w14:textId="20F87749" w:rsidR="003A0B62" w:rsidRPr="0042663E" w:rsidRDefault="00FC2882">
            <w:pPr>
              <w:jc w:val="both"/>
              <w:rPr>
                <w:i/>
                <w:iCs/>
              </w:rPr>
            </w:pPr>
            <w:r>
              <w:t xml:space="preserve">MK rīkojuma projektā </w:t>
            </w:r>
            <w:r w:rsidR="0002454D">
              <w:t xml:space="preserve">1. punktā </w:t>
            </w:r>
            <w:r w:rsidR="0042663E">
              <w:t xml:space="preserve">norādīts vesels skaitlis 2 700 000 </w:t>
            </w:r>
            <w:r w:rsidR="0042663E">
              <w:rPr>
                <w:i/>
                <w:iCs/>
              </w:rPr>
              <w:t>euro.</w:t>
            </w:r>
          </w:p>
        </w:tc>
      </w:tr>
      <w:tr w:rsidR="00BF6B52" w14:paraId="7B6195DD"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92BF952" w14:textId="77777777" w:rsidR="003A0B62" w:rsidRDefault="003A0B62">
            <w:pPr>
              <w:pStyle w:val="naisc"/>
              <w:numPr>
                <w:ilvl w:val="0"/>
                <w:numId w:val="1"/>
              </w:numPr>
              <w:spacing w:before="0" w:after="0"/>
              <w:rPr>
                <w:sz w:val="20"/>
                <w:szCs w:val="20"/>
              </w:rPr>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708AA51" w14:textId="19A47212" w:rsidR="003A0B62" w:rsidRDefault="00F576FA">
            <w:pPr>
              <w:pStyle w:val="naisc"/>
              <w:spacing w:before="0" w:after="0"/>
              <w:jc w:val="both"/>
            </w:pPr>
            <w:r>
              <w:t>MK rīkojuma projekta 5. punkts</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04FE904" w14:textId="77CD54F7" w:rsidR="00B074FC" w:rsidRPr="00B074FC" w:rsidRDefault="00B074FC" w:rsidP="0094256F">
            <w:pPr>
              <w:spacing w:line="252" w:lineRule="auto"/>
              <w:jc w:val="both"/>
              <w:rPr>
                <w:b/>
                <w:u w:val="single"/>
              </w:rPr>
            </w:pPr>
            <w:r w:rsidRPr="00B074FC">
              <w:rPr>
                <w:b/>
                <w:u w:val="single"/>
              </w:rPr>
              <w:t xml:space="preserve">Finanšu ministrijas </w:t>
            </w:r>
            <w:r w:rsidR="004D089D" w:rsidRPr="004D089D">
              <w:rPr>
                <w:b/>
                <w:u w:val="single"/>
              </w:rPr>
              <w:t>iebildums</w:t>
            </w:r>
            <w:r w:rsidRPr="00B074FC">
              <w:rPr>
                <w:b/>
                <w:u w:val="single"/>
              </w:rPr>
              <w:t>:</w:t>
            </w:r>
          </w:p>
          <w:p w14:paraId="76A08234" w14:textId="77777777" w:rsidR="0050737F" w:rsidRPr="0050737F" w:rsidRDefault="0050737F" w:rsidP="0050737F">
            <w:pPr>
              <w:spacing w:line="252" w:lineRule="auto"/>
              <w:jc w:val="both"/>
              <w:rPr>
                <w:szCs w:val="26"/>
              </w:rPr>
            </w:pPr>
            <w:r w:rsidRPr="0050737F">
              <w:rPr>
                <w:szCs w:val="26"/>
              </w:rPr>
              <w:t>2.</w:t>
            </w:r>
            <w:r w:rsidRPr="0050737F">
              <w:rPr>
                <w:szCs w:val="26"/>
              </w:rPr>
              <w:tab/>
              <w:t xml:space="preserve">Ņemot vērā, ka budžeta līdzekļu ietaupījums 25 818 euro apmērā izveidosies tieši </w:t>
            </w:r>
            <w:r w:rsidRPr="0050737F">
              <w:rPr>
                <w:szCs w:val="26"/>
              </w:rPr>
              <w:lastRenderedPageBreak/>
              <w:t>projekta “Nodokļu pakalpojumu automatizācija” (turpmāk – projekts) īstenošanas rezultātā, līdz ar to tas ir viennozīmīgi novirzāms projekta uzturēšanas izdevumu segšanai. Lūdzam rīkojuma projekta 5.punktu izteikt šādā redakcijā:</w:t>
            </w:r>
          </w:p>
          <w:p w14:paraId="06AFF8E2" w14:textId="77777777" w:rsidR="0050737F" w:rsidRPr="0050737F" w:rsidRDefault="0050737F" w:rsidP="0050737F">
            <w:pPr>
              <w:spacing w:line="252" w:lineRule="auto"/>
              <w:jc w:val="both"/>
              <w:rPr>
                <w:szCs w:val="26"/>
              </w:rPr>
            </w:pPr>
            <w:r w:rsidRPr="0050737F">
              <w:rPr>
                <w:szCs w:val="26"/>
              </w:rPr>
              <w:t>“5. Pēc projekta pabeigšanas  noteikt projekta uzturēšanas izmaksas, sākot ar 2024.gadu, ne vairāk kā 270 000 euro gadā, tai skaitā:</w:t>
            </w:r>
          </w:p>
          <w:p w14:paraId="27EBB079" w14:textId="77777777" w:rsidR="0050737F" w:rsidRPr="0050737F" w:rsidRDefault="0050737F" w:rsidP="0050737F">
            <w:pPr>
              <w:spacing w:line="252" w:lineRule="auto"/>
              <w:jc w:val="both"/>
              <w:rPr>
                <w:szCs w:val="26"/>
              </w:rPr>
            </w:pPr>
            <w:r w:rsidRPr="0050737F">
              <w:rPr>
                <w:szCs w:val="26"/>
              </w:rPr>
              <w:t>5.1. 25 818 euro segt no Finanšu ministrijas budžeta programmā 33.00.00 “Valsts ieņēmumu un muitas politikas nodrošināšana” pieejamiem līdzekļiem;</w:t>
            </w:r>
          </w:p>
          <w:p w14:paraId="17DDD88B" w14:textId="77777777" w:rsidR="0050737F" w:rsidRPr="0050737F" w:rsidRDefault="0050737F" w:rsidP="0050737F">
            <w:pPr>
              <w:spacing w:line="252" w:lineRule="auto"/>
              <w:jc w:val="both"/>
              <w:rPr>
                <w:szCs w:val="26"/>
              </w:rPr>
            </w:pPr>
            <w:r w:rsidRPr="0050737F">
              <w:rPr>
                <w:szCs w:val="26"/>
              </w:rPr>
              <w:t>5.2. 244 182 euro Finanšu ministrijai normatīvajos aktos noteiktajā kārtībā pieprasīt papildus.”</w:t>
            </w:r>
          </w:p>
          <w:p w14:paraId="624BDE7B" w14:textId="34C90405" w:rsidR="00B074FC" w:rsidRPr="00B074FC" w:rsidRDefault="0050737F" w:rsidP="0050737F">
            <w:pPr>
              <w:spacing w:line="252" w:lineRule="auto"/>
              <w:jc w:val="both"/>
              <w:rPr>
                <w:szCs w:val="26"/>
              </w:rPr>
            </w:pPr>
            <w:r w:rsidRPr="0050737F">
              <w:rPr>
                <w:szCs w:val="26"/>
              </w:rPr>
              <w:t>Vienlaikus lūdzam veikt attiecīgās izmaiņas arī anotācijas III sadaļā “Tiesību akta projekta ietekme uz valsts budžetu un pašvaldību budžetiem” (turpmāk – III sadaļa).</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3A2EEAD" w14:textId="16B6E4B3" w:rsidR="00D7543D" w:rsidRPr="00F576FA" w:rsidRDefault="00F576FA" w:rsidP="002666D5">
            <w:pPr>
              <w:pStyle w:val="naisc"/>
              <w:spacing w:before="0" w:after="0"/>
              <w:jc w:val="both"/>
              <w:rPr>
                <w:b/>
              </w:rPr>
            </w:pPr>
            <w:r w:rsidRPr="00F576FA">
              <w:rPr>
                <w:b/>
              </w:rPr>
              <w:lastRenderedPageBreak/>
              <w:t>Ņemts vērā</w:t>
            </w: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D16C28" w14:textId="77777777" w:rsidR="00F576FA" w:rsidRDefault="00AB0F23">
            <w:r>
              <w:t>MK rīkojuma projekt</w:t>
            </w:r>
            <w:r w:rsidR="00F576FA">
              <w:t xml:space="preserve">a </w:t>
            </w:r>
            <w:r>
              <w:t xml:space="preserve"> </w:t>
            </w:r>
            <w:r w:rsidR="00F576FA">
              <w:t xml:space="preserve">5. punkts izteikts šādā redakcijā: </w:t>
            </w:r>
          </w:p>
          <w:p w14:paraId="6655EA3B" w14:textId="67F2D0D9" w:rsidR="002075E2" w:rsidRDefault="00AB0F23" w:rsidP="002075E2">
            <w:r>
              <w:lastRenderedPageBreak/>
              <w:t xml:space="preserve"> </w:t>
            </w:r>
            <w:r w:rsidR="002075E2">
              <w:t>“5.</w:t>
            </w:r>
            <w:r w:rsidR="002075E2">
              <w:tab/>
              <w:t>Pēc projekta pabeigšanas  noteikt projekta uzturēšanas izmaksas, sākot ar 2024.gadu, ne vairāk kā 270 000 euro gadā, tai skaitā:</w:t>
            </w:r>
          </w:p>
          <w:p w14:paraId="0907C615" w14:textId="77777777" w:rsidR="002075E2" w:rsidRDefault="002075E2" w:rsidP="002075E2">
            <w:r>
              <w:t>5.1.</w:t>
            </w:r>
            <w:r>
              <w:tab/>
              <w:t xml:space="preserve"> 25 818 euro segt no Finanšu ministrijas budžeta programmā 33.00.00 “Valsts ieņēmumu un muitas politikas nodrošināšana” pieejamiem līdzekļiem;</w:t>
            </w:r>
          </w:p>
          <w:p w14:paraId="09E2C846" w14:textId="77777777" w:rsidR="003A0B62" w:rsidRDefault="002075E2" w:rsidP="002075E2">
            <w:r>
              <w:t>5.2.</w:t>
            </w:r>
            <w:r>
              <w:tab/>
              <w:t xml:space="preserve"> 244 182 euro Finanšu ministrijai normatīvajos aktos noteiktajā kārtībā pieprasīt papildus.</w:t>
            </w:r>
            <w:r w:rsidR="00C56AD9">
              <w:t>”</w:t>
            </w:r>
          </w:p>
          <w:p w14:paraId="1AA5554B" w14:textId="77777777" w:rsidR="00C56AD9" w:rsidRDefault="00EF303A" w:rsidP="002075E2">
            <w:r>
              <w:t xml:space="preserve">Anotācijas III sadaļā </w:t>
            </w:r>
            <w:r w:rsidR="00D2684D">
              <w:t xml:space="preserve">papildināts teikums par uzturēšanas izmaksām šādā redakcijā: </w:t>
            </w:r>
          </w:p>
          <w:p w14:paraId="6CAB1C17" w14:textId="25B9B47F" w:rsidR="000828FA" w:rsidRDefault="000828FA" w:rsidP="002075E2">
            <w:r>
              <w:t>“</w:t>
            </w:r>
            <w:r w:rsidRPr="000828FA">
              <w:t>IKT risinājumu uzturēšanas izmaksas sākot ar 2024.gadu plānotas 270 000 </w:t>
            </w:r>
            <w:r w:rsidRPr="000828FA">
              <w:rPr>
                <w:i/>
              </w:rPr>
              <w:t>euro</w:t>
            </w:r>
            <w:r w:rsidRPr="000828FA">
              <w:t xml:space="preserve"> gadā (10% no projekta apjoma 2 700 000 </w:t>
            </w:r>
            <w:r w:rsidRPr="000828FA">
              <w:rPr>
                <w:i/>
              </w:rPr>
              <w:t>euro</w:t>
            </w:r>
            <w:r w:rsidRPr="000828FA">
              <w:t xml:space="preserve">), no kurām 25 818 </w:t>
            </w:r>
            <w:r w:rsidRPr="000828FA">
              <w:rPr>
                <w:i/>
                <w:iCs/>
              </w:rPr>
              <w:t>euro</w:t>
            </w:r>
            <w:r w:rsidRPr="000828FA">
              <w:t xml:space="preserve"> tiks segtas no Finanšu ministrijas budžeta programmā 33.00.00 </w:t>
            </w:r>
            <w:r w:rsidRPr="000828FA">
              <w:lastRenderedPageBreak/>
              <w:t xml:space="preserve">“Valsts ieņēmumu un muitas politikas nodrošināšana” pieejamiem līdzekļiem un 244 182 </w:t>
            </w:r>
            <w:r w:rsidRPr="000828FA">
              <w:rPr>
                <w:i/>
                <w:iCs/>
              </w:rPr>
              <w:t>euro</w:t>
            </w:r>
            <w:r w:rsidRPr="000828FA">
              <w:t xml:space="preserve"> Finanšu ministrija normatīvajos aktos noteiktajā kārtībā pieprasīs papildus</w:t>
            </w:r>
            <w:r w:rsidR="00362CA0">
              <w:t>.</w:t>
            </w:r>
            <w:r>
              <w:t>”</w:t>
            </w:r>
          </w:p>
        </w:tc>
      </w:tr>
      <w:tr w:rsidR="00BF6B52" w14:paraId="07C0F81F"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9BF34B2" w14:textId="77777777" w:rsidR="003A0B62" w:rsidRDefault="00195E36">
            <w:pPr>
              <w:pStyle w:val="naisc"/>
              <w:spacing w:before="0" w:after="0"/>
              <w:rPr>
                <w:sz w:val="20"/>
                <w:szCs w:val="20"/>
              </w:rPr>
            </w:pPr>
            <w:r>
              <w:rPr>
                <w:sz w:val="20"/>
                <w:szCs w:val="20"/>
              </w:rPr>
              <w:lastRenderedPageBreak/>
              <w:t>3.</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75582C7" w14:textId="53A01A6A" w:rsidR="003A0B62" w:rsidRDefault="007F6027">
            <w:pPr>
              <w:pStyle w:val="naisc"/>
              <w:spacing w:before="0" w:after="0"/>
              <w:jc w:val="both"/>
            </w:pPr>
            <w:r>
              <w:t>A</w:t>
            </w:r>
            <w:r w:rsidR="00B074FC">
              <w:t>notācija</w:t>
            </w:r>
            <w:r>
              <w:t>s</w:t>
            </w:r>
            <w:r w:rsidR="00F27935">
              <w:t xml:space="preserve"> I sadaļa 2. punkts</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AE2ABC6" w14:textId="112CE199" w:rsidR="00B074FC" w:rsidRPr="00B074FC" w:rsidRDefault="00B074FC" w:rsidP="00B32723">
            <w:pPr>
              <w:jc w:val="both"/>
              <w:rPr>
                <w:b/>
                <w:u w:val="single"/>
              </w:rPr>
            </w:pPr>
            <w:r w:rsidRPr="00B074FC">
              <w:rPr>
                <w:b/>
                <w:u w:val="single"/>
              </w:rPr>
              <w:t xml:space="preserve">Finanšu ministrijas </w:t>
            </w:r>
            <w:r w:rsidR="0050737F" w:rsidRPr="0050737F">
              <w:rPr>
                <w:b/>
                <w:u w:val="single"/>
              </w:rPr>
              <w:t>iebildums</w:t>
            </w:r>
            <w:r w:rsidRPr="00B074FC">
              <w:rPr>
                <w:b/>
                <w:u w:val="single"/>
              </w:rPr>
              <w:t>:</w:t>
            </w:r>
          </w:p>
          <w:p w14:paraId="13E36DBD" w14:textId="40B6A007" w:rsidR="003A0B62" w:rsidRDefault="007B63F4" w:rsidP="00B32723">
            <w:pPr>
              <w:contextualSpacing/>
              <w:jc w:val="both"/>
              <w:rPr>
                <w:rFonts w:eastAsia="Calibri"/>
                <w:lang w:eastAsia="en-US"/>
              </w:rPr>
            </w:pPr>
            <w:r w:rsidRPr="007B63F4">
              <w:rPr>
                <w:szCs w:val="26"/>
              </w:rPr>
              <w:t>3.</w:t>
            </w:r>
            <w:r w:rsidRPr="007B63F4">
              <w:rPr>
                <w:szCs w:val="26"/>
              </w:rPr>
              <w:tab/>
              <w:t>Lūdzam norādīt savstarpēji atbilstošu informāciju, ņemot vērā, ka anotācijas I sadaļas “Tiesību akta projekta izstrādes nepieciešamība” 2.punktā “Pašreizējā situācija un problēmas, kuru risināšanai tiesību akta projekts izstrādāts, tiesiskā regulējuma mērķis un būtība” norādīts, ka projektā tiks pilnveidoti 3 pakalpojumi un izveidotas 11 datu kopas publicēšanai atkalizmantojamo datu formātos, savukārt rīkojuma pielikumā tabulā “Projekta iznākuma rādītāji” norādīta atšķirīga informācija – pilnveidoti 6 e-pakalpojumi un izveidotas 12 datu kopas publicēšanai atkalizmantojamo datu formātos.</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6F599D2" w14:textId="4DB77C02" w:rsidR="003A0B62" w:rsidRPr="002634F7" w:rsidRDefault="00B074FC">
            <w:pPr>
              <w:pStyle w:val="naisc"/>
              <w:spacing w:before="0" w:after="0"/>
              <w:jc w:val="both"/>
              <w:rPr>
                <w:b/>
              </w:rPr>
            </w:pPr>
            <w:r w:rsidRPr="002634F7">
              <w:rPr>
                <w:b/>
              </w:rPr>
              <w:t>Ņemts vērā</w:t>
            </w: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D2DD44" w14:textId="11547E20" w:rsidR="003A0B62" w:rsidRDefault="00F27935">
            <w:r>
              <w:t>Anotācijas I sadaļa</w:t>
            </w:r>
            <w:r w:rsidR="007C1ABA">
              <w:t>s</w:t>
            </w:r>
            <w:r>
              <w:t xml:space="preserve"> 2. punkt</w:t>
            </w:r>
            <w:r w:rsidR="0056570A">
              <w:t>ā</w:t>
            </w:r>
            <w:r>
              <w:t xml:space="preserve"> precizēts</w:t>
            </w:r>
            <w:r w:rsidR="00E47884">
              <w:t>:</w:t>
            </w:r>
          </w:p>
          <w:p w14:paraId="671ABC91" w14:textId="7B30C194" w:rsidR="0056570A" w:rsidRDefault="0056570A">
            <w:r>
              <w:t>“…</w:t>
            </w:r>
            <w:r w:rsidR="00881593" w:rsidRPr="00881593">
              <w:rPr>
                <w:iCs/>
              </w:rPr>
              <w:t>pilnveidojot 7 darbības procesus, pilnveidojot 6 e-pakalpojumus, izveidojot 1 proaktīvu e-pakapojumu, kā arī izveidojot 12 datu kopas publicēšanai atkalizmantojamo datu formātos</w:t>
            </w:r>
            <w:r w:rsidR="00881593">
              <w:rPr>
                <w:iCs/>
              </w:rPr>
              <w:t>.”</w:t>
            </w:r>
          </w:p>
        </w:tc>
      </w:tr>
      <w:tr w:rsidR="00BF6B52" w14:paraId="20E1EECC"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0FB70E4" w14:textId="77777777" w:rsidR="003A0B62" w:rsidRDefault="00195E36">
            <w:pPr>
              <w:pStyle w:val="naisc"/>
              <w:spacing w:before="0" w:after="0"/>
            </w:pPr>
            <w:r>
              <w:t>4.</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9269413" w14:textId="5CF959E3" w:rsidR="003A0B62" w:rsidRDefault="002634F7">
            <w:pPr>
              <w:pStyle w:val="naisc"/>
              <w:spacing w:before="0" w:after="0"/>
              <w:jc w:val="both"/>
            </w:pPr>
            <w:r>
              <w:t>Anotācijas III sadaļa</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B3DA9AD" w14:textId="3C4CC749" w:rsidR="003A0B62" w:rsidRPr="00B074FC" w:rsidRDefault="00B074FC" w:rsidP="00B074FC">
            <w:pPr>
              <w:spacing w:after="160" w:line="252" w:lineRule="auto"/>
              <w:contextualSpacing/>
              <w:jc w:val="both"/>
              <w:rPr>
                <w:rFonts w:eastAsia="Calibri"/>
                <w:b/>
                <w:u w:val="single"/>
                <w:lang w:eastAsia="en-US"/>
              </w:rPr>
            </w:pPr>
            <w:r w:rsidRPr="00B074FC">
              <w:rPr>
                <w:rFonts w:eastAsia="Calibri"/>
                <w:b/>
                <w:u w:val="single"/>
                <w:lang w:eastAsia="en-US"/>
              </w:rPr>
              <w:t xml:space="preserve">Finanšu ministrijas </w:t>
            </w:r>
            <w:r w:rsidR="007B63F4" w:rsidRPr="007B63F4">
              <w:rPr>
                <w:rFonts w:eastAsia="Calibri"/>
                <w:b/>
                <w:u w:val="single"/>
                <w:lang w:eastAsia="en-US"/>
              </w:rPr>
              <w:t>iebildums</w:t>
            </w:r>
            <w:r w:rsidRPr="00B074FC">
              <w:rPr>
                <w:rFonts w:eastAsia="Calibri"/>
                <w:b/>
                <w:u w:val="single"/>
                <w:lang w:eastAsia="en-US"/>
              </w:rPr>
              <w:t xml:space="preserve">: </w:t>
            </w:r>
          </w:p>
          <w:p w14:paraId="6989B7B2" w14:textId="3FC69120" w:rsidR="00B074FC" w:rsidRPr="00B074FC" w:rsidRDefault="005A6C0E" w:rsidP="00B074FC">
            <w:pPr>
              <w:ind w:right="150"/>
              <w:jc w:val="both"/>
              <w:rPr>
                <w:szCs w:val="26"/>
              </w:rPr>
            </w:pPr>
            <w:r w:rsidRPr="005A6C0E">
              <w:rPr>
                <w:szCs w:val="26"/>
              </w:rPr>
              <w:t>4.</w:t>
            </w:r>
            <w:r w:rsidRPr="005A6C0E">
              <w:rPr>
                <w:szCs w:val="26"/>
              </w:rPr>
              <w:tab/>
              <w:t>Lūdzam precizēt anotācijas III sadaļu atbilstoši MK instrukcijai Nr.19  aktuālajam pielikumam, nesvītrojot noteiktajā formā paredzētās rindas, kā arī precizēt norādītos gadus, ņemot vērā, ka n-gads ir 2021.gads, un finansiālo ietekmi norādīt korektajās ailēs.</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35912E2" w14:textId="2C1FFC44" w:rsidR="003A0B62" w:rsidRPr="002634F7" w:rsidRDefault="00B074FC">
            <w:pPr>
              <w:pStyle w:val="naisc"/>
              <w:spacing w:before="0" w:after="0"/>
              <w:jc w:val="both"/>
              <w:rPr>
                <w:b/>
              </w:rPr>
            </w:pPr>
            <w:r w:rsidRPr="002634F7">
              <w:rPr>
                <w:b/>
              </w:rPr>
              <w:t>Ņemts vērā</w:t>
            </w: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66587" w14:textId="1BFD9246" w:rsidR="0049669D" w:rsidRDefault="00FA478A" w:rsidP="00FA478A">
            <w:pPr>
              <w:pStyle w:val="naisc"/>
              <w:spacing w:before="0" w:after="0"/>
              <w:jc w:val="both"/>
            </w:pPr>
            <w:r>
              <w:t xml:space="preserve">Anotācijas III sadaļa </w:t>
            </w:r>
            <w:r w:rsidR="00B75368">
              <w:t xml:space="preserve">atbilstoši </w:t>
            </w:r>
            <w:r>
              <w:t>precizēta</w:t>
            </w:r>
            <w:r w:rsidR="00B75368">
              <w:t xml:space="preserve"> </w:t>
            </w:r>
          </w:p>
        </w:tc>
      </w:tr>
      <w:tr w:rsidR="008A50E4" w14:paraId="0EF9652B"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2E653BC" w14:textId="5EE1DCAE" w:rsidR="005A6C0E" w:rsidRDefault="00AC2ED5">
            <w:pPr>
              <w:pStyle w:val="naisc"/>
              <w:spacing w:before="0" w:after="0"/>
            </w:pPr>
            <w:r>
              <w:t>5.</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9271EE7" w14:textId="5AD1C088" w:rsidR="005A6C0E" w:rsidRDefault="003E040F">
            <w:pPr>
              <w:pStyle w:val="naisc"/>
              <w:spacing w:before="0" w:after="0"/>
              <w:jc w:val="both"/>
            </w:pPr>
            <w:r>
              <w:t>Anotācijas III sadaļa</w:t>
            </w:r>
            <w:r w:rsidR="003C219D">
              <w:t xml:space="preserve"> 8. punkts</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0C4E1F6" w14:textId="77777777" w:rsidR="00623976" w:rsidRPr="007469FE" w:rsidRDefault="00623976" w:rsidP="00623976">
            <w:pPr>
              <w:spacing w:after="160" w:line="252" w:lineRule="auto"/>
              <w:contextualSpacing/>
              <w:jc w:val="both"/>
              <w:rPr>
                <w:rFonts w:eastAsia="Calibri"/>
                <w:b/>
                <w:bCs/>
                <w:u w:val="single"/>
                <w:lang w:eastAsia="en-US"/>
              </w:rPr>
            </w:pPr>
            <w:r w:rsidRPr="007469FE">
              <w:rPr>
                <w:rFonts w:eastAsia="Calibri"/>
                <w:b/>
                <w:bCs/>
                <w:u w:val="single"/>
                <w:lang w:eastAsia="en-US"/>
              </w:rPr>
              <w:t xml:space="preserve">Finanšu ministrijas iebildums: </w:t>
            </w:r>
          </w:p>
          <w:p w14:paraId="5CD941F5" w14:textId="66D38ED0" w:rsidR="005A6C0E" w:rsidRPr="007469FE" w:rsidRDefault="00623976" w:rsidP="00B074FC">
            <w:pPr>
              <w:spacing w:after="160" w:line="252" w:lineRule="auto"/>
              <w:contextualSpacing/>
              <w:jc w:val="both"/>
              <w:rPr>
                <w:rFonts w:eastAsia="Calibri"/>
                <w:bCs/>
                <w:lang w:eastAsia="en-US"/>
              </w:rPr>
            </w:pPr>
            <w:r w:rsidRPr="007469FE">
              <w:rPr>
                <w:rFonts w:eastAsia="Calibri"/>
                <w:bCs/>
                <w:lang w:eastAsia="en-US"/>
              </w:rPr>
              <w:t>5.</w:t>
            </w:r>
            <w:r w:rsidRPr="007469FE">
              <w:rPr>
                <w:rFonts w:eastAsia="Calibri"/>
                <w:bCs/>
                <w:lang w:eastAsia="en-US"/>
              </w:rPr>
              <w:tab/>
              <w:t xml:space="preserve">Lūdzam precizēt anotācijas III sadaļas 8.punktā “Cita informācija” sniegto informāciju, ņemot vērā, ka no normatīvajos aktos noteiktajā </w:t>
            </w:r>
            <w:r w:rsidRPr="007469FE">
              <w:rPr>
                <w:rFonts w:eastAsia="Calibri"/>
                <w:bCs/>
                <w:lang w:eastAsia="en-US"/>
              </w:rPr>
              <w:lastRenderedPageBreak/>
              <w:t>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 tiks pieprasīts finansējums visa projekta īstenošanai, ne tikai līdzfinansējumam.</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5C43D22" w14:textId="2CB97233" w:rsidR="005A6C0E" w:rsidRDefault="003E040F">
            <w:pPr>
              <w:pStyle w:val="naisc"/>
              <w:spacing w:before="0" w:after="0"/>
              <w:jc w:val="both"/>
              <w:rPr>
                <w:bCs/>
              </w:rPr>
            </w:pPr>
            <w:r w:rsidRPr="002634F7">
              <w:rPr>
                <w:b/>
              </w:rPr>
              <w:lastRenderedPageBreak/>
              <w:t>Ņemts vērā</w:t>
            </w: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9EEC3" w14:textId="09BBBFFA" w:rsidR="005A6C0E" w:rsidRDefault="002073FA" w:rsidP="003E040F">
            <w:r>
              <w:t>Anotācijas III sadaļa</w:t>
            </w:r>
            <w:r w:rsidR="003C219D">
              <w:t xml:space="preserve">s 8. punkts </w:t>
            </w:r>
            <w:r>
              <w:t>atbilstoši preci</w:t>
            </w:r>
            <w:r w:rsidR="003C219D">
              <w:t>zēts</w:t>
            </w:r>
          </w:p>
        </w:tc>
      </w:tr>
      <w:tr w:rsidR="003B0E3F" w14:paraId="52144597"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B755998" w14:textId="77777777" w:rsidR="003B0E3F" w:rsidRDefault="003B0E3F">
            <w:pPr>
              <w:pStyle w:val="naisc"/>
              <w:spacing w:before="0" w:after="0"/>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FFB001A" w14:textId="77777777" w:rsidR="003B0E3F" w:rsidRDefault="003B0E3F" w:rsidP="00D6389C">
            <w:pPr>
              <w:pStyle w:val="naisc"/>
              <w:spacing w:before="0" w:after="0"/>
              <w:jc w:val="left"/>
            </w:pP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B3F9DDE" w14:textId="6380D570" w:rsidR="003B0E3F" w:rsidRPr="00E92E73" w:rsidRDefault="00E578C5" w:rsidP="00BD21EB">
            <w:pPr>
              <w:shd w:val="clear" w:color="auto" w:fill="FFFFFF"/>
              <w:jc w:val="both"/>
              <w:rPr>
                <w:b/>
                <w:bCs/>
                <w:color w:val="000000"/>
                <w:u w:val="single"/>
                <w:lang w:eastAsia="en-US"/>
              </w:rPr>
            </w:pPr>
            <w:r>
              <w:rPr>
                <w:b/>
                <w:bCs/>
                <w:color w:val="000000"/>
                <w:u w:val="single"/>
                <w:lang w:eastAsia="en-US"/>
              </w:rPr>
              <w:t>Latvijas Pašvaldību savie</w:t>
            </w:r>
            <w:r w:rsidR="00B50EF0">
              <w:rPr>
                <w:b/>
                <w:bCs/>
                <w:color w:val="000000"/>
                <w:u w:val="single"/>
                <w:lang w:eastAsia="en-US"/>
              </w:rPr>
              <w:t>nība (08.03.2021.)</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2981EDF" w14:textId="77777777" w:rsidR="003B0E3F" w:rsidRPr="00A307B3" w:rsidRDefault="003B0E3F">
            <w:pPr>
              <w:pStyle w:val="naisc"/>
              <w:spacing w:before="0" w:after="0"/>
              <w:jc w:val="both"/>
              <w:rPr>
                <w:b/>
              </w:rPr>
            </w:pP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E526F4" w14:textId="77777777" w:rsidR="003B0E3F" w:rsidRDefault="003B0E3F">
            <w:pPr>
              <w:jc w:val="center"/>
            </w:pPr>
          </w:p>
        </w:tc>
      </w:tr>
      <w:tr w:rsidR="00492508" w14:paraId="452A66BD" w14:textId="77777777" w:rsidTr="00E578C5">
        <w:tc>
          <w:tcPr>
            <w:tcW w:w="227"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818F8B4" w14:textId="0DEA7792" w:rsidR="00492508" w:rsidRDefault="00EC0B4D">
            <w:pPr>
              <w:pStyle w:val="naisc"/>
              <w:spacing w:before="0" w:after="0"/>
            </w:pPr>
            <w:r>
              <w:t>6.</w:t>
            </w: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109FBDE" w14:textId="55FD6DF0" w:rsidR="00492508" w:rsidRDefault="00AF6ACE">
            <w:pPr>
              <w:pStyle w:val="naisc"/>
              <w:spacing w:before="0" w:after="0"/>
              <w:jc w:val="both"/>
            </w:pPr>
            <w:r w:rsidRPr="00AF6ACE">
              <w:t>Neattiecas uz saskaņošanai nosūtīto MK rīkojuma projekta redakciju</w:t>
            </w:r>
          </w:p>
        </w:tc>
        <w:tc>
          <w:tcPr>
            <w:tcW w:w="1820"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B9B2BAE" w14:textId="77777777" w:rsidR="004A0360" w:rsidRPr="004A0360" w:rsidRDefault="004A0360" w:rsidP="004A0360">
            <w:pPr>
              <w:shd w:val="clear" w:color="auto" w:fill="FFFFFF"/>
              <w:jc w:val="both"/>
              <w:rPr>
                <w:b/>
                <w:bCs/>
                <w:color w:val="000000"/>
                <w:lang w:eastAsia="en-US"/>
              </w:rPr>
            </w:pPr>
            <w:r w:rsidRPr="004A0360">
              <w:rPr>
                <w:color w:val="000000"/>
                <w:lang w:eastAsia="en-US"/>
              </w:rPr>
              <w:t>[8] Tā kā valsts strādā pie dzīvojamo māju īres regulējuma un īres reģistra izveides, kā arī atbilstoši sanāksmē panāktajām norunām un Valsts inform</w:t>
            </w:r>
            <w:r w:rsidRPr="004A0360">
              <w:rPr>
                <w:rFonts w:hint="eastAsia"/>
                <w:color w:val="000000"/>
                <w:lang w:eastAsia="en-US"/>
              </w:rPr>
              <w:t>ā</w:t>
            </w:r>
            <w:r w:rsidRPr="004A0360">
              <w:rPr>
                <w:color w:val="000000"/>
                <w:lang w:eastAsia="en-US"/>
              </w:rPr>
              <w:t>cijas sist</w:t>
            </w:r>
            <w:r w:rsidRPr="004A0360">
              <w:rPr>
                <w:rFonts w:hint="eastAsia"/>
                <w:color w:val="000000"/>
                <w:lang w:eastAsia="en-US"/>
              </w:rPr>
              <w:t>ē</w:t>
            </w:r>
            <w:r w:rsidRPr="004A0360">
              <w:rPr>
                <w:color w:val="000000"/>
                <w:lang w:eastAsia="en-US"/>
              </w:rPr>
              <w:t>mu likuma 6. panta otr</w:t>
            </w:r>
            <w:r w:rsidRPr="004A0360">
              <w:rPr>
                <w:rFonts w:hint="eastAsia"/>
                <w:color w:val="000000"/>
                <w:lang w:eastAsia="en-US"/>
              </w:rPr>
              <w:t>ā</w:t>
            </w:r>
            <w:r w:rsidRPr="004A0360">
              <w:rPr>
                <w:color w:val="000000"/>
                <w:lang w:eastAsia="en-US"/>
              </w:rPr>
              <w:t xml:space="preserve"> un treš</w:t>
            </w:r>
            <w:r w:rsidRPr="004A0360">
              <w:rPr>
                <w:rFonts w:hint="eastAsia"/>
                <w:color w:val="000000"/>
                <w:lang w:eastAsia="en-US"/>
              </w:rPr>
              <w:t>ā</w:t>
            </w:r>
            <w:r w:rsidRPr="004A0360">
              <w:rPr>
                <w:color w:val="000000"/>
                <w:lang w:eastAsia="en-US"/>
              </w:rPr>
              <w:t xml:space="preserve"> da</w:t>
            </w:r>
            <w:r w:rsidRPr="004A0360">
              <w:rPr>
                <w:rFonts w:hint="eastAsia"/>
                <w:color w:val="000000"/>
                <w:lang w:eastAsia="en-US"/>
              </w:rPr>
              <w:t>ļ</w:t>
            </w:r>
            <w:r w:rsidRPr="004A0360">
              <w:rPr>
                <w:color w:val="000000"/>
                <w:lang w:eastAsia="en-US"/>
              </w:rPr>
              <w:t xml:space="preserve">ai, lūdzam pievienot </w:t>
            </w:r>
            <w:r w:rsidRPr="004A0360">
              <w:rPr>
                <w:b/>
                <w:bCs/>
                <w:color w:val="000000"/>
                <w:lang w:eastAsia="en-US"/>
              </w:rPr>
              <w:t xml:space="preserve">Ministru kabineta protokollēmuma projekta punktu: </w:t>
            </w:r>
          </w:p>
          <w:p w14:paraId="4AE7914B" w14:textId="77777777" w:rsidR="004A0360" w:rsidRPr="004A0360" w:rsidRDefault="004A0360" w:rsidP="004A0360">
            <w:pPr>
              <w:shd w:val="clear" w:color="auto" w:fill="FFFFFF"/>
              <w:jc w:val="both"/>
              <w:rPr>
                <w:b/>
                <w:bCs/>
                <w:color w:val="000000"/>
                <w:lang w:eastAsia="en-US"/>
              </w:rPr>
            </w:pPr>
            <w:r w:rsidRPr="004A0360">
              <w:rPr>
                <w:b/>
                <w:bCs/>
                <w:color w:val="000000"/>
                <w:lang w:eastAsia="en-US"/>
              </w:rPr>
              <w:t>“Vides aizsardzības un reģionālās attīstības ministrijai nodrošināt koordinējošo lomu un paredzēt resursus tehnoloģisko risinājumu attīstības projektos, lai izveidotu vienota starpresoru pakalpojuma izveidi, kas integrētu gan saimnieciskās darbības adreses deklarēšanu, gan īres līguma reģistrēšanas pakalpojumu atbilstoši informācijas iesniegšanas vienreizes principam, neliekot līdzīga satura datus iesniegt vairākām institūcijām, attiecīgi iesniedzot nepieciešamos grozījumus normatīvajos aktos.”</w:t>
            </w:r>
          </w:p>
          <w:p w14:paraId="30BDD758" w14:textId="77777777" w:rsidR="004A0360" w:rsidRPr="004A0360" w:rsidRDefault="004A0360" w:rsidP="004A0360">
            <w:pPr>
              <w:shd w:val="clear" w:color="auto" w:fill="FFFFFF"/>
              <w:jc w:val="both"/>
              <w:rPr>
                <w:color w:val="000000"/>
                <w:lang w:eastAsia="en-US"/>
              </w:rPr>
            </w:pPr>
          </w:p>
          <w:p w14:paraId="7DFB106C" w14:textId="77777777" w:rsidR="004A0360" w:rsidRPr="004A0360" w:rsidRDefault="004A0360" w:rsidP="004A0360">
            <w:pPr>
              <w:shd w:val="clear" w:color="auto" w:fill="FFFFFF"/>
              <w:jc w:val="both"/>
              <w:rPr>
                <w:color w:val="000000"/>
                <w:lang w:eastAsia="en-US"/>
              </w:rPr>
            </w:pPr>
            <w:r w:rsidRPr="004A0360">
              <w:rPr>
                <w:color w:val="000000"/>
                <w:lang w:eastAsia="en-US"/>
              </w:rPr>
              <w:t xml:space="preserve">Vienlaikus ceram, ka VID īstenos šā gada 19.februāra sanāksmē panāktās norunas un tuvākajā nākotnē informēs LPS par papildus datiem par iedzīvotāju ienākuma nodokli, kas </w:t>
            </w:r>
            <w:r w:rsidRPr="004A0360">
              <w:rPr>
                <w:color w:val="000000"/>
                <w:lang w:eastAsia="en-US"/>
              </w:rPr>
              <w:lastRenderedPageBreak/>
              <w:t>saistīti ar pāreju no naudas plūsmas uzskaites principa uz uzkrājuma principu (t.sk. atbilstoši likuma “Par iedz</w:t>
            </w:r>
            <w:r w:rsidRPr="004A0360">
              <w:rPr>
                <w:rFonts w:hint="eastAsia"/>
                <w:color w:val="000000"/>
                <w:lang w:eastAsia="en-US"/>
              </w:rPr>
              <w:t>ī</w:t>
            </w:r>
            <w:r w:rsidRPr="004A0360">
              <w:rPr>
                <w:color w:val="000000"/>
                <w:lang w:eastAsia="en-US"/>
              </w:rPr>
              <w:t>vot</w:t>
            </w:r>
            <w:r w:rsidRPr="004A0360">
              <w:rPr>
                <w:rFonts w:hint="eastAsia"/>
                <w:color w:val="000000"/>
                <w:lang w:eastAsia="en-US"/>
              </w:rPr>
              <w:t>ā</w:t>
            </w:r>
            <w:r w:rsidRPr="004A0360">
              <w:rPr>
                <w:color w:val="000000"/>
                <w:lang w:eastAsia="en-US"/>
              </w:rPr>
              <w:t>ju ien</w:t>
            </w:r>
            <w:r w:rsidRPr="004A0360">
              <w:rPr>
                <w:rFonts w:hint="eastAsia"/>
                <w:color w:val="000000"/>
                <w:lang w:eastAsia="en-US"/>
              </w:rPr>
              <w:t>ā</w:t>
            </w:r>
            <w:r w:rsidRPr="004A0360">
              <w:rPr>
                <w:color w:val="000000"/>
                <w:lang w:eastAsia="en-US"/>
              </w:rPr>
              <w:t>kuma nodokli” 25. un 26. panta nosac</w:t>
            </w:r>
            <w:r w:rsidRPr="004A0360">
              <w:rPr>
                <w:rFonts w:hint="eastAsia"/>
                <w:color w:val="000000"/>
                <w:lang w:eastAsia="en-US"/>
              </w:rPr>
              <w:t>ī</w:t>
            </w:r>
            <w:r w:rsidRPr="004A0360">
              <w:rPr>
                <w:color w:val="000000"/>
                <w:lang w:eastAsia="en-US"/>
              </w:rPr>
              <w:t xml:space="preserve">jumiem). </w:t>
            </w:r>
          </w:p>
          <w:p w14:paraId="77102B64" w14:textId="77777777" w:rsidR="00492508" w:rsidRPr="004A0360" w:rsidRDefault="00492508" w:rsidP="00492508">
            <w:pPr>
              <w:shd w:val="clear" w:color="auto" w:fill="FFFFFF"/>
              <w:jc w:val="both"/>
              <w:rPr>
                <w:color w:val="000000"/>
                <w:lang w:eastAsia="en-US"/>
              </w:rPr>
            </w:pPr>
          </w:p>
        </w:tc>
        <w:tc>
          <w:tcPr>
            <w:tcW w:w="984" w:type="pct"/>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B96F05E" w14:textId="77777777" w:rsidR="00492508" w:rsidRPr="0018195A" w:rsidRDefault="002651E9">
            <w:pPr>
              <w:pStyle w:val="naisc"/>
              <w:spacing w:before="0" w:after="0"/>
              <w:jc w:val="both"/>
              <w:rPr>
                <w:b/>
              </w:rPr>
            </w:pPr>
            <w:r w:rsidRPr="0018195A">
              <w:rPr>
                <w:b/>
              </w:rPr>
              <w:lastRenderedPageBreak/>
              <w:t>Ņemts vērā</w:t>
            </w:r>
          </w:p>
          <w:p w14:paraId="425DA0ED" w14:textId="16C928BF" w:rsidR="002651E9" w:rsidRDefault="002651E9">
            <w:pPr>
              <w:pStyle w:val="naisc"/>
              <w:spacing w:before="0" w:after="0"/>
              <w:jc w:val="both"/>
              <w:rPr>
                <w:bCs/>
              </w:rPr>
            </w:pPr>
          </w:p>
        </w:tc>
        <w:tc>
          <w:tcPr>
            <w:tcW w:w="9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E7A964" w14:textId="1BBA7D39" w:rsidR="00492508" w:rsidRPr="00E8223D" w:rsidRDefault="00AF6ACE" w:rsidP="00AF6ACE">
            <w:r w:rsidRPr="00E8223D">
              <w:t xml:space="preserve">MK rīkojuma projekts </w:t>
            </w:r>
            <w:r w:rsidR="0017322A">
              <w:t xml:space="preserve">ir </w:t>
            </w:r>
            <w:r w:rsidRPr="00E8223D">
              <w:t xml:space="preserve">papildināts ar MK protokollēmuma </w:t>
            </w:r>
            <w:r w:rsidR="006818E5" w:rsidRPr="00E8223D">
              <w:t>projekt</w:t>
            </w:r>
            <w:r w:rsidR="006818E5">
              <w:t>u, kura 3.</w:t>
            </w:r>
            <w:r w:rsidR="006818E5" w:rsidRPr="00E8223D">
              <w:t xml:space="preserve"> punkt</w:t>
            </w:r>
            <w:r w:rsidR="006818E5">
              <w:t>ā</w:t>
            </w:r>
            <w:r w:rsidR="006818E5" w:rsidRPr="00E8223D">
              <w:t xml:space="preserve"> </w:t>
            </w:r>
            <w:r w:rsidR="006818E5">
              <w:t>paredzēts</w:t>
            </w:r>
            <w:r w:rsidRPr="00E8223D">
              <w:t xml:space="preserve">: </w:t>
            </w:r>
          </w:p>
          <w:p w14:paraId="1CF38462" w14:textId="50A9902D" w:rsidR="00AF6ACE" w:rsidRPr="00E8223D" w:rsidRDefault="00AF6ACE" w:rsidP="00AF6ACE">
            <w:r w:rsidRPr="00E8223D">
              <w:t>“Vides aizsardzības un reģionālās attīstības ministrijai nodrošināt koordinējošo lomu tehnoloģisko risinājumu attīstības projektos, lai izveidotu vienota starpresoru pakalpojuma izveidi, kas integrētu saimnieciskās darbības adreses deklarēšanu un īres līguma reģistrēšanas pakalpojumu atbilstoši informācijas iesniegšanas vienreizes principam, neliekot līdzīga satura datus iesniegt vairākām institūcijām.”</w:t>
            </w:r>
          </w:p>
        </w:tc>
      </w:tr>
    </w:tbl>
    <w:p w14:paraId="470BAC3F" w14:textId="676AA9CD" w:rsidR="003A0B62" w:rsidRDefault="00587929">
      <w:pPr>
        <w:pStyle w:val="naisf"/>
        <w:spacing w:before="0" w:after="0"/>
        <w:ind w:firstLine="720"/>
      </w:pPr>
      <w:r>
        <w:tab/>
      </w:r>
    </w:p>
    <w:p w14:paraId="685055C2" w14:textId="6CF6E6F0" w:rsidR="001850B3" w:rsidRDefault="001850B3">
      <w:pPr>
        <w:pStyle w:val="naisf"/>
        <w:spacing w:before="0" w:after="0"/>
        <w:ind w:firstLine="720"/>
      </w:pPr>
    </w:p>
    <w:tbl>
      <w:tblPr>
        <w:tblW w:w="8005" w:type="dxa"/>
        <w:tblInd w:w="-108" w:type="dxa"/>
        <w:tblLook w:val="00A0" w:firstRow="1" w:lastRow="0" w:firstColumn="1" w:lastColumn="0" w:noHBand="0" w:noVBand="0"/>
      </w:tblPr>
      <w:tblGrid>
        <w:gridCol w:w="2755"/>
        <w:gridCol w:w="5250"/>
      </w:tblGrid>
      <w:tr w:rsidR="00090F5B" w:rsidRPr="00712B66" w14:paraId="59F8FAEC" w14:textId="77777777" w:rsidTr="00090F5B">
        <w:tc>
          <w:tcPr>
            <w:tcW w:w="2755" w:type="dxa"/>
          </w:tcPr>
          <w:p w14:paraId="3EB5CD85" w14:textId="77777777" w:rsidR="00090F5B" w:rsidRPr="00712B66" w:rsidRDefault="00090F5B" w:rsidP="00F503D4">
            <w:pPr>
              <w:pStyle w:val="naiskr"/>
              <w:spacing w:before="0" w:after="0"/>
            </w:pPr>
          </w:p>
          <w:p w14:paraId="5F9A499F" w14:textId="77777777" w:rsidR="00090F5B" w:rsidRPr="00712B66" w:rsidRDefault="00090F5B" w:rsidP="00F503D4">
            <w:pPr>
              <w:pStyle w:val="naiskr"/>
              <w:spacing w:before="0" w:after="0"/>
            </w:pPr>
            <w:r w:rsidRPr="00712B66">
              <w:t>Atbildīgā amatpersona</w:t>
            </w:r>
          </w:p>
        </w:tc>
        <w:tc>
          <w:tcPr>
            <w:tcW w:w="5250" w:type="dxa"/>
          </w:tcPr>
          <w:p w14:paraId="3D073E97" w14:textId="77777777" w:rsidR="00090F5B" w:rsidRPr="00712B66" w:rsidRDefault="00090F5B" w:rsidP="00F503D4">
            <w:pPr>
              <w:pStyle w:val="naiskr"/>
              <w:spacing w:before="0" w:after="0"/>
              <w:ind w:firstLine="720"/>
            </w:pPr>
            <w:r w:rsidRPr="00712B66">
              <w:t>  </w:t>
            </w:r>
          </w:p>
        </w:tc>
      </w:tr>
      <w:tr w:rsidR="00090F5B" w:rsidRPr="00712B66" w14:paraId="0D572F78" w14:textId="77777777" w:rsidTr="00090F5B">
        <w:tc>
          <w:tcPr>
            <w:tcW w:w="2755" w:type="dxa"/>
          </w:tcPr>
          <w:p w14:paraId="3FBF284B" w14:textId="77777777" w:rsidR="00090F5B" w:rsidRPr="00712B66" w:rsidRDefault="00090F5B" w:rsidP="00F503D4">
            <w:pPr>
              <w:pStyle w:val="naiskr"/>
              <w:spacing w:before="0" w:after="0"/>
              <w:ind w:firstLine="720"/>
            </w:pPr>
          </w:p>
        </w:tc>
        <w:tc>
          <w:tcPr>
            <w:tcW w:w="5250" w:type="dxa"/>
            <w:tcBorders>
              <w:top w:val="single" w:sz="6" w:space="0" w:color="000000"/>
            </w:tcBorders>
          </w:tcPr>
          <w:p w14:paraId="2379A90D" w14:textId="77777777" w:rsidR="00090F5B" w:rsidRPr="00712B66" w:rsidRDefault="00090F5B" w:rsidP="00F503D4">
            <w:pPr>
              <w:pStyle w:val="naisc"/>
              <w:spacing w:before="0" w:after="0"/>
              <w:ind w:firstLine="720"/>
            </w:pPr>
            <w:r w:rsidRPr="00712B66">
              <w:t>(paraksts*)</w:t>
            </w:r>
          </w:p>
        </w:tc>
      </w:tr>
    </w:tbl>
    <w:p w14:paraId="185363AA" w14:textId="5FADC8EA" w:rsidR="00344D4F" w:rsidRDefault="00344D4F">
      <w:pPr>
        <w:pStyle w:val="naisf"/>
        <w:spacing w:before="0" w:after="0"/>
        <w:ind w:firstLine="720"/>
      </w:pPr>
    </w:p>
    <w:p w14:paraId="29019ADE" w14:textId="77777777" w:rsidR="00090F5B" w:rsidRDefault="00090F5B">
      <w:pPr>
        <w:pStyle w:val="naisf"/>
        <w:spacing w:before="0" w:after="0"/>
        <w:ind w:firstLine="720"/>
      </w:pPr>
    </w:p>
    <w:p w14:paraId="7B7A9E34" w14:textId="3D9EF2AB" w:rsidR="003A0B62" w:rsidRDefault="00195E36" w:rsidP="00B32723">
      <w:pPr>
        <w:pStyle w:val="naisf"/>
        <w:spacing w:before="0" w:after="0"/>
        <w:ind w:firstLine="720"/>
      </w:pPr>
      <w:r>
        <w:t>Piezīme. * Dokumenta rekvizītu "paraksts" neaizpilda, ja elektroniskais dokuments ir sagatavots atbilstoši normatīvajiem aktiem par elektronisko dokumentu noformēšanu.</w:t>
      </w:r>
    </w:p>
    <w:p w14:paraId="15D0508E" w14:textId="73AF2788" w:rsidR="00090F5B" w:rsidRDefault="00090F5B" w:rsidP="00B32723">
      <w:pPr>
        <w:pStyle w:val="naisf"/>
        <w:spacing w:before="0" w:after="0"/>
        <w:ind w:firstLine="720"/>
      </w:pPr>
    </w:p>
    <w:p w14:paraId="218C8558" w14:textId="7BAA7B81" w:rsidR="00090F5B" w:rsidRDefault="007D27F3" w:rsidP="00B32723">
      <w:pPr>
        <w:pStyle w:val="naisf"/>
        <w:spacing w:before="0" w:after="0"/>
        <w:ind w:firstLine="720"/>
      </w:pPr>
      <w:r>
        <w:t>Āris Dzērvāns</w:t>
      </w:r>
    </w:p>
    <w:tbl>
      <w:tblPr>
        <w:tblW w:w="0" w:type="auto"/>
        <w:tblLook w:val="00A0" w:firstRow="1" w:lastRow="0" w:firstColumn="1" w:lastColumn="0" w:noHBand="0" w:noVBand="0"/>
      </w:tblPr>
      <w:tblGrid>
        <w:gridCol w:w="8268"/>
      </w:tblGrid>
      <w:tr w:rsidR="007D27F3" w:rsidRPr="007D27F3" w14:paraId="38983417" w14:textId="77777777" w:rsidTr="00F503D4">
        <w:tc>
          <w:tcPr>
            <w:tcW w:w="8268" w:type="dxa"/>
            <w:tcBorders>
              <w:top w:val="single" w:sz="4" w:space="0" w:color="000000"/>
            </w:tcBorders>
          </w:tcPr>
          <w:p w14:paraId="781B3756" w14:textId="77777777" w:rsidR="007D27F3" w:rsidRPr="007D27F3" w:rsidRDefault="007D27F3" w:rsidP="007D27F3">
            <w:pPr>
              <w:jc w:val="center"/>
            </w:pPr>
            <w:r w:rsidRPr="007D27F3">
              <w:t>(par projektu atbildīgās amatpersonas vārds un uzvārds)</w:t>
            </w:r>
          </w:p>
          <w:p w14:paraId="4726DA79" w14:textId="77777777" w:rsidR="007D27F3" w:rsidRPr="007D27F3" w:rsidRDefault="007D27F3" w:rsidP="007D27F3">
            <w:pPr>
              <w:jc w:val="center"/>
            </w:pPr>
          </w:p>
        </w:tc>
      </w:tr>
      <w:tr w:rsidR="007D27F3" w:rsidRPr="007D27F3" w14:paraId="756EDCDC" w14:textId="77777777" w:rsidTr="00F503D4">
        <w:tc>
          <w:tcPr>
            <w:tcW w:w="8268" w:type="dxa"/>
            <w:tcBorders>
              <w:bottom w:val="single" w:sz="4" w:space="0" w:color="000000"/>
            </w:tcBorders>
          </w:tcPr>
          <w:p w14:paraId="421331EB" w14:textId="77777777" w:rsidR="007D27F3" w:rsidRPr="007D27F3" w:rsidRDefault="007D27F3" w:rsidP="007D27F3">
            <w:pPr>
              <w:rPr>
                <w:sz w:val="28"/>
                <w:szCs w:val="28"/>
              </w:rPr>
            </w:pPr>
            <w:bookmarkStart w:id="0" w:name="_Hlk67485931"/>
            <w:r w:rsidRPr="007D27F3">
              <w:rPr>
                <w:sz w:val="28"/>
                <w:szCs w:val="28"/>
              </w:rPr>
              <w:t>Valsts sekretāra vietnieks digitālās transformācijas jautājumos</w:t>
            </w:r>
          </w:p>
        </w:tc>
      </w:tr>
      <w:tr w:rsidR="007D27F3" w:rsidRPr="007D27F3" w14:paraId="7B45713D" w14:textId="77777777" w:rsidTr="00F503D4">
        <w:tc>
          <w:tcPr>
            <w:tcW w:w="8268" w:type="dxa"/>
            <w:tcBorders>
              <w:top w:val="single" w:sz="4" w:space="0" w:color="000000"/>
            </w:tcBorders>
          </w:tcPr>
          <w:p w14:paraId="391BD19E" w14:textId="77777777" w:rsidR="007D27F3" w:rsidRPr="007D27F3" w:rsidRDefault="007D27F3" w:rsidP="007D27F3">
            <w:pPr>
              <w:jc w:val="center"/>
            </w:pPr>
            <w:r w:rsidRPr="007D27F3">
              <w:t>(amats)</w:t>
            </w:r>
          </w:p>
        </w:tc>
      </w:tr>
      <w:tr w:rsidR="007D27F3" w:rsidRPr="007D27F3" w14:paraId="15B04E4B" w14:textId="77777777" w:rsidTr="00F503D4">
        <w:tc>
          <w:tcPr>
            <w:tcW w:w="8268" w:type="dxa"/>
            <w:tcBorders>
              <w:bottom w:val="single" w:sz="4" w:space="0" w:color="000000"/>
            </w:tcBorders>
          </w:tcPr>
          <w:p w14:paraId="32161F02" w14:textId="77777777" w:rsidR="007D27F3" w:rsidRPr="007D27F3" w:rsidRDefault="007D27F3" w:rsidP="007D27F3">
            <w:r w:rsidRPr="007D27F3">
              <w:t>67026535</w:t>
            </w:r>
          </w:p>
        </w:tc>
      </w:tr>
      <w:tr w:rsidR="007D27F3" w:rsidRPr="007D27F3" w14:paraId="6757EC85" w14:textId="77777777" w:rsidTr="00F503D4">
        <w:tc>
          <w:tcPr>
            <w:tcW w:w="8268" w:type="dxa"/>
            <w:tcBorders>
              <w:top w:val="single" w:sz="4" w:space="0" w:color="000000"/>
            </w:tcBorders>
          </w:tcPr>
          <w:p w14:paraId="27B8606D" w14:textId="77777777" w:rsidR="007D27F3" w:rsidRPr="007D27F3" w:rsidRDefault="007D27F3" w:rsidP="007D27F3">
            <w:pPr>
              <w:jc w:val="center"/>
            </w:pPr>
            <w:r w:rsidRPr="007D27F3">
              <w:t>(tālruņa un faksa numurs)</w:t>
            </w:r>
          </w:p>
        </w:tc>
      </w:tr>
      <w:tr w:rsidR="007D27F3" w:rsidRPr="007D27F3" w14:paraId="75C19AC2" w14:textId="77777777" w:rsidTr="00F503D4">
        <w:tc>
          <w:tcPr>
            <w:tcW w:w="8268" w:type="dxa"/>
            <w:tcBorders>
              <w:bottom w:val="single" w:sz="4" w:space="0" w:color="000000"/>
            </w:tcBorders>
          </w:tcPr>
          <w:p w14:paraId="331989A0" w14:textId="77777777" w:rsidR="007D27F3" w:rsidRPr="007D27F3" w:rsidRDefault="00CE6F04" w:rsidP="007D27F3">
            <w:hyperlink r:id="rId11" w:history="1">
              <w:r w:rsidR="007D27F3" w:rsidRPr="007D27F3">
                <w:rPr>
                  <w:color w:val="0000FF"/>
                  <w:u w:val="single"/>
                </w:rPr>
                <w:t>aris.dzervans@varam.gov.lv</w:t>
              </w:r>
            </w:hyperlink>
            <w:r w:rsidR="007D27F3" w:rsidRPr="007D27F3">
              <w:t xml:space="preserve"> </w:t>
            </w:r>
          </w:p>
        </w:tc>
      </w:tr>
      <w:tr w:rsidR="007D27F3" w:rsidRPr="007D27F3" w14:paraId="02A6EF56" w14:textId="77777777" w:rsidTr="00F503D4">
        <w:tc>
          <w:tcPr>
            <w:tcW w:w="8268" w:type="dxa"/>
            <w:tcBorders>
              <w:top w:val="single" w:sz="4" w:space="0" w:color="000000"/>
            </w:tcBorders>
          </w:tcPr>
          <w:p w14:paraId="1F5B0A4D" w14:textId="77777777" w:rsidR="007D27F3" w:rsidRPr="007D27F3" w:rsidRDefault="007D27F3" w:rsidP="007D27F3">
            <w:pPr>
              <w:jc w:val="center"/>
            </w:pPr>
            <w:r w:rsidRPr="007D27F3">
              <w:t>(e-pasta adrese)</w:t>
            </w:r>
          </w:p>
        </w:tc>
      </w:tr>
      <w:bookmarkEnd w:id="0"/>
    </w:tbl>
    <w:p w14:paraId="4EF1F93A" w14:textId="77777777" w:rsidR="003A0B62" w:rsidRDefault="003A0B62">
      <w:pPr>
        <w:pStyle w:val="naisf"/>
        <w:spacing w:before="0" w:after="0"/>
        <w:ind w:firstLine="0"/>
        <w:jc w:val="left"/>
      </w:pPr>
    </w:p>
    <w:sectPr w:rsidR="003A0B62">
      <w:headerReference w:type="default" r:id="rId12"/>
      <w:footerReference w:type="default" r:id="rId13"/>
      <w:footerReference w:type="first" r:id="rId14"/>
      <w:pgSz w:w="16838" w:h="11906" w:orient="landscape"/>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D365" w14:textId="77777777" w:rsidR="006F4EF4" w:rsidRDefault="006F4EF4">
      <w:r>
        <w:separator/>
      </w:r>
    </w:p>
  </w:endnote>
  <w:endnote w:type="continuationSeparator" w:id="0">
    <w:p w14:paraId="57513755" w14:textId="77777777" w:rsidR="006F4EF4" w:rsidRDefault="006F4EF4">
      <w:r>
        <w:continuationSeparator/>
      </w:r>
    </w:p>
  </w:endnote>
  <w:endnote w:type="continuationNotice" w:id="1">
    <w:p w14:paraId="4F6FD67C" w14:textId="77777777" w:rsidR="006F4EF4" w:rsidRDefault="006F4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047A" w14:textId="2AEA6228" w:rsidR="003A0B62" w:rsidRDefault="00195E36">
    <w:pPr>
      <w:pStyle w:val="Footer"/>
    </w:pPr>
    <w:r>
      <w:rPr>
        <w:sz w:val="20"/>
        <w:szCs w:val="20"/>
      </w:rPr>
      <w:t>VARAMizz_</w:t>
    </w:r>
    <w:r w:rsidR="00B074FC">
      <w:rPr>
        <w:sz w:val="20"/>
        <w:szCs w:val="20"/>
      </w:rPr>
      <w:t>MA</w:t>
    </w:r>
    <w:r w:rsidR="00E767DB">
      <w:rPr>
        <w:sz w:val="20"/>
        <w:szCs w:val="20"/>
      </w:rPr>
      <w:t>_</w:t>
    </w:r>
    <w:r w:rsidR="008A5910">
      <w:rPr>
        <w:sz w:val="20"/>
        <w:szCs w:val="20"/>
      </w:rPr>
      <w:t>59</w:t>
    </w:r>
    <w:r w:rsidR="00F0208F">
      <w:rPr>
        <w:sz w:val="20"/>
        <w:szCs w:val="20"/>
      </w:rPr>
      <w:t>.0_VID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8234" w14:textId="0EF17E4D" w:rsidR="003A0B62" w:rsidRDefault="00DC5BA6">
    <w:pPr>
      <w:pStyle w:val="Footer"/>
    </w:pPr>
    <w:r>
      <w:rPr>
        <w:sz w:val="20"/>
        <w:szCs w:val="20"/>
      </w:rPr>
      <w:t>VARAMizz</w:t>
    </w:r>
    <w:r w:rsidR="00B074FC">
      <w:rPr>
        <w:sz w:val="20"/>
        <w:szCs w:val="20"/>
      </w:rPr>
      <w:t>_MA</w:t>
    </w:r>
    <w:r>
      <w:rPr>
        <w:sz w:val="20"/>
        <w:szCs w:val="20"/>
      </w:rPr>
      <w:t>_</w:t>
    </w:r>
    <w:r w:rsidR="008A5910">
      <w:rPr>
        <w:sz w:val="20"/>
        <w:szCs w:val="20"/>
      </w:rPr>
      <w:t>59</w:t>
    </w:r>
    <w:r>
      <w:rPr>
        <w:sz w:val="20"/>
        <w:szCs w:val="20"/>
      </w:rPr>
      <w:t>.0_VID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0113" w14:textId="77777777" w:rsidR="006F4EF4" w:rsidRDefault="006F4EF4">
      <w:r>
        <w:separator/>
      </w:r>
    </w:p>
  </w:footnote>
  <w:footnote w:type="continuationSeparator" w:id="0">
    <w:p w14:paraId="65E83A04" w14:textId="77777777" w:rsidR="006F4EF4" w:rsidRDefault="006F4EF4">
      <w:r>
        <w:continuationSeparator/>
      </w:r>
    </w:p>
  </w:footnote>
  <w:footnote w:type="continuationNotice" w:id="1">
    <w:p w14:paraId="2D285DE8" w14:textId="77777777" w:rsidR="006F4EF4" w:rsidRDefault="006F4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55507"/>
      <w:docPartObj>
        <w:docPartGallery w:val="Page Numbers (Top of Page)"/>
        <w:docPartUnique/>
      </w:docPartObj>
    </w:sdtPr>
    <w:sdtEndPr>
      <w:rPr>
        <w:noProof/>
      </w:rPr>
    </w:sdtEndPr>
    <w:sdtContent>
      <w:p w14:paraId="6F314BA5" w14:textId="345851A0" w:rsidR="007040E5" w:rsidRDefault="007040E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77A881" w14:textId="2CB9CE6F" w:rsidR="003A0B62" w:rsidRDefault="003A0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3A95"/>
    <w:multiLevelType w:val="hybridMultilevel"/>
    <w:tmpl w:val="6270EBAA"/>
    <w:lvl w:ilvl="0" w:tplc="6DB8B0C0">
      <w:start w:val="2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DD919A6"/>
    <w:multiLevelType w:val="multilevel"/>
    <w:tmpl w:val="5A94358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F44626C"/>
    <w:multiLevelType w:val="hybridMultilevel"/>
    <w:tmpl w:val="16A06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70468"/>
    <w:multiLevelType w:val="multilevel"/>
    <w:tmpl w:val="97A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A5208"/>
    <w:multiLevelType w:val="multilevel"/>
    <w:tmpl w:val="9784132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2987782"/>
    <w:multiLevelType w:val="multilevel"/>
    <w:tmpl w:val="35961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43D214D"/>
    <w:multiLevelType w:val="hybridMultilevel"/>
    <w:tmpl w:val="D572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343C08"/>
    <w:multiLevelType w:val="hybridMultilevel"/>
    <w:tmpl w:val="6BB6970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62"/>
    <w:rsid w:val="00011FE0"/>
    <w:rsid w:val="000174BD"/>
    <w:rsid w:val="00022C22"/>
    <w:rsid w:val="0002454D"/>
    <w:rsid w:val="00026184"/>
    <w:rsid w:val="00034618"/>
    <w:rsid w:val="00034FA3"/>
    <w:rsid w:val="000440D6"/>
    <w:rsid w:val="000616A1"/>
    <w:rsid w:val="00071777"/>
    <w:rsid w:val="00073A21"/>
    <w:rsid w:val="000828FA"/>
    <w:rsid w:val="00083D59"/>
    <w:rsid w:val="0008632A"/>
    <w:rsid w:val="00090F5B"/>
    <w:rsid w:val="00094C23"/>
    <w:rsid w:val="000B4C70"/>
    <w:rsid w:val="000B541A"/>
    <w:rsid w:val="000C5A1D"/>
    <w:rsid w:val="000C5CCA"/>
    <w:rsid w:val="000C62D7"/>
    <w:rsid w:val="000D0DFC"/>
    <w:rsid w:val="000D2594"/>
    <w:rsid w:val="00106825"/>
    <w:rsid w:val="001109BA"/>
    <w:rsid w:val="001245BD"/>
    <w:rsid w:val="00126C96"/>
    <w:rsid w:val="00131C08"/>
    <w:rsid w:val="001378F0"/>
    <w:rsid w:val="00137E46"/>
    <w:rsid w:val="00147C86"/>
    <w:rsid w:val="0015381E"/>
    <w:rsid w:val="001628B0"/>
    <w:rsid w:val="0017322A"/>
    <w:rsid w:val="0018195A"/>
    <w:rsid w:val="001850B3"/>
    <w:rsid w:val="00186A1D"/>
    <w:rsid w:val="00195E36"/>
    <w:rsid w:val="001A529C"/>
    <w:rsid w:val="001B1C5E"/>
    <w:rsid w:val="001C3F87"/>
    <w:rsid w:val="001C4538"/>
    <w:rsid w:val="001D406B"/>
    <w:rsid w:val="001F0A7E"/>
    <w:rsid w:val="001F2A99"/>
    <w:rsid w:val="001F4956"/>
    <w:rsid w:val="001F53C8"/>
    <w:rsid w:val="00200E2D"/>
    <w:rsid w:val="002073FA"/>
    <w:rsid w:val="002075E2"/>
    <w:rsid w:val="00217ACD"/>
    <w:rsid w:val="0022037D"/>
    <w:rsid w:val="002210F1"/>
    <w:rsid w:val="00241539"/>
    <w:rsid w:val="00242E2D"/>
    <w:rsid w:val="0024795F"/>
    <w:rsid w:val="0025094D"/>
    <w:rsid w:val="00256C5B"/>
    <w:rsid w:val="00262B61"/>
    <w:rsid w:val="002634F7"/>
    <w:rsid w:val="002651E9"/>
    <w:rsid w:val="002666D5"/>
    <w:rsid w:val="00267456"/>
    <w:rsid w:val="002679A9"/>
    <w:rsid w:val="00277F2C"/>
    <w:rsid w:val="002856C6"/>
    <w:rsid w:val="00286E6F"/>
    <w:rsid w:val="00295F85"/>
    <w:rsid w:val="00296846"/>
    <w:rsid w:val="002A1ECC"/>
    <w:rsid w:val="002A5C69"/>
    <w:rsid w:val="002C2A1B"/>
    <w:rsid w:val="002C75F2"/>
    <w:rsid w:val="002D099B"/>
    <w:rsid w:val="002D7A6E"/>
    <w:rsid w:val="002E4D5F"/>
    <w:rsid w:val="002E6622"/>
    <w:rsid w:val="002F0DFE"/>
    <w:rsid w:val="002F35A9"/>
    <w:rsid w:val="003162BA"/>
    <w:rsid w:val="00316A31"/>
    <w:rsid w:val="003234F2"/>
    <w:rsid w:val="0032386A"/>
    <w:rsid w:val="0032444C"/>
    <w:rsid w:val="00334705"/>
    <w:rsid w:val="00336B1C"/>
    <w:rsid w:val="0033795B"/>
    <w:rsid w:val="00344D4F"/>
    <w:rsid w:val="003454A8"/>
    <w:rsid w:val="0036198D"/>
    <w:rsid w:val="00362CA0"/>
    <w:rsid w:val="00363B3B"/>
    <w:rsid w:val="0039026A"/>
    <w:rsid w:val="00394BE6"/>
    <w:rsid w:val="003963E1"/>
    <w:rsid w:val="003A0B62"/>
    <w:rsid w:val="003A1760"/>
    <w:rsid w:val="003A4573"/>
    <w:rsid w:val="003A45D4"/>
    <w:rsid w:val="003B0E3F"/>
    <w:rsid w:val="003B4D94"/>
    <w:rsid w:val="003C219D"/>
    <w:rsid w:val="003C7EF4"/>
    <w:rsid w:val="003E040F"/>
    <w:rsid w:val="003F2298"/>
    <w:rsid w:val="003F3175"/>
    <w:rsid w:val="003F5E00"/>
    <w:rsid w:val="004028E7"/>
    <w:rsid w:val="004042B6"/>
    <w:rsid w:val="00413991"/>
    <w:rsid w:val="004206EA"/>
    <w:rsid w:val="0042663E"/>
    <w:rsid w:val="0042676A"/>
    <w:rsid w:val="0043340E"/>
    <w:rsid w:val="00433F3F"/>
    <w:rsid w:val="0043717C"/>
    <w:rsid w:val="00437935"/>
    <w:rsid w:val="00440EED"/>
    <w:rsid w:val="00445E79"/>
    <w:rsid w:val="00451036"/>
    <w:rsid w:val="00456D7B"/>
    <w:rsid w:val="00457856"/>
    <w:rsid w:val="0047049F"/>
    <w:rsid w:val="00477772"/>
    <w:rsid w:val="004922A4"/>
    <w:rsid w:val="00492508"/>
    <w:rsid w:val="00492975"/>
    <w:rsid w:val="0049669D"/>
    <w:rsid w:val="004A0360"/>
    <w:rsid w:val="004A2EC1"/>
    <w:rsid w:val="004A627C"/>
    <w:rsid w:val="004A62F8"/>
    <w:rsid w:val="004A6A24"/>
    <w:rsid w:val="004A7D9A"/>
    <w:rsid w:val="004C2DD2"/>
    <w:rsid w:val="004D089D"/>
    <w:rsid w:val="004D6DDC"/>
    <w:rsid w:val="004E149B"/>
    <w:rsid w:val="004E426A"/>
    <w:rsid w:val="004E5F85"/>
    <w:rsid w:val="00503680"/>
    <w:rsid w:val="00503B3F"/>
    <w:rsid w:val="0050737F"/>
    <w:rsid w:val="00517250"/>
    <w:rsid w:val="005206F4"/>
    <w:rsid w:val="00520CCF"/>
    <w:rsid w:val="00521AD9"/>
    <w:rsid w:val="00521C34"/>
    <w:rsid w:val="00521D86"/>
    <w:rsid w:val="0053290B"/>
    <w:rsid w:val="00540A1B"/>
    <w:rsid w:val="005549B3"/>
    <w:rsid w:val="0056570A"/>
    <w:rsid w:val="005769E3"/>
    <w:rsid w:val="00583374"/>
    <w:rsid w:val="00584A7B"/>
    <w:rsid w:val="00587929"/>
    <w:rsid w:val="005A6C0E"/>
    <w:rsid w:val="005B66BA"/>
    <w:rsid w:val="005D2E48"/>
    <w:rsid w:val="005D7E84"/>
    <w:rsid w:val="005E336D"/>
    <w:rsid w:val="005E7678"/>
    <w:rsid w:val="00623976"/>
    <w:rsid w:val="00624581"/>
    <w:rsid w:val="00625EA0"/>
    <w:rsid w:val="00636419"/>
    <w:rsid w:val="00645A65"/>
    <w:rsid w:val="006531F9"/>
    <w:rsid w:val="006565C9"/>
    <w:rsid w:val="00656CA7"/>
    <w:rsid w:val="00662ADB"/>
    <w:rsid w:val="00676B32"/>
    <w:rsid w:val="006818E5"/>
    <w:rsid w:val="00682689"/>
    <w:rsid w:val="00682910"/>
    <w:rsid w:val="00687599"/>
    <w:rsid w:val="006A03E2"/>
    <w:rsid w:val="006C16C9"/>
    <w:rsid w:val="006C4307"/>
    <w:rsid w:val="006C5B0D"/>
    <w:rsid w:val="006C7194"/>
    <w:rsid w:val="006E3446"/>
    <w:rsid w:val="006E6074"/>
    <w:rsid w:val="006F4998"/>
    <w:rsid w:val="006F4EF4"/>
    <w:rsid w:val="006F56C1"/>
    <w:rsid w:val="007020FD"/>
    <w:rsid w:val="007040E5"/>
    <w:rsid w:val="007057DD"/>
    <w:rsid w:val="00725662"/>
    <w:rsid w:val="00730F0F"/>
    <w:rsid w:val="007343F5"/>
    <w:rsid w:val="007469FE"/>
    <w:rsid w:val="00746D13"/>
    <w:rsid w:val="00756DF2"/>
    <w:rsid w:val="00763765"/>
    <w:rsid w:val="007857E1"/>
    <w:rsid w:val="007A2E03"/>
    <w:rsid w:val="007A4822"/>
    <w:rsid w:val="007B0941"/>
    <w:rsid w:val="007B63F4"/>
    <w:rsid w:val="007C1ABA"/>
    <w:rsid w:val="007C2014"/>
    <w:rsid w:val="007D27F3"/>
    <w:rsid w:val="007D3489"/>
    <w:rsid w:val="007D4272"/>
    <w:rsid w:val="007D650D"/>
    <w:rsid w:val="007E4C72"/>
    <w:rsid w:val="007F6027"/>
    <w:rsid w:val="00800AFC"/>
    <w:rsid w:val="00802625"/>
    <w:rsid w:val="008042AE"/>
    <w:rsid w:val="008175C0"/>
    <w:rsid w:val="00832558"/>
    <w:rsid w:val="008328D5"/>
    <w:rsid w:val="0085689C"/>
    <w:rsid w:val="00862DF3"/>
    <w:rsid w:val="00865762"/>
    <w:rsid w:val="00872489"/>
    <w:rsid w:val="008778BA"/>
    <w:rsid w:val="00880945"/>
    <w:rsid w:val="00881593"/>
    <w:rsid w:val="008A50E4"/>
    <w:rsid w:val="008A5910"/>
    <w:rsid w:val="008B5E39"/>
    <w:rsid w:val="008B72DE"/>
    <w:rsid w:val="008B7DFC"/>
    <w:rsid w:val="008C5130"/>
    <w:rsid w:val="008D27E5"/>
    <w:rsid w:val="008D70A0"/>
    <w:rsid w:val="008E4D6D"/>
    <w:rsid w:val="008E6814"/>
    <w:rsid w:val="008F4718"/>
    <w:rsid w:val="008F7892"/>
    <w:rsid w:val="00907EA4"/>
    <w:rsid w:val="00911BE5"/>
    <w:rsid w:val="009172C9"/>
    <w:rsid w:val="0091744F"/>
    <w:rsid w:val="00924B05"/>
    <w:rsid w:val="00924B74"/>
    <w:rsid w:val="00936E0D"/>
    <w:rsid w:val="0094256F"/>
    <w:rsid w:val="009441FB"/>
    <w:rsid w:val="00944AAA"/>
    <w:rsid w:val="00955C9D"/>
    <w:rsid w:val="0096162B"/>
    <w:rsid w:val="009902CF"/>
    <w:rsid w:val="00992BF4"/>
    <w:rsid w:val="00996CA0"/>
    <w:rsid w:val="009A1B72"/>
    <w:rsid w:val="009A7005"/>
    <w:rsid w:val="009B0493"/>
    <w:rsid w:val="009C5296"/>
    <w:rsid w:val="009D1E76"/>
    <w:rsid w:val="009F58F0"/>
    <w:rsid w:val="009F7FFB"/>
    <w:rsid w:val="00A04B90"/>
    <w:rsid w:val="00A054A2"/>
    <w:rsid w:val="00A068A2"/>
    <w:rsid w:val="00A102A7"/>
    <w:rsid w:val="00A20DF1"/>
    <w:rsid w:val="00A307B3"/>
    <w:rsid w:val="00A46E52"/>
    <w:rsid w:val="00A52696"/>
    <w:rsid w:val="00A55F41"/>
    <w:rsid w:val="00A61845"/>
    <w:rsid w:val="00A64BE8"/>
    <w:rsid w:val="00A71635"/>
    <w:rsid w:val="00A85592"/>
    <w:rsid w:val="00A94EC3"/>
    <w:rsid w:val="00AB0F23"/>
    <w:rsid w:val="00AC2ED5"/>
    <w:rsid w:val="00AC50EF"/>
    <w:rsid w:val="00AD130B"/>
    <w:rsid w:val="00AD5049"/>
    <w:rsid w:val="00AE014A"/>
    <w:rsid w:val="00AE07B3"/>
    <w:rsid w:val="00AE593D"/>
    <w:rsid w:val="00AF45EC"/>
    <w:rsid w:val="00AF610D"/>
    <w:rsid w:val="00AF6ACE"/>
    <w:rsid w:val="00B007BF"/>
    <w:rsid w:val="00B074FC"/>
    <w:rsid w:val="00B1268D"/>
    <w:rsid w:val="00B16AE1"/>
    <w:rsid w:val="00B257A6"/>
    <w:rsid w:val="00B32723"/>
    <w:rsid w:val="00B50EF0"/>
    <w:rsid w:val="00B52C1D"/>
    <w:rsid w:val="00B60A2C"/>
    <w:rsid w:val="00B70617"/>
    <w:rsid w:val="00B71321"/>
    <w:rsid w:val="00B75368"/>
    <w:rsid w:val="00B8160D"/>
    <w:rsid w:val="00B86B7A"/>
    <w:rsid w:val="00B92E0E"/>
    <w:rsid w:val="00B92E9E"/>
    <w:rsid w:val="00B94A3F"/>
    <w:rsid w:val="00BA001C"/>
    <w:rsid w:val="00BA5A3D"/>
    <w:rsid w:val="00BD21EB"/>
    <w:rsid w:val="00BE370E"/>
    <w:rsid w:val="00BF4EBD"/>
    <w:rsid w:val="00BF6B52"/>
    <w:rsid w:val="00C017C0"/>
    <w:rsid w:val="00C1783B"/>
    <w:rsid w:val="00C43669"/>
    <w:rsid w:val="00C56AD9"/>
    <w:rsid w:val="00C6390F"/>
    <w:rsid w:val="00C6532B"/>
    <w:rsid w:val="00C7188B"/>
    <w:rsid w:val="00C76D02"/>
    <w:rsid w:val="00C90B68"/>
    <w:rsid w:val="00CA0899"/>
    <w:rsid w:val="00CA4574"/>
    <w:rsid w:val="00CA502D"/>
    <w:rsid w:val="00CB4FC5"/>
    <w:rsid w:val="00CB7FAC"/>
    <w:rsid w:val="00CC1D25"/>
    <w:rsid w:val="00CD4137"/>
    <w:rsid w:val="00CD5029"/>
    <w:rsid w:val="00CE6BD5"/>
    <w:rsid w:val="00CE6F04"/>
    <w:rsid w:val="00CF21F6"/>
    <w:rsid w:val="00D10C9F"/>
    <w:rsid w:val="00D2076E"/>
    <w:rsid w:val="00D2684D"/>
    <w:rsid w:val="00D33102"/>
    <w:rsid w:val="00D426B7"/>
    <w:rsid w:val="00D43634"/>
    <w:rsid w:val="00D44C4C"/>
    <w:rsid w:val="00D50551"/>
    <w:rsid w:val="00D55C5D"/>
    <w:rsid w:val="00D56463"/>
    <w:rsid w:val="00D569D8"/>
    <w:rsid w:val="00D6389C"/>
    <w:rsid w:val="00D71271"/>
    <w:rsid w:val="00D7543D"/>
    <w:rsid w:val="00D91F5A"/>
    <w:rsid w:val="00D95955"/>
    <w:rsid w:val="00DB2986"/>
    <w:rsid w:val="00DB4A21"/>
    <w:rsid w:val="00DB62E3"/>
    <w:rsid w:val="00DC5BA6"/>
    <w:rsid w:val="00DC6173"/>
    <w:rsid w:val="00DD2CBB"/>
    <w:rsid w:val="00DD60AE"/>
    <w:rsid w:val="00DE3E98"/>
    <w:rsid w:val="00E003DC"/>
    <w:rsid w:val="00E12F9C"/>
    <w:rsid w:val="00E13377"/>
    <w:rsid w:val="00E30553"/>
    <w:rsid w:val="00E34BE4"/>
    <w:rsid w:val="00E4507A"/>
    <w:rsid w:val="00E47884"/>
    <w:rsid w:val="00E531B9"/>
    <w:rsid w:val="00E54183"/>
    <w:rsid w:val="00E54676"/>
    <w:rsid w:val="00E578C5"/>
    <w:rsid w:val="00E7144D"/>
    <w:rsid w:val="00E767DB"/>
    <w:rsid w:val="00E80BA2"/>
    <w:rsid w:val="00E80C12"/>
    <w:rsid w:val="00E8223D"/>
    <w:rsid w:val="00E92E73"/>
    <w:rsid w:val="00E937A0"/>
    <w:rsid w:val="00EA4AFD"/>
    <w:rsid w:val="00EC0B4D"/>
    <w:rsid w:val="00EC6921"/>
    <w:rsid w:val="00EE350D"/>
    <w:rsid w:val="00EF303A"/>
    <w:rsid w:val="00F01486"/>
    <w:rsid w:val="00F0208F"/>
    <w:rsid w:val="00F1367F"/>
    <w:rsid w:val="00F176E6"/>
    <w:rsid w:val="00F263B2"/>
    <w:rsid w:val="00F27935"/>
    <w:rsid w:val="00F31487"/>
    <w:rsid w:val="00F34CD3"/>
    <w:rsid w:val="00F360DE"/>
    <w:rsid w:val="00F44180"/>
    <w:rsid w:val="00F4787C"/>
    <w:rsid w:val="00F53C3B"/>
    <w:rsid w:val="00F56C18"/>
    <w:rsid w:val="00F576FA"/>
    <w:rsid w:val="00F674F4"/>
    <w:rsid w:val="00F67866"/>
    <w:rsid w:val="00F72D47"/>
    <w:rsid w:val="00FA0AD4"/>
    <w:rsid w:val="00FA1E45"/>
    <w:rsid w:val="00FA230B"/>
    <w:rsid w:val="00FA2888"/>
    <w:rsid w:val="00FA2C0C"/>
    <w:rsid w:val="00FA478A"/>
    <w:rsid w:val="00FC12DA"/>
    <w:rsid w:val="00FC2882"/>
    <w:rsid w:val="00FC489F"/>
    <w:rsid w:val="00FC5E40"/>
    <w:rsid w:val="00FD7ED6"/>
    <w:rsid w:val="00FE24B0"/>
    <w:rsid w:val="00FF267B"/>
    <w:rsid w:val="00FF5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3188"/>
  <w15:docId w15:val="{C73FBD9F-6EC6-43EE-96FF-89795FF1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86"/>
    <w:rPr>
      <w:sz w:val="24"/>
      <w:szCs w:val="24"/>
      <w:lang w:val="lv-LV" w:eastAsia="lv-LV"/>
    </w:rPr>
  </w:style>
  <w:style w:type="paragraph" w:styleId="Heading1">
    <w:name w:val="heading 1"/>
    <w:basedOn w:val="Normal"/>
    <w:link w:val="Heading1Char"/>
    <w:uiPriority w:val="99"/>
    <w:qFormat/>
    <w:rsid w:val="00944826"/>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944826"/>
    <w:rPr>
      <w:rFonts w:ascii="Cambria" w:hAnsi="Cambria" w:cs="Times New Roman"/>
      <w:b/>
      <w:bCs/>
      <w:color w:val="365F91"/>
      <w:sz w:val="28"/>
      <w:szCs w:val="28"/>
    </w:rPr>
  </w:style>
  <w:style w:type="character" w:customStyle="1" w:styleId="Internetasaite">
    <w:name w:val="Interneta saite"/>
    <w:uiPriority w:val="99"/>
    <w:semiHidden/>
    <w:rsid w:val="00944826"/>
    <w:rPr>
      <w:rFonts w:cs="Times New Roman"/>
      <w:color w:val="0000FF"/>
      <w:u w:val="single"/>
    </w:rPr>
  </w:style>
  <w:style w:type="character" w:styleId="FollowedHyperlink">
    <w:name w:val="FollowedHyperlink"/>
    <w:uiPriority w:val="99"/>
    <w:semiHidden/>
    <w:qFormat/>
    <w:rsid w:val="00944826"/>
    <w:rPr>
      <w:rFonts w:cs="Times New Roman"/>
      <w:color w:val="800080"/>
      <w:u w:val="single"/>
    </w:rPr>
  </w:style>
  <w:style w:type="character" w:customStyle="1" w:styleId="z-TopofFormChar">
    <w:name w:val="z-Top of Form Char"/>
    <w:uiPriority w:val="99"/>
    <w:semiHidden/>
    <w:qFormat/>
    <w:locked/>
    <w:rsid w:val="00944826"/>
    <w:rPr>
      <w:rFonts w:ascii="Arial" w:hAnsi="Arial" w:cs="Arial"/>
      <w:vanish/>
      <w:sz w:val="16"/>
      <w:szCs w:val="16"/>
    </w:rPr>
  </w:style>
  <w:style w:type="character" w:customStyle="1" w:styleId="z-BottomofFormChar">
    <w:name w:val="z-Bottom of Form Char"/>
    <w:uiPriority w:val="99"/>
    <w:qFormat/>
    <w:locked/>
    <w:rsid w:val="00944826"/>
    <w:rPr>
      <w:rFonts w:ascii="Arial" w:hAnsi="Arial" w:cs="Arial"/>
      <w:vanish/>
      <w:sz w:val="16"/>
      <w:szCs w:val="16"/>
    </w:rPr>
  </w:style>
  <w:style w:type="character" w:styleId="Strong">
    <w:name w:val="Strong"/>
    <w:uiPriority w:val="99"/>
    <w:qFormat/>
    <w:rsid w:val="00944826"/>
    <w:rPr>
      <w:rFonts w:cs="Times New Roman"/>
      <w:b/>
      <w:bCs/>
    </w:rPr>
  </w:style>
  <w:style w:type="character" w:customStyle="1" w:styleId="th1">
    <w:name w:val="th1"/>
    <w:uiPriority w:val="99"/>
    <w:qFormat/>
    <w:rsid w:val="00944826"/>
    <w:rPr>
      <w:rFonts w:cs="Times New Roman"/>
      <w:b/>
      <w:bCs/>
      <w:color w:val="333333"/>
    </w:rPr>
  </w:style>
  <w:style w:type="character" w:customStyle="1" w:styleId="Uzsvars">
    <w:name w:val="Uzsvars"/>
    <w:uiPriority w:val="99"/>
    <w:qFormat/>
    <w:rsid w:val="00944826"/>
    <w:rPr>
      <w:rFonts w:cs="Times New Roman"/>
      <w:i/>
      <w:iCs/>
    </w:rPr>
  </w:style>
  <w:style w:type="character" w:customStyle="1" w:styleId="BalloonTextChar">
    <w:name w:val="Balloon Text Char"/>
    <w:link w:val="BalloonText"/>
    <w:uiPriority w:val="99"/>
    <w:semiHidden/>
    <w:qFormat/>
    <w:locked/>
    <w:rsid w:val="002308FA"/>
    <w:rPr>
      <w:rFonts w:ascii="Tahoma" w:hAnsi="Tahoma" w:cs="Tahoma"/>
      <w:sz w:val="16"/>
      <w:szCs w:val="16"/>
    </w:rPr>
  </w:style>
  <w:style w:type="character" w:customStyle="1" w:styleId="BodyTextIndent3Char">
    <w:name w:val="Body Text Indent 3 Char"/>
    <w:link w:val="BodyTextIndent3"/>
    <w:uiPriority w:val="99"/>
    <w:qFormat/>
    <w:locked/>
    <w:rsid w:val="006D24A9"/>
    <w:rPr>
      <w:rFonts w:cs="Times New Roman"/>
      <w:sz w:val="28"/>
      <w:szCs w:val="28"/>
      <w:lang w:val="lv-LV"/>
    </w:rPr>
  </w:style>
  <w:style w:type="character" w:customStyle="1" w:styleId="HeaderChar">
    <w:name w:val="Header Char"/>
    <w:link w:val="Header"/>
    <w:uiPriority w:val="99"/>
    <w:qFormat/>
    <w:locked/>
    <w:rsid w:val="009A1431"/>
    <w:rPr>
      <w:rFonts w:cs="Times New Roman"/>
      <w:sz w:val="24"/>
      <w:szCs w:val="24"/>
      <w:lang w:val="lv-LV" w:eastAsia="lv-LV"/>
    </w:rPr>
  </w:style>
  <w:style w:type="character" w:styleId="PageNumber">
    <w:name w:val="page number"/>
    <w:uiPriority w:val="99"/>
    <w:qFormat/>
    <w:rsid w:val="00745496"/>
    <w:rPr>
      <w:rFonts w:cs="Times New Roman"/>
    </w:rPr>
  </w:style>
  <w:style w:type="character" w:customStyle="1" w:styleId="FooterChar">
    <w:name w:val="Footer Char"/>
    <w:link w:val="Footer"/>
    <w:uiPriority w:val="99"/>
    <w:semiHidden/>
    <w:qFormat/>
    <w:locked/>
    <w:rsid w:val="009A1431"/>
    <w:rPr>
      <w:rFonts w:cs="Times New Roman"/>
      <w:sz w:val="24"/>
      <w:szCs w:val="24"/>
      <w:lang w:val="lv-LV" w:eastAsia="lv-LV"/>
    </w:rPr>
  </w:style>
  <w:style w:type="character" w:styleId="CommentReference">
    <w:name w:val="annotation reference"/>
    <w:uiPriority w:val="99"/>
    <w:semiHidden/>
    <w:unhideWhenUsed/>
    <w:qFormat/>
    <w:rsid w:val="00FE43E7"/>
    <w:rPr>
      <w:sz w:val="16"/>
      <w:szCs w:val="16"/>
    </w:rPr>
  </w:style>
  <w:style w:type="character" w:customStyle="1" w:styleId="CommentTextChar">
    <w:name w:val="Comment Text Char"/>
    <w:basedOn w:val="DefaultParagraphFont"/>
    <w:link w:val="CommentText"/>
    <w:uiPriority w:val="99"/>
    <w:semiHidden/>
    <w:qFormat/>
    <w:rsid w:val="00FE43E7"/>
  </w:style>
  <w:style w:type="character" w:customStyle="1" w:styleId="CommentSubjectChar">
    <w:name w:val="Comment Subject Char"/>
    <w:link w:val="CommentSubject"/>
    <w:uiPriority w:val="99"/>
    <w:semiHidden/>
    <w:qFormat/>
    <w:rsid w:val="00FE43E7"/>
    <w:rPr>
      <w:b/>
      <w:bCs/>
    </w:rPr>
  </w:style>
  <w:style w:type="character" w:customStyle="1" w:styleId="FootnoteTextChar">
    <w:name w:val="Footnote Text Char"/>
    <w:basedOn w:val="DefaultParagraphFont"/>
    <w:link w:val="FootnoteText"/>
    <w:uiPriority w:val="99"/>
    <w:semiHidden/>
    <w:qFormat/>
    <w:rsid w:val="00307578"/>
  </w:style>
  <w:style w:type="character" w:styleId="FootnoteReference">
    <w:name w:val="footnote reference"/>
    <w:uiPriority w:val="99"/>
    <w:semiHidden/>
    <w:unhideWhenUsed/>
    <w:qFormat/>
    <w:rsid w:val="00307578"/>
    <w:rPr>
      <w:vertAlign w:val="superscript"/>
    </w:rPr>
  </w:style>
  <w:style w:type="character" w:customStyle="1" w:styleId="UnresolvedMention1">
    <w:name w:val="Unresolved Mention1"/>
    <w:uiPriority w:val="99"/>
    <w:semiHidden/>
    <w:unhideWhenUsed/>
    <w:qFormat/>
    <w:rsid w:val="005F1168"/>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color w:val="00000A"/>
      <w:sz w:val="28"/>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Times New Roman"/>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h1">
    <w:name w:val="h1"/>
    <w:basedOn w:val="Normal"/>
    <w:uiPriority w:val="99"/>
    <w:qFormat/>
    <w:rsid w:val="00944826"/>
    <w:pPr>
      <w:spacing w:after="150"/>
    </w:pPr>
    <w:rPr>
      <w:color w:val="306060"/>
      <w:sz w:val="31"/>
      <w:szCs w:val="31"/>
    </w:rPr>
  </w:style>
  <w:style w:type="paragraph" w:customStyle="1" w:styleId="h2">
    <w:name w:val="h2"/>
    <w:basedOn w:val="Normal"/>
    <w:uiPriority w:val="99"/>
    <w:qFormat/>
    <w:rsid w:val="00944826"/>
    <w:pPr>
      <w:spacing w:beforeAutospacing="1" w:afterAutospacing="1"/>
    </w:pPr>
    <w:rPr>
      <w:color w:val="306060"/>
    </w:rPr>
  </w:style>
  <w:style w:type="paragraph" w:customStyle="1" w:styleId="a">
    <w:name w:val="a"/>
    <w:basedOn w:val="Normal"/>
    <w:uiPriority w:val="99"/>
    <w:qFormat/>
    <w:rsid w:val="00944826"/>
    <w:pPr>
      <w:spacing w:beforeAutospacing="1" w:afterAutospacing="1"/>
    </w:pPr>
    <w:rPr>
      <w:color w:val="306060"/>
    </w:rPr>
  </w:style>
  <w:style w:type="paragraph" w:customStyle="1" w:styleId="b">
    <w:name w:val="b"/>
    <w:basedOn w:val="Normal"/>
    <w:uiPriority w:val="99"/>
    <w:qFormat/>
    <w:rsid w:val="00944826"/>
    <w:pPr>
      <w:spacing w:beforeAutospacing="1" w:afterAutospacing="1"/>
    </w:pPr>
    <w:rPr>
      <w:color w:val="306060"/>
    </w:rPr>
  </w:style>
  <w:style w:type="paragraph" w:customStyle="1" w:styleId="body">
    <w:name w:val="body"/>
    <w:basedOn w:val="Normal"/>
    <w:uiPriority w:val="99"/>
    <w:qFormat/>
    <w:rsid w:val="00944826"/>
    <w:pPr>
      <w:shd w:val="clear" w:color="auto" w:fill="C9E1DF"/>
      <w:spacing w:beforeAutospacing="1" w:afterAutospacing="1"/>
    </w:pPr>
    <w:rPr>
      <w:rFonts w:ascii="Arial" w:hAnsi="Arial" w:cs="Arial"/>
      <w:color w:val="333333"/>
    </w:rPr>
  </w:style>
  <w:style w:type="paragraph" w:customStyle="1" w:styleId="button">
    <w:name w:val="button"/>
    <w:basedOn w:val="Normal"/>
    <w:uiPriority w:val="99"/>
    <w:qFormat/>
    <w:rsid w:val="00944826"/>
    <w:pPr>
      <w:spacing w:beforeAutospacing="1" w:afterAutospacing="1"/>
    </w:pPr>
    <w:rPr>
      <w:color w:val="F0F8F8"/>
    </w:rPr>
  </w:style>
  <w:style w:type="paragraph" w:customStyle="1" w:styleId="radio">
    <w:name w:val="radio"/>
    <w:basedOn w:val="Normal"/>
    <w:uiPriority w:val="99"/>
    <w:qFormat/>
    <w:rsid w:val="00944826"/>
    <w:pPr>
      <w:spacing w:beforeAutospacing="1" w:afterAutospacing="1"/>
    </w:pPr>
  </w:style>
  <w:style w:type="paragraph" w:customStyle="1" w:styleId="headcol">
    <w:name w:val="headcol"/>
    <w:basedOn w:val="Normal"/>
    <w:uiPriority w:val="99"/>
    <w:qFormat/>
    <w:rsid w:val="00944826"/>
    <w:pPr>
      <w:spacing w:beforeAutospacing="1" w:afterAutospacing="1"/>
    </w:pPr>
    <w:rPr>
      <w:color w:val="F0F8F8"/>
    </w:rPr>
  </w:style>
  <w:style w:type="paragraph" w:customStyle="1" w:styleId="titlecol">
    <w:name w:val="titlecol"/>
    <w:basedOn w:val="Normal"/>
    <w:uiPriority w:val="99"/>
    <w:qFormat/>
    <w:rsid w:val="00944826"/>
    <w:pPr>
      <w:spacing w:beforeAutospacing="1" w:afterAutospacing="1"/>
      <w:jc w:val="right"/>
    </w:pPr>
    <w:rPr>
      <w:b/>
      <w:bCs/>
    </w:rPr>
  </w:style>
  <w:style w:type="paragraph" w:customStyle="1" w:styleId="th">
    <w:name w:val="th"/>
    <w:basedOn w:val="Normal"/>
    <w:uiPriority w:val="99"/>
    <w:qFormat/>
    <w:rsid w:val="00944826"/>
    <w:pPr>
      <w:spacing w:beforeAutospacing="1" w:afterAutospacing="1"/>
    </w:pPr>
    <w:rPr>
      <w:b/>
      <w:bCs/>
      <w:color w:val="333333"/>
    </w:rPr>
  </w:style>
  <w:style w:type="paragraph" w:customStyle="1" w:styleId="thr">
    <w:name w:val="thr"/>
    <w:basedOn w:val="Normal"/>
    <w:uiPriority w:val="99"/>
    <w:qFormat/>
    <w:rsid w:val="00944826"/>
    <w:pPr>
      <w:spacing w:beforeAutospacing="1" w:afterAutospacing="1"/>
      <w:jc w:val="right"/>
    </w:pPr>
  </w:style>
  <w:style w:type="paragraph" w:customStyle="1" w:styleId="bdc">
    <w:name w:val="bdc"/>
    <w:basedOn w:val="Normal"/>
    <w:uiPriority w:val="99"/>
    <w:qFormat/>
    <w:rsid w:val="00944826"/>
    <w:pPr>
      <w:spacing w:beforeAutospacing="1" w:afterAutospacing="1"/>
    </w:pPr>
    <w:rPr>
      <w:b/>
      <w:bCs/>
    </w:rPr>
  </w:style>
  <w:style w:type="paragraph" w:customStyle="1" w:styleId="input">
    <w:name w:val="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myinput">
    <w:name w:val="my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select">
    <w:name w:val="select"/>
    <w:basedOn w:val="Normal"/>
    <w:uiPriority w:val="99"/>
    <w:qFormat/>
    <w:rsid w:val="00944826"/>
    <w:pPr>
      <w:shd w:val="clear" w:color="auto" w:fill="F0F8F8"/>
      <w:spacing w:beforeAutospacing="1" w:afterAutospacing="1"/>
    </w:pPr>
    <w:rPr>
      <w:color w:val="333333"/>
    </w:rPr>
  </w:style>
  <w:style w:type="paragraph" w:customStyle="1" w:styleId="top1">
    <w:name w:val="top1"/>
    <w:basedOn w:val="Normal"/>
    <w:uiPriority w:val="99"/>
    <w:qFormat/>
    <w:rsid w:val="00944826"/>
    <w:pPr>
      <w:spacing w:beforeAutospacing="1" w:afterAutospacing="1"/>
    </w:pPr>
  </w:style>
  <w:style w:type="paragraph" w:customStyle="1" w:styleId="logo">
    <w:name w:val="logo"/>
    <w:basedOn w:val="Normal"/>
    <w:uiPriority w:val="99"/>
    <w:qFormat/>
    <w:rsid w:val="00944826"/>
    <w:pPr>
      <w:spacing w:beforeAutospacing="1" w:afterAutospacing="1"/>
    </w:pPr>
  </w:style>
  <w:style w:type="paragraph" w:customStyle="1" w:styleId="top2">
    <w:name w:val="top2"/>
    <w:basedOn w:val="Normal"/>
    <w:uiPriority w:val="99"/>
    <w:qFormat/>
    <w:rsid w:val="00944826"/>
    <w:pPr>
      <w:spacing w:beforeAutospacing="1" w:afterAutospacing="1"/>
    </w:pPr>
  </w:style>
  <w:style w:type="paragraph" w:customStyle="1" w:styleId="hline">
    <w:name w:val="hline"/>
    <w:basedOn w:val="Normal"/>
    <w:uiPriority w:val="99"/>
    <w:qFormat/>
    <w:rsid w:val="00944826"/>
    <w:pPr>
      <w:spacing w:beforeAutospacing="1" w:afterAutospacing="1"/>
    </w:pPr>
  </w:style>
  <w:style w:type="paragraph" w:customStyle="1" w:styleId="vline">
    <w:name w:val="vline"/>
    <w:basedOn w:val="Normal"/>
    <w:uiPriority w:val="99"/>
    <w:qFormat/>
    <w:rsid w:val="00944826"/>
    <w:pPr>
      <w:spacing w:beforeAutospacing="1" w:afterAutospacing="1"/>
    </w:pPr>
  </w:style>
  <w:style w:type="paragraph" w:customStyle="1" w:styleId="zvabri">
    <w:name w:val="zvabri"/>
    <w:basedOn w:val="Normal"/>
    <w:uiPriority w:val="99"/>
    <w:qFormat/>
    <w:rsid w:val="00944826"/>
    <w:pPr>
      <w:spacing w:beforeAutospacing="1" w:afterAutospacing="1"/>
    </w:pPr>
    <w:rPr>
      <w:color w:val="FF0000"/>
    </w:rPr>
  </w:style>
  <w:style w:type="paragraph" w:styleId="z-TopofForm">
    <w:name w:val="HTML Top of Form"/>
    <w:basedOn w:val="Normal"/>
    <w:next w:val="Normal"/>
    <w:uiPriority w:val="99"/>
    <w:semiHidden/>
    <w:qFormat/>
    <w:rsid w:val="00944826"/>
    <w:pPr>
      <w:pBdr>
        <w:bottom w:val="single" w:sz="6" w:space="1" w:color="00000A"/>
      </w:pBdr>
      <w:jc w:val="center"/>
    </w:pPr>
    <w:rPr>
      <w:rFonts w:ascii="Arial" w:hAnsi="Arial" w:cs="Arial"/>
      <w:vanish/>
      <w:sz w:val="16"/>
      <w:szCs w:val="16"/>
    </w:rPr>
  </w:style>
  <w:style w:type="paragraph" w:styleId="z-BottomofForm">
    <w:name w:val="HTML Bottom of Form"/>
    <w:basedOn w:val="Normal"/>
    <w:next w:val="Normal"/>
    <w:uiPriority w:val="99"/>
    <w:qFormat/>
    <w:rsid w:val="00944826"/>
    <w:pPr>
      <w:pBdr>
        <w:top w:val="single" w:sz="6" w:space="1" w:color="00000A"/>
      </w:pBdr>
      <w:jc w:val="center"/>
    </w:pPr>
    <w:rPr>
      <w:rFonts w:ascii="Arial" w:hAnsi="Arial" w:cs="Arial"/>
      <w:vanish/>
      <w:sz w:val="16"/>
      <w:szCs w:val="16"/>
    </w:rPr>
  </w:style>
  <w:style w:type="paragraph" w:styleId="NormalWeb">
    <w:name w:val="Normal (Web)"/>
    <w:basedOn w:val="Normal"/>
    <w:uiPriority w:val="99"/>
    <w:qFormat/>
    <w:rsid w:val="00944826"/>
    <w:pPr>
      <w:spacing w:beforeAutospacing="1" w:afterAutospacing="1"/>
    </w:pPr>
  </w:style>
  <w:style w:type="paragraph" w:customStyle="1" w:styleId="naisf">
    <w:name w:val="naisf"/>
    <w:basedOn w:val="Normal"/>
    <w:qFormat/>
    <w:rsid w:val="00944826"/>
    <w:pPr>
      <w:spacing w:before="75" w:after="75"/>
      <w:ind w:firstLine="375"/>
      <w:jc w:val="both"/>
    </w:pPr>
  </w:style>
  <w:style w:type="paragraph" w:customStyle="1" w:styleId="nais1">
    <w:name w:val="nais1"/>
    <w:basedOn w:val="Normal"/>
    <w:uiPriority w:val="99"/>
    <w:qFormat/>
    <w:rsid w:val="00944826"/>
    <w:pPr>
      <w:spacing w:before="75" w:after="75"/>
      <w:ind w:left="450" w:firstLine="375"/>
      <w:jc w:val="both"/>
    </w:pPr>
  </w:style>
  <w:style w:type="paragraph" w:customStyle="1" w:styleId="nais2">
    <w:name w:val="nais2"/>
    <w:basedOn w:val="Normal"/>
    <w:uiPriority w:val="99"/>
    <w:qFormat/>
    <w:rsid w:val="00944826"/>
    <w:pPr>
      <w:spacing w:before="75" w:after="75"/>
      <w:ind w:left="900" w:firstLine="375"/>
      <w:jc w:val="both"/>
    </w:pPr>
  </w:style>
  <w:style w:type="paragraph" w:customStyle="1" w:styleId="naispant">
    <w:name w:val="naispant"/>
    <w:basedOn w:val="Normal"/>
    <w:uiPriority w:val="99"/>
    <w:qFormat/>
    <w:rsid w:val="00944826"/>
    <w:pPr>
      <w:spacing w:before="75" w:after="75"/>
      <w:ind w:left="375" w:firstLine="375"/>
      <w:jc w:val="both"/>
    </w:pPr>
    <w:rPr>
      <w:b/>
      <w:bCs/>
    </w:rPr>
  </w:style>
  <w:style w:type="paragraph" w:customStyle="1" w:styleId="naisvisr">
    <w:name w:val="naisvisr"/>
    <w:basedOn w:val="Normal"/>
    <w:uiPriority w:val="99"/>
    <w:qFormat/>
    <w:rsid w:val="00944826"/>
    <w:pPr>
      <w:spacing w:before="150" w:after="150"/>
      <w:jc w:val="center"/>
    </w:pPr>
    <w:rPr>
      <w:b/>
      <w:bCs/>
      <w:sz w:val="28"/>
      <w:szCs w:val="28"/>
    </w:rPr>
  </w:style>
  <w:style w:type="paragraph" w:customStyle="1" w:styleId="naisnod">
    <w:name w:val="naisnod"/>
    <w:basedOn w:val="Normal"/>
    <w:uiPriority w:val="99"/>
    <w:qFormat/>
    <w:rsid w:val="00944826"/>
    <w:pPr>
      <w:spacing w:before="150" w:after="150"/>
      <w:jc w:val="center"/>
    </w:pPr>
    <w:rPr>
      <w:b/>
      <w:bCs/>
    </w:rPr>
  </w:style>
  <w:style w:type="paragraph" w:customStyle="1" w:styleId="naislab">
    <w:name w:val="naislab"/>
    <w:basedOn w:val="Normal"/>
    <w:uiPriority w:val="99"/>
    <w:qFormat/>
    <w:rsid w:val="00944826"/>
    <w:pPr>
      <w:spacing w:before="75" w:after="75"/>
      <w:jc w:val="right"/>
    </w:pPr>
  </w:style>
  <w:style w:type="paragraph" w:customStyle="1" w:styleId="naiskr">
    <w:name w:val="naiskr"/>
    <w:basedOn w:val="Normal"/>
    <w:qFormat/>
    <w:rsid w:val="00944826"/>
    <w:pPr>
      <w:spacing w:before="75" w:after="75"/>
    </w:pPr>
  </w:style>
  <w:style w:type="paragraph" w:customStyle="1" w:styleId="naisc">
    <w:name w:val="naisc"/>
    <w:basedOn w:val="Normal"/>
    <w:qFormat/>
    <w:rsid w:val="00944826"/>
    <w:pPr>
      <w:spacing w:before="75" w:after="75"/>
      <w:jc w:val="center"/>
    </w:pPr>
  </w:style>
  <w:style w:type="paragraph" w:styleId="BalloonText">
    <w:name w:val="Balloon Text"/>
    <w:basedOn w:val="Normal"/>
    <w:link w:val="BalloonTextChar"/>
    <w:uiPriority w:val="99"/>
    <w:semiHidden/>
    <w:qFormat/>
    <w:rsid w:val="002308FA"/>
    <w:rPr>
      <w:rFonts w:ascii="Tahoma" w:hAnsi="Tahoma" w:cs="Tahoma"/>
      <w:sz w:val="16"/>
      <w:szCs w:val="16"/>
    </w:rPr>
  </w:style>
  <w:style w:type="paragraph" w:styleId="BodyTextIndent3">
    <w:name w:val="Body Text Indent 3"/>
    <w:basedOn w:val="Normal"/>
    <w:link w:val="BodyTextIndent3Char"/>
    <w:uiPriority w:val="99"/>
    <w:qFormat/>
    <w:rsid w:val="006D24A9"/>
    <w:pPr>
      <w:ind w:firstLine="709"/>
      <w:jc w:val="both"/>
    </w:pPr>
    <w:rPr>
      <w:sz w:val="28"/>
      <w:szCs w:val="28"/>
      <w:lang w:eastAsia="en-US"/>
    </w:rPr>
  </w:style>
  <w:style w:type="paragraph" w:styleId="Header">
    <w:name w:val="header"/>
    <w:basedOn w:val="Normal"/>
    <w:link w:val="HeaderChar"/>
    <w:uiPriority w:val="99"/>
    <w:rsid w:val="00745496"/>
    <w:pPr>
      <w:tabs>
        <w:tab w:val="center" w:pos="4153"/>
        <w:tab w:val="right" w:pos="8306"/>
      </w:tabs>
    </w:pPr>
  </w:style>
  <w:style w:type="paragraph" w:styleId="Footer">
    <w:name w:val="footer"/>
    <w:basedOn w:val="Normal"/>
    <w:link w:val="FooterChar"/>
    <w:uiPriority w:val="99"/>
    <w:rsid w:val="00745496"/>
    <w:pPr>
      <w:tabs>
        <w:tab w:val="center" w:pos="4153"/>
        <w:tab w:val="right" w:pos="8306"/>
      </w:tabs>
    </w:p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iPriority w:val="99"/>
    <w:semiHidden/>
    <w:unhideWhenUsed/>
    <w:qFormat/>
    <w:rsid w:val="00FE43E7"/>
    <w:rPr>
      <w:sz w:val="20"/>
      <w:szCs w:val="20"/>
    </w:rPr>
  </w:style>
  <w:style w:type="paragraph" w:styleId="CommentSubject">
    <w:name w:val="annotation subject"/>
    <w:basedOn w:val="CommentText"/>
    <w:link w:val="CommentSubjectChar"/>
    <w:uiPriority w:val="99"/>
    <w:semiHidden/>
    <w:unhideWhenUsed/>
    <w:qFormat/>
    <w:rsid w:val="00FE43E7"/>
    <w:rPr>
      <w:b/>
      <w:bCs/>
    </w:rPr>
  </w:style>
  <w:style w:type="paragraph" w:styleId="FootnoteText">
    <w:name w:val="footnote text"/>
    <w:basedOn w:val="Normal"/>
    <w:link w:val="FootnoteTextChar"/>
    <w:uiPriority w:val="99"/>
    <w:semiHidden/>
    <w:unhideWhenUsed/>
    <w:qFormat/>
    <w:rsid w:val="00307578"/>
    <w:rPr>
      <w:sz w:val="20"/>
      <w:szCs w:val="20"/>
    </w:rPr>
  </w:style>
  <w:style w:type="paragraph" w:customStyle="1" w:styleId="Ietvarasaturs">
    <w:name w:val="Ietvara saturs"/>
    <w:basedOn w:val="Normal"/>
    <w:qFormat/>
  </w:style>
  <w:style w:type="table" w:styleId="TableGrid">
    <w:name w:val="Table Grid"/>
    <w:basedOn w:val="TableNormal"/>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7DB"/>
    <w:rPr>
      <w:color w:val="0563C1" w:themeColor="hyperlink"/>
      <w:u w:val="single"/>
    </w:rPr>
  </w:style>
  <w:style w:type="character" w:styleId="UnresolvedMention">
    <w:name w:val="Unresolved Mention"/>
    <w:basedOn w:val="DefaultParagraphFont"/>
    <w:uiPriority w:val="99"/>
    <w:semiHidden/>
    <w:unhideWhenUsed/>
    <w:rsid w:val="0013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28677">
      <w:bodyDiv w:val="1"/>
      <w:marLeft w:val="0"/>
      <w:marRight w:val="0"/>
      <w:marTop w:val="0"/>
      <w:marBottom w:val="0"/>
      <w:divBdr>
        <w:top w:val="none" w:sz="0" w:space="0" w:color="auto"/>
        <w:left w:val="none" w:sz="0" w:space="0" w:color="auto"/>
        <w:bottom w:val="none" w:sz="0" w:space="0" w:color="auto"/>
        <w:right w:val="none" w:sz="0" w:space="0" w:color="auto"/>
      </w:divBdr>
    </w:div>
    <w:div w:id="83973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is.dzerva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
        <AccountId xsi:nil="true"/>
        <AccountType/>
      </UserInfo>
    </SharedWithUsers>
  </documentManagement>
</p:properties>
</file>

<file path=customXml/itemProps1.xml><?xml version="1.0" encoding="utf-8"?>
<ds:datastoreItem xmlns:ds="http://schemas.openxmlformats.org/officeDocument/2006/customXml" ds:itemID="{D56A1BEF-A324-4E31-B397-2F123B57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907D9-8EBC-460E-978F-7D93DE50868F}">
  <ds:schemaRefs>
    <ds:schemaRef ds:uri="http://schemas.microsoft.com/sharepoint/v3/contenttype/forms"/>
  </ds:schemaRefs>
</ds:datastoreItem>
</file>

<file path=customXml/itemProps3.xml><?xml version="1.0" encoding="utf-8"?>
<ds:datastoreItem xmlns:ds="http://schemas.openxmlformats.org/officeDocument/2006/customXml" ds:itemID="{87240B48-F14F-49C1-9015-4D19E7591DC0}">
  <ds:schemaRefs>
    <ds:schemaRef ds:uri="http://schemas.openxmlformats.org/officeDocument/2006/bibliography"/>
  </ds:schemaRefs>
</ds:datastoreItem>
</file>

<file path=customXml/itemProps4.xml><?xml version="1.0" encoding="utf-8"?>
<ds:datastoreItem xmlns:ds="http://schemas.openxmlformats.org/officeDocument/2006/customXml" ds:itemID="{B8FD755D-48B8-4682-98AA-4588E7A9A87B}">
  <ds:schemaRefs>
    <ds:schemaRef ds:uri="http://purl.org/dc/elements/1.1/"/>
    <ds:schemaRef ds:uri="http://www.w3.org/XML/1998/namespace"/>
    <ds:schemaRef ds:uri="http://schemas.openxmlformats.org/package/2006/metadata/core-properties"/>
    <ds:schemaRef ds:uri="http://purl.org/dc/dcmitype/"/>
    <ds:schemaRef ds:uri="0026d777-7ea2-438a-b84f-f3e74dc1dd91"/>
    <ds:schemaRef ds:uri="http://schemas.microsoft.com/office/2006/documentManagement/types"/>
    <ds:schemaRef ds:uri="http://schemas.microsoft.com/office/infopath/2007/PartnerControls"/>
    <ds:schemaRef ds:uri="7e61be5a-9f3f-46c0-883f-80dee6e80e6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17089</Words>
  <Characters>9741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Rīkojuma projekts "Par informācijas sabiedrības attīstības pamatnostādņu ieviešanu publiskās pārvaldes informācijas sistēmu jomā (mērķarhitektūras 59.0. versija)"</vt:lpstr>
    </vt:vector>
  </TitlesOfParts>
  <Company>Vides aizsardzības un reģionālās attīstības ministrija</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informācijas sabiedrības attīstības pamatnostādņu ieviešanu publiskās pārvaldes informācijas sistēmu jomā (mērķarhitektūras 59.0. versija)"</dc:title>
  <dc:subject>Izziņa par atzinumos sniegtajiem iebildumiem</dc:subject>
  <dc:creator>Lelda Kalniņa</dc:creator>
  <dc:description>67026576, lelda.kalnina@varam.gov.lv</dc:description>
  <cp:lastModifiedBy>Lelda Kalniņa</cp:lastModifiedBy>
  <cp:revision>11</cp:revision>
  <cp:lastPrinted>2021-05-11T09:30:00Z</cp:lastPrinted>
  <dcterms:created xsi:type="dcterms:W3CDTF">2021-05-11T12:22:00Z</dcterms:created>
  <dcterms:modified xsi:type="dcterms:W3CDTF">2021-05-12T10:49:00Z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Iestādes nosaukums</vt:lpwstr>
  </property>
  <property fmtid="{D5CDD505-2E9C-101B-9397-08002B2CF9AE}" pid="4" name="ContentTypeId">
    <vt:lpwstr>0x010100C2407A656F6F514882F54CB8A364491F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Order">
    <vt:r8>1170500</vt:r8>
  </property>
  <property fmtid="{D5CDD505-2E9C-101B-9397-08002B2CF9AE}" pid="11" name="ComplianceAssetId">
    <vt:lpwstr/>
  </property>
</Properties>
</file>