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0B7C1" w14:textId="77C04803" w:rsidR="00894C55" w:rsidRPr="00964AEF" w:rsidRDefault="00F22689"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964AEF">
        <w:rPr>
          <w:rFonts w:ascii="Times New Roman" w:eastAsia="Times New Roman" w:hAnsi="Times New Roman" w:cs="Times New Roman"/>
          <w:b/>
          <w:bCs/>
          <w:sz w:val="28"/>
          <w:szCs w:val="24"/>
          <w:lang w:eastAsia="lv-LV"/>
        </w:rPr>
        <w:t xml:space="preserve">Ministru kabineta noteikumu </w:t>
      </w:r>
      <w:r w:rsidR="00894C55" w:rsidRPr="00964AEF">
        <w:rPr>
          <w:rFonts w:ascii="Times New Roman" w:eastAsia="Times New Roman" w:hAnsi="Times New Roman" w:cs="Times New Roman"/>
          <w:b/>
          <w:bCs/>
          <w:sz w:val="28"/>
          <w:szCs w:val="24"/>
          <w:lang w:eastAsia="lv-LV"/>
        </w:rPr>
        <w:t>projekta</w:t>
      </w:r>
      <w:r w:rsidRPr="00964AEF">
        <w:rPr>
          <w:rFonts w:ascii="Times New Roman" w:eastAsia="Times New Roman" w:hAnsi="Times New Roman" w:cs="Times New Roman"/>
          <w:b/>
          <w:bCs/>
          <w:sz w:val="28"/>
          <w:szCs w:val="24"/>
          <w:lang w:eastAsia="lv-LV"/>
        </w:rPr>
        <w:t xml:space="preserve"> </w:t>
      </w:r>
      <w:bookmarkStart w:id="0" w:name="_Hlk70071140"/>
      <w:r w:rsidR="003D0C6F" w:rsidRPr="00964AEF">
        <w:rPr>
          <w:rFonts w:ascii="Times New Roman" w:eastAsia="Times New Roman" w:hAnsi="Times New Roman" w:cs="Times New Roman"/>
          <w:b/>
          <w:bCs/>
          <w:sz w:val="28"/>
          <w:szCs w:val="24"/>
          <w:lang w:eastAsia="lv-LV"/>
        </w:rPr>
        <w:t>"</w:t>
      </w:r>
      <w:bookmarkStart w:id="1" w:name="_Hlk70071124"/>
      <w:bookmarkEnd w:id="0"/>
      <w:r w:rsidR="00AF4117" w:rsidRPr="00964AEF">
        <w:rPr>
          <w:rFonts w:ascii="Times New Roman" w:eastAsia="Times New Roman" w:hAnsi="Times New Roman" w:cs="Times New Roman"/>
          <w:b/>
          <w:bCs/>
          <w:sz w:val="28"/>
          <w:szCs w:val="24"/>
          <w:lang w:eastAsia="lv-LV"/>
        </w:rPr>
        <w:t>Prekursoru operatoru un prekursoru lietotāju reģistrēšanas un licencēšanas kārtība</w:t>
      </w:r>
      <w:bookmarkEnd w:id="1"/>
      <w:r w:rsidR="003D0C6F" w:rsidRPr="00964AEF">
        <w:rPr>
          <w:rFonts w:ascii="Times New Roman" w:eastAsia="Times New Roman" w:hAnsi="Times New Roman" w:cs="Times New Roman"/>
          <w:b/>
          <w:bCs/>
          <w:sz w:val="28"/>
          <w:szCs w:val="24"/>
          <w:lang w:eastAsia="lv-LV"/>
        </w:rPr>
        <w:t>"</w:t>
      </w:r>
      <w:r w:rsidRPr="00964AEF">
        <w:rPr>
          <w:rFonts w:ascii="Times New Roman" w:eastAsia="Times New Roman" w:hAnsi="Times New Roman" w:cs="Times New Roman"/>
          <w:b/>
          <w:bCs/>
          <w:sz w:val="28"/>
          <w:szCs w:val="24"/>
          <w:lang w:eastAsia="lv-LV"/>
        </w:rPr>
        <w:t xml:space="preserve"> </w:t>
      </w:r>
      <w:r w:rsidR="00894C55" w:rsidRPr="00964AEF">
        <w:rPr>
          <w:rFonts w:ascii="Times New Roman" w:eastAsia="Times New Roman" w:hAnsi="Times New Roman" w:cs="Times New Roman"/>
          <w:b/>
          <w:bCs/>
          <w:sz w:val="28"/>
          <w:szCs w:val="24"/>
          <w:lang w:eastAsia="lv-LV"/>
        </w:rPr>
        <w:t>sākotnējās ietekmes novērtējuma ziņojums (anotācija)</w:t>
      </w:r>
    </w:p>
    <w:p w14:paraId="34F63FC1" w14:textId="77777777" w:rsidR="00E5323B" w:rsidRPr="00964AEF"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4"/>
        <w:gridCol w:w="85"/>
        <w:gridCol w:w="50"/>
        <w:gridCol w:w="99"/>
        <w:gridCol w:w="851"/>
        <w:gridCol w:w="1667"/>
        <w:gridCol w:w="431"/>
        <w:gridCol w:w="34"/>
        <w:gridCol w:w="35"/>
        <w:gridCol w:w="97"/>
        <w:gridCol w:w="94"/>
        <w:gridCol w:w="149"/>
        <w:gridCol w:w="1601"/>
        <w:gridCol w:w="3368"/>
      </w:tblGrid>
      <w:tr w:rsidR="00E5323B" w:rsidRPr="00964AEF" w14:paraId="0EC71234" w14:textId="77777777" w:rsidTr="00E5323B">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14:paraId="65F8A461" w14:textId="77777777" w:rsidR="00655F2C" w:rsidRPr="00964AEF" w:rsidRDefault="00E5323B" w:rsidP="00E5323B">
            <w:pPr>
              <w:spacing w:after="0" w:line="240" w:lineRule="auto"/>
              <w:rPr>
                <w:rFonts w:ascii="Times New Roman" w:eastAsia="Times New Roman" w:hAnsi="Times New Roman" w:cs="Times New Roman"/>
                <w:b/>
                <w:bCs/>
                <w:iCs/>
                <w:sz w:val="24"/>
                <w:szCs w:val="24"/>
                <w:lang w:eastAsia="lv-LV"/>
              </w:rPr>
            </w:pPr>
            <w:r w:rsidRPr="00964AEF">
              <w:rPr>
                <w:rFonts w:ascii="Times New Roman" w:eastAsia="Times New Roman" w:hAnsi="Times New Roman" w:cs="Times New Roman"/>
                <w:b/>
                <w:bCs/>
                <w:iCs/>
                <w:sz w:val="24"/>
                <w:szCs w:val="24"/>
                <w:lang w:eastAsia="lv-LV"/>
              </w:rPr>
              <w:t>Tiesību akta projekta anotācijas kopsavilkums</w:t>
            </w:r>
          </w:p>
        </w:tc>
      </w:tr>
      <w:tr w:rsidR="00E5323B" w:rsidRPr="00964AEF" w14:paraId="507D1864" w14:textId="77777777" w:rsidTr="000547C8">
        <w:trPr>
          <w:tblCellSpacing w:w="15" w:type="dxa"/>
        </w:trPr>
        <w:tc>
          <w:tcPr>
            <w:tcW w:w="1976" w:type="pct"/>
            <w:gridSpan w:val="7"/>
            <w:tcBorders>
              <w:top w:val="outset" w:sz="6" w:space="0" w:color="auto"/>
              <w:left w:val="outset" w:sz="6" w:space="0" w:color="auto"/>
              <w:bottom w:val="outset" w:sz="6" w:space="0" w:color="auto"/>
              <w:right w:val="outset" w:sz="6" w:space="0" w:color="auto"/>
            </w:tcBorders>
            <w:hideMark/>
          </w:tcPr>
          <w:p w14:paraId="06121D20" w14:textId="77777777" w:rsidR="00E5323B"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Mērķis, risinājums un projekta spēkā stāšanās laiks (500 zīmes bez atstarpēm)</w:t>
            </w:r>
          </w:p>
        </w:tc>
        <w:tc>
          <w:tcPr>
            <w:tcW w:w="2974" w:type="pct"/>
            <w:gridSpan w:val="7"/>
            <w:tcBorders>
              <w:top w:val="outset" w:sz="6" w:space="0" w:color="auto"/>
              <w:left w:val="outset" w:sz="6" w:space="0" w:color="auto"/>
              <w:bottom w:val="outset" w:sz="6" w:space="0" w:color="auto"/>
              <w:right w:val="outset" w:sz="6" w:space="0" w:color="auto"/>
            </w:tcBorders>
            <w:hideMark/>
          </w:tcPr>
          <w:p w14:paraId="6AA6578C" w14:textId="55E7A9C7" w:rsidR="00D01D4F" w:rsidRPr="00964AEF" w:rsidRDefault="00EC654C" w:rsidP="007A0BDC">
            <w:pPr>
              <w:spacing w:after="0" w:line="240" w:lineRule="auto"/>
              <w:ind w:firstLine="503"/>
              <w:jc w:val="both"/>
              <w:rPr>
                <w:rFonts w:ascii="Times New Roman" w:eastAsia="Times New Roman" w:hAnsi="Times New Roman" w:cs="Times New Roman"/>
                <w:sz w:val="24"/>
                <w:szCs w:val="24"/>
                <w:bdr w:val="none" w:sz="0" w:space="0" w:color="auto" w:frame="1"/>
              </w:rPr>
            </w:pPr>
            <w:r w:rsidRPr="00964AEF">
              <w:rPr>
                <w:rFonts w:ascii="Times New Roman" w:eastAsia="Times New Roman" w:hAnsi="Times New Roman" w:cs="Times New Roman"/>
                <w:sz w:val="24"/>
                <w:szCs w:val="24"/>
              </w:rPr>
              <w:t xml:space="preserve">2021. gada 29. aprīlī Saeimā pieņemti </w:t>
            </w:r>
            <w:r w:rsidR="00314042" w:rsidRPr="00964F93">
              <w:rPr>
                <w:rFonts w:ascii="Times New Roman" w:eastAsia="Times New Roman" w:hAnsi="Times New Roman" w:cs="Times New Roman"/>
                <w:sz w:val="24"/>
                <w:szCs w:val="24"/>
                <w:lang w:eastAsia="lv-LV"/>
              </w:rPr>
              <w:t>"</w:t>
            </w:r>
            <w:r w:rsidR="009E5298" w:rsidRPr="00964AEF">
              <w:rPr>
                <w:rFonts w:ascii="Times New Roman" w:eastAsia="Times New Roman" w:hAnsi="Times New Roman" w:cs="Times New Roman"/>
                <w:sz w:val="24"/>
                <w:szCs w:val="24"/>
              </w:rPr>
              <w:t>Grozījumi Narkotisko un psihotropo vielu un zāļu, kā arī prekursoru likumīgas aprites likumā</w:t>
            </w:r>
            <w:r w:rsidR="00314042" w:rsidRPr="00964F93">
              <w:rPr>
                <w:rFonts w:ascii="Times New Roman" w:eastAsia="Times New Roman" w:hAnsi="Times New Roman" w:cs="Times New Roman"/>
                <w:sz w:val="24"/>
                <w:szCs w:val="24"/>
                <w:lang w:eastAsia="lv-LV"/>
              </w:rPr>
              <w:t>"</w:t>
            </w:r>
            <w:r w:rsidR="009E5298" w:rsidRPr="00964AEF">
              <w:rPr>
                <w:rFonts w:ascii="Times New Roman" w:eastAsia="Times New Roman" w:hAnsi="Times New Roman" w:cs="Times New Roman"/>
                <w:sz w:val="24"/>
                <w:szCs w:val="24"/>
              </w:rPr>
              <w:t xml:space="preserve">, kas </w:t>
            </w:r>
            <w:r w:rsidR="009E5298" w:rsidRPr="00964AEF">
              <w:rPr>
                <w:rFonts w:ascii="Times New Roman" w:eastAsia="Times New Roman" w:hAnsi="Times New Roman" w:cs="Times New Roman"/>
                <w:sz w:val="24"/>
                <w:szCs w:val="24"/>
                <w:bdr w:val="none" w:sz="0" w:space="0" w:color="auto" w:frame="1"/>
              </w:rPr>
              <w:t>paredz izteikt jaunā redakcijā minētā likuma 42.</w:t>
            </w:r>
            <w:r w:rsidR="009E5298" w:rsidRPr="00964AEF">
              <w:rPr>
                <w:rFonts w:ascii="Times New Roman" w:eastAsia="Times New Roman" w:hAnsi="Times New Roman" w:cs="Times New Roman"/>
                <w:sz w:val="24"/>
                <w:szCs w:val="24"/>
                <w:bdr w:val="none" w:sz="0" w:space="0" w:color="auto" w:frame="1"/>
                <w:vertAlign w:val="superscript"/>
              </w:rPr>
              <w:t>2</w:t>
            </w:r>
            <w:r w:rsidR="009E5298" w:rsidRPr="00964AEF">
              <w:rPr>
                <w:rFonts w:ascii="Times New Roman" w:eastAsia="Times New Roman" w:hAnsi="Times New Roman" w:cs="Times New Roman"/>
                <w:sz w:val="24"/>
                <w:szCs w:val="24"/>
                <w:bdr w:val="none" w:sz="0" w:space="0" w:color="auto" w:frame="1"/>
              </w:rPr>
              <w:t xml:space="preserve"> panta otro daļu, nosakot, ka "(2) Prekursoru operators un prekursoru lietotājs reizi ceturksnī iesniedz Zāļu valsts aģentūrai informāciju par saviem darījumiem ar prekursoriem. Ministru kabinets nosaka kārtību, kādā prekursoru operators un prekursoru lietotājs sniedz Zāļu valsts aģentūrai informāciju par darījumiem ar prekursoriem, kā arī sniedzamās informācijas saturu."</w:t>
            </w:r>
            <w:r w:rsidRPr="00964AEF">
              <w:rPr>
                <w:rFonts w:ascii="Times New Roman" w:eastAsia="Times New Roman" w:hAnsi="Times New Roman" w:cs="Times New Roman"/>
                <w:sz w:val="24"/>
                <w:szCs w:val="24"/>
                <w:bdr w:val="none" w:sz="0" w:space="0" w:color="auto" w:frame="1"/>
              </w:rPr>
              <w:t xml:space="preserve"> Minētie grozījumi stā</w:t>
            </w:r>
            <w:r w:rsidR="00AE3995">
              <w:rPr>
                <w:rFonts w:ascii="Times New Roman" w:eastAsia="Times New Roman" w:hAnsi="Times New Roman" w:cs="Times New Roman"/>
                <w:sz w:val="24"/>
                <w:szCs w:val="24"/>
                <w:bdr w:val="none" w:sz="0" w:space="0" w:color="auto" w:frame="1"/>
              </w:rPr>
              <w:t>jušies</w:t>
            </w:r>
            <w:r w:rsidRPr="00964AEF">
              <w:rPr>
                <w:rFonts w:ascii="Times New Roman" w:eastAsia="Times New Roman" w:hAnsi="Times New Roman" w:cs="Times New Roman"/>
                <w:sz w:val="24"/>
                <w:szCs w:val="24"/>
                <w:bdr w:val="none" w:sz="0" w:space="0" w:color="auto" w:frame="1"/>
              </w:rPr>
              <w:t xml:space="preserve"> spēkā 2021. gada 1. jūnijā.</w:t>
            </w:r>
          </w:p>
          <w:p w14:paraId="03E621CF" w14:textId="77777777" w:rsidR="00D01D4F" w:rsidRPr="00964AEF" w:rsidRDefault="00D01D4F" w:rsidP="007A0BDC">
            <w:pPr>
              <w:tabs>
                <w:tab w:val="left" w:pos="540"/>
              </w:tabs>
              <w:spacing w:after="0" w:line="240" w:lineRule="auto"/>
              <w:ind w:firstLine="361"/>
              <w:jc w:val="both"/>
              <w:rPr>
                <w:rFonts w:ascii="Times New Roman" w:eastAsia="Times New Roman" w:hAnsi="Times New Roman" w:cs="Times New Roman"/>
                <w:sz w:val="24"/>
                <w:szCs w:val="24"/>
                <w:bdr w:val="none" w:sz="0" w:space="0" w:color="auto" w:frame="1"/>
              </w:rPr>
            </w:pPr>
          </w:p>
          <w:p w14:paraId="2A1439D3" w14:textId="4BF9C2D8" w:rsidR="005D7EDE" w:rsidRPr="00964AEF" w:rsidRDefault="00EC654C" w:rsidP="007A0BDC">
            <w:pPr>
              <w:spacing w:after="0" w:line="240" w:lineRule="auto"/>
              <w:ind w:firstLine="503"/>
              <w:jc w:val="both"/>
              <w:rPr>
                <w:rFonts w:ascii="Times New Roman" w:eastAsia="Times New Roman" w:hAnsi="Times New Roman" w:cs="Times New Roman"/>
                <w:sz w:val="24"/>
                <w:szCs w:val="24"/>
              </w:rPr>
            </w:pPr>
            <w:r w:rsidRPr="00964AEF">
              <w:rPr>
                <w:rFonts w:ascii="Times New Roman" w:eastAsia="Times New Roman" w:hAnsi="Times New Roman" w:cs="Times New Roman"/>
                <w:sz w:val="24"/>
                <w:szCs w:val="24"/>
                <w:bdr w:val="none" w:sz="0" w:space="0" w:color="auto" w:frame="1"/>
              </w:rPr>
              <w:t xml:space="preserve"> </w:t>
            </w:r>
            <w:r w:rsidR="00D01D4F" w:rsidRPr="00964AEF">
              <w:rPr>
                <w:rFonts w:ascii="Times New Roman" w:eastAsia="Times New Roman" w:hAnsi="Times New Roman" w:cs="Times New Roman"/>
                <w:sz w:val="24"/>
                <w:szCs w:val="24"/>
              </w:rPr>
              <w:t xml:space="preserve">Ņemot vērā Saeimā izskatīto likumprojektu   </w:t>
            </w:r>
            <w:r w:rsidR="00CF68E4" w:rsidRPr="00964AEF">
              <w:rPr>
                <w:rFonts w:ascii="Times New Roman" w:eastAsia="Times New Roman" w:hAnsi="Times New Roman" w:cs="Times New Roman"/>
                <w:sz w:val="24"/>
                <w:szCs w:val="24"/>
                <w:bdr w:val="none" w:sz="0" w:space="0" w:color="auto" w:frame="1"/>
              </w:rPr>
              <w:t>"</w:t>
            </w:r>
            <w:r w:rsidR="00D01D4F" w:rsidRPr="00964AEF">
              <w:rPr>
                <w:rFonts w:ascii="Times New Roman" w:eastAsia="Times New Roman" w:hAnsi="Times New Roman" w:cs="Times New Roman"/>
                <w:sz w:val="24"/>
                <w:szCs w:val="24"/>
              </w:rPr>
              <w:t>Grozījumi Narkotisko un psihotropo vielu un zāļu, kā arī prekursoru likumīgās aprites likumā</w:t>
            </w:r>
            <w:r w:rsidR="00CF68E4" w:rsidRPr="00964AEF">
              <w:rPr>
                <w:rFonts w:ascii="Times New Roman" w:eastAsia="Times New Roman" w:hAnsi="Times New Roman" w:cs="Times New Roman"/>
                <w:sz w:val="24"/>
                <w:szCs w:val="24"/>
                <w:bdr w:val="none" w:sz="0" w:space="0" w:color="auto" w:frame="1"/>
              </w:rPr>
              <w:t>"</w:t>
            </w:r>
            <w:r w:rsidR="00D01D4F" w:rsidRPr="00964AEF">
              <w:rPr>
                <w:rFonts w:ascii="Times New Roman" w:eastAsia="Times New Roman" w:hAnsi="Times New Roman" w:cs="Times New Roman"/>
                <w:sz w:val="24"/>
                <w:szCs w:val="24"/>
              </w:rPr>
              <w:t xml:space="preserve">, kas paredz jaunā redakcijā izteikt pilnvarojumu Ministru kabinetam noteikumu izdošanai, tādējādi, lai sasniegtu Ministru kabineta noteikumu leģitīmo mērķi, ir nepieciešams izdot no jauna arī uz šī pilnvarojuma pamata izdodamo normatīvo aktu. </w:t>
            </w:r>
          </w:p>
          <w:p w14:paraId="42391599" w14:textId="474A5B96" w:rsidR="00C90759" w:rsidRPr="00964AEF" w:rsidRDefault="00964AEF" w:rsidP="007A0BDC">
            <w:pPr>
              <w:spacing w:after="0" w:line="240" w:lineRule="auto"/>
              <w:ind w:firstLine="665"/>
              <w:jc w:val="both"/>
              <w:rPr>
                <w:rFonts w:ascii="Times New Roman" w:eastAsia="Times New Roman" w:hAnsi="Times New Roman" w:cs="Times New Roman"/>
                <w:sz w:val="24"/>
                <w:szCs w:val="24"/>
                <w:lang w:eastAsia="lv-LV"/>
              </w:rPr>
            </w:pPr>
            <w:r w:rsidRPr="00964F93">
              <w:rPr>
                <w:rFonts w:ascii="Times New Roman" w:eastAsia="Times New Roman" w:hAnsi="Times New Roman" w:cs="Times New Roman"/>
                <w:sz w:val="24"/>
                <w:szCs w:val="24"/>
              </w:rPr>
              <w:t xml:space="preserve">Ņemot vērā, ka </w:t>
            </w:r>
            <w:r w:rsidR="005D7EDE" w:rsidRPr="00964F93">
              <w:rPr>
                <w:rFonts w:ascii="Times New Roman" w:eastAsia="Times New Roman" w:hAnsi="Times New Roman" w:cs="Times New Roman"/>
                <w:sz w:val="24"/>
                <w:szCs w:val="24"/>
              </w:rPr>
              <w:t xml:space="preserve">Ministru kabineta 2020. gada 17. marta noteikumi Nr. 147 </w:t>
            </w:r>
            <w:r w:rsidR="00314042" w:rsidRPr="00964F93">
              <w:rPr>
                <w:rFonts w:ascii="Times New Roman" w:eastAsia="Times New Roman" w:hAnsi="Times New Roman" w:cs="Times New Roman"/>
                <w:sz w:val="24"/>
                <w:szCs w:val="24"/>
                <w:lang w:eastAsia="lv-LV"/>
              </w:rPr>
              <w:t>"</w:t>
            </w:r>
            <w:r w:rsidR="005D7EDE" w:rsidRPr="00964F93">
              <w:rPr>
                <w:rFonts w:ascii="Times New Roman" w:eastAsia="Times New Roman" w:hAnsi="Times New Roman" w:cs="Times New Roman"/>
                <w:sz w:val="24"/>
                <w:szCs w:val="24"/>
                <w:lang w:eastAsia="lv-LV"/>
              </w:rPr>
              <w:t>Prekursoru operatoru un prekursoru lietotāju reģistrēšanas un licencēšanas kārtība</w:t>
            </w:r>
            <w:r w:rsidR="00314042" w:rsidRPr="00964F93">
              <w:rPr>
                <w:rFonts w:ascii="Times New Roman" w:eastAsia="Times New Roman" w:hAnsi="Times New Roman" w:cs="Times New Roman"/>
                <w:sz w:val="24"/>
                <w:szCs w:val="24"/>
                <w:lang w:eastAsia="lv-LV"/>
              </w:rPr>
              <w:t>"</w:t>
            </w:r>
            <w:r w:rsidR="005D7EDE" w:rsidRPr="00964F93">
              <w:rPr>
                <w:rFonts w:ascii="Times New Roman" w:eastAsia="Times New Roman" w:hAnsi="Times New Roman" w:cs="Times New Roman"/>
                <w:sz w:val="24"/>
                <w:szCs w:val="24"/>
              </w:rPr>
              <w:t xml:space="preserve"> (turpmāk – Noteikumi Nr. 147), kas nosaka </w:t>
            </w:r>
            <w:r w:rsidR="005D7EDE" w:rsidRPr="00964F93">
              <w:rPr>
                <w:rFonts w:ascii="Times New Roman" w:eastAsia="Times New Roman" w:hAnsi="Times New Roman" w:cs="Times New Roman"/>
                <w:sz w:val="24"/>
                <w:szCs w:val="24"/>
                <w:shd w:val="clear" w:color="auto" w:fill="FFFFFF"/>
              </w:rPr>
              <w:t xml:space="preserve"> kārtību, kādā reģistrē un licencē prekursoru operatoru un prekursoru lietotāju,  kārtību, kādā aptur un anulē speciālo atļauju (licenci) vai reģistrāciju, kārtību, kādā prekursoru operators sniedz Zāļu valsts aģentūrai (turpmāk – aģentūra) informāciju par darījumiem ar prekursoriem, kā arī sniedzamās informācijas saturu, kā arī prasības prekursoru uzglabāšanai</w:t>
            </w:r>
            <w:r w:rsidR="00C90759" w:rsidRPr="00964F93">
              <w:rPr>
                <w:rFonts w:ascii="Times New Roman" w:eastAsia="Times New Roman" w:hAnsi="Times New Roman" w:cs="Times New Roman"/>
                <w:sz w:val="24"/>
                <w:szCs w:val="24"/>
                <w:shd w:val="clear" w:color="auto" w:fill="FFFFFF"/>
              </w:rPr>
              <w:t xml:space="preserve">, </w:t>
            </w:r>
            <w:r w:rsidR="00964F93">
              <w:rPr>
                <w:rFonts w:ascii="Times New Roman" w:eastAsia="Times New Roman" w:hAnsi="Times New Roman" w:cs="Times New Roman"/>
                <w:sz w:val="24"/>
                <w:szCs w:val="24"/>
                <w:shd w:val="clear" w:color="auto" w:fill="FFFFFF"/>
              </w:rPr>
              <w:t xml:space="preserve">kurš līdz ar </w:t>
            </w:r>
            <w:r w:rsidR="00314042" w:rsidRPr="00964F93">
              <w:rPr>
                <w:rFonts w:ascii="Times New Roman" w:eastAsia="Times New Roman" w:hAnsi="Times New Roman" w:cs="Times New Roman"/>
                <w:sz w:val="24"/>
                <w:szCs w:val="24"/>
                <w:lang w:eastAsia="lv-LV"/>
              </w:rPr>
              <w:t>"</w:t>
            </w:r>
            <w:r w:rsidR="00964F93" w:rsidRPr="00964AEF">
              <w:rPr>
                <w:rFonts w:ascii="Times New Roman" w:eastAsia="Times New Roman" w:hAnsi="Times New Roman" w:cs="Times New Roman"/>
                <w:sz w:val="24"/>
                <w:szCs w:val="24"/>
              </w:rPr>
              <w:t>Grozījumi Narkotisko un psihotropo vielu un zāļu, kā arī prekursoru likumīgas aprites likumā</w:t>
            </w:r>
            <w:r w:rsidR="00314042" w:rsidRPr="00964F93">
              <w:rPr>
                <w:rFonts w:ascii="Times New Roman" w:eastAsia="Times New Roman" w:hAnsi="Times New Roman" w:cs="Times New Roman"/>
                <w:sz w:val="24"/>
                <w:szCs w:val="24"/>
                <w:lang w:eastAsia="lv-LV"/>
              </w:rPr>
              <w:t>"</w:t>
            </w:r>
            <w:r w:rsidR="00964F93">
              <w:rPr>
                <w:rFonts w:ascii="Times New Roman" w:eastAsia="Times New Roman" w:hAnsi="Times New Roman" w:cs="Times New Roman"/>
                <w:sz w:val="24"/>
                <w:szCs w:val="24"/>
              </w:rPr>
              <w:t xml:space="preserve"> spēkā stāšanos zaudē</w:t>
            </w:r>
            <w:r w:rsidR="006A26D9">
              <w:rPr>
                <w:rFonts w:ascii="Times New Roman" w:eastAsia="Times New Roman" w:hAnsi="Times New Roman" w:cs="Times New Roman"/>
                <w:sz w:val="24"/>
                <w:szCs w:val="24"/>
              </w:rPr>
              <w:t>jis</w:t>
            </w:r>
            <w:r w:rsidR="00964F93">
              <w:rPr>
                <w:rFonts w:ascii="Times New Roman" w:eastAsia="Times New Roman" w:hAnsi="Times New Roman" w:cs="Times New Roman"/>
                <w:sz w:val="24"/>
                <w:szCs w:val="24"/>
              </w:rPr>
              <w:t xml:space="preserve"> spēku, </w:t>
            </w:r>
            <w:r w:rsidR="00C90759" w:rsidRPr="00964F93">
              <w:rPr>
                <w:rFonts w:ascii="Times New Roman" w:eastAsia="Times New Roman" w:hAnsi="Times New Roman" w:cs="Times New Roman"/>
                <w:sz w:val="24"/>
                <w:szCs w:val="24"/>
                <w:shd w:val="clear" w:color="auto" w:fill="FFFFFF"/>
              </w:rPr>
              <w:t xml:space="preserve">sagatavots jauns Ministru kabineta noteikumu projekts </w:t>
            </w:r>
            <w:r w:rsidR="00C90759" w:rsidRPr="00964F93">
              <w:rPr>
                <w:rFonts w:ascii="Times New Roman" w:eastAsia="Times New Roman" w:hAnsi="Times New Roman" w:cs="Times New Roman"/>
                <w:sz w:val="24"/>
                <w:szCs w:val="24"/>
                <w:lang w:eastAsia="lv-LV"/>
              </w:rPr>
              <w:t>"Prekursoru operatoru un prekursoru lietotāju reģistrēšanas un licencēšanas kārtība" (turpmāk – Noteikumu projekts).</w:t>
            </w:r>
          </w:p>
          <w:p w14:paraId="5C89AAEC" w14:textId="77777777" w:rsidR="00EC654C" w:rsidRPr="00964AEF" w:rsidRDefault="00EC654C" w:rsidP="00C90759">
            <w:pPr>
              <w:tabs>
                <w:tab w:val="left" w:pos="540"/>
              </w:tabs>
              <w:spacing w:after="0"/>
              <w:jc w:val="both"/>
              <w:rPr>
                <w:rFonts w:ascii="Times New Roman" w:eastAsia="Times New Roman" w:hAnsi="Times New Roman" w:cs="Times New Roman"/>
                <w:sz w:val="24"/>
                <w:szCs w:val="24"/>
              </w:rPr>
            </w:pPr>
          </w:p>
          <w:p w14:paraId="216AA91E" w14:textId="4B21296C" w:rsidR="009E5298" w:rsidRPr="00964AEF" w:rsidRDefault="009E5298" w:rsidP="00EC654C">
            <w:pPr>
              <w:shd w:val="clear" w:color="auto" w:fill="FFFFFF"/>
              <w:spacing w:after="0"/>
              <w:ind w:firstLine="503"/>
              <w:jc w:val="both"/>
              <w:rPr>
                <w:rFonts w:ascii="Times New Roman" w:eastAsia="Times New Roman" w:hAnsi="Times New Roman" w:cs="Times New Roman"/>
                <w:sz w:val="24"/>
                <w:szCs w:val="24"/>
              </w:rPr>
            </w:pPr>
            <w:r w:rsidRPr="00964AEF">
              <w:rPr>
                <w:rFonts w:ascii="Times New Roman" w:eastAsia="Times New Roman" w:hAnsi="Times New Roman" w:cs="Times New Roman"/>
                <w:sz w:val="24"/>
                <w:szCs w:val="24"/>
              </w:rPr>
              <w:t xml:space="preserve">Noteikumu projekts virzāms izskatīšanai Ministru kabinetā pēc likumprojekta </w:t>
            </w:r>
            <w:r w:rsidR="00314042" w:rsidRPr="00964F93">
              <w:rPr>
                <w:rFonts w:ascii="Times New Roman" w:eastAsia="Times New Roman" w:hAnsi="Times New Roman" w:cs="Times New Roman"/>
                <w:sz w:val="24"/>
                <w:szCs w:val="24"/>
                <w:lang w:eastAsia="lv-LV"/>
              </w:rPr>
              <w:t>"</w:t>
            </w:r>
            <w:r w:rsidRPr="00964AEF">
              <w:rPr>
                <w:rFonts w:ascii="Times New Roman" w:eastAsia="Times New Roman" w:hAnsi="Times New Roman" w:cs="Times New Roman"/>
                <w:sz w:val="24"/>
                <w:szCs w:val="24"/>
              </w:rPr>
              <w:t>Grozījumi Narkotisko un psihotropo vielu un zāļu, kā arī prekursoru likumīgās aprites likumā</w:t>
            </w:r>
            <w:r w:rsidR="00314042" w:rsidRPr="00964F93">
              <w:rPr>
                <w:rFonts w:ascii="Times New Roman" w:eastAsia="Times New Roman" w:hAnsi="Times New Roman" w:cs="Times New Roman"/>
                <w:sz w:val="24"/>
                <w:szCs w:val="24"/>
                <w:lang w:eastAsia="lv-LV"/>
              </w:rPr>
              <w:t>"</w:t>
            </w:r>
            <w:r w:rsidRPr="00964AEF">
              <w:rPr>
                <w:rFonts w:ascii="Times New Roman" w:eastAsia="Times New Roman" w:hAnsi="Times New Roman" w:cs="Times New Roman"/>
                <w:sz w:val="24"/>
                <w:szCs w:val="24"/>
              </w:rPr>
              <w:t xml:space="preserve"> (likumprojekts Nr. 885/Lp13) pieņemšanas Saeimā.</w:t>
            </w:r>
          </w:p>
          <w:p w14:paraId="7FF40BFE" w14:textId="01ACE6A3" w:rsidR="00CC6908" w:rsidRPr="00964AEF" w:rsidRDefault="00CC6908" w:rsidP="00D01D4F">
            <w:pPr>
              <w:spacing w:after="0" w:line="240" w:lineRule="auto"/>
              <w:jc w:val="both"/>
              <w:rPr>
                <w:rFonts w:ascii="Times New Roman" w:eastAsia="Times New Roman" w:hAnsi="Times New Roman" w:cs="Times New Roman"/>
                <w:iCs/>
                <w:sz w:val="24"/>
                <w:szCs w:val="24"/>
                <w:lang w:eastAsia="lv-LV"/>
              </w:rPr>
            </w:pPr>
          </w:p>
        </w:tc>
      </w:tr>
      <w:tr w:rsidR="00E5323B" w:rsidRPr="00964AEF" w14:paraId="7B49F4E4" w14:textId="77777777" w:rsidTr="00E5323B">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14:paraId="0D39BE66" w14:textId="09335C1A" w:rsidR="00655F2C" w:rsidRPr="00964AEF" w:rsidRDefault="00E5323B" w:rsidP="00E5323B">
            <w:pPr>
              <w:spacing w:after="0" w:line="240" w:lineRule="auto"/>
              <w:rPr>
                <w:rFonts w:ascii="Times New Roman" w:eastAsia="Times New Roman" w:hAnsi="Times New Roman" w:cs="Times New Roman"/>
                <w:b/>
                <w:bCs/>
                <w:iCs/>
                <w:sz w:val="24"/>
                <w:szCs w:val="24"/>
                <w:lang w:eastAsia="lv-LV"/>
              </w:rPr>
            </w:pPr>
            <w:r w:rsidRPr="00964AEF">
              <w:rPr>
                <w:rFonts w:ascii="Times New Roman" w:eastAsia="Times New Roman" w:hAnsi="Times New Roman" w:cs="Times New Roman"/>
                <w:iCs/>
                <w:sz w:val="24"/>
                <w:szCs w:val="24"/>
                <w:lang w:eastAsia="lv-LV"/>
              </w:rPr>
              <w:lastRenderedPageBreak/>
              <w:t xml:space="preserve">  </w:t>
            </w:r>
            <w:r w:rsidRPr="00964AEF">
              <w:rPr>
                <w:rFonts w:ascii="Times New Roman" w:eastAsia="Times New Roman" w:hAnsi="Times New Roman" w:cs="Times New Roman"/>
                <w:b/>
                <w:bCs/>
                <w:iCs/>
                <w:sz w:val="24"/>
                <w:szCs w:val="24"/>
                <w:lang w:eastAsia="lv-LV"/>
              </w:rPr>
              <w:t>I. Tiesību akta projekta izstrādes nepieciešamība</w:t>
            </w:r>
          </w:p>
        </w:tc>
      </w:tr>
      <w:tr w:rsidR="00E5323B" w:rsidRPr="00964AEF" w14:paraId="2D6BFAB9" w14:textId="77777777" w:rsidTr="000547C8">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5F44C49D" w14:textId="77777777" w:rsidR="00655F2C"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w:t>
            </w:r>
          </w:p>
        </w:tc>
        <w:tc>
          <w:tcPr>
            <w:tcW w:w="1871" w:type="pct"/>
            <w:gridSpan w:val="11"/>
            <w:tcBorders>
              <w:top w:val="outset" w:sz="6" w:space="0" w:color="auto"/>
              <w:left w:val="outset" w:sz="6" w:space="0" w:color="auto"/>
              <w:bottom w:val="outset" w:sz="6" w:space="0" w:color="auto"/>
              <w:right w:val="outset" w:sz="6" w:space="0" w:color="auto"/>
            </w:tcBorders>
            <w:hideMark/>
          </w:tcPr>
          <w:p w14:paraId="6C37A98D" w14:textId="77777777" w:rsidR="00E5323B"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Pamatojums</w:t>
            </w:r>
          </w:p>
        </w:tc>
        <w:tc>
          <w:tcPr>
            <w:tcW w:w="2799" w:type="pct"/>
            <w:gridSpan w:val="2"/>
            <w:tcBorders>
              <w:top w:val="outset" w:sz="6" w:space="0" w:color="auto"/>
              <w:left w:val="outset" w:sz="6" w:space="0" w:color="auto"/>
              <w:bottom w:val="outset" w:sz="6" w:space="0" w:color="auto"/>
              <w:right w:val="outset" w:sz="6" w:space="0" w:color="auto"/>
            </w:tcBorders>
          </w:tcPr>
          <w:p w14:paraId="3DE04985" w14:textId="491612A6" w:rsidR="009E5298" w:rsidRPr="00964AEF" w:rsidRDefault="009E5298" w:rsidP="009E5298">
            <w:pPr>
              <w:spacing w:after="0"/>
              <w:jc w:val="both"/>
              <w:rPr>
                <w:rFonts w:ascii="Times New Roman" w:eastAsia="Times New Roman" w:hAnsi="Times New Roman" w:cs="Times New Roman"/>
                <w:sz w:val="24"/>
                <w:szCs w:val="24"/>
              </w:rPr>
            </w:pPr>
            <w:r w:rsidRPr="00964AEF">
              <w:rPr>
                <w:rFonts w:ascii="Times New Roman" w:eastAsia="Times New Roman" w:hAnsi="Times New Roman" w:cs="Times New Roman"/>
                <w:iCs/>
                <w:sz w:val="24"/>
                <w:szCs w:val="24"/>
                <w:lang w:eastAsia="lv-LV"/>
              </w:rPr>
              <w:t xml:space="preserve">1. Narkotisko un psihotropo, kā arī prekursoru likumīgās aprites likuma </w:t>
            </w:r>
            <w:r w:rsidRPr="00964AEF">
              <w:rPr>
                <w:rFonts w:ascii="Times New Roman" w:eastAsia="Times New Roman" w:hAnsi="Times New Roman" w:cs="Times New Roman"/>
                <w:sz w:val="24"/>
                <w:szCs w:val="24"/>
              </w:rPr>
              <w:t>42.</w:t>
            </w:r>
            <w:r w:rsidRPr="00964AEF">
              <w:rPr>
                <w:rFonts w:ascii="Times New Roman" w:eastAsia="Times New Roman" w:hAnsi="Times New Roman" w:cs="Times New Roman"/>
                <w:sz w:val="24"/>
                <w:szCs w:val="24"/>
                <w:vertAlign w:val="superscript"/>
              </w:rPr>
              <w:t>1</w:t>
            </w:r>
            <w:r w:rsidRPr="00964AEF">
              <w:rPr>
                <w:rFonts w:ascii="Times New Roman" w:eastAsia="Times New Roman" w:hAnsi="Times New Roman" w:cs="Times New Roman"/>
                <w:sz w:val="24"/>
                <w:szCs w:val="24"/>
              </w:rPr>
              <w:t xml:space="preserve"> panta pirmās daļas 2. apakšpunkts un </w:t>
            </w:r>
            <w:r w:rsidRPr="00964AEF">
              <w:rPr>
                <w:rFonts w:ascii="Times New Roman" w:eastAsia="Times New Roman" w:hAnsi="Times New Roman" w:cs="Times New Roman"/>
                <w:sz w:val="24"/>
                <w:szCs w:val="24"/>
                <w:bdr w:val="none" w:sz="0" w:space="0" w:color="auto" w:frame="1"/>
              </w:rPr>
              <w:t>42.</w:t>
            </w:r>
            <w:r w:rsidRPr="00964AEF">
              <w:rPr>
                <w:rFonts w:ascii="Times New Roman" w:eastAsia="Times New Roman" w:hAnsi="Times New Roman" w:cs="Times New Roman"/>
                <w:sz w:val="24"/>
                <w:szCs w:val="24"/>
                <w:bdr w:val="none" w:sz="0" w:space="0" w:color="auto" w:frame="1"/>
                <w:vertAlign w:val="superscript"/>
              </w:rPr>
              <w:t>2</w:t>
            </w:r>
            <w:r w:rsidRPr="00964AEF">
              <w:rPr>
                <w:rFonts w:ascii="Times New Roman" w:eastAsia="Times New Roman" w:hAnsi="Times New Roman" w:cs="Times New Roman"/>
                <w:sz w:val="24"/>
                <w:szCs w:val="24"/>
                <w:bdr w:val="none" w:sz="0" w:space="0" w:color="auto" w:frame="1"/>
              </w:rPr>
              <w:t xml:space="preserve"> panta otro daļa</w:t>
            </w:r>
            <w:r w:rsidRPr="00964AEF">
              <w:rPr>
                <w:rFonts w:ascii="Times New Roman" w:eastAsia="Times New Roman" w:hAnsi="Times New Roman" w:cs="Times New Roman"/>
                <w:iCs/>
                <w:sz w:val="24"/>
                <w:szCs w:val="24"/>
                <w:lang w:eastAsia="lv-LV"/>
              </w:rPr>
              <w:t xml:space="preserve"> (likumprojekts “</w:t>
            </w:r>
            <w:r w:rsidRPr="00964AEF">
              <w:rPr>
                <w:rFonts w:ascii="Times New Roman" w:eastAsia="Times New Roman" w:hAnsi="Times New Roman" w:cs="Times New Roman"/>
                <w:sz w:val="24"/>
                <w:szCs w:val="24"/>
              </w:rPr>
              <w:t>Grozījumi Narkotisko un psihotropo vielu un zāļu, kā arī prekursoru likumīgās aprites likumā”, Saeimas likumprojektu reģistra Nr. 885/Lp13).</w:t>
            </w:r>
          </w:p>
          <w:p w14:paraId="6ED64A36" w14:textId="332F9476" w:rsidR="00D01D4F" w:rsidRPr="00964AEF" w:rsidRDefault="00D01D4F" w:rsidP="009E5298">
            <w:pPr>
              <w:spacing w:after="0"/>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sz w:val="24"/>
                <w:szCs w:val="24"/>
              </w:rPr>
              <w:t>2. Ministru prezidenta 2021. gada 21. maija rezolūcija Nr. 12/2021-JUR-98.</w:t>
            </w:r>
          </w:p>
          <w:p w14:paraId="2E70835B" w14:textId="39CF5046" w:rsidR="00CC6908" w:rsidRPr="00964AEF" w:rsidRDefault="00D01D4F" w:rsidP="009E5298">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w:t>
            </w:r>
            <w:r w:rsidR="009E5298" w:rsidRPr="00964AEF">
              <w:rPr>
                <w:rFonts w:ascii="Times New Roman" w:eastAsia="Times New Roman" w:hAnsi="Times New Roman" w:cs="Times New Roman"/>
                <w:iCs/>
                <w:sz w:val="24"/>
                <w:szCs w:val="24"/>
                <w:lang w:eastAsia="lv-LV"/>
              </w:rPr>
              <w:t>. Veselības ministrijas iniciatīva.</w:t>
            </w:r>
          </w:p>
        </w:tc>
      </w:tr>
      <w:tr w:rsidR="00CD486E" w:rsidRPr="00964AEF" w14:paraId="74D28A23" w14:textId="77777777" w:rsidTr="000547C8">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227E5BAF" w14:textId="77777777" w:rsidR="00CD486E" w:rsidRPr="00964AEF" w:rsidRDefault="00CD486E" w:rsidP="00CD486E">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w:t>
            </w:r>
          </w:p>
        </w:tc>
        <w:tc>
          <w:tcPr>
            <w:tcW w:w="1871" w:type="pct"/>
            <w:gridSpan w:val="11"/>
            <w:tcBorders>
              <w:top w:val="outset" w:sz="6" w:space="0" w:color="auto"/>
              <w:left w:val="outset" w:sz="6" w:space="0" w:color="auto"/>
              <w:bottom w:val="outset" w:sz="6" w:space="0" w:color="auto"/>
              <w:right w:val="outset" w:sz="6" w:space="0" w:color="auto"/>
            </w:tcBorders>
            <w:hideMark/>
          </w:tcPr>
          <w:p w14:paraId="648FFF32" w14:textId="77777777" w:rsidR="00824264" w:rsidRPr="00964AEF" w:rsidRDefault="00CD486E" w:rsidP="00CD486E">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33E0AF8" w14:textId="77777777" w:rsidR="00824264" w:rsidRPr="00964AEF" w:rsidRDefault="00824264" w:rsidP="00824264">
            <w:pPr>
              <w:rPr>
                <w:rFonts w:ascii="Times New Roman" w:eastAsia="Times New Roman" w:hAnsi="Times New Roman" w:cs="Times New Roman"/>
                <w:sz w:val="24"/>
                <w:szCs w:val="24"/>
                <w:lang w:eastAsia="lv-LV"/>
              </w:rPr>
            </w:pPr>
          </w:p>
          <w:p w14:paraId="7E376B7C" w14:textId="77777777" w:rsidR="00824264" w:rsidRPr="00964AEF" w:rsidRDefault="00824264" w:rsidP="00824264">
            <w:pPr>
              <w:rPr>
                <w:rFonts w:ascii="Times New Roman" w:eastAsia="Times New Roman" w:hAnsi="Times New Roman" w:cs="Times New Roman"/>
                <w:sz w:val="24"/>
                <w:szCs w:val="24"/>
                <w:lang w:eastAsia="lv-LV"/>
              </w:rPr>
            </w:pPr>
          </w:p>
          <w:p w14:paraId="2F237860" w14:textId="77777777" w:rsidR="00824264" w:rsidRPr="00964AEF" w:rsidRDefault="00824264" w:rsidP="00824264">
            <w:pPr>
              <w:rPr>
                <w:rFonts w:ascii="Times New Roman" w:eastAsia="Times New Roman" w:hAnsi="Times New Roman" w:cs="Times New Roman"/>
                <w:sz w:val="24"/>
                <w:szCs w:val="24"/>
                <w:lang w:eastAsia="lv-LV"/>
              </w:rPr>
            </w:pPr>
          </w:p>
          <w:p w14:paraId="7ECDBCE2" w14:textId="77777777" w:rsidR="00824264" w:rsidRPr="00964AEF" w:rsidRDefault="00824264" w:rsidP="00824264">
            <w:pPr>
              <w:rPr>
                <w:rFonts w:ascii="Times New Roman" w:eastAsia="Times New Roman" w:hAnsi="Times New Roman" w:cs="Times New Roman"/>
                <w:sz w:val="24"/>
                <w:szCs w:val="24"/>
                <w:lang w:eastAsia="lv-LV"/>
              </w:rPr>
            </w:pPr>
          </w:p>
          <w:p w14:paraId="35D42B47" w14:textId="77777777" w:rsidR="00824264" w:rsidRPr="00964AEF" w:rsidRDefault="00824264" w:rsidP="00824264">
            <w:pPr>
              <w:rPr>
                <w:rFonts w:ascii="Times New Roman" w:eastAsia="Times New Roman" w:hAnsi="Times New Roman" w:cs="Times New Roman"/>
                <w:sz w:val="24"/>
                <w:szCs w:val="24"/>
                <w:lang w:eastAsia="lv-LV"/>
              </w:rPr>
            </w:pPr>
          </w:p>
          <w:p w14:paraId="278D2254" w14:textId="77777777" w:rsidR="00824264" w:rsidRPr="00964AEF" w:rsidRDefault="00824264" w:rsidP="00824264">
            <w:pPr>
              <w:rPr>
                <w:rFonts w:ascii="Times New Roman" w:eastAsia="Times New Roman" w:hAnsi="Times New Roman" w:cs="Times New Roman"/>
                <w:sz w:val="24"/>
                <w:szCs w:val="24"/>
                <w:lang w:eastAsia="lv-LV"/>
              </w:rPr>
            </w:pPr>
          </w:p>
          <w:p w14:paraId="6C6ABAB1" w14:textId="77777777" w:rsidR="00824264" w:rsidRPr="00964AEF" w:rsidRDefault="00824264" w:rsidP="00824264">
            <w:pPr>
              <w:rPr>
                <w:rFonts w:ascii="Times New Roman" w:eastAsia="Times New Roman" w:hAnsi="Times New Roman" w:cs="Times New Roman"/>
                <w:sz w:val="24"/>
                <w:szCs w:val="24"/>
                <w:lang w:eastAsia="lv-LV"/>
              </w:rPr>
            </w:pPr>
          </w:p>
          <w:p w14:paraId="558911C2" w14:textId="77777777" w:rsidR="00824264" w:rsidRPr="00964AEF" w:rsidRDefault="00824264" w:rsidP="00824264">
            <w:pPr>
              <w:rPr>
                <w:rFonts w:ascii="Times New Roman" w:eastAsia="Times New Roman" w:hAnsi="Times New Roman" w:cs="Times New Roman"/>
                <w:sz w:val="24"/>
                <w:szCs w:val="24"/>
                <w:lang w:eastAsia="lv-LV"/>
              </w:rPr>
            </w:pPr>
          </w:p>
          <w:p w14:paraId="067B2A41" w14:textId="77777777" w:rsidR="00824264" w:rsidRPr="00964AEF" w:rsidRDefault="00824264" w:rsidP="00824264">
            <w:pPr>
              <w:rPr>
                <w:rFonts w:ascii="Times New Roman" w:eastAsia="Times New Roman" w:hAnsi="Times New Roman" w:cs="Times New Roman"/>
                <w:sz w:val="24"/>
                <w:szCs w:val="24"/>
                <w:lang w:eastAsia="lv-LV"/>
              </w:rPr>
            </w:pPr>
          </w:p>
          <w:p w14:paraId="3E10ACDF" w14:textId="77777777" w:rsidR="00824264" w:rsidRPr="00964AEF" w:rsidRDefault="00824264" w:rsidP="00824264">
            <w:pPr>
              <w:rPr>
                <w:rFonts w:ascii="Times New Roman" w:eastAsia="Times New Roman" w:hAnsi="Times New Roman" w:cs="Times New Roman"/>
                <w:sz w:val="24"/>
                <w:szCs w:val="24"/>
                <w:lang w:eastAsia="lv-LV"/>
              </w:rPr>
            </w:pPr>
          </w:p>
          <w:p w14:paraId="20C4B5C3" w14:textId="77777777" w:rsidR="00824264" w:rsidRPr="00964AEF" w:rsidRDefault="00824264" w:rsidP="00824264">
            <w:pPr>
              <w:rPr>
                <w:rFonts w:ascii="Times New Roman" w:eastAsia="Times New Roman" w:hAnsi="Times New Roman" w:cs="Times New Roman"/>
                <w:sz w:val="24"/>
                <w:szCs w:val="24"/>
                <w:lang w:eastAsia="lv-LV"/>
              </w:rPr>
            </w:pPr>
          </w:p>
          <w:p w14:paraId="357DD002" w14:textId="77777777" w:rsidR="00CD486E" w:rsidRPr="00964AEF" w:rsidRDefault="00CD486E" w:rsidP="00824264">
            <w:pPr>
              <w:ind w:firstLine="720"/>
              <w:rPr>
                <w:rFonts w:ascii="Times New Roman" w:eastAsia="Times New Roman" w:hAnsi="Times New Roman" w:cs="Times New Roman"/>
                <w:sz w:val="24"/>
                <w:szCs w:val="24"/>
                <w:lang w:eastAsia="lv-LV"/>
              </w:rPr>
            </w:pPr>
          </w:p>
        </w:tc>
        <w:tc>
          <w:tcPr>
            <w:tcW w:w="2799" w:type="pct"/>
            <w:gridSpan w:val="2"/>
            <w:tcBorders>
              <w:top w:val="outset" w:sz="6" w:space="0" w:color="auto"/>
              <w:left w:val="outset" w:sz="6" w:space="0" w:color="auto"/>
              <w:bottom w:val="outset" w:sz="6" w:space="0" w:color="auto"/>
              <w:right w:val="outset" w:sz="6" w:space="0" w:color="auto"/>
            </w:tcBorders>
          </w:tcPr>
          <w:p w14:paraId="678A16D5" w14:textId="7CE6A5BF" w:rsidR="00FF7B11" w:rsidRPr="00964AEF" w:rsidRDefault="009E5298" w:rsidP="007A0BDC">
            <w:pPr>
              <w:spacing w:after="0" w:line="240" w:lineRule="auto"/>
              <w:ind w:firstLine="663"/>
              <w:jc w:val="both"/>
              <w:rPr>
                <w:rFonts w:ascii="Times New Roman" w:eastAsia="Times New Roman" w:hAnsi="Times New Roman" w:cs="Times New Roman"/>
                <w:sz w:val="24"/>
                <w:szCs w:val="24"/>
              </w:rPr>
            </w:pPr>
            <w:r w:rsidRPr="00964AEF">
              <w:rPr>
                <w:rFonts w:ascii="Times New Roman" w:eastAsia="Times New Roman" w:hAnsi="Times New Roman" w:cs="Times New Roman"/>
                <w:sz w:val="24"/>
                <w:szCs w:val="24"/>
              </w:rPr>
              <w:t>Ņemot vērā Saeimā izskat</w:t>
            </w:r>
            <w:r w:rsidR="00EC654C" w:rsidRPr="00964AEF">
              <w:rPr>
                <w:rFonts w:ascii="Times New Roman" w:eastAsia="Times New Roman" w:hAnsi="Times New Roman" w:cs="Times New Roman"/>
                <w:sz w:val="24"/>
                <w:szCs w:val="24"/>
              </w:rPr>
              <w:t>īto</w:t>
            </w:r>
            <w:r w:rsidRPr="00964AEF">
              <w:rPr>
                <w:rFonts w:ascii="Times New Roman" w:eastAsia="Times New Roman" w:hAnsi="Times New Roman" w:cs="Times New Roman"/>
                <w:sz w:val="24"/>
                <w:szCs w:val="24"/>
              </w:rPr>
              <w:t xml:space="preserve"> likumprojektu   </w:t>
            </w:r>
            <w:r w:rsidR="00314042" w:rsidRPr="00964F93">
              <w:rPr>
                <w:rFonts w:ascii="Times New Roman" w:eastAsia="Times New Roman" w:hAnsi="Times New Roman" w:cs="Times New Roman"/>
                <w:sz w:val="24"/>
                <w:szCs w:val="24"/>
                <w:lang w:eastAsia="lv-LV"/>
              </w:rPr>
              <w:t>"</w:t>
            </w:r>
            <w:r w:rsidRPr="00964AEF">
              <w:rPr>
                <w:rFonts w:ascii="Times New Roman" w:eastAsia="Times New Roman" w:hAnsi="Times New Roman" w:cs="Times New Roman"/>
                <w:sz w:val="24"/>
                <w:szCs w:val="24"/>
              </w:rPr>
              <w:t>Grozījumi Narkotisko un psihotropo vielu un zāļu, kā arī prekursoru likumīgās aprites likumā</w:t>
            </w:r>
            <w:r w:rsidR="00314042" w:rsidRPr="00964F93">
              <w:rPr>
                <w:rFonts w:ascii="Times New Roman" w:eastAsia="Times New Roman" w:hAnsi="Times New Roman" w:cs="Times New Roman"/>
                <w:sz w:val="24"/>
                <w:szCs w:val="24"/>
                <w:lang w:eastAsia="lv-LV"/>
              </w:rPr>
              <w:t>"</w:t>
            </w:r>
            <w:r w:rsidRPr="00964AEF">
              <w:rPr>
                <w:rFonts w:ascii="Times New Roman" w:eastAsia="Times New Roman" w:hAnsi="Times New Roman" w:cs="Times New Roman"/>
                <w:sz w:val="24"/>
                <w:szCs w:val="24"/>
              </w:rPr>
              <w:t xml:space="preserve">, kas paredz jaunā redakcijā izteikt pilnvarojumu Ministru kabinetam noteikumu izdošanai, ir nepieciešams izdot no jauna arī uz šī pilnvarojuma pamata </w:t>
            </w:r>
            <w:r w:rsidR="00C90759" w:rsidRPr="00964AEF">
              <w:rPr>
                <w:rFonts w:ascii="Times New Roman" w:eastAsia="Times New Roman" w:hAnsi="Times New Roman" w:cs="Times New Roman"/>
                <w:sz w:val="24"/>
                <w:szCs w:val="24"/>
              </w:rPr>
              <w:t>Noteikumus Nr. 147</w:t>
            </w:r>
            <w:r w:rsidRPr="00964AEF">
              <w:rPr>
                <w:rFonts w:ascii="Times New Roman" w:eastAsia="Times New Roman" w:hAnsi="Times New Roman" w:cs="Times New Roman"/>
                <w:sz w:val="24"/>
                <w:szCs w:val="24"/>
              </w:rPr>
              <w:t>.  Kā to nosaka Oficiālo publikāciju un tiesiskās informācijas likuma 9. panta piektā daļa – ja spēku zaudē normatīvā akta izdošanas tiesiskais pamats (augstāka juridiska spēka tiesību norma, uz kuras pamata izdots cits normatīvais akts), tad spēku zaudē arī uz šā pamata izdotais normatīvais akts vai tā daļa. Tādējādi, lai aizstātu Noteikumus Nr. 147 atbilstoši Narkotisko un psihotropo vielu un zāļu, kā arī prekursoru likumīgās aprites likuma deleģējum</w:t>
            </w:r>
            <w:r w:rsidR="00C90759" w:rsidRPr="00964AEF">
              <w:rPr>
                <w:rFonts w:ascii="Times New Roman" w:eastAsia="Times New Roman" w:hAnsi="Times New Roman" w:cs="Times New Roman"/>
                <w:sz w:val="24"/>
                <w:szCs w:val="24"/>
              </w:rPr>
              <w:t>a</w:t>
            </w:r>
            <w:r w:rsidRPr="00964AEF">
              <w:rPr>
                <w:rFonts w:ascii="Times New Roman" w:eastAsia="Times New Roman" w:hAnsi="Times New Roman" w:cs="Times New Roman"/>
                <w:sz w:val="24"/>
                <w:szCs w:val="24"/>
              </w:rPr>
              <w:t>m, Veselības ministrija ir sagatavojusi Noteikumu projektu, kur</w:t>
            </w:r>
            <w:r w:rsidR="00EC654C" w:rsidRPr="00964AEF">
              <w:rPr>
                <w:rFonts w:ascii="Times New Roman" w:eastAsia="Times New Roman" w:hAnsi="Times New Roman" w:cs="Times New Roman"/>
                <w:sz w:val="24"/>
                <w:szCs w:val="24"/>
              </w:rPr>
              <w:t>ā</w:t>
            </w:r>
            <w:r w:rsidRPr="00964AEF">
              <w:rPr>
                <w:rFonts w:ascii="Times New Roman" w:eastAsia="Times New Roman" w:hAnsi="Times New Roman" w:cs="Times New Roman"/>
                <w:sz w:val="24"/>
                <w:szCs w:val="24"/>
              </w:rPr>
              <w:t xml:space="preserve"> </w:t>
            </w:r>
            <w:r w:rsidRPr="00964AEF">
              <w:rPr>
                <w:rFonts w:ascii="Times New Roman" w:eastAsia="Calibri" w:hAnsi="Times New Roman" w:cs="Times New Roman"/>
                <w:sz w:val="24"/>
                <w:szCs w:val="24"/>
              </w:rPr>
              <w:t>pēc būtības ir pilnībā pārņemtas spēkā esošā redakcijas Noteikumos Nr. 147 noteiktās prasības un kārtība</w:t>
            </w:r>
            <w:r w:rsidRPr="00964AEF">
              <w:rPr>
                <w:rFonts w:ascii="Times New Roman" w:eastAsia="Times New Roman" w:hAnsi="Times New Roman" w:cs="Times New Roman"/>
                <w:sz w:val="24"/>
                <w:szCs w:val="24"/>
              </w:rPr>
              <w:t xml:space="preserve"> (pamatteksts tiek saglabāts nemainīgs), kā arī </w:t>
            </w:r>
            <w:r w:rsidRPr="00DA6AB4">
              <w:rPr>
                <w:rFonts w:ascii="Times New Roman" w:eastAsia="Times New Roman" w:hAnsi="Times New Roman" w:cs="Times New Roman"/>
                <w:sz w:val="24"/>
                <w:szCs w:val="24"/>
              </w:rPr>
              <w:t>Noteikumu projekt</w:t>
            </w:r>
            <w:r w:rsidR="00FF7B11" w:rsidRPr="00DA6AB4">
              <w:rPr>
                <w:rFonts w:ascii="Times New Roman" w:eastAsia="Times New Roman" w:hAnsi="Times New Roman" w:cs="Times New Roman"/>
                <w:sz w:val="24"/>
                <w:szCs w:val="24"/>
              </w:rPr>
              <w:t>s papildināts, ietverot</w:t>
            </w:r>
            <w:r w:rsidRPr="00DA6AB4">
              <w:rPr>
                <w:rFonts w:ascii="Times New Roman" w:eastAsia="Times New Roman" w:hAnsi="Times New Roman" w:cs="Times New Roman"/>
                <w:sz w:val="24"/>
                <w:szCs w:val="24"/>
              </w:rPr>
              <w:t xml:space="preserve"> </w:t>
            </w:r>
            <w:r w:rsidR="00083C77" w:rsidRPr="00DA6AB4">
              <w:rPr>
                <w:rFonts w:ascii="Times New Roman" w:eastAsia="Times New Roman" w:hAnsi="Times New Roman" w:cs="Times New Roman"/>
                <w:sz w:val="24"/>
                <w:szCs w:val="24"/>
              </w:rPr>
              <w:t xml:space="preserve">redakcionāli precizētas normas, </w:t>
            </w:r>
            <w:r w:rsidR="00EC3F7E" w:rsidRPr="00DA6AB4">
              <w:rPr>
                <w:rFonts w:ascii="Times New Roman" w:eastAsia="Times New Roman" w:hAnsi="Times New Roman" w:cs="Times New Roman"/>
                <w:sz w:val="24"/>
                <w:szCs w:val="24"/>
              </w:rPr>
              <w:t>kā arī, precizētas</w:t>
            </w:r>
            <w:r w:rsidR="00083C77" w:rsidRPr="00DA6AB4">
              <w:rPr>
                <w:rFonts w:ascii="Times New Roman" w:eastAsia="Times New Roman" w:hAnsi="Times New Roman" w:cs="Times New Roman"/>
                <w:sz w:val="24"/>
                <w:szCs w:val="24"/>
              </w:rPr>
              <w:t xml:space="preserve"> prasības, k</w:t>
            </w:r>
            <w:r w:rsidR="00EC3F7E" w:rsidRPr="00DA6AB4">
              <w:rPr>
                <w:rFonts w:ascii="Times New Roman" w:eastAsia="Times New Roman" w:hAnsi="Times New Roman" w:cs="Times New Roman"/>
                <w:sz w:val="24"/>
                <w:szCs w:val="24"/>
              </w:rPr>
              <w:t>as jāievēro</w:t>
            </w:r>
            <w:r w:rsidR="00083C77" w:rsidRPr="00DA6AB4">
              <w:rPr>
                <w:rFonts w:ascii="Times New Roman" w:eastAsia="Times New Roman" w:hAnsi="Times New Roman" w:cs="Times New Roman"/>
                <w:sz w:val="24"/>
                <w:szCs w:val="24"/>
              </w:rPr>
              <w:t xml:space="preserve"> personām, kuras vēlas reģistrēties darbībām ar 3. kategorijas prekursoriem</w:t>
            </w:r>
            <w:r w:rsidR="00EC3F7E" w:rsidRPr="00DA6AB4">
              <w:rPr>
                <w:rFonts w:ascii="Times New Roman" w:eastAsia="Times New Roman" w:hAnsi="Times New Roman" w:cs="Times New Roman"/>
                <w:sz w:val="24"/>
                <w:szCs w:val="24"/>
              </w:rPr>
              <w:t>, prasības iesnieguma izskatīšanai Zāļu valsts aģentūrā un Zāļu valsts aģentūras pieņemtā lēmuma izsniegšanas kārtībai</w:t>
            </w:r>
            <w:r w:rsidR="00EC3F7E">
              <w:rPr>
                <w:rFonts w:ascii="Times New Roman" w:eastAsia="Times New Roman" w:hAnsi="Times New Roman" w:cs="Times New Roman"/>
                <w:sz w:val="24"/>
                <w:szCs w:val="24"/>
              </w:rPr>
              <w:t>, kā arī Noteikumu projektā ietverta</w:t>
            </w:r>
            <w:r w:rsidR="00083C77">
              <w:rPr>
                <w:rFonts w:ascii="Times New Roman" w:eastAsia="Times New Roman" w:hAnsi="Times New Roman" w:cs="Times New Roman"/>
                <w:sz w:val="24"/>
                <w:szCs w:val="24"/>
              </w:rPr>
              <w:t xml:space="preserve"> </w:t>
            </w:r>
            <w:r w:rsidRPr="00964AEF">
              <w:rPr>
                <w:rFonts w:ascii="Times New Roman" w:eastAsia="Times New Roman" w:hAnsi="Times New Roman" w:cs="Times New Roman"/>
                <w:sz w:val="24"/>
                <w:szCs w:val="24"/>
              </w:rPr>
              <w:t>atsevišķ</w:t>
            </w:r>
            <w:r w:rsidR="00EC3F7E">
              <w:rPr>
                <w:rFonts w:ascii="Times New Roman" w:eastAsia="Times New Roman" w:hAnsi="Times New Roman" w:cs="Times New Roman"/>
                <w:sz w:val="24"/>
                <w:szCs w:val="24"/>
              </w:rPr>
              <w:t>a</w:t>
            </w:r>
            <w:r w:rsidRPr="00964AEF">
              <w:rPr>
                <w:rFonts w:ascii="Times New Roman" w:eastAsia="Times New Roman" w:hAnsi="Times New Roman" w:cs="Times New Roman"/>
                <w:sz w:val="24"/>
                <w:szCs w:val="24"/>
              </w:rPr>
              <w:t xml:space="preserve"> sadaļ</w:t>
            </w:r>
            <w:r w:rsidR="00EC3F7E">
              <w:rPr>
                <w:rFonts w:ascii="Times New Roman" w:eastAsia="Times New Roman" w:hAnsi="Times New Roman" w:cs="Times New Roman"/>
                <w:sz w:val="24"/>
                <w:szCs w:val="24"/>
              </w:rPr>
              <w:t>a</w:t>
            </w:r>
            <w:r w:rsidRPr="00964AEF">
              <w:rPr>
                <w:rFonts w:ascii="Times New Roman" w:eastAsia="Times New Roman" w:hAnsi="Times New Roman" w:cs="Times New Roman"/>
                <w:sz w:val="24"/>
                <w:szCs w:val="24"/>
              </w:rPr>
              <w:t xml:space="preserve"> ,,Noslēguma jautājumi”. </w:t>
            </w:r>
          </w:p>
          <w:p w14:paraId="35540411" w14:textId="36BF64C8" w:rsidR="009E5298" w:rsidRPr="00CF68E4" w:rsidRDefault="009E5298" w:rsidP="007A0BDC">
            <w:pPr>
              <w:spacing w:after="0" w:line="240" w:lineRule="auto"/>
              <w:ind w:firstLine="663"/>
              <w:jc w:val="both"/>
              <w:rPr>
                <w:rFonts w:ascii="Times New Roman" w:eastAsia="Times New Roman" w:hAnsi="Times New Roman" w:cs="Times New Roman"/>
                <w:sz w:val="24"/>
                <w:szCs w:val="24"/>
              </w:rPr>
            </w:pPr>
            <w:r w:rsidRPr="00CF68E4">
              <w:rPr>
                <w:rFonts w:ascii="Times New Roman" w:eastAsia="Times New Roman" w:hAnsi="Times New Roman" w:cs="Times New Roman"/>
                <w:sz w:val="24"/>
                <w:szCs w:val="24"/>
              </w:rPr>
              <w:t>Stājoties spēkā Noteikumu projektam, Noteikumi Nr. 147 zaudēs spēku.</w:t>
            </w:r>
          </w:p>
          <w:p w14:paraId="2A302B7B" w14:textId="77777777" w:rsidR="00D01D4F" w:rsidRPr="00964AEF" w:rsidRDefault="00D01D4F" w:rsidP="009E5298">
            <w:pPr>
              <w:spacing w:after="120"/>
              <w:jc w:val="both"/>
              <w:rPr>
                <w:rFonts w:ascii="Times New Roman" w:eastAsia="Times New Roman" w:hAnsi="Times New Roman" w:cs="Times New Roman"/>
                <w:sz w:val="24"/>
                <w:szCs w:val="24"/>
                <w:lang w:eastAsia="lv-LV"/>
              </w:rPr>
            </w:pPr>
          </w:p>
          <w:p w14:paraId="1D1D04CF" w14:textId="03AB2012" w:rsidR="00AD7797" w:rsidRPr="00964AEF" w:rsidRDefault="00D01D4F" w:rsidP="005417B7">
            <w:pPr>
              <w:shd w:val="clear" w:color="auto" w:fill="FFFFFF"/>
              <w:spacing w:after="0" w:line="240" w:lineRule="auto"/>
              <w:ind w:firstLine="665"/>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sz w:val="24"/>
                <w:szCs w:val="24"/>
              </w:rPr>
              <w:t xml:space="preserve">Noteikumu projekts sagatavots, lai noteiktu </w:t>
            </w:r>
            <w:r w:rsidRPr="00964AEF">
              <w:rPr>
                <w:rFonts w:ascii="Times New Roman" w:eastAsia="Times New Roman" w:hAnsi="Times New Roman" w:cs="Times New Roman"/>
                <w:iCs/>
                <w:sz w:val="24"/>
                <w:szCs w:val="24"/>
                <w:lang w:eastAsia="lv-LV"/>
              </w:rPr>
              <w:t>prekursoru operatoru un prekursoru lietotāju reģistrēšanas un licencēšanas kārtību tiktāl, cik to neregulē Komisijas 2015.</w:t>
            </w:r>
            <w:r w:rsidR="00083C77">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gada 24.</w:t>
            </w:r>
            <w:r w:rsidR="00083C77">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aprīļa deleģētā regula (ES) Nr.</w:t>
            </w:r>
            <w:r w:rsidR="00083C77">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2015/1011, ar kuru papildina Eiropas Parlamenta un Padomes Regulu (EK) Nr.</w:t>
            </w:r>
            <w:r w:rsidR="00083C77">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 xml:space="preserve">273/2004 par narkotisko vielu prekursoriem un </w:t>
            </w:r>
            <w:r w:rsidRPr="00964AEF">
              <w:rPr>
                <w:rFonts w:ascii="Times New Roman" w:eastAsia="Times New Roman" w:hAnsi="Times New Roman" w:cs="Times New Roman"/>
                <w:iCs/>
                <w:sz w:val="24"/>
                <w:szCs w:val="24"/>
                <w:lang w:eastAsia="lv-LV"/>
              </w:rPr>
              <w:lastRenderedPageBreak/>
              <w:t>Padomes Regulu (EK) Nr.</w:t>
            </w:r>
            <w:r w:rsidR="00083C77">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111/2005, ar ko paredz noteikumus par uzraudzību attiecībā uz narkotisko vielu prekursoru tirdzniecību starp Savienību un trešām valstīm, un ar kuru atceļ Komisijas Regulu (EK) Nr.</w:t>
            </w:r>
            <w:r w:rsidR="00083C77">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1277/2005 (turpmāk - regula Nr.</w:t>
            </w:r>
            <w:r w:rsidR="009B47A2">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2015/1011) un  Komisijas 2015.</w:t>
            </w:r>
            <w:r w:rsidR="00D86BE8"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gada 25.</w:t>
            </w:r>
            <w:r w:rsidR="00D86BE8"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jūnija deleģētā regula (ES) Nr.</w:t>
            </w:r>
            <w:r w:rsidR="00083C77">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2015/1013, ar ko paredz noteikumus attiecībā uz Eiropas Parlamenta un Padomes Regulu (EK) Nr. 273/2004 par narkotisko vielu prekursoriem un Padomes Regulu (EK) Nr. 111/2005, ar ko paredz noteikumus par uzraudzību attiecībā uz narkotisko vielu prekursoru tirdzniecības starp Savienību un trešām valstīm (turpmāk </w:t>
            </w:r>
            <w:r w:rsidR="00C90759" w:rsidRPr="00964AEF">
              <w:rPr>
                <w:rFonts w:ascii="Times New Roman" w:eastAsia="Times New Roman" w:hAnsi="Times New Roman" w:cs="Times New Roman"/>
                <w:iCs/>
                <w:sz w:val="24"/>
                <w:szCs w:val="24"/>
                <w:lang w:eastAsia="lv-LV"/>
              </w:rPr>
              <w:t>–</w:t>
            </w:r>
            <w:r w:rsidRPr="00964AEF">
              <w:rPr>
                <w:rFonts w:ascii="Times New Roman" w:eastAsia="Times New Roman" w:hAnsi="Times New Roman" w:cs="Times New Roman"/>
                <w:iCs/>
                <w:sz w:val="24"/>
                <w:szCs w:val="24"/>
                <w:lang w:eastAsia="lv-LV"/>
              </w:rPr>
              <w:t> regula Nr.</w:t>
            </w:r>
            <w:r w:rsidR="00D86BE8"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2015/1013), prasības prekursoru uzglabāšanai, kā arī kārtību, kādā prekursoru operatori sniedz Zāļu valsts aģentūrai (turpmāk - aģentūra) informāciju par saviem darījumiem ar prekursoriem, kā arī sniedzamās informācijas saturu.</w:t>
            </w:r>
          </w:p>
          <w:p w14:paraId="0228B33D" w14:textId="77777777" w:rsidR="00423A87" w:rsidRPr="00964AEF" w:rsidRDefault="00423A87" w:rsidP="00423A87">
            <w:pPr>
              <w:shd w:val="clear" w:color="auto" w:fill="FFFFFF"/>
              <w:spacing w:after="0"/>
              <w:ind w:firstLine="361"/>
              <w:jc w:val="both"/>
              <w:rPr>
                <w:rFonts w:ascii="Times New Roman" w:eastAsia="Times New Roman" w:hAnsi="Times New Roman" w:cs="Times New Roman"/>
                <w:iCs/>
                <w:sz w:val="24"/>
                <w:szCs w:val="24"/>
                <w:lang w:eastAsia="lv-LV"/>
              </w:rPr>
            </w:pPr>
          </w:p>
          <w:p w14:paraId="2DD0F411" w14:textId="42873BBF" w:rsidR="00F638A5" w:rsidRPr="00964AEF" w:rsidRDefault="00F638A5" w:rsidP="00AD0428">
            <w:pPr>
              <w:spacing w:after="0" w:line="240" w:lineRule="auto"/>
              <w:ind w:firstLine="665"/>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Prekursoru apriti Eiropas Savienībā Eiropas Parlamenta un Padomes 2004.</w:t>
            </w:r>
            <w:r w:rsidR="00D86BE8"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gada 11.</w:t>
            </w:r>
            <w:r w:rsidR="00D86BE8"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februāra Regula (EK) Nr.</w:t>
            </w:r>
            <w:r w:rsidR="00D86BE8"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273/2004 par narkotisko vielu prekursoriem (turpmāk – regula Nr.</w:t>
            </w:r>
            <w:r w:rsidR="00D86BE8"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273/2004) un Padomes 2004.</w:t>
            </w:r>
            <w:r w:rsidR="00D86BE8"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gada 22.</w:t>
            </w:r>
            <w:r w:rsidR="00D86BE8"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decembra Regula (EK) Nr.</w:t>
            </w:r>
            <w:r w:rsidR="00D86BE8"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111/2005, ar ko paredz noteikumus par uzraudzību attiecībā uz narkotisko vielu prekursoru tirdzniecību starp Kopienu un trešajām valstīm (turpmāk – regula Nr.</w:t>
            </w:r>
            <w:r w:rsidR="00D86BE8"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111/2005). Ir pieņemta</w:t>
            </w:r>
            <w:r w:rsidR="00C30D05" w:rsidRPr="00964AEF">
              <w:rPr>
                <w:rFonts w:ascii="Times New Roman" w:eastAsia="Times New Roman" w:hAnsi="Times New Roman" w:cs="Times New Roman"/>
                <w:iCs/>
                <w:sz w:val="24"/>
                <w:szCs w:val="24"/>
                <w:lang w:eastAsia="lv-LV"/>
              </w:rPr>
              <w:t>s</w:t>
            </w:r>
            <w:r w:rsidRPr="00964AEF">
              <w:rPr>
                <w:rFonts w:ascii="Times New Roman" w:eastAsia="Times New Roman" w:hAnsi="Times New Roman" w:cs="Times New Roman"/>
                <w:iCs/>
                <w:sz w:val="24"/>
                <w:szCs w:val="24"/>
                <w:lang w:eastAsia="lv-LV"/>
              </w:rPr>
              <w:t xml:space="preserve"> arī </w:t>
            </w:r>
            <w:r w:rsidR="00C30D05" w:rsidRPr="00964AEF">
              <w:rPr>
                <w:rFonts w:ascii="Times New Roman" w:eastAsia="Times New Roman" w:hAnsi="Times New Roman" w:cs="Times New Roman"/>
                <w:iCs/>
                <w:sz w:val="24"/>
                <w:szCs w:val="24"/>
                <w:lang w:eastAsia="lv-LV"/>
              </w:rPr>
              <w:t>divas</w:t>
            </w:r>
            <w:r w:rsidRPr="00964AEF">
              <w:rPr>
                <w:rFonts w:ascii="Times New Roman" w:eastAsia="Times New Roman" w:hAnsi="Times New Roman" w:cs="Times New Roman"/>
                <w:iCs/>
                <w:sz w:val="24"/>
                <w:szCs w:val="24"/>
                <w:lang w:eastAsia="lv-LV"/>
              </w:rPr>
              <w:t xml:space="preserve"> deleģētā</w:t>
            </w:r>
            <w:r w:rsidR="00C30D05" w:rsidRPr="00964AEF">
              <w:rPr>
                <w:rFonts w:ascii="Times New Roman" w:eastAsia="Times New Roman" w:hAnsi="Times New Roman" w:cs="Times New Roman"/>
                <w:iCs/>
                <w:sz w:val="24"/>
                <w:szCs w:val="24"/>
                <w:lang w:eastAsia="lv-LV"/>
              </w:rPr>
              <w:t>s</w:t>
            </w:r>
            <w:r w:rsidRPr="00964AEF">
              <w:rPr>
                <w:rFonts w:ascii="Times New Roman" w:eastAsia="Times New Roman" w:hAnsi="Times New Roman" w:cs="Times New Roman"/>
                <w:iCs/>
                <w:sz w:val="24"/>
                <w:szCs w:val="24"/>
                <w:lang w:eastAsia="lv-LV"/>
              </w:rPr>
              <w:t xml:space="preserve"> regula</w:t>
            </w:r>
            <w:r w:rsidR="00C30D05" w:rsidRPr="00964AEF">
              <w:rPr>
                <w:rFonts w:ascii="Times New Roman" w:eastAsia="Times New Roman" w:hAnsi="Times New Roman" w:cs="Times New Roman"/>
                <w:iCs/>
                <w:sz w:val="24"/>
                <w:szCs w:val="24"/>
                <w:lang w:eastAsia="lv-LV"/>
              </w:rPr>
              <w:t>s</w:t>
            </w:r>
            <w:r w:rsidRPr="00964AEF">
              <w:rPr>
                <w:rFonts w:ascii="Times New Roman" w:eastAsia="Times New Roman" w:hAnsi="Times New Roman" w:cs="Times New Roman"/>
                <w:iCs/>
                <w:sz w:val="24"/>
                <w:szCs w:val="24"/>
                <w:lang w:eastAsia="lv-LV"/>
              </w:rPr>
              <w:t xml:space="preserve"> –</w:t>
            </w:r>
            <w:r w:rsidR="00C30D05"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regula Nr.</w:t>
            </w:r>
            <w:r w:rsidR="00D86BE8"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2015/1011 un regula Nr.</w:t>
            </w:r>
            <w:r w:rsidR="00D86BE8"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2015/1013.</w:t>
            </w:r>
            <w:r w:rsidR="00AD0428" w:rsidRPr="00964AEF">
              <w:rPr>
                <w:rFonts w:ascii="Times New Roman" w:eastAsia="Times New Roman" w:hAnsi="Times New Roman" w:cs="Times New Roman"/>
                <w:iCs/>
                <w:sz w:val="24"/>
                <w:szCs w:val="24"/>
                <w:lang w:eastAsia="lv-LV"/>
              </w:rPr>
              <w:t xml:space="preserve"> </w:t>
            </w:r>
            <w:r w:rsidR="00FB34BA" w:rsidRPr="00964F93">
              <w:rPr>
                <w:rFonts w:ascii="Times New Roman" w:eastAsia="Times New Roman" w:hAnsi="Times New Roman" w:cs="Times New Roman"/>
                <w:iCs/>
                <w:sz w:val="24"/>
                <w:szCs w:val="24"/>
                <w:lang w:eastAsia="lv-LV"/>
              </w:rPr>
              <w:t xml:space="preserve">Noteikumu </w:t>
            </w:r>
            <w:r w:rsidRPr="00964F93">
              <w:rPr>
                <w:rFonts w:ascii="Times New Roman" w:eastAsia="Times New Roman" w:hAnsi="Times New Roman" w:cs="Times New Roman"/>
                <w:iCs/>
                <w:sz w:val="24"/>
                <w:szCs w:val="24"/>
                <w:lang w:eastAsia="lv-LV"/>
              </w:rPr>
              <w:t xml:space="preserve">projektā </w:t>
            </w:r>
            <w:r w:rsidR="005D7EDE" w:rsidRPr="00964F93">
              <w:rPr>
                <w:rFonts w:ascii="Times New Roman" w:eastAsia="Times New Roman" w:hAnsi="Times New Roman" w:cs="Times New Roman"/>
                <w:iCs/>
                <w:sz w:val="24"/>
                <w:szCs w:val="24"/>
                <w:lang w:eastAsia="lv-LV"/>
              </w:rPr>
              <w:t xml:space="preserve">tāpat kā Noteikumos Nr. 147 </w:t>
            </w:r>
            <w:r w:rsidRPr="00964F93">
              <w:rPr>
                <w:rFonts w:ascii="Times New Roman" w:eastAsia="Times New Roman" w:hAnsi="Times New Roman" w:cs="Times New Roman"/>
                <w:iCs/>
                <w:sz w:val="24"/>
                <w:szCs w:val="24"/>
                <w:lang w:eastAsia="lv-LV"/>
              </w:rPr>
              <w:t>ir noregulēt</w:t>
            </w:r>
            <w:r w:rsidR="00FB34BA" w:rsidRPr="00964F93">
              <w:rPr>
                <w:rFonts w:ascii="Times New Roman" w:eastAsia="Times New Roman" w:hAnsi="Times New Roman" w:cs="Times New Roman"/>
                <w:iCs/>
                <w:sz w:val="24"/>
                <w:szCs w:val="24"/>
                <w:lang w:eastAsia="lv-LV"/>
              </w:rPr>
              <w:t>i</w:t>
            </w:r>
            <w:r w:rsidRPr="00964F93">
              <w:rPr>
                <w:rFonts w:ascii="Times New Roman" w:eastAsia="Times New Roman" w:hAnsi="Times New Roman" w:cs="Times New Roman"/>
                <w:iCs/>
                <w:sz w:val="24"/>
                <w:szCs w:val="24"/>
                <w:lang w:eastAsia="lv-LV"/>
              </w:rPr>
              <w:t xml:space="preserve"> tikai jautājum</w:t>
            </w:r>
            <w:r w:rsidR="00FB34BA" w:rsidRPr="00964F93">
              <w:rPr>
                <w:rFonts w:ascii="Times New Roman" w:eastAsia="Times New Roman" w:hAnsi="Times New Roman" w:cs="Times New Roman"/>
                <w:iCs/>
                <w:sz w:val="24"/>
                <w:szCs w:val="24"/>
                <w:lang w:eastAsia="lv-LV"/>
              </w:rPr>
              <w:t>i</w:t>
            </w:r>
            <w:r w:rsidRPr="00964F93">
              <w:rPr>
                <w:rFonts w:ascii="Times New Roman" w:eastAsia="Times New Roman" w:hAnsi="Times New Roman" w:cs="Times New Roman"/>
                <w:iCs/>
                <w:sz w:val="24"/>
                <w:szCs w:val="24"/>
                <w:lang w:eastAsia="lv-LV"/>
              </w:rPr>
              <w:t>, kuri netiek aptverti ar minētajām regulām vai kuros minētās regulas tieši paredz dalībvalstīm izvēles brīvību noregulēt jautājumu nacionālajā normatīvajā aktā.</w:t>
            </w:r>
            <w:r w:rsidRPr="00964AEF">
              <w:rPr>
                <w:rFonts w:ascii="Times New Roman" w:eastAsia="Times New Roman" w:hAnsi="Times New Roman" w:cs="Times New Roman"/>
                <w:iCs/>
                <w:sz w:val="24"/>
                <w:szCs w:val="24"/>
                <w:lang w:eastAsia="lv-LV"/>
              </w:rPr>
              <w:t xml:space="preserve"> </w:t>
            </w:r>
          </w:p>
          <w:p w14:paraId="442FE8BF" w14:textId="2266C467" w:rsidR="00F638A5" w:rsidRPr="00964AEF" w:rsidRDefault="00F638A5" w:rsidP="00B8640A">
            <w:pPr>
              <w:spacing w:after="0" w:line="240" w:lineRule="auto"/>
              <w:jc w:val="both"/>
              <w:rPr>
                <w:rFonts w:ascii="Times New Roman" w:eastAsia="Times New Roman" w:hAnsi="Times New Roman" w:cs="Times New Roman"/>
                <w:iCs/>
                <w:sz w:val="24"/>
                <w:szCs w:val="24"/>
                <w:lang w:eastAsia="lv-LV"/>
              </w:rPr>
            </w:pPr>
          </w:p>
          <w:p w14:paraId="4415C478" w14:textId="77777777" w:rsidR="00C90759" w:rsidRPr="00964AEF" w:rsidRDefault="00C90759" w:rsidP="00C90759">
            <w:pPr>
              <w:spacing w:after="0" w:line="240" w:lineRule="auto"/>
              <w:jc w:val="both"/>
              <w:rPr>
                <w:rFonts w:ascii="Times New Roman" w:eastAsia="Times New Roman" w:hAnsi="Times New Roman" w:cs="Times New Roman"/>
                <w:sz w:val="24"/>
                <w:szCs w:val="24"/>
                <w:lang w:eastAsia="lv-LV"/>
              </w:rPr>
            </w:pPr>
            <w:r w:rsidRPr="00964AEF">
              <w:rPr>
                <w:rFonts w:ascii="Times New Roman" w:eastAsia="Times New Roman" w:hAnsi="Times New Roman" w:cs="Times New Roman"/>
                <w:sz w:val="24"/>
                <w:szCs w:val="24"/>
                <w:lang w:eastAsia="lv-LV"/>
              </w:rPr>
              <w:t>Turpmāk tiek apskatītas Noteikumu projekta normas, kuras pilnībā pārņemtas no Noteikumiem Nr.147.</w:t>
            </w:r>
          </w:p>
          <w:p w14:paraId="5B8979E2" w14:textId="77777777" w:rsidR="00C90759" w:rsidRPr="00964AEF" w:rsidRDefault="00C90759" w:rsidP="00B8640A">
            <w:pPr>
              <w:spacing w:after="0" w:line="240" w:lineRule="auto"/>
              <w:jc w:val="both"/>
              <w:rPr>
                <w:rFonts w:ascii="Times New Roman" w:eastAsia="Times New Roman" w:hAnsi="Times New Roman" w:cs="Times New Roman"/>
                <w:iCs/>
                <w:sz w:val="24"/>
                <w:szCs w:val="24"/>
                <w:lang w:eastAsia="lv-LV"/>
              </w:rPr>
            </w:pPr>
          </w:p>
          <w:p w14:paraId="7D00C68B" w14:textId="786DC149" w:rsidR="00F82CFE" w:rsidRPr="00964AEF" w:rsidRDefault="00FB34BA" w:rsidP="00B8640A">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 xml:space="preserve">[1] </w:t>
            </w:r>
            <w:r w:rsidRPr="00964F93">
              <w:rPr>
                <w:rFonts w:ascii="Times New Roman" w:eastAsia="Times New Roman" w:hAnsi="Times New Roman" w:cs="Times New Roman"/>
                <w:iCs/>
                <w:sz w:val="24"/>
                <w:szCs w:val="24"/>
                <w:lang w:eastAsia="lv-LV"/>
              </w:rPr>
              <w:t>Noteikumu p</w:t>
            </w:r>
            <w:r w:rsidR="007538CF" w:rsidRPr="00964F93">
              <w:rPr>
                <w:rFonts w:ascii="Times New Roman" w:eastAsia="Times New Roman" w:hAnsi="Times New Roman" w:cs="Times New Roman"/>
                <w:iCs/>
                <w:sz w:val="24"/>
                <w:szCs w:val="24"/>
                <w:lang w:eastAsia="lv-LV"/>
              </w:rPr>
              <w:t xml:space="preserve">rojekts tāpat kā </w:t>
            </w:r>
            <w:r w:rsidR="00AD0428" w:rsidRPr="00964F93">
              <w:rPr>
                <w:rFonts w:ascii="Times New Roman" w:eastAsia="Times New Roman" w:hAnsi="Times New Roman" w:cs="Times New Roman"/>
                <w:iCs/>
                <w:sz w:val="24"/>
                <w:szCs w:val="24"/>
                <w:lang w:eastAsia="lv-LV"/>
              </w:rPr>
              <w:t>Noteikumi Nr. 147</w:t>
            </w:r>
            <w:r w:rsidR="007538CF" w:rsidRPr="00964F93">
              <w:rPr>
                <w:rFonts w:ascii="Times New Roman" w:eastAsia="Times New Roman" w:hAnsi="Times New Roman" w:cs="Times New Roman"/>
                <w:iCs/>
                <w:sz w:val="24"/>
                <w:szCs w:val="24"/>
                <w:lang w:eastAsia="lv-LV"/>
              </w:rPr>
              <w:t xml:space="preserve"> regulē kārtību, kādā reģistrē</w:t>
            </w:r>
            <w:r w:rsidR="007538CF" w:rsidRPr="00964AEF">
              <w:rPr>
                <w:rFonts w:ascii="Times New Roman" w:eastAsia="Times New Roman" w:hAnsi="Times New Roman" w:cs="Times New Roman"/>
                <w:iCs/>
                <w:sz w:val="24"/>
                <w:szCs w:val="24"/>
                <w:lang w:eastAsia="lv-LV"/>
              </w:rPr>
              <w:t xml:space="preserve"> un licencē prekursoru operatoru, kārtību, kādā aptur un anulē speciālo atļauju (licenci) vai reģistrāciju, kārtību, kādā prekursoru operatori sniedz Zāļu valsts aģentūrai informāciju par saviem darījumiem ar prekursoriem, kā arī sniedzamās informācijas saturu</w:t>
            </w:r>
            <w:r w:rsidR="00850789" w:rsidRPr="00964AEF">
              <w:rPr>
                <w:rFonts w:ascii="Times New Roman" w:eastAsia="Times New Roman" w:hAnsi="Times New Roman" w:cs="Times New Roman"/>
                <w:iCs/>
                <w:sz w:val="24"/>
                <w:szCs w:val="24"/>
                <w:lang w:eastAsia="lv-LV"/>
              </w:rPr>
              <w:t xml:space="preserve">. Papildus tam </w:t>
            </w:r>
            <w:r w:rsidRPr="00964AEF">
              <w:rPr>
                <w:rFonts w:ascii="Times New Roman" w:eastAsia="Times New Roman" w:hAnsi="Times New Roman" w:cs="Times New Roman"/>
                <w:iCs/>
                <w:sz w:val="24"/>
                <w:szCs w:val="24"/>
                <w:lang w:eastAsia="lv-LV"/>
              </w:rPr>
              <w:t xml:space="preserve">Noteikumu </w:t>
            </w:r>
            <w:r w:rsidR="00850789" w:rsidRPr="00964AEF">
              <w:rPr>
                <w:rFonts w:ascii="Times New Roman" w:eastAsia="Times New Roman" w:hAnsi="Times New Roman" w:cs="Times New Roman"/>
                <w:iCs/>
                <w:sz w:val="24"/>
                <w:szCs w:val="24"/>
                <w:lang w:eastAsia="lv-LV"/>
              </w:rPr>
              <w:t>projek</w:t>
            </w:r>
            <w:r w:rsidR="00423A87" w:rsidRPr="00964AEF">
              <w:rPr>
                <w:rFonts w:ascii="Times New Roman" w:eastAsia="Times New Roman" w:hAnsi="Times New Roman" w:cs="Times New Roman"/>
                <w:iCs/>
                <w:sz w:val="24"/>
                <w:szCs w:val="24"/>
                <w:lang w:eastAsia="lv-LV"/>
              </w:rPr>
              <w:t>tā</w:t>
            </w:r>
            <w:r w:rsidR="00850789" w:rsidRPr="00964AEF">
              <w:rPr>
                <w:rFonts w:ascii="Times New Roman" w:eastAsia="Times New Roman" w:hAnsi="Times New Roman" w:cs="Times New Roman"/>
                <w:iCs/>
                <w:sz w:val="24"/>
                <w:szCs w:val="24"/>
                <w:lang w:eastAsia="lv-LV"/>
              </w:rPr>
              <w:t xml:space="preserve"> paredz</w:t>
            </w:r>
            <w:r w:rsidRPr="00964AEF">
              <w:rPr>
                <w:rFonts w:ascii="Times New Roman" w:eastAsia="Times New Roman" w:hAnsi="Times New Roman" w:cs="Times New Roman"/>
                <w:iCs/>
                <w:sz w:val="24"/>
                <w:szCs w:val="24"/>
                <w:lang w:eastAsia="lv-LV"/>
              </w:rPr>
              <w:t>ēts</w:t>
            </w:r>
            <w:r w:rsidR="00850789" w:rsidRPr="00964AEF">
              <w:rPr>
                <w:rFonts w:ascii="Times New Roman" w:eastAsia="Times New Roman" w:hAnsi="Times New Roman" w:cs="Times New Roman"/>
                <w:iCs/>
                <w:sz w:val="24"/>
                <w:szCs w:val="24"/>
                <w:lang w:eastAsia="lv-LV"/>
              </w:rPr>
              <w:t xml:space="preserve"> reģistrēt arī prekursoru lietotājus, kā arī nosaka</w:t>
            </w:r>
            <w:r w:rsidR="007538CF" w:rsidRPr="00964AEF">
              <w:rPr>
                <w:rFonts w:ascii="Times New Roman" w:eastAsia="Times New Roman" w:hAnsi="Times New Roman" w:cs="Times New Roman"/>
                <w:iCs/>
                <w:sz w:val="24"/>
                <w:szCs w:val="24"/>
                <w:lang w:eastAsia="lv-LV"/>
              </w:rPr>
              <w:t xml:space="preserve"> prasības prekursoru uzglabāšanai</w:t>
            </w:r>
            <w:r w:rsidR="00850789" w:rsidRPr="00964AEF">
              <w:rPr>
                <w:rFonts w:ascii="Times New Roman" w:eastAsia="Times New Roman" w:hAnsi="Times New Roman" w:cs="Times New Roman"/>
                <w:iCs/>
                <w:sz w:val="24"/>
                <w:szCs w:val="24"/>
                <w:lang w:eastAsia="lv-LV"/>
              </w:rPr>
              <w:t>.</w:t>
            </w:r>
          </w:p>
          <w:p w14:paraId="79D8816C" w14:textId="1EEC7F91" w:rsidR="00DD3061" w:rsidRPr="00964AEF" w:rsidRDefault="00DD3061" w:rsidP="00B8640A">
            <w:pPr>
              <w:spacing w:after="0" w:line="240" w:lineRule="auto"/>
              <w:jc w:val="both"/>
              <w:rPr>
                <w:rFonts w:ascii="Times New Roman" w:eastAsia="Times New Roman" w:hAnsi="Times New Roman" w:cs="Times New Roman"/>
                <w:iCs/>
                <w:sz w:val="24"/>
                <w:szCs w:val="24"/>
                <w:lang w:eastAsia="lv-LV"/>
              </w:rPr>
            </w:pPr>
          </w:p>
          <w:p w14:paraId="2664390A" w14:textId="46717C85" w:rsidR="00F524E8" w:rsidRPr="00964AEF" w:rsidRDefault="00FB34BA" w:rsidP="00F524E8">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 Noteikumu p</w:t>
            </w:r>
            <w:r w:rsidR="00F524E8" w:rsidRPr="00964AEF">
              <w:rPr>
                <w:rFonts w:ascii="Times New Roman" w:eastAsia="Times New Roman" w:hAnsi="Times New Roman" w:cs="Times New Roman"/>
                <w:iCs/>
                <w:sz w:val="24"/>
                <w:szCs w:val="24"/>
                <w:lang w:eastAsia="lv-LV"/>
              </w:rPr>
              <w:t>rojek</w:t>
            </w:r>
            <w:r w:rsidR="00EF3ED1" w:rsidRPr="00964AEF">
              <w:rPr>
                <w:rFonts w:ascii="Times New Roman" w:eastAsia="Times New Roman" w:hAnsi="Times New Roman" w:cs="Times New Roman"/>
                <w:iCs/>
                <w:sz w:val="24"/>
                <w:szCs w:val="24"/>
                <w:lang w:eastAsia="lv-LV"/>
              </w:rPr>
              <w:t>tā</w:t>
            </w:r>
            <w:r w:rsidR="00F524E8" w:rsidRPr="00964AEF">
              <w:rPr>
                <w:rFonts w:ascii="Times New Roman" w:eastAsia="Times New Roman" w:hAnsi="Times New Roman" w:cs="Times New Roman"/>
                <w:iCs/>
                <w:sz w:val="24"/>
                <w:szCs w:val="24"/>
                <w:lang w:eastAsia="lv-LV"/>
              </w:rPr>
              <w:t xml:space="preserve"> paredz</w:t>
            </w:r>
            <w:r w:rsidRPr="00964AEF">
              <w:rPr>
                <w:rFonts w:ascii="Times New Roman" w:eastAsia="Times New Roman" w:hAnsi="Times New Roman" w:cs="Times New Roman"/>
                <w:iCs/>
                <w:sz w:val="24"/>
                <w:szCs w:val="24"/>
                <w:lang w:eastAsia="lv-LV"/>
              </w:rPr>
              <w:t>ēts</w:t>
            </w:r>
            <w:r w:rsidR="00F524E8" w:rsidRPr="00964AEF">
              <w:rPr>
                <w:rFonts w:ascii="Times New Roman" w:eastAsia="Times New Roman" w:hAnsi="Times New Roman" w:cs="Times New Roman"/>
                <w:iCs/>
                <w:sz w:val="24"/>
                <w:szCs w:val="24"/>
                <w:lang w:eastAsia="lv-LV"/>
              </w:rPr>
              <w:t xml:space="preserve"> pilnveidot Zāļu valsts aģentūras sniegtos pakalpojumus, precizējot arī to nosaukumus:</w:t>
            </w:r>
          </w:p>
          <w:p w14:paraId="5B303A78" w14:textId="4D20C524" w:rsidR="00F524E8" w:rsidRPr="00964AEF" w:rsidRDefault="00F524E8" w:rsidP="00F524E8">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 Iesnieguma un dokumentācijas ekspertīze prekursoru operatoru   reģistrācijai;</w:t>
            </w:r>
          </w:p>
          <w:p w14:paraId="643FE795" w14:textId="2AD728E8" w:rsidR="00F524E8" w:rsidRPr="00964AEF" w:rsidRDefault="00F524E8" w:rsidP="00F524E8">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 Iesnieguma un dokumentācijas ekspertīze licences saņemšanai darbam ar prekursoriem;</w:t>
            </w:r>
          </w:p>
          <w:p w14:paraId="02A41EBE" w14:textId="7A916461" w:rsidR="00F524E8" w:rsidRPr="00964AEF" w:rsidRDefault="00F524E8" w:rsidP="00F524E8">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 Dokumentācijas ekspertīze izmaiņām prekursoru operatoru  reģistrācijai;</w:t>
            </w:r>
          </w:p>
          <w:p w14:paraId="71E69B1D" w14:textId="17358AF3" w:rsidR="00F524E8" w:rsidRPr="00964AEF" w:rsidRDefault="00F524E8" w:rsidP="00F524E8">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4) Dokumentācijas ekspertīze izmaiņām licencē darbam ar prekursoriem.</w:t>
            </w:r>
          </w:p>
          <w:p w14:paraId="7C203C14" w14:textId="652B3EFC" w:rsidR="00C81B65" w:rsidRPr="00964AEF" w:rsidRDefault="001F3E19" w:rsidP="00F524E8">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 xml:space="preserve">Turpmāk šie pakalpojumi </w:t>
            </w:r>
            <w:r w:rsidR="00715D07">
              <w:rPr>
                <w:rFonts w:ascii="Times New Roman" w:eastAsia="Times New Roman" w:hAnsi="Times New Roman" w:cs="Times New Roman"/>
                <w:iCs/>
                <w:sz w:val="24"/>
                <w:szCs w:val="24"/>
                <w:lang w:eastAsia="lv-LV"/>
              </w:rPr>
              <w:t xml:space="preserve">tāpat kā līdz šim </w:t>
            </w:r>
            <w:r w:rsidRPr="00964AEF">
              <w:rPr>
                <w:rFonts w:ascii="Times New Roman" w:eastAsia="Times New Roman" w:hAnsi="Times New Roman" w:cs="Times New Roman"/>
                <w:iCs/>
                <w:sz w:val="24"/>
                <w:szCs w:val="24"/>
                <w:lang w:eastAsia="lv-LV"/>
              </w:rPr>
              <w:t xml:space="preserve">būs pieejami gan klātienē, gan neklātienē (elektroniski). </w:t>
            </w:r>
            <w:r w:rsidR="00C81B65" w:rsidRPr="00964AEF">
              <w:rPr>
                <w:rFonts w:ascii="Times New Roman" w:eastAsia="Times New Roman" w:hAnsi="Times New Roman" w:cs="Times New Roman"/>
                <w:iCs/>
                <w:sz w:val="24"/>
                <w:szCs w:val="24"/>
                <w:lang w:eastAsia="lv-LV"/>
              </w:rPr>
              <w:t>Zāļu valsts aģentūra nodrošinās, ka pēc noteikumu pieņemšanas tiks atjaunota arī informācija portālā www.latvija.lv.</w:t>
            </w:r>
          </w:p>
          <w:p w14:paraId="56B45307" w14:textId="77777777" w:rsidR="00F524E8" w:rsidRPr="00964AEF" w:rsidRDefault="00F524E8" w:rsidP="00B8640A">
            <w:pPr>
              <w:spacing w:after="0" w:line="240" w:lineRule="auto"/>
              <w:jc w:val="both"/>
              <w:rPr>
                <w:rFonts w:ascii="Times New Roman" w:eastAsia="Times New Roman" w:hAnsi="Times New Roman" w:cs="Times New Roman"/>
                <w:iCs/>
                <w:sz w:val="24"/>
                <w:szCs w:val="24"/>
                <w:lang w:eastAsia="lv-LV"/>
              </w:rPr>
            </w:pPr>
          </w:p>
          <w:p w14:paraId="5A6C67C6" w14:textId="184B47C8" w:rsidR="00DD3061" w:rsidRPr="00735766" w:rsidRDefault="00FB34BA" w:rsidP="00D42991">
            <w:pPr>
              <w:spacing w:after="0" w:line="240" w:lineRule="auto"/>
              <w:jc w:val="both"/>
              <w:rPr>
                <w:rFonts w:ascii="Times New Roman" w:eastAsia="Times New Roman" w:hAnsi="Times New Roman" w:cs="Times New Roman"/>
                <w:iCs/>
                <w:color w:val="FF0000"/>
                <w:sz w:val="24"/>
                <w:szCs w:val="24"/>
                <w:lang w:eastAsia="lv-LV"/>
              </w:rPr>
            </w:pPr>
            <w:r w:rsidRPr="00964AEF">
              <w:rPr>
                <w:rFonts w:ascii="Times New Roman" w:eastAsia="Times New Roman" w:hAnsi="Times New Roman" w:cs="Times New Roman"/>
                <w:iCs/>
                <w:sz w:val="24"/>
                <w:szCs w:val="24"/>
                <w:lang w:eastAsia="lv-LV"/>
              </w:rPr>
              <w:t xml:space="preserve">[3] </w:t>
            </w:r>
            <w:r w:rsidR="000F325F" w:rsidRPr="00DA6AB4">
              <w:rPr>
                <w:rFonts w:ascii="Times New Roman" w:eastAsia="Times New Roman" w:hAnsi="Times New Roman" w:cs="Times New Roman"/>
                <w:iCs/>
                <w:sz w:val="24"/>
                <w:szCs w:val="24"/>
                <w:lang w:eastAsia="lv-LV"/>
              </w:rPr>
              <w:t xml:space="preserve">Noteikumu projektā paredzēts, </w:t>
            </w:r>
            <w:r w:rsidR="00735766" w:rsidRPr="00DA6AB4">
              <w:rPr>
                <w:rFonts w:ascii="Times New Roman" w:eastAsia="Times New Roman" w:hAnsi="Times New Roman" w:cs="Times New Roman"/>
                <w:iCs/>
                <w:sz w:val="24"/>
                <w:szCs w:val="24"/>
                <w:lang w:eastAsia="lv-LV"/>
              </w:rPr>
              <w:t>ka darbībai ar 1. kategorijas prekursoriem prekursoru operatoriem ir nepieciešama licence</w:t>
            </w:r>
            <w:r w:rsidR="00AC1D40" w:rsidRPr="00DA6AB4">
              <w:rPr>
                <w:rFonts w:ascii="Times New Roman" w:eastAsia="Times New Roman" w:hAnsi="Times New Roman" w:cs="Times New Roman"/>
                <w:iCs/>
                <w:sz w:val="24"/>
                <w:szCs w:val="24"/>
                <w:lang w:eastAsia="lv-LV"/>
              </w:rPr>
              <w:t xml:space="preserve">, kas izriet no </w:t>
            </w:r>
            <w:r w:rsidR="00735766" w:rsidRPr="00DA6AB4">
              <w:rPr>
                <w:rFonts w:ascii="Times New Roman" w:eastAsia="Times New Roman" w:hAnsi="Times New Roman" w:cs="Times New Roman"/>
                <w:iCs/>
                <w:sz w:val="24"/>
                <w:szCs w:val="24"/>
                <w:lang w:eastAsia="lv-LV"/>
              </w:rPr>
              <w:t xml:space="preserve">regulas Nr. 111/2005 6. panta 1. punkta prasībām. Savukārt, atbilstoši regulas Nr.2015/1011 5. panta 2. punktā noteiktajam, </w:t>
            </w:r>
            <w:r w:rsidR="009E5BF4" w:rsidRPr="00DA6AB4">
              <w:rPr>
                <w:rFonts w:ascii="Times New Roman" w:eastAsia="Times New Roman" w:hAnsi="Times New Roman" w:cs="Times New Roman"/>
                <w:iCs/>
                <w:sz w:val="24"/>
                <w:szCs w:val="24"/>
                <w:lang w:eastAsia="lv-LV"/>
              </w:rPr>
              <w:t xml:space="preserve">Noteikumu </w:t>
            </w:r>
            <w:r w:rsidR="00735766" w:rsidRPr="00DA6AB4">
              <w:rPr>
                <w:rFonts w:ascii="Times New Roman" w:eastAsia="Times New Roman" w:hAnsi="Times New Roman" w:cs="Times New Roman"/>
                <w:iCs/>
                <w:sz w:val="24"/>
                <w:szCs w:val="24"/>
                <w:lang w:eastAsia="lv-LV"/>
              </w:rPr>
              <w:t xml:space="preserve">projektā </w:t>
            </w:r>
            <w:r w:rsidR="00AC1D40" w:rsidRPr="00DA6AB4">
              <w:rPr>
                <w:rFonts w:ascii="Times New Roman" w:eastAsia="Times New Roman" w:hAnsi="Times New Roman" w:cs="Times New Roman"/>
                <w:iCs/>
                <w:sz w:val="24"/>
                <w:szCs w:val="24"/>
                <w:lang w:eastAsia="lv-LV"/>
              </w:rPr>
              <w:t>ietverta prasība</w:t>
            </w:r>
            <w:r w:rsidR="00735766" w:rsidRPr="00DA6AB4">
              <w:rPr>
                <w:rFonts w:ascii="Times New Roman" w:eastAsia="Times New Roman" w:hAnsi="Times New Roman" w:cs="Times New Roman"/>
                <w:iCs/>
                <w:sz w:val="24"/>
                <w:szCs w:val="24"/>
                <w:lang w:eastAsia="lv-LV"/>
              </w:rPr>
              <w:t xml:space="preserve">, </w:t>
            </w:r>
            <w:r w:rsidR="00735766" w:rsidRPr="00DA6AB4">
              <w:rPr>
                <w:rFonts w:ascii="Times New Roman" w:hAnsi="Times New Roman" w:cs="Times New Roman"/>
                <w:sz w:val="24"/>
                <w:szCs w:val="24"/>
              </w:rPr>
              <w:t>ka darbībām ar 3. kategorijas prekursoriem ir reģistrējami tikai prekursoru operatori</w:t>
            </w:r>
            <w:r w:rsidR="00735766" w:rsidRPr="00DA6AB4">
              <w:rPr>
                <w:rFonts w:ascii="Times New Roman" w:eastAsia="Times New Roman" w:hAnsi="Times New Roman" w:cs="Times New Roman"/>
                <w:iCs/>
                <w:sz w:val="24"/>
                <w:szCs w:val="24"/>
                <w:lang w:eastAsia="lv-LV"/>
              </w:rPr>
              <w:t xml:space="preserve">. Vienlaikus </w:t>
            </w:r>
            <w:r w:rsidRPr="005417B7">
              <w:rPr>
                <w:rFonts w:ascii="Times New Roman" w:eastAsia="Times New Roman" w:hAnsi="Times New Roman" w:cs="Times New Roman"/>
                <w:iCs/>
                <w:sz w:val="24"/>
                <w:szCs w:val="24"/>
                <w:lang w:eastAsia="lv-LV"/>
              </w:rPr>
              <w:t>Noteikumu p</w:t>
            </w:r>
            <w:r w:rsidR="00DD3061" w:rsidRPr="005417B7">
              <w:rPr>
                <w:rFonts w:ascii="Times New Roman" w:eastAsia="Times New Roman" w:hAnsi="Times New Roman" w:cs="Times New Roman"/>
                <w:iCs/>
                <w:sz w:val="24"/>
                <w:szCs w:val="24"/>
                <w:lang w:eastAsia="lv-LV"/>
              </w:rPr>
              <w:t>rojek</w:t>
            </w:r>
            <w:r w:rsidR="00EF3ED1" w:rsidRPr="005417B7">
              <w:rPr>
                <w:rFonts w:ascii="Times New Roman" w:eastAsia="Times New Roman" w:hAnsi="Times New Roman" w:cs="Times New Roman"/>
                <w:iCs/>
                <w:sz w:val="24"/>
                <w:szCs w:val="24"/>
                <w:lang w:eastAsia="lv-LV"/>
              </w:rPr>
              <w:t>tā</w:t>
            </w:r>
            <w:r w:rsidR="00DD3061" w:rsidRPr="005417B7">
              <w:rPr>
                <w:rFonts w:ascii="Times New Roman" w:eastAsia="Times New Roman" w:hAnsi="Times New Roman" w:cs="Times New Roman"/>
                <w:iCs/>
                <w:sz w:val="24"/>
                <w:szCs w:val="24"/>
                <w:lang w:eastAsia="lv-LV"/>
              </w:rPr>
              <w:t xml:space="preserve"> </w:t>
            </w:r>
            <w:r w:rsidR="0014717A" w:rsidRPr="005417B7">
              <w:rPr>
                <w:rFonts w:ascii="Times New Roman" w:eastAsia="Times New Roman" w:hAnsi="Times New Roman" w:cs="Times New Roman"/>
                <w:iCs/>
                <w:sz w:val="24"/>
                <w:szCs w:val="24"/>
                <w:lang w:eastAsia="lv-LV"/>
              </w:rPr>
              <w:t>paredz</w:t>
            </w:r>
            <w:r w:rsidRPr="005417B7">
              <w:rPr>
                <w:rFonts w:ascii="Times New Roman" w:eastAsia="Times New Roman" w:hAnsi="Times New Roman" w:cs="Times New Roman"/>
                <w:iCs/>
                <w:sz w:val="24"/>
                <w:szCs w:val="24"/>
                <w:lang w:eastAsia="lv-LV"/>
              </w:rPr>
              <w:t>ēts</w:t>
            </w:r>
            <w:r w:rsidR="00D42991" w:rsidRPr="005417B7">
              <w:rPr>
                <w:rFonts w:ascii="Times New Roman" w:eastAsia="Times New Roman" w:hAnsi="Times New Roman" w:cs="Times New Roman"/>
                <w:iCs/>
                <w:sz w:val="24"/>
                <w:szCs w:val="24"/>
                <w:lang w:eastAsia="lv-LV"/>
              </w:rPr>
              <w:t>, ka darbībai ar 2.</w:t>
            </w:r>
            <w:r w:rsidR="007C17FE" w:rsidRPr="005417B7">
              <w:rPr>
                <w:rFonts w:ascii="Times New Roman" w:eastAsia="Times New Roman" w:hAnsi="Times New Roman" w:cs="Times New Roman"/>
                <w:iCs/>
                <w:sz w:val="24"/>
                <w:szCs w:val="24"/>
                <w:lang w:eastAsia="lv-LV"/>
              </w:rPr>
              <w:t xml:space="preserve"> </w:t>
            </w:r>
            <w:r w:rsidR="00D42991" w:rsidRPr="005417B7">
              <w:rPr>
                <w:rFonts w:ascii="Times New Roman" w:eastAsia="Times New Roman" w:hAnsi="Times New Roman" w:cs="Times New Roman"/>
                <w:iCs/>
                <w:sz w:val="24"/>
                <w:szCs w:val="24"/>
                <w:lang w:eastAsia="lv-LV"/>
              </w:rPr>
              <w:t>kategorijas prekursoriem ir nepieciešama reģistrācija</w:t>
            </w:r>
            <w:r w:rsidR="005417B7" w:rsidRPr="005417B7">
              <w:rPr>
                <w:rFonts w:ascii="Times New Roman" w:eastAsia="Times New Roman" w:hAnsi="Times New Roman" w:cs="Times New Roman"/>
                <w:iCs/>
                <w:sz w:val="24"/>
                <w:szCs w:val="24"/>
                <w:lang w:eastAsia="lv-LV"/>
              </w:rPr>
              <w:t>, t</w:t>
            </w:r>
            <w:r w:rsidR="005417B7" w:rsidRPr="005417B7">
              <w:rPr>
                <w:rFonts w:ascii="Times New Roman" w:hAnsi="Times New Roman" w:cs="Times New Roman"/>
                <w:color w:val="201F1E"/>
                <w:sz w:val="24"/>
                <w:szCs w:val="24"/>
                <w:shd w:val="clear" w:color="auto" w:fill="FFFFFF"/>
              </w:rPr>
              <w:t xml:space="preserve">as pats attiecas </w:t>
            </w:r>
            <w:r w:rsidR="005417B7">
              <w:rPr>
                <w:rFonts w:ascii="Times New Roman" w:hAnsi="Times New Roman" w:cs="Times New Roman"/>
                <w:color w:val="201F1E"/>
                <w:sz w:val="24"/>
                <w:szCs w:val="24"/>
                <w:shd w:val="clear" w:color="auto" w:fill="FFFFFF"/>
              </w:rPr>
              <w:t xml:space="preserve">arī </w:t>
            </w:r>
            <w:r w:rsidR="005417B7" w:rsidRPr="005417B7">
              <w:rPr>
                <w:rFonts w:ascii="Times New Roman" w:hAnsi="Times New Roman" w:cs="Times New Roman"/>
                <w:color w:val="201F1E"/>
                <w:sz w:val="24"/>
                <w:szCs w:val="24"/>
                <w:shd w:val="clear" w:color="auto" w:fill="FFFFFF"/>
              </w:rPr>
              <w:t>uz uzņēmējiem</w:t>
            </w:r>
            <w:r w:rsidR="005417B7">
              <w:rPr>
                <w:rFonts w:ascii="Times New Roman" w:hAnsi="Times New Roman" w:cs="Times New Roman"/>
                <w:color w:val="201F1E"/>
                <w:sz w:val="24"/>
                <w:szCs w:val="24"/>
                <w:shd w:val="clear" w:color="auto" w:fill="FFFFFF"/>
              </w:rPr>
              <w:t xml:space="preserve">: </w:t>
            </w:r>
            <w:r w:rsidR="00D42991" w:rsidRPr="005417B7">
              <w:rPr>
                <w:rFonts w:ascii="Times New Roman" w:eastAsia="Times New Roman" w:hAnsi="Times New Roman" w:cs="Times New Roman"/>
                <w:iCs/>
                <w:sz w:val="24"/>
                <w:szCs w:val="24"/>
                <w:lang w:eastAsia="lv-LV"/>
              </w:rPr>
              <w:t>1)  kuri ir iesaistīti regulas Nr.111/2005</w:t>
            </w:r>
            <w:r w:rsidR="00D42991" w:rsidRPr="00964AEF">
              <w:rPr>
                <w:rFonts w:ascii="Times New Roman" w:eastAsia="Times New Roman" w:hAnsi="Times New Roman" w:cs="Times New Roman"/>
                <w:iCs/>
                <w:sz w:val="24"/>
                <w:szCs w:val="24"/>
                <w:lang w:eastAsia="lv-LV"/>
              </w:rPr>
              <w:t xml:space="preserve"> pielikuma 3.</w:t>
            </w:r>
            <w:r w:rsidR="00D86BE8" w:rsidRPr="00964AEF">
              <w:rPr>
                <w:rFonts w:ascii="Times New Roman" w:eastAsia="Times New Roman" w:hAnsi="Times New Roman" w:cs="Times New Roman"/>
                <w:iCs/>
                <w:sz w:val="24"/>
                <w:szCs w:val="24"/>
                <w:lang w:eastAsia="lv-LV"/>
              </w:rPr>
              <w:t xml:space="preserve"> </w:t>
            </w:r>
            <w:r w:rsidR="00D42991" w:rsidRPr="00964AEF">
              <w:rPr>
                <w:rFonts w:ascii="Times New Roman" w:eastAsia="Times New Roman" w:hAnsi="Times New Roman" w:cs="Times New Roman"/>
                <w:iCs/>
                <w:sz w:val="24"/>
                <w:szCs w:val="24"/>
                <w:lang w:eastAsia="lv-LV"/>
              </w:rPr>
              <w:t>kategorijā uzskaitīto prekursoru eksportā, ja kopējais to eksportētais daudzums iepriekšējā kalendārajā gadā pārsniedz regulas 2015/1011 1.</w:t>
            </w:r>
            <w:r w:rsidR="00572182">
              <w:rPr>
                <w:rFonts w:ascii="Times New Roman" w:eastAsia="Times New Roman" w:hAnsi="Times New Roman" w:cs="Times New Roman"/>
                <w:iCs/>
                <w:sz w:val="24"/>
                <w:szCs w:val="24"/>
                <w:lang w:eastAsia="lv-LV"/>
              </w:rPr>
              <w:t xml:space="preserve"> </w:t>
            </w:r>
            <w:r w:rsidR="00D42991" w:rsidRPr="00964AEF">
              <w:rPr>
                <w:rFonts w:ascii="Times New Roman" w:eastAsia="Times New Roman" w:hAnsi="Times New Roman" w:cs="Times New Roman"/>
                <w:iCs/>
                <w:sz w:val="24"/>
                <w:szCs w:val="24"/>
                <w:lang w:eastAsia="lv-LV"/>
              </w:rPr>
              <w:t xml:space="preserve">pielikumā noteiktos daudzumus; </w:t>
            </w:r>
            <w:r w:rsidR="005F481A" w:rsidRPr="00964AEF">
              <w:rPr>
                <w:rFonts w:ascii="Times New Roman" w:eastAsia="Times New Roman" w:hAnsi="Times New Roman" w:cs="Times New Roman"/>
                <w:iCs/>
                <w:sz w:val="24"/>
                <w:szCs w:val="24"/>
                <w:lang w:eastAsia="lv-LV"/>
              </w:rPr>
              <w:t>2</w:t>
            </w:r>
            <w:r w:rsidR="00D42991" w:rsidRPr="00964AEF">
              <w:rPr>
                <w:rFonts w:ascii="Times New Roman" w:eastAsia="Times New Roman" w:hAnsi="Times New Roman" w:cs="Times New Roman"/>
                <w:iCs/>
                <w:sz w:val="24"/>
                <w:szCs w:val="24"/>
                <w:lang w:eastAsia="lv-LV"/>
              </w:rPr>
              <w:t>) kur</w:t>
            </w:r>
            <w:r w:rsidR="005F481A" w:rsidRPr="00964AEF">
              <w:rPr>
                <w:rFonts w:ascii="Times New Roman" w:eastAsia="Times New Roman" w:hAnsi="Times New Roman" w:cs="Times New Roman"/>
                <w:iCs/>
                <w:sz w:val="24"/>
                <w:szCs w:val="24"/>
                <w:lang w:eastAsia="lv-LV"/>
              </w:rPr>
              <w:t>i</w:t>
            </w:r>
            <w:r w:rsidR="00D42991" w:rsidRPr="00964AEF">
              <w:rPr>
                <w:rFonts w:ascii="Times New Roman" w:eastAsia="Times New Roman" w:hAnsi="Times New Roman" w:cs="Times New Roman"/>
                <w:iCs/>
                <w:sz w:val="24"/>
                <w:szCs w:val="24"/>
                <w:lang w:eastAsia="lv-LV"/>
              </w:rPr>
              <w:t xml:space="preserve"> ir iesaistīt</w:t>
            </w:r>
            <w:r w:rsidR="005F481A" w:rsidRPr="00964AEF">
              <w:rPr>
                <w:rFonts w:ascii="Times New Roman" w:eastAsia="Times New Roman" w:hAnsi="Times New Roman" w:cs="Times New Roman"/>
                <w:iCs/>
                <w:sz w:val="24"/>
                <w:szCs w:val="24"/>
                <w:lang w:eastAsia="lv-LV"/>
              </w:rPr>
              <w:t>i</w:t>
            </w:r>
            <w:r w:rsidR="00D42991" w:rsidRPr="00964AEF">
              <w:rPr>
                <w:rFonts w:ascii="Times New Roman" w:eastAsia="Times New Roman" w:hAnsi="Times New Roman" w:cs="Times New Roman"/>
                <w:iCs/>
                <w:sz w:val="24"/>
                <w:szCs w:val="24"/>
                <w:lang w:eastAsia="lv-LV"/>
              </w:rPr>
              <w:t xml:space="preserve"> tādu maisījumu eksportā, kuri satur regulas Nr.</w:t>
            </w:r>
            <w:r w:rsidR="00D86BE8" w:rsidRPr="00964AEF">
              <w:rPr>
                <w:rFonts w:ascii="Times New Roman" w:eastAsia="Times New Roman" w:hAnsi="Times New Roman" w:cs="Times New Roman"/>
                <w:iCs/>
                <w:sz w:val="24"/>
                <w:szCs w:val="24"/>
                <w:lang w:eastAsia="lv-LV"/>
              </w:rPr>
              <w:t xml:space="preserve"> </w:t>
            </w:r>
            <w:r w:rsidR="00D42991" w:rsidRPr="00964AEF">
              <w:rPr>
                <w:rFonts w:ascii="Times New Roman" w:eastAsia="Times New Roman" w:hAnsi="Times New Roman" w:cs="Times New Roman"/>
                <w:iCs/>
                <w:sz w:val="24"/>
                <w:szCs w:val="24"/>
                <w:lang w:eastAsia="lv-LV"/>
              </w:rPr>
              <w:t>111/2005 pielikuma 3.</w:t>
            </w:r>
            <w:r w:rsidR="00D86BE8" w:rsidRPr="00964AEF">
              <w:rPr>
                <w:rFonts w:ascii="Times New Roman" w:eastAsia="Times New Roman" w:hAnsi="Times New Roman" w:cs="Times New Roman"/>
                <w:iCs/>
                <w:sz w:val="24"/>
                <w:szCs w:val="24"/>
                <w:lang w:eastAsia="lv-LV"/>
              </w:rPr>
              <w:t xml:space="preserve"> </w:t>
            </w:r>
            <w:r w:rsidR="00D42991" w:rsidRPr="00964AEF">
              <w:rPr>
                <w:rFonts w:ascii="Times New Roman" w:eastAsia="Times New Roman" w:hAnsi="Times New Roman" w:cs="Times New Roman"/>
                <w:iCs/>
                <w:sz w:val="24"/>
                <w:szCs w:val="24"/>
                <w:lang w:eastAsia="lv-LV"/>
              </w:rPr>
              <w:t>kategorijā uzskaitītos prekursorus, ja maisījumos ietvertais kopējais prekursoru daudzums iepriekšējā kalendārajā gadā pārsniedz regulas 2015/1011 1.</w:t>
            </w:r>
            <w:r w:rsidR="00D86BE8" w:rsidRPr="00964AEF">
              <w:rPr>
                <w:rFonts w:ascii="Times New Roman" w:eastAsia="Times New Roman" w:hAnsi="Times New Roman" w:cs="Times New Roman"/>
                <w:iCs/>
                <w:sz w:val="24"/>
                <w:szCs w:val="24"/>
                <w:lang w:eastAsia="lv-LV"/>
              </w:rPr>
              <w:t xml:space="preserve"> </w:t>
            </w:r>
            <w:r w:rsidR="00D42991" w:rsidRPr="00964AEF">
              <w:rPr>
                <w:rFonts w:ascii="Times New Roman" w:eastAsia="Times New Roman" w:hAnsi="Times New Roman" w:cs="Times New Roman"/>
                <w:iCs/>
                <w:sz w:val="24"/>
                <w:szCs w:val="24"/>
                <w:lang w:eastAsia="lv-LV"/>
              </w:rPr>
              <w:t>pielikumā noteiktos daudzumus.</w:t>
            </w:r>
          </w:p>
          <w:p w14:paraId="7EDBA624" w14:textId="4B81C21E" w:rsidR="00D42991" w:rsidRPr="00964AEF" w:rsidRDefault="00D42991" w:rsidP="00D42991">
            <w:pPr>
              <w:spacing w:after="0" w:line="240" w:lineRule="auto"/>
              <w:jc w:val="both"/>
              <w:rPr>
                <w:rFonts w:ascii="Times New Roman" w:eastAsia="Times New Roman" w:hAnsi="Times New Roman" w:cs="Times New Roman"/>
                <w:iCs/>
                <w:sz w:val="24"/>
                <w:szCs w:val="24"/>
                <w:lang w:eastAsia="lv-LV"/>
              </w:rPr>
            </w:pPr>
          </w:p>
          <w:p w14:paraId="4C00C94C" w14:textId="5467137B" w:rsidR="00D42991" w:rsidRPr="00964AEF" w:rsidRDefault="00D42991" w:rsidP="00D42991">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Lai pārliecinātos par prekursoru operatoru atbilstību projektā ietvertajām prasībām, Veselības inspekcija pirms licences izsniegšanas veic pārbaudi attiecīgajā objektā. Līdzīgi kā līdz šim, šī procedūra neattiecas uz reģistrāciju un darbībām ar 2.</w:t>
            </w:r>
            <w:r w:rsidR="00BD1F61"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kategorijas prekursoriem</w:t>
            </w:r>
            <w:r w:rsidR="00C97DD1" w:rsidRPr="00964AEF">
              <w:rPr>
                <w:rFonts w:ascii="Times New Roman" w:eastAsia="Times New Roman" w:hAnsi="Times New Roman" w:cs="Times New Roman"/>
                <w:iCs/>
                <w:sz w:val="24"/>
                <w:szCs w:val="24"/>
                <w:lang w:eastAsia="lv-LV"/>
              </w:rPr>
              <w:t>, jo tās ietver daudz mazākus riskus nekā darbības ar 1.</w:t>
            </w:r>
            <w:r w:rsidR="00BD1F61" w:rsidRPr="00964AEF">
              <w:rPr>
                <w:rFonts w:ascii="Times New Roman" w:eastAsia="Times New Roman" w:hAnsi="Times New Roman" w:cs="Times New Roman"/>
                <w:iCs/>
                <w:sz w:val="24"/>
                <w:szCs w:val="24"/>
                <w:lang w:eastAsia="lv-LV"/>
              </w:rPr>
              <w:t xml:space="preserve"> </w:t>
            </w:r>
            <w:r w:rsidR="00C97DD1" w:rsidRPr="00964AEF">
              <w:rPr>
                <w:rFonts w:ascii="Times New Roman" w:eastAsia="Times New Roman" w:hAnsi="Times New Roman" w:cs="Times New Roman"/>
                <w:iCs/>
                <w:sz w:val="24"/>
                <w:szCs w:val="24"/>
                <w:lang w:eastAsia="lv-LV"/>
              </w:rPr>
              <w:t>kategorijas prekursoriem</w:t>
            </w:r>
            <w:r w:rsidRPr="00964AEF">
              <w:rPr>
                <w:rFonts w:ascii="Times New Roman" w:eastAsia="Times New Roman" w:hAnsi="Times New Roman" w:cs="Times New Roman"/>
                <w:iCs/>
                <w:sz w:val="24"/>
                <w:szCs w:val="24"/>
                <w:lang w:eastAsia="lv-LV"/>
              </w:rPr>
              <w:t>.</w:t>
            </w:r>
          </w:p>
          <w:p w14:paraId="21CDB690" w14:textId="77777777" w:rsidR="00327448" w:rsidRPr="00964AEF" w:rsidRDefault="00327448" w:rsidP="00B8640A">
            <w:pPr>
              <w:spacing w:after="0" w:line="240" w:lineRule="auto"/>
              <w:jc w:val="both"/>
              <w:rPr>
                <w:rFonts w:ascii="Times New Roman" w:eastAsia="Times New Roman" w:hAnsi="Times New Roman" w:cs="Times New Roman"/>
                <w:iCs/>
                <w:sz w:val="24"/>
                <w:szCs w:val="24"/>
                <w:lang w:eastAsia="lv-LV"/>
              </w:rPr>
            </w:pPr>
          </w:p>
          <w:p w14:paraId="41B756A4" w14:textId="4A126F15" w:rsidR="00BD6AC0" w:rsidRPr="00964AEF" w:rsidRDefault="00C97DD1" w:rsidP="00C97DD1">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lastRenderedPageBreak/>
              <w:t>Zāļu valsts aģentūra</w:t>
            </w:r>
            <w:r w:rsidR="00A37276" w:rsidRPr="00964AEF">
              <w:rPr>
                <w:rFonts w:ascii="Times New Roman" w:eastAsia="Times New Roman" w:hAnsi="Times New Roman" w:cs="Times New Roman"/>
                <w:iCs/>
                <w:sz w:val="24"/>
                <w:szCs w:val="24"/>
                <w:lang w:eastAsia="lv-LV"/>
              </w:rPr>
              <w:t>,</w:t>
            </w:r>
            <w:r w:rsidRPr="00964AEF">
              <w:rPr>
                <w:rFonts w:ascii="Times New Roman" w:eastAsia="Times New Roman" w:hAnsi="Times New Roman" w:cs="Times New Roman"/>
                <w:iCs/>
                <w:sz w:val="24"/>
                <w:szCs w:val="24"/>
                <w:lang w:eastAsia="lv-LV"/>
              </w:rPr>
              <w:t xml:space="preserve"> pirms pieņemt lēmumu par licences  izsniegšanu vai par atteikumu izsniegt licenci un par personas reģistrāciju vai par atteikumu reģistrēt personu</w:t>
            </w:r>
            <w:r w:rsidR="00A37276" w:rsidRPr="00964AEF">
              <w:rPr>
                <w:rFonts w:ascii="Times New Roman" w:eastAsia="Times New Roman" w:hAnsi="Times New Roman" w:cs="Times New Roman"/>
                <w:iCs/>
                <w:sz w:val="24"/>
                <w:szCs w:val="24"/>
                <w:lang w:eastAsia="lv-LV"/>
              </w:rPr>
              <w:t>,</w:t>
            </w:r>
            <w:r w:rsidRPr="00964AEF">
              <w:rPr>
                <w:rFonts w:ascii="Times New Roman" w:eastAsia="Times New Roman" w:hAnsi="Times New Roman" w:cs="Times New Roman"/>
                <w:iCs/>
                <w:sz w:val="24"/>
                <w:szCs w:val="24"/>
                <w:lang w:eastAsia="lv-LV"/>
              </w:rPr>
              <w:t xml:space="preserve"> ne tikai novērtē iesniegto informāciju un pārliecinās, vai iesniegums atbilst </w:t>
            </w:r>
            <w:r w:rsidR="00D86BE8" w:rsidRPr="00964AEF">
              <w:rPr>
                <w:rFonts w:ascii="Times New Roman" w:eastAsia="Times New Roman" w:hAnsi="Times New Roman" w:cs="Times New Roman"/>
                <w:iCs/>
                <w:sz w:val="24"/>
                <w:szCs w:val="24"/>
                <w:lang w:eastAsia="lv-LV"/>
              </w:rPr>
              <w:t>Noteikumu p</w:t>
            </w:r>
            <w:r w:rsidRPr="00964AEF">
              <w:rPr>
                <w:rFonts w:ascii="Times New Roman" w:eastAsia="Times New Roman" w:hAnsi="Times New Roman" w:cs="Times New Roman"/>
                <w:iCs/>
                <w:sz w:val="24"/>
                <w:szCs w:val="24"/>
                <w:lang w:eastAsia="lv-LV"/>
              </w:rPr>
              <w:t xml:space="preserve">rojekta </w:t>
            </w:r>
            <w:r w:rsidR="00D86BE8" w:rsidRPr="00964AEF">
              <w:rPr>
                <w:rFonts w:ascii="Times New Roman" w:eastAsia="Times New Roman" w:hAnsi="Times New Roman" w:cs="Times New Roman"/>
                <w:iCs/>
                <w:sz w:val="24"/>
                <w:szCs w:val="24"/>
                <w:lang w:eastAsia="lv-LV"/>
              </w:rPr>
              <w:t>3</w:t>
            </w:r>
            <w:r w:rsidRPr="00964AEF">
              <w:rPr>
                <w:rFonts w:ascii="Times New Roman" w:eastAsia="Times New Roman" w:hAnsi="Times New Roman" w:cs="Times New Roman"/>
                <w:iCs/>
                <w:sz w:val="24"/>
                <w:szCs w:val="24"/>
                <w:lang w:eastAsia="lv-LV"/>
              </w:rPr>
              <w:t xml:space="preserve">. vai </w:t>
            </w:r>
            <w:r w:rsidR="00D86BE8" w:rsidRPr="00964AEF">
              <w:rPr>
                <w:rFonts w:ascii="Times New Roman" w:eastAsia="Times New Roman" w:hAnsi="Times New Roman" w:cs="Times New Roman"/>
                <w:iCs/>
                <w:sz w:val="24"/>
                <w:szCs w:val="24"/>
                <w:lang w:eastAsia="lv-LV"/>
              </w:rPr>
              <w:t>4</w:t>
            </w:r>
            <w:r w:rsidRPr="00964AEF">
              <w:rPr>
                <w:rFonts w:ascii="Times New Roman" w:eastAsia="Times New Roman" w:hAnsi="Times New Roman" w:cs="Times New Roman"/>
                <w:iCs/>
                <w:sz w:val="24"/>
                <w:szCs w:val="24"/>
                <w:lang w:eastAsia="lv-LV"/>
              </w:rPr>
              <w:t>.</w:t>
            </w:r>
            <w:r w:rsidR="00BD1F61"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punktā minētajiem nosacījumiem, bet arī Sodu reģistrā pārliecinās, ka iesniedzējs – fiziskā persona un  iesniedzēja – juridiskās personas – valdes locekļi, dalībnieki – fiziskās personas, prokūristi un pilnvarnieki nav sodīti par noziedzīgu nodarījumu, kā arī nav administratīvi sodīti par pārkāpumiem, kas saistīti ar narkotisko un psihotropo vielu, prekursoru vai neklasificēto vielu apriti.</w:t>
            </w:r>
            <w:r w:rsidR="00F87605" w:rsidRPr="00964AEF">
              <w:rPr>
                <w:rFonts w:ascii="Times New Roman" w:eastAsia="Times New Roman" w:hAnsi="Times New Roman" w:cs="Times New Roman"/>
                <w:iCs/>
                <w:sz w:val="24"/>
                <w:szCs w:val="24"/>
                <w:lang w:eastAsia="lv-LV"/>
              </w:rPr>
              <w:t xml:space="preserve"> </w:t>
            </w:r>
          </w:p>
          <w:p w14:paraId="048963AE" w14:textId="4C1DE10B" w:rsidR="00BD6AC0" w:rsidRPr="00964AEF" w:rsidRDefault="00F87605" w:rsidP="00145449">
            <w:pPr>
              <w:pStyle w:val="NoSpacing"/>
              <w:jc w:val="both"/>
              <w:rPr>
                <w:bCs/>
              </w:rPr>
            </w:pPr>
            <w:r w:rsidRPr="00964AEF">
              <w:rPr>
                <w:iCs/>
              </w:rPr>
              <w:t>Zāļu valsts aģentūrai ir nepieciešams iegūt šādu informāciju par minētajām fiziskajām personām, jo</w:t>
            </w:r>
            <w:r w:rsidR="00FA7F06" w:rsidRPr="00964AEF">
              <w:rPr>
                <w:iCs/>
              </w:rPr>
              <w:t xml:space="preserve"> </w:t>
            </w:r>
            <w:r w:rsidRPr="00964AEF">
              <w:rPr>
                <w:iCs/>
              </w:rPr>
              <w:t>g</w:t>
            </w:r>
            <w:r w:rsidR="00C97DD1" w:rsidRPr="00964AEF">
              <w:rPr>
                <w:iCs/>
              </w:rPr>
              <w:t>adījumā, ja kāda no uzskaitītajām personām ir bijusi sodīta par noziedzīgu nodarījumu vai  administratīvi sodīta par pārkāpumiem, kas saistīti ar narkotisko un psihotropo vielu, prekursoru vai neklasificēto vielu apriti, tas bū</w:t>
            </w:r>
            <w:r w:rsidRPr="00964AEF">
              <w:rPr>
                <w:iCs/>
              </w:rPr>
              <w:t>s</w:t>
            </w:r>
            <w:r w:rsidR="00C97DD1" w:rsidRPr="00964AEF">
              <w:rPr>
                <w:iCs/>
              </w:rPr>
              <w:t xml:space="preserve"> pamats licences iesniegšanas un reģistrācijas atteikumam</w:t>
            </w:r>
            <w:r w:rsidR="006F04F9" w:rsidRPr="00964AEF">
              <w:rPr>
                <w:iCs/>
              </w:rPr>
              <w:t xml:space="preserve"> saskaņā ar regulu 273/2004</w:t>
            </w:r>
            <w:r w:rsidR="00C97DD1" w:rsidRPr="00964AEF">
              <w:rPr>
                <w:iCs/>
              </w:rPr>
              <w:t>.</w:t>
            </w:r>
            <w:r w:rsidRPr="00964AEF">
              <w:rPr>
                <w:iCs/>
              </w:rPr>
              <w:t xml:space="preserve"> </w:t>
            </w:r>
            <w:r w:rsidR="00145449" w:rsidRPr="00964AEF">
              <w:rPr>
                <w:bCs/>
              </w:rPr>
              <w:t>Noteikumu projektā ir ietverta procesuāla norma par to, ka Zāļu valsts aģentūra pārliecinās par personas nesodāmības faktu. Minētā prasība izriet no regulas 2015/10</w:t>
            </w:r>
            <w:r w:rsidR="00642D92" w:rsidRPr="00964AEF">
              <w:rPr>
                <w:bCs/>
              </w:rPr>
              <w:t>1</w:t>
            </w:r>
            <w:r w:rsidR="00145449" w:rsidRPr="00964AEF">
              <w:rPr>
                <w:bCs/>
              </w:rPr>
              <w:t>1 3.</w:t>
            </w:r>
            <w:r w:rsidR="00FB34BA" w:rsidRPr="00964AEF">
              <w:rPr>
                <w:bCs/>
              </w:rPr>
              <w:t xml:space="preserve"> </w:t>
            </w:r>
            <w:r w:rsidR="00145449" w:rsidRPr="00964AEF">
              <w:rPr>
                <w:bCs/>
              </w:rPr>
              <w:t>panta 2.</w:t>
            </w:r>
            <w:r w:rsidR="00FB34BA" w:rsidRPr="00964AEF">
              <w:rPr>
                <w:bCs/>
              </w:rPr>
              <w:t xml:space="preserve"> </w:t>
            </w:r>
            <w:r w:rsidR="00145449" w:rsidRPr="00964AEF">
              <w:rPr>
                <w:bCs/>
              </w:rPr>
              <w:t xml:space="preserve">punkta, kas nosaka pienākumu iesniegt izziņu par nesodāmību. Savukārt nosacījumi licences izsniegšanai vai atteikumam izsniegšanai jau ir noteikti regulā 273/2004, pamatojot to ar faktu, ka ir runa par darbībām ar tādām vielām, kuras var izmantot nelikumīgai narkotisko vai psihotropo vielu izgatavošanai. </w:t>
            </w:r>
            <w:r w:rsidR="00BD6AC0" w:rsidRPr="00964AEF">
              <w:rPr>
                <w:bCs/>
              </w:rPr>
              <w:t>Ziņas no Sodu reģistra iegūstamas par jebkura veida noziedzīgiem nodarījumiem, jo:</w:t>
            </w:r>
          </w:p>
          <w:p w14:paraId="0B63A301" w14:textId="7340B57B" w:rsidR="00BD6AC0" w:rsidRPr="00964AEF" w:rsidRDefault="00BD6AC0" w:rsidP="00BD6AC0">
            <w:pPr>
              <w:pStyle w:val="NoSpacing"/>
              <w:jc w:val="both"/>
              <w:rPr>
                <w:bCs/>
              </w:rPr>
            </w:pPr>
            <w:r w:rsidRPr="00964AEF">
              <w:rPr>
                <w:bCs/>
              </w:rPr>
              <w:t xml:space="preserve">   1) </w:t>
            </w:r>
            <w:r w:rsidRPr="00964AEF">
              <w:rPr>
                <w:bCs/>
                <w:iCs/>
              </w:rPr>
              <w:t xml:space="preserve">Regulas Nr. 2015/1011 * </w:t>
            </w:r>
            <w:r w:rsidRPr="00964AEF">
              <w:rPr>
                <w:bCs/>
              </w:rPr>
              <w:t xml:space="preserve">3. panta 2. punkta norma nosaka licences piešķiršanas nosacījumu - xi) izziņu par attiecīgā uzņēmēja un atbildīgās amatpersonas </w:t>
            </w:r>
            <w:r w:rsidRPr="00964AEF">
              <w:rPr>
                <w:rStyle w:val="highlight"/>
                <w:bCs/>
              </w:rPr>
              <w:t>neso</w:t>
            </w:r>
            <w:r w:rsidRPr="00964AEF">
              <w:rPr>
                <w:bCs/>
              </w:rPr>
              <w:t xml:space="preserve">dāmību vai dokuments, kas apliecina, ka šīs personas spēj nodrošināt vajadzīgās garantijas darbību pareizai veikšanai, vai informācija, kas kompetentajai iestādei ļauj šādu dokumentu iegūt, </w:t>
            </w:r>
          </w:p>
          <w:p w14:paraId="37207015" w14:textId="314F429B" w:rsidR="00BD6AC0" w:rsidRPr="00964AEF" w:rsidRDefault="00BD6AC0" w:rsidP="00BD6AC0">
            <w:pPr>
              <w:pStyle w:val="NoSpacing"/>
              <w:jc w:val="both"/>
              <w:rPr>
                <w:rFonts w:eastAsia="Arial Unicode MS"/>
                <w:bCs/>
                <w:shd w:val="clear" w:color="auto" w:fill="FFFFFF"/>
              </w:rPr>
            </w:pPr>
            <w:r w:rsidRPr="00964AEF">
              <w:rPr>
                <w:bCs/>
              </w:rPr>
              <w:t xml:space="preserve">  2) atbilstoši Regulas Nr. 273/2004 ** 3.</w:t>
            </w:r>
            <w:r w:rsidR="00FB34BA" w:rsidRPr="00964AEF">
              <w:rPr>
                <w:bCs/>
              </w:rPr>
              <w:t xml:space="preserve"> </w:t>
            </w:r>
            <w:r w:rsidRPr="00964AEF">
              <w:rPr>
                <w:bCs/>
              </w:rPr>
              <w:t>panta 4. punkta normai, p</w:t>
            </w:r>
            <w:r w:rsidRPr="00964AEF">
              <w:rPr>
                <w:rFonts w:eastAsia="Arial Unicode MS" w:hint="eastAsia"/>
                <w:bCs/>
                <w:shd w:val="clear" w:color="auto" w:fill="FFFFFF"/>
              </w:rPr>
              <w:t>rasība piešķirt licenci ir noraidāma, ja ir pamats uzskatīt, ka pretendents vai par tirdzniecību atbildīgā persona nav piemērota vai uzticama</w:t>
            </w:r>
            <w:r w:rsidRPr="00964AEF">
              <w:rPr>
                <w:rFonts w:eastAsia="Arial Unicode MS"/>
                <w:bCs/>
                <w:shd w:val="clear" w:color="auto" w:fill="FFFFFF"/>
              </w:rPr>
              <w:t>,</w:t>
            </w:r>
          </w:p>
          <w:p w14:paraId="1E8CDC1B" w14:textId="4CCF1165" w:rsidR="00BD6AC0" w:rsidRPr="00964AEF" w:rsidRDefault="00BD6AC0" w:rsidP="00BD6AC0">
            <w:pPr>
              <w:pStyle w:val="NoSpacing"/>
              <w:jc w:val="both"/>
              <w:rPr>
                <w:rFonts w:eastAsia="Arial Unicode MS"/>
                <w:bCs/>
                <w:u w:val="single"/>
                <w:shd w:val="clear" w:color="auto" w:fill="FFFFFF"/>
              </w:rPr>
            </w:pPr>
            <w:r w:rsidRPr="00964AEF">
              <w:rPr>
                <w:bCs/>
              </w:rPr>
              <w:t xml:space="preserve">3) Regulas Nr. 111/2005 *** 6. un 7. panta norma nosaka, ka apsverot, vai piešķirt attiecīgi licenci </w:t>
            </w:r>
            <w:r w:rsidRPr="00964AEF">
              <w:rPr>
                <w:bCs/>
              </w:rPr>
              <w:lastRenderedPageBreak/>
              <w:t xml:space="preserve">vai reģistrāciju, kompetentā iestāde ņem vērā pretendenta kompetenci un godprātīgumu, jo īpaši to, ka nav konstatēti nopietni vai atkārtoti narkotisko vielu prekursoru jomas tiesību aktu pārkāpumi un </w:t>
            </w:r>
            <w:r w:rsidRPr="00964AEF">
              <w:rPr>
                <w:bCs/>
                <w:u w:val="single"/>
              </w:rPr>
              <w:t>ka nav fiksēti smagi noziedzīgi nodarījumi.</w:t>
            </w:r>
          </w:p>
          <w:p w14:paraId="359CE8AA" w14:textId="1AC66072" w:rsidR="00BD6AC0" w:rsidRPr="00964AEF" w:rsidRDefault="00BD6AC0" w:rsidP="00C97DD1">
            <w:pPr>
              <w:spacing w:after="0" w:line="240" w:lineRule="auto"/>
              <w:jc w:val="both"/>
              <w:rPr>
                <w:rFonts w:ascii="Times New Roman" w:eastAsia="Times New Roman" w:hAnsi="Times New Roman" w:cs="Times New Roman"/>
                <w:iCs/>
                <w:sz w:val="24"/>
                <w:szCs w:val="24"/>
                <w:lang w:eastAsia="lv-LV"/>
              </w:rPr>
            </w:pPr>
          </w:p>
          <w:p w14:paraId="56230C54" w14:textId="403C558A" w:rsidR="00F82CFE" w:rsidRPr="00964AEF" w:rsidRDefault="00F87605" w:rsidP="00C97DD1">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Zāļu valsts aģentūra šobrīd, pamatojoties uz līgumu, kas noslēgts ar Iekšlietu ministrijas Informācijas centru, pastāvīgi iegūst datus no Sodu reģistra.</w:t>
            </w:r>
            <w:r w:rsidR="00796207" w:rsidRPr="00964AEF">
              <w:rPr>
                <w:rFonts w:ascii="Times New Roman" w:eastAsia="Times New Roman" w:hAnsi="Times New Roman" w:cs="Times New Roman"/>
                <w:iCs/>
                <w:sz w:val="24"/>
                <w:szCs w:val="24"/>
                <w:lang w:eastAsia="lv-LV"/>
              </w:rPr>
              <w:t xml:space="preserve"> Zāļu valsts aģentūra garantē to personu, par kurām tiks iegūti dati no Sodu reģistra, tiesību un brīvību ievērošanu</w:t>
            </w:r>
            <w:r w:rsidR="003E2649" w:rsidRPr="00964AEF">
              <w:rPr>
                <w:rFonts w:ascii="Times New Roman" w:eastAsia="Times New Roman" w:hAnsi="Times New Roman" w:cs="Times New Roman"/>
                <w:iCs/>
                <w:sz w:val="24"/>
                <w:szCs w:val="24"/>
                <w:lang w:eastAsia="lv-LV"/>
              </w:rPr>
              <w:t xml:space="preserve"> – dati tiks apstrādāti, ievērojot Fizisko personu datu apstrādes likuma un Eiropas Parlamenta un Padomes 2016. gada 27. aprīļa Regulas (ES) 2016/679 par fizisku personu aizsardzību attiecībā uz personas datu apstrādi un šādu datu brīvu apriti un ar ko atceļ Direktīvu 95/46/EK prasības</w:t>
            </w:r>
            <w:r w:rsidR="00796207" w:rsidRPr="00964AEF">
              <w:rPr>
                <w:rFonts w:ascii="Times New Roman" w:eastAsia="Times New Roman" w:hAnsi="Times New Roman" w:cs="Times New Roman"/>
                <w:iCs/>
                <w:sz w:val="24"/>
                <w:szCs w:val="24"/>
                <w:lang w:eastAsia="lv-LV"/>
              </w:rPr>
              <w:t>.</w:t>
            </w:r>
          </w:p>
          <w:p w14:paraId="2FA06D80" w14:textId="77777777" w:rsidR="006F04F9" w:rsidRPr="00964AEF" w:rsidRDefault="006F04F9" w:rsidP="00C97DD1">
            <w:pPr>
              <w:spacing w:after="0" w:line="240" w:lineRule="auto"/>
              <w:jc w:val="both"/>
              <w:rPr>
                <w:rFonts w:ascii="Times New Roman" w:eastAsia="Times New Roman" w:hAnsi="Times New Roman" w:cs="Times New Roman"/>
                <w:iCs/>
                <w:sz w:val="24"/>
                <w:szCs w:val="24"/>
                <w:lang w:eastAsia="lv-LV"/>
              </w:rPr>
            </w:pPr>
          </w:p>
          <w:p w14:paraId="75EAC7DE" w14:textId="48BB0575" w:rsidR="006F04F9" w:rsidRPr="00964AEF" w:rsidRDefault="006F04F9" w:rsidP="00C97DD1">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Licenci un dokumentu par personas reģistrāciju izsniedz atbilstoši regulas Nr.2015/1013 1. un 2.</w:t>
            </w:r>
            <w:r w:rsidR="00FB34BA"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pielikumā noteiktam paraugam</w:t>
            </w:r>
            <w:r w:rsidR="00621CEA" w:rsidRPr="00964AEF">
              <w:rPr>
                <w:rFonts w:ascii="Times New Roman" w:eastAsia="Times New Roman" w:hAnsi="Times New Roman" w:cs="Times New Roman"/>
                <w:iCs/>
                <w:sz w:val="24"/>
                <w:szCs w:val="24"/>
                <w:lang w:eastAsia="lv-LV"/>
              </w:rPr>
              <w:t>.</w:t>
            </w:r>
            <w:r w:rsidRPr="00964AEF">
              <w:rPr>
                <w:rFonts w:ascii="Times New Roman" w:eastAsia="Times New Roman" w:hAnsi="Times New Roman" w:cs="Times New Roman"/>
                <w:iCs/>
                <w:sz w:val="24"/>
                <w:szCs w:val="24"/>
                <w:lang w:eastAsia="lv-LV"/>
              </w:rPr>
              <w:t xml:space="preserve"> </w:t>
            </w:r>
            <w:r w:rsidR="00621CEA" w:rsidRPr="00964AEF">
              <w:rPr>
                <w:rFonts w:ascii="Times New Roman" w:eastAsia="Times New Roman" w:hAnsi="Times New Roman" w:cs="Times New Roman"/>
                <w:iCs/>
                <w:sz w:val="24"/>
                <w:szCs w:val="24"/>
                <w:lang w:eastAsia="lv-LV"/>
              </w:rPr>
              <w:t>L</w:t>
            </w:r>
            <w:r w:rsidRPr="00964AEF">
              <w:rPr>
                <w:rFonts w:ascii="Times New Roman" w:eastAsia="Times New Roman" w:hAnsi="Times New Roman" w:cs="Times New Roman"/>
                <w:iCs/>
                <w:sz w:val="24"/>
                <w:szCs w:val="24"/>
                <w:lang w:eastAsia="lv-LV"/>
              </w:rPr>
              <w:t>ēmumu</w:t>
            </w:r>
            <w:r w:rsidR="00621CEA" w:rsidRPr="00964AEF">
              <w:rPr>
                <w:rFonts w:ascii="Times New Roman" w:eastAsia="Times New Roman" w:hAnsi="Times New Roman" w:cs="Times New Roman"/>
                <w:iCs/>
                <w:sz w:val="24"/>
                <w:szCs w:val="24"/>
                <w:lang w:eastAsia="lv-LV"/>
              </w:rPr>
              <w:t xml:space="preserve"> par licences piešķiršanu un reģistrāciju, kā arī lēmumu</w:t>
            </w:r>
            <w:r w:rsidRPr="00964AEF">
              <w:rPr>
                <w:rFonts w:ascii="Times New Roman" w:eastAsia="Times New Roman" w:hAnsi="Times New Roman" w:cs="Times New Roman"/>
                <w:iCs/>
                <w:sz w:val="24"/>
                <w:szCs w:val="24"/>
                <w:lang w:eastAsia="lv-LV"/>
              </w:rPr>
              <w:t xml:space="preserve"> par  atteikumu izsniegt licenci un lēmumu par atteikumu reģistrēt personu elektronisk</w:t>
            </w:r>
            <w:r w:rsidR="00621CEA" w:rsidRPr="00964AEF">
              <w:rPr>
                <w:rFonts w:ascii="Times New Roman" w:eastAsia="Times New Roman" w:hAnsi="Times New Roman" w:cs="Times New Roman"/>
                <w:iCs/>
                <w:sz w:val="24"/>
                <w:szCs w:val="24"/>
                <w:lang w:eastAsia="lv-LV"/>
              </w:rPr>
              <w:t>i</w:t>
            </w:r>
            <w:r w:rsidRPr="00964AEF">
              <w:rPr>
                <w:rFonts w:ascii="Times New Roman" w:eastAsia="Times New Roman" w:hAnsi="Times New Roman" w:cs="Times New Roman"/>
                <w:iCs/>
                <w:sz w:val="24"/>
                <w:szCs w:val="24"/>
                <w:lang w:eastAsia="lv-LV"/>
              </w:rPr>
              <w:t xml:space="preserve"> nosūt</w:t>
            </w:r>
            <w:r w:rsidR="00621CEA" w:rsidRPr="00964AEF">
              <w:rPr>
                <w:rFonts w:ascii="Times New Roman" w:eastAsia="Times New Roman" w:hAnsi="Times New Roman" w:cs="Times New Roman"/>
                <w:iCs/>
                <w:sz w:val="24"/>
                <w:szCs w:val="24"/>
                <w:lang w:eastAsia="lv-LV"/>
              </w:rPr>
              <w:t>a</w:t>
            </w:r>
            <w:r w:rsidRPr="00964AEF">
              <w:rPr>
                <w:rFonts w:ascii="Times New Roman" w:eastAsia="Times New Roman" w:hAnsi="Times New Roman" w:cs="Times New Roman"/>
                <w:iCs/>
                <w:sz w:val="24"/>
                <w:szCs w:val="24"/>
                <w:lang w:eastAsia="lv-LV"/>
              </w:rPr>
              <w:t xml:space="preserve"> iesniedzēja</w:t>
            </w:r>
            <w:r w:rsidR="00621CEA" w:rsidRPr="00964AEF">
              <w:rPr>
                <w:rFonts w:ascii="Times New Roman" w:eastAsia="Times New Roman" w:hAnsi="Times New Roman" w:cs="Times New Roman"/>
                <w:iCs/>
                <w:sz w:val="24"/>
                <w:szCs w:val="24"/>
                <w:lang w:eastAsia="lv-LV"/>
              </w:rPr>
              <w:t>m.</w:t>
            </w:r>
            <w:r w:rsidRPr="00964AEF">
              <w:rPr>
                <w:rFonts w:ascii="Times New Roman" w:eastAsia="Times New Roman" w:hAnsi="Times New Roman" w:cs="Times New Roman"/>
                <w:iCs/>
                <w:sz w:val="24"/>
                <w:szCs w:val="24"/>
                <w:lang w:eastAsia="lv-LV"/>
              </w:rPr>
              <w:t xml:space="preserve"> </w:t>
            </w:r>
            <w:r w:rsidR="00621CEA" w:rsidRPr="00964AEF">
              <w:rPr>
                <w:rFonts w:ascii="Times New Roman" w:eastAsia="Times New Roman" w:hAnsi="Times New Roman" w:cs="Times New Roman"/>
                <w:iCs/>
                <w:sz w:val="24"/>
                <w:szCs w:val="24"/>
                <w:lang w:eastAsia="lv-LV"/>
              </w:rPr>
              <w:t>O</w:t>
            </w:r>
            <w:r w:rsidR="00621CEA" w:rsidRPr="00964AEF">
              <w:rPr>
                <w:rFonts w:ascii="Times New Roman" w:hAnsi="Times New Roman"/>
                <w:sz w:val="24"/>
                <w:szCs w:val="24"/>
              </w:rPr>
              <w:t>ficiālā elektroniskā adrese tiek noteikta kā primārais saziņas kanāls gadījumā, ja persona ir to aktivizējusi.</w:t>
            </w:r>
          </w:p>
          <w:p w14:paraId="3D07A7ED" w14:textId="77777777" w:rsidR="006F04F9" w:rsidRPr="00964AEF" w:rsidRDefault="006F04F9" w:rsidP="00C97DD1">
            <w:pPr>
              <w:spacing w:after="0" w:line="240" w:lineRule="auto"/>
              <w:jc w:val="both"/>
              <w:rPr>
                <w:rFonts w:ascii="Times New Roman" w:eastAsia="Times New Roman" w:hAnsi="Times New Roman" w:cs="Times New Roman"/>
                <w:iCs/>
                <w:sz w:val="24"/>
                <w:szCs w:val="24"/>
                <w:lang w:eastAsia="lv-LV"/>
              </w:rPr>
            </w:pPr>
          </w:p>
          <w:p w14:paraId="08D5CB76" w14:textId="77777777" w:rsidR="006F04F9" w:rsidRPr="00964AEF" w:rsidRDefault="006F04F9" w:rsidP="00C97DD1">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Dokumentu izskatīšana licences saņemšanai un reģistrācijai ir Zāļu valsts aģentūras maksas pakalpojums, un šī pakalpojuma cena jau šobrīd ir noteikta Zāļu valsts aģentūras maksas pakalpojumu cenrādī.</w:t>
            </w:r>
          </w:p>
          <w:p w14:paraId="35876654" w14:textId="77777777" w:rsidR="00791CCC" w:rsidRPr="00964AEF" w:rsidRDefault="00791CCC" w:rsidP="00C97DD1">
            <w:pPr>
              <w:spacing w:after="0" w:line="240" w:lineRule="auto"/>
              <w:jc w:val="both"/>
              <w:rPr>
                <w:rFonts w:ascii="Times New Roman" w:eastAsia="Times New Roman" w:hAnsi="Times New Roman" w:cs="Times New Roman"/>
                <w:iCs/>
                <w:sz w:val="24"/>
                <w:szCs w:val="24"/>
                <w:lang w:eastAsia="lv-LV"/>
              </w:rPr>
            </w:pPr>
          </w:p>
          <w:p w14:paraId="783FB0D7" w14:textId="28B0BA97" w:rsidR="00D55C06" w:rsidRPr="00964AEF" w:rsidRDefault="00FB34BA" w:rsidP="00D55C06">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[4] Noteikumu p</w:t>
            </w:r>
            <w:r w:rsidR="00D55C06" w:rsidRPr="00964AEF">
              <w:rPr>
                <w:rFonts w:ascii="Times New Roman" w:eastAsia="Times New Roman" w:hAnsi="Times New Roman" w:cs="Times New Roman"/>
                <w:iCs/>
                <w:sz w:val="24"/>
                <w:szCs w:val="24"/>
                <w:lang w:eastAsia="lv-LV"/>
              </w:rPr>
              <w:t>rojek</w:t>
            </w:r>
            <w:r w:rsidR="00EF3ED1" w:rsidRPr="00964AEF">
              <w:rPr>
                <w:rFonts w:ascii="Times New Roman" w:eastAsia="Times New Roman" w:hAnsi="Times New Roman" w:cs="Times New Roman"/>
                <w:iCs/>
                <w:sz w:val="24"/>
                <w:szCs w:val="24"/>
                <w:lang w:eastAsia="lv-LV"/>
              </w:rPr>
              <w:t>tā</w:t>
            </w:r>
            <w:r w:rsidR="00D55C06" w:rsidRPr="00964AEF">
              <w:rPr>
                <w:rFonts w:ascii="Times New Roman" w:eastAsia="Times New Roman" w:hAnsi="Times New Roman" w:cs="Times New Roman"/>
                <w:iCs/>
                <w:sz w:val="24"/>
                <w:szCs w:val="24"/>
                <w:lang w:eastAsia="lv-LV"/>
              </w:rPr>
              <w:t xml:space="preserve"> paredz</w:t>
            </w:r>
            <w:r w:rsidRPr="00964AEF">
              <w:rPr>
                <w:rFonts w:ascii="Times New Roman" w:eastAsia="Times New Roman" w:hAnsi="Times New Roman" w:cs="Times New Roman"/>
                <w:iCs/>
                <w:sz w:val="24"/>
                <w:szCs w:val="24"/>
                <w:lang w:eastAsia="lv-LV"/>
              </w:rPr>
              <w:t>ēts</w:t>
            </w:r>
            <w:r w:rsidR="00D55C06" w:rsidRPr="00964AEF">
              <w:rPr>
                <w:rFonts w:ascii="Times New Roman" w:eastAsia="Times New Roman" w:hAnsi="Times New Roman" w:cs="Times New Roman"/>
                <w:iCs/>
                <w:sz w:val="24"/>
                <w:szCs w:val="24"/>
                <w:lang w:eastAsia="lv-LV"/>
              </w:rPr>
              <w:t xml:space="preserve">, ka Zāļu valsts aģentūra savā tīmekļa vietnē </w:t>
            </w:r>
            <w:r w:rsidR="00094D20">
              <w:rPr>
                <w:rFonts w:ascii="Times New Roman" w:eastAsia="Times New Roman" w:hAnsi="Times New Roman" w:cs="Times New Roman"/>
                <w:iCs/>
                <w:sz w:val="24"/>
                <w:szCs w:val="24"/>
                <w:lang w:eastAsia="lv-LV"/>
              </w:rPr>
              <w:t xml:space="preserve">tāpat kā līdz šim </w:t>
            </w:r>
            <w:r w:rsidR="00D46248" w:rsidRPr="00964AEF">
              <w:rPr>
                <w:rFonts w:ascii="Times New Roman" w:eastAsia="Times New Roman" w:hAnsi="Times New Roman" w:cs="Times New Roman"/>
                <w:iCs/>
                <w:sz w:val="24"/>
                <w:szCs w:val="24"/>
                <w:lang w:eastAsia="lv-LV"/>
              </w:rPr>
              <w:t xml:space="preserve">publicē </w:t>
            </w:r>
            <w:r w:rsidR="00D55C06" w:rsidRPr="00964AEF">
              <w:rPr>
                <w:rFonts w:ascii="Times New Roman" w:eastAsia="Times New Roman" w:hAnsi="Times New Roman" w:cs="Times New Roman"/>
                <w:iCs/>
                <w:sz w:val="24"/>
                <w:szCs w:val="24"/>
                <w:lang w:eastAsia="lv-LV"/>
              </w:rPr>
              <w:t>informāciju</w:t>
            </w:r>
            <w:r w:rsidR="00D46248" w:rsidRPr="00964AEF">
              <w:rPr>
                <w:rFonts w:ascii="Times New Roman" w:eastAsia="Times New Roman" w:hAnsi="Times New Roman" w:cs="Times New Roman"/>
                <w:iCs/>
                <w:sz w:val="24"/>
                <w:szCs w:val="24"/>
                <w:lang w:eastAsia="lv-LV"/>
              </w:rPr>
              <w:t xml:space="preserve"> par licenču saņēmējiem un reģistrētajām personām nolūkā sniegt iespēju darījuma dalībniekiem pārliecināties, vai otra darījuma puse ir attiecīgi saņēmusi licenci vai ir reģistrēta, jo regulas 273/2004 un 111/2005 darījumus ar prekursoriem pieļauj tikai starp licencētiem un reģistrētiem komersantiem.</w:t>
            </w:r>
          </w:p>
          <w:p w14:paraId="22DA5334" w14:textId="2CB6BF38" w:rsidR="00CA05FA" w:rsidRPr="00964AEF" w:rsidRDefault="00CA05FA" w:rsidP="00D55C06">
            <w:pPr>
              <w:spacing w:after="0" w:line="240" w:lineRule="auto"/>
              <w:jc w:val="both"/>
              <w:rPr>
                <w:rFonts w:ascii="Times New Roman" w:eastAsia="Times New Roman" w:hAnsi="Times New Roman" w:cs="Times New Roman"/>
                <w:iCs/>
                <w:sz w:val="24"/>
                <w:szCs w:val="24"/>
                <w:lang w:eastAsia="lv-LV"/>
              </w:rPr>
            </w:pPr>
          </w:p>
          <w:p w14:paraId="6A9FDB38" w14:textId="65C62BE6" w:rsidR="00D87E22" w:rsidRPr="00964AEF" w:rsidRDefault="00842E9B" w:rsidP="00D55C06">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Lai nodrošinātu, ka Zāļu valsts aģentūr</w:t>
            </w:r>
            <w:r w:rsidR="00940B2A" w:rsidRPr="00964AEF">
              <w:rPr>
                <w:rFonts w:ascii="Times New Roman" w:eastAsia="Times New Roman" w:hAnsi="Times New Roman" w:cs="Times New Roman"/>
                <w:iCs/>
                <w:sz w:val="24"/>
                <w:szCs w:val="24"/>
                <w:lang w:eastAsia="lv-LV"/>
              </w:rPr>
              <w:t>a</w:t>
            </w:r>
            <w:r w:rsidRPr="00964AEF">
              <w:rPr>
                <w:rFonts w:ascii="Times New Roman" w:eastAsia="Times New Roman" w:hAnsi="Times New Roman" w:cs="Times New Roman"/>
                <w:iCs/>
                <w:sz w:val="24"/>
                <w:szCs w:val="24"/>
                <w:lang w:eastAsia="lv-LV"/>
              </w:rPr>
              <w:t>s tīmekļvietnē tiek atspoguļota aktuālā informācija</w:t>
            </w:r>
            <w:r w:rsidR="001D6897" w:rsidRPr="00964AEF">
              <w:rPr>
                <w:rFonts w:ascii="Times New Roman" w:eastAsia="Times New Roman" w:hAnsi="Times New Roman" w:cs="Times New Roman"/>
                <w:iCs/>
                <w:sz w:val="24"/>
                <w:szCs w:val="24"/>
                <w:lang w:eastAsia="lv-LV"/>
              </w:rPr>
              <w:t xml:space="preserve"> par licenču saņēmējiem un reģistrētām </w:t>
            </w:r>
            <w:r w:rsidR="00EE7A6C" w:rsidRPr="00964AEF">
              <w:rPr>
                <w:rFonts w:ascii="Times New Roman" w:eastAsia="Times New Roman" w:hAnsi="Times New Roman" w:cs="Times New Roman"/>
                <w:iCs/>
                <w:sz w:val="24"/>
                <w:szCs w:val="24"/>
                <w:lang w:eastAsia="lv-LV"/>
              </w:rPr>
              <w:t>personām</w:t>
            </w:r>
            <w:r w:rsidRPr="00964AEF">
              <w:rPr>
                <w:rFonts w:ascii="Times New Roman" w:eastAsia="Times New Roman" w:hAnsi="Times New Roman" w:cs="Times New Roman"/>
                <w:iCs/>
                <w:sz w:val="24"/>
                <w:szCs w:val="24"/>
                <w:lang w:eastAsia="lv-LV"/>
              </w:rPr>
              <w:t xml:space="preserve">, </w:t>
            </w:r>
            <w:r w:rsidR="00940B2A" w:rsidRPr="00964AEF">
              <w:rPr>
                <w:rFonts w:ascii="Times New Roman" w:eastAsia="Times New Roman" w:hAnsi="Times New Roman" w:cs="Times New Roman"/>
                <w:iCs/>
                <w:sz w:val="24"/>
                <w:szCs w:val="24"/>
                <w:lang w:eastAsia="lv-LV"/>
              </w:rPr>
              <w:t>N</w:t>
            </w:r>
            <w:r w:rsidRPr="00964AEF">
              <w:rPr>
                <w:rFonts w:ascii="Times New Roman" w:eastAsia="Times New Roman" w:hAnsi="Times New Roman" w:cs="Times New Roman"/>
                <w:iCs/>
                <w:sz w:val="24"/>
                <w:szCs w:val="24"/>
                <w:lang w:eastAsia="lv-LV"/>
              </w:rPr>
              <w:t xml:space="preserve">oteikumu projekts paredz </w:t>
            </w:r>
            <w:r w:rsidR="00426829" w:rsidRPr="00964AEF">
              <w:rPr>
                <w:rFonts w:ascii="Times New Roman" w:eastAsia="Times New Roman" w:hAnsi="Times New Roman" w:cs="Times New Roman"/>
                <w:iCs/>
                <w:sz w:val="24"/>
                <w:szCs w:val="24"/>
                <w:lang w:eastAsia="lv-LV"/>
              </w:rPr>
              <w:t xml:space="preserve">pienākumu </w:t>
            </w:r>
            <w:r w:rsidR="00FE1494" w:rsidRPr="00964AEF">
              <w:rPr>
                <w:rFonts w:ascii="Times New Roman" w:eastAsia="Times New Roman" w:hAnsi="Times New Roman" w:cs="Times New Roman"/>
                <w:iCs/>
                <w:sz w:val="24"/>
                <w:szCs w:val="24"/>
                <w:lang w:eastAsia="lv-LV"/>
              </w:rPr>
              <w:t>licenču saņēmēj</w:t>
            </w:r>
            <w:r w:rsidR="00D87E22" w:rsidRPr="00964AEF">
              <w:rPr>
                <w:rFonts w:ascii="Times New Roman" w:eastAsia="Times New Roman" w:hAnsi="Times New Roman" w:cs="Times New Roman"/>
                <w:iCs/>
                <w:sz w:val="24"/>
                <w:szCs w:val="24"/>
                <w:lang w:eastAsia="lv-LV"/>
              </w:rPr>
              <w:t>iem</w:t>
            </w:r>
            <w:r w:rsidR="00EE7A6C" w:rsidRPr="00964AEF">
              <w:rPr>
                <w:rFonts w:ascii="Times New Roman" w:eastAsia="Times New Roman" w:hAnsi="Times New Roman" w:cs="Times New Roman"/>
                <w:iCs/>
                <w:sz w:val="24"/>
                <w:szCs w:val="24"/>
                <w:lang w:eastAsia="lv-LV"/>
              </w:rPr>
              <w:t xml:space="preserve"> rakstveidā informēt Zāļu valsts </w:t>
            </w:r>
            <w:r w:rsidR="00EE7A6C" w:rsidRPr="00964AEF">
              <w:rPr>
                <w:rFonts w:ascii="Times New Roman" w:eastAsia="Times New Roman" w:hAnsi="Times New Roman" w:cs="Times New Roman"/>
                <w:iCs/>
                <w:sz w:val="24"/>
                <w:szCs w:val="24"/>
                <w:lang w:eastAsia="lv-LV"/>
              </w:rPr>
              <w:lastRenderedPageBreak/>
              <w:t xml:space="preserve">aģentūru par izmaiņām to kontaktinformācijā vai </w:t>
            </w:r>
            <w:r w:rsidR="00CD6CE3" w:rsidRPr="00964AEF">
              <w:rPr>
                <w:rFonts w:ascii="Times New Roman" w:eastAsia="Times New Roman" w:hAnsi="Times New Roman" w:cs="Times New Roman"/>
                <w:iCs/>
                <w:sz w:val="24"/>
                <w:szCs w:val="24"/>
                <w:lang w:eastAsia="lv-LV"/>
              </w:rPr>
              <w:t xml:space="preserve">par </w:t>
            </w:r>
            <w:r w:rsidR="00C93CD9" w:rsidRPr="00964AEF">
              <w:rPr>
                <w:rFonts w:ascii="Times New Roman" w:eastAsia="Times New Roman" w:hAnsi="Times New Roman" w:cs="Times New Roman"/>
                <w:iCs/>
                <w:sz w:val="24"/>
                <w:szCs w:val="24"/>
                <w:lang w:eastAsia="lv-LV"/>
              </w:rPr>
              <w:t>prekursoru aprites uzraudzību atbildīgās personas kontaktinformācijā.</w:t>
            </w:r>
          </w:p>
          <w:p w14:paraId="2EFCC6B9" w14:textId="77777777" w:rsidR="00791CCC" w:rsidRPr="00964AEF" w:rsidRDefault="00791CCC" w:rsidP="00D55C06">
            <w:pPr>
              <w:spacing w:after="0" w:line="240" w:lineRule="auto"/>
              <w:jc w:val="both"/>
              <w:rPr>
                <w:rFonts w:ascii="Times New Roman" w:eastAsia="Times New Roman" w:hAnsi="Times New Roman" w:cs="Times New Roman"/>
                <w:iCs/>
                <w:sz w:val="24"/>
                <w:szCs w:val="24"/>
                <w:lang w:eastAsia="lv-LV"/>
              </w:rPr>
            </w:pPr>
          </w:p>
          <w:p w14:paraId="3A6BE4BB" w14:textId="50BFD2FF" w:rsidR="00D46248" w:rsidRPr="00964AEF" w:rsidRDefault="00FB34BA" w:rsidP="00D55C06">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[5] Noteikumu p</w:t>
            </w:r>
            <w:r w:rsidR="00DD479A" w:rsidRPr="00964AEF">
              <w:rPr>
                <w:rFonts w:ascii="Times New Roman" w:eastAsia="Times New Roman" w:hAnsi="Times New Roman" w:cs="Times New Roman"/>
                <w:iCs/>
                <w:sz w:val="24"/>
                <w:szCs w:val="24"/>
                <w:lang w:eastAsia="lv-LV"/>
              </w:rPr>
              <w:t>rojekt</w:t>
            </w:r>
            <w:r w:rsidRPr="00964AEF">
              <w:rPr>
                <w:rFonts w:ascii="Times New Roman" w:eastAsia="Times New Roman" w:hAnsi="Times New Roman" w:cs="Times New Roman"/>
                <w:iCs/>
                <w:sz w:val="24"/>
                <w:szCs w:val="24"/>
                <w:lang w:eastAsia="lv-LV"/>
              </w:rPr>
              <w:t>ā</w:t>
            </w:r>
            <w:r w:rsidR="00DD479A" w:rsidRPr="00964AEF">
              <w:rPr>
                <w:rFonts w:ascii="Times New Roman" w:eastAsia="Times New Roman" w:hAnsi="Times New Roman" w:cs="Times New Roman"/>
                <w:iCs/>
                <w:sz w:val="24"/>
                <w:szCs w:val="24"/>
                <w:lang w:eastAsia="lv-LV"/>
              </w:rPr>
              <w:t xml:space="preserve"> paredz</w:t>
            </w:r>
            <w:r w:rsidRPr="00964AEF">
              <w:rPr>
                <w:rFonts w:ascii="Times New Roman" w:eastAsia="Times New Roman" w:hAnsi="Times New Roman" w:cs="Times New Roman"/>
                <w:iCs/>
                <w:sz w:val="24"/>
                <w:szCs w:val="24"/>
                <w:lang w:eastAsia="lv-LV"/>
              </w:rPr>
              <w:t>ēts</w:t>
            </w:r>
            <w:r w:rsidR="00DD479A" w:rsidRPr="00964AEF">
              <w:rPr>
                <w:rFonts w:ascii="Times New Roman" w:eastAsia="Times New Roman" w:hAnsi="Times New Roman" w:cs="Times New Roman"/>
                <w:iCs/>
                <w:sz w:val="24"/>
                <w:szCs w:val="24"/>
                <w:lang w:eastAsia="lv-LV"/>
              </w:rPr>
              <w:t>, ka prekursoru operatoram un prekursoru lietotājam ir jāuzglabā prekursorus atsevišķā slēdzamā telpā ar signalizāciju, kas savienota ar centralizēto apsardzes tīklu, slēdzamā metāla skapī vai seifā, kas piestiprināts pie sienas vai grīdas, bet, ja vielas apjomu vai īpašību dēļ tas nav iespējams, prekursorus var arī uzglabāt tvertnēs vai tilpnēs, ja pieeja šīm tvertnēm un tilpnēm ir nodrošināta tikai ierobežotam personu lokam. Šādas prasības ir nepieciešamas, lai pēc iespējas samazinātu risku, ka prekursorus varētu nozagt vai piesavināties.</w:t>
            </w:r>
          </w:p>
          <w:p w14:paraId="79F68A04" w14:textId="0219ACD3" w:rsidR="00DD479A" w:rsidRPr="00964AEF" w:rsidRDefault="00DD479A" w:rsidP="00D55C06">
            <w:pPr>
              <w:spacing w:after="0" w:line="240" w:lineRule="auto"/>
              <w:jc w:val="both"/>
              <w:rPr>
                <w:rFonts w:ascii="Times New Roman" w:eastAsia="Times New Roman" w:hAnsi="Times New Roman" w:cs="Times New Roman"/>
                <w:iCs/>
                <w:sz w:val="24"/>
                <w:szCs w:val="24"/>
                <w:lang w:eastAsia="lv-LV"/>
              </w:rPr>
            </w:pPr>
          </w:p>
          <w:p w14:paraId="2E07C763" w14:textId="1D9134BF" w:rsidR="00DD479A" w:rsidRPr="00964AEF" w:rsidRDefault="0010395D" w:rsidP="00D55C06">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Pamati licences un reģistrācijas apturēšanai un anulēšanai ir noteikti regulās 273/2004 un 111/2005</w:t>
            </w:r>
            <w:r w:rsidR="00E1303E" w:rsidRPr="00964AEF">
              <w:rPr>
                <w:rFonts w:ascii="Times New Roman" w:eastAsia="Times New Roman" w:hAnsi="Times New Roman" w:cs="Times New Roman"/>
                <w:iCs/>
                <w:sz w:val="24"/>
                <w:szCs w:val="24"/>
                <w:lang w:eastAsia="lv-LV"/>
              </w:rPr>
              <w:t>.</w:t>
            </w:r>
          </w:p>
          <w:p w14:paraId="66A14133" w14:textId="534F3C1C" w:rsidR="00A4452F" w:rsidRPr="00964AEF" w:rsidRDefault="00A4452F" w:rsidP="00D55C06">
            <w:pPr>
              <w:spacing w:after="0" w:line="240" w:lineRule="auto"/>
              <w:jc w:val="both"/>
              <w:rPr>
                <w:rFonts w:ascii="Times New Roman" w:eastAsia="Times New Roman" w:hAnsi="Times New Roman" w:cs="Times New Roman"/>
                <w:iCs/>
                <w:sz w:val="24"/>
                <w:szCs w:val="24"/>
                <w:lang w:eastAsia="lv-LV"/>
              </w:rPr>
            </w:pPr>
          </w:p>
          <w:p w14:paraId="21C1DE4F" w14:textId="21C99568" w:rsidR="00A4452F" w:rsidRPr="00964AEF" w:rsidRDefault="00D86BE8" w:rsidP="00D55C06">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 xml:space="preserve">Ar Noteikumu projektu paredzēts, ka </w:t>
            </w:r>
            <w:r w:rsidR="00A4452F" w:rsidRPr="00964AEF">
              <w:rPr>
                <w:rFonts w:ascii="Times New Roman" w:eastAsia="Times New Roman" w:hAnsi="Times New Roman" w:cs="Times New Roman"/>
                <w:iCs/>
                <w:sz w:val="24"/>
                <w:szCs w:val="24"/>
                <w:lang w:eastAsia="lv-LV"/>
              </w:rPr>
              <w:t xml:space="preserve">Veselības inspekcija </w:t>
            </w:r>
            <w:r w:rsidR="00C90759" w:rsidRPr="00964AEF">
              <w:rPr>
                <w:rFonts w:ascii="Times New Roman" w:eastAsia="Times New Roman" w:hAnsi="Times New Roman" w:cs="Times New Roman"/>
                <w:iCs/>
                <w:sz w:val="24"/>
                <w:szCs w:val="24"/>
                <w:lang w:eastAsia="lv-LV"/>
              </w:rPr>
              <w:t xml:space="preserve">tāpat kā līdz šim </w:t>
            </w:r>
            <w:r w:rsidR="00A4452F" w:rsidRPr="00964AEF">
              <w:rPr>
                <w:rFonts w:ascii="Times New Roman" w:eastAsia="Times New Roman" w:hAnsi="Times New Roman" w:cs="Times New Roman"/>
                <w:iCs/>
                <w:sz w:val="24"/>
                <w:szCs w:val="24"/>
                <w:lang w:eastAsia="lv-LV"/>
              </w:rPr>
              <w:t>veiks plānveida kontroles</w:t>
            </w:r>
            <w:r w:rsidR="006C4FFF" w:rsidRPr="00964AEF">
              <w:rPr>
                <w:rFonts w:ascii="Times New Roman" w:eastAsia="Times New Roman" w:hAnsi="Times New Roman" w:cs="Times New Roman"/>
                <w:iCs/>
                <w:sz w:val="24"/>
                <w:szCs w:val="24"/>
                <w:lang w:eastAsia="lv-LV"/>
              </w:rPr>
              <w:t xml:space="preserve"> attiecībā uz personām, kuras ir saņēmušas licenci darbībām ar prekursoriem un kuras ir reģistrējušās darbībām ar prekursoriem, vismaz</w:t>
            </w:r>
            <w:r w:rsidR="00A4452F" w:rsidRPr="00964AEF">
              <w:rPr>
                <w:rFonts w:ascii="Times New Roman" w:eastAsia="Times New Roman" w:hAnsi="Times New Roman" w:cs="Times New Roman"/>
                <w:iCs/>
                <w:sz w:val="24"/>
                <w:szCs w:val="24"/>
                <w:lang w:eastAsia="lv-LV"/>
              </w:rPr>
              <w:t xml:space="preserve"> reizi trīs gados atbilstoši Regulas 2015/1011 3. panta 7. punktā paredzētajam.</w:t>
            </w:r>
          </w:p>
          <w:p w14:paraId="0E73901A" w14:textId="026BEA59" w:rsidR="00E1303E" w:rsidRPr="00964AEF" w:rsidRDefault="00E1303E" w:rsidP="00D55C06">
            <w:pPr>
              <w:spacing w:after="0" w:line="240" w:lineRule="auto"/>
              <w:jc w:val="both"/>
              <w:rPr>
                <w:rFonts w:ascii="Times New Roman" w:eastAsia="Times New Roman" w:hAnsi="Times New Roman" w:cs="Times New Roman"/>
                <w:iCs/>
                <w:sz w:val="24"/>
                <w:szCs w:val="24"/>
                <w:lang w:eastAsia="lv-LV"/>
              </w:rPr>
            </w:pPr>
          </w:p>
          <w:p w14:paraId="5D8E62A6" w14:textId="7E8EFC14" w:rsidR="00DE0072" w:rsidRPr="00964AEF" w:rsidRDefault="00FB34BA" w:rsidP="00DE0072">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[6] Noteikumu p</w:t>
            </w:r>
            <w:r w:rsidR="00E1303E" w:rsidRPr="00964AEF">
              <w:rPr>
                <w:rFonts w:ascii="Times New Roman" w:eastAsia="Times New Roman" w:hAnsi="Times New Roman" w:cs="Times New Roman"/>
                <w:iCs/>
                <w:sz w:val="24"/>
                <w:szCs w:val="24"/>
                <w:lang w:eastAsia="lv-LV"/>
              </w:rPr>
              <w:t>roje</w:t>
            </w:r>
            <w:r w:rsidR="00EF3ED1" w:rsidRPr="00964AEF">
              <w:rPr>
                <w:rFonts w:ascii="Times New Roman" w:eastAsia="Times New Roman" w:hAnsi="Times New Roman" w:cs="Times New Roman"/>
                <w:iCs/>
                <w:sz w:val="24"/>
                <w:szCs w:val="24"/>
                <w:lang w:eastAsia="lv-LV"/>
              </w:rPr>
              <w:t>ktā</w:t>
            </w:r>
            <w:r w:rsidR="00E1303E" w:rsidRPr="00964AEF">
              <w:rPr>
                <w:rFonts w:ascii="Times New Roman" w:eastAsia="Times New Roman" w:hAnsi="Times New Roman" w:cs="Times New Roman"/>
                <w:iCs/>
                <w:sz w:val="24"/>
                <w:szCs w:val="24"/>
                <w:lang w:eastAsia="lv-LV"/>
              </w:rPr>
              <w:t xml:space="preserve"> paredz</w:t>
            </w:r>
            <w:r w:rsidRPr="00964AEF">
              <w:rPr>
                <w:rFonts w:ascii="Times New Roman" w:eastAsia="Times New Roman" w:hAnsi="Times New Roman" w:cs="Times New Roman"/>
                <w:iCs/>
                <w:sz w:val="24"/>
                <w:szCs w:val="24"/>
                <w:lang w:eastAsia="lv-LV"/>
              </w:rPr>
              <w:t>ēts</w:t>
            </w:r>
            <w:r w:rsidR="00E1303E" w:rsidRPr="00964AEF">
              <w:rPr>
                <w:rFonts w:ascii="Times New Roman" w:eastAsia="Times New Roman" w:hAnsi="Times New Roman" w:cs="Times New Roman"/>
                <w:iCs/>
                <w:sz w:val="24"/>
                <w:szCs w:val="24"/>
                <w:lang w:eastAsia="lv-LV"/>
              </w:rPr>
              <w:t>, ka prekursoru operatori (tikai tie, kuri lieto 1. un 2.A kategorijas prekursorus) 15 dienu laikā pēc katra ceturkšņa beigām elektroniskā formā iesniedz Zāļu valsts aģentūrā informāciju par prekursoru apriti pagājušajā ceturksnī. Šāda prasība ir nepieciešama, lai Zāļu valsts aģentūras un Veselības inspekcijas rīcībā būtu pēc iespējas aktuālāka informācija par prekursoru aprites dalībniekiem un apritē esošajiem prekursoriem un to daudzumiem.</w:t>
            </w:r>
            <w:r w:rsidR="00DE0072" w:rsidRPr="00964AEF">
              <w:rPr>
                <w:rFonts w:ascii="Times New Roman" w:eastAsia="Times New Roman" w:hAnsi="Times New Roman" w:cs="Times New Roman"/>
                <w:iCs/>
                <w:sz w:val="24"/>
                <w:szCs w:val="24"/>
                <w:lang w:eastAsia="lv-LV"/>
              </w:rPr>
              <w:t xml:space="preserve"> </w:t>
            </w:r>
            <w:r w:rsidR="00B804B4" w:rsidRPr="00964AEF">
              <w:rPr>
                <w:rFonts w:ascii="Times New Roman" w:eastAsia="Times New Roman" w:hAnsi="Times New Roman" w:cs="Times New Roman"/>
                <w:iCs/>
                <w:sz w:val="24"/>
                <w:szCs w:val="24"/>
                <w:lang w:eastAsia="lv-LV"/>
              </w:rPr>
              <w:t>N</w:t>
            </w:r>
            <w:r w:rsidR="00DE0072" w:rsidRPr="00964AEF">
              <w:rPr>
                <w:rFonts w:ascii="Times New Roman" w:eastAsia="Times New Roman" w:hAnsi="Times New Roman" w:cs="Times New Roman"/>
                <w:iCs/>
                <w:sz w:val="24"/>
                <w:szCs w:val="24"/>
                <w:lang w:eastAsia="lv-LV"/>
              </w:rPr>
              <w:t>olūk</w:t>
            </w:r>
            <w:r w:rsidR="00B804B4" w:rsidRPr="00964AEF">
              <w:rPr>
                <w:rFonts w:ascii="Times New Roman" w:eastAsia="Times New Roman" w:hAnsi="Times New Roman" w:cs="Times New Roman"/>
                <w:iCs/>
                <w:sz w:val="24"/>
                <w:szCs w:val="24"/>
                <w:lang w:eastAsia="lv-LV"/>
              </w:rPr>
              <w:t>s ir</w:t>
            </w:r>
            <w:r w:rsidR="00DE0072" w:rsidRPr="00964AEF">
              <w:rPr>
                <w:rFonts w:ascii="Times New Roman" w:eastAsia="Times New Roman" w:hAnsi="Times New Roman" w:cs="Times New Roman"/>
                <w:iCs/>
                <w:sz w:val="24"/>
                <w:szCs w:val="24"/>
                <w:lang w:eastAsia="lv-LV"/>
              </w:rPr>
              <w:t xml:space="preserve"> kontrolēt un uzraudzīt noteiktas vielas, ko bieži izmanto narkotisko vai psihotropo vielu nelikumīgai ražošanai, lai savlaicīgi pamanītu aizdomīgus darījumus. Šādas prasības leģitīmais mērķis ir sabiedrības veselības interešu aizsardzība, jo dod iespēju efektīvi un operatīvi novērst attiecīgo vielu nokļūšanu nelegālā apritē. Līdzīga uzraudzība noteikta arī Lietuvā. Tā, piemēram, pēc Zāļu valsts aģentūras sniegtās informācijas:</w:t>
            </w:r>
          </w:p>
          <w:p w14:paraId="24ADE5CF" w14:textId="77777777" w:rsidR="00322013" w:rsidRPr="00964AEF" w:rsidRDefault="00DE0072" w:rsidP="00DE0072">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 xml:space="preserve">1. Etiķskābes anhidrīdu izmanto nelegālai heroīna ražošanai. Turklāt heroīna ražošana ES pēdējā </w:t>
            </w:r>
            <w:r w:rsidRPr="00964AEF">
              <w:rPr>
                <w:rFonts w:ascii="Times New Roman" w:eastAsia="Times New Roman" w:hAnsi="Times New Roman" w:cs="Times New Roman"/>
                <w:iCs/>
                <w:sz w:val="24"/>
                <w:szCs w:val="24"/>
                <w:lang w:eastAsia="lv-LV"/>
              </w:rPr>
              <w:lastRenderedPageBreak/>
              <w:t>gada laikā ir stipri pieaugusi</w:t>
            </w:r>
            <w:r w:rsidR="00B804B4" w:rsidRPr="00964AEF">
              <w:rPr>
                <w:rFonts w:ascii="Times New Roman" w:eastAsia="Times New Roman" w:hAnsi="Times New Roman" w:cs="Times New Roman"/>
                <w:iCs/>
                <w:sz w:val="24"/>
                <w:szCs w:val="24"/>
                <w:lang w:eastAsia="lv-LV"/>
              </w:rPr>
              <w:t>,</w:t>
            </w:r>
            <w:r w:rsidRPr="00964AEF">
              <w:rPr>
                <w:rFonts w:ascii="Times New Roman" w:eastAsia="Times New Roman" w:hAnsi="Times New Roman" w:cs="Times New Roman"/>
                <w:iCs/>
                <w:sz w:val="24"/>
                <w:szCs w:val="24"/>
                <w:lang w:eastAsia="lv-LV"/>
              </w:rPr>
              <w:t xml:space="preserve"> tādējādi EK ir rosinājusi pievērst pastiprinātu uzmanību etiķskābes anhidrīda apritei. Ja saņemtajā pārskatā (piemēram par prekursoru apriti 1.ceturksnī) norādīts, ka viela ir pārdota komersantam, kas nav reģistrējies kā prekursoru operators (tas ir pieļaujams, ja gadā nepārsniedz 100 litrus saskaņā ar EK regulu Nr.273), ir iespējams tūlītēji pārliecināties, vai komersantam viela nepieciešama legāliem mērķiem un attiecīgi rīkoties. Ja savukārt pārskatu saņemam tikai nākošā gada februārī par visu iepriekšējo gadu, iespējams, ka šim komersantam viela pārdota vairākkārt un tiek izmantota nelegālām darbībām. Respektīvi ir iespēja savlaicīgi rīkoties pārskatus saņemot reizi ceturksnī, tādējādi arī izpildot EK prasības stingrāk kontrolēt apriti.</w:t>
            </w:r>
          </w:p>
          <w:p w14:paraId="3B0C6DF3" w14:textId="1C78BE07" w:rsidR="00DE0072" w:rsidRPr="00964AEF" w:rsidRDefault="00DE0072" w:rsidP="00DE0072">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 Brīvprātīgi kontrolējamo vielu sarakstā iekļauta viela gamma</w:t>
            </w:r>
            <w:r w:rsidR="00322013" w:rsidRPr="00964AEF">
              <w:rPr>
                <w:rFonts w:ascii="Times New Roman" w:eastAsia="Times New Roman" w:hAnsi="Times New Roman" w:cs="Times New Roman"/>
                <w:iCs/>
                <w:sz w:val="24"/>
                <w:szCs w:val="24"/>
                <w:lang w:eastAsia="lv-LV"/>
              </w:rPr>
              <w:t>-</w:t>
            </w:r>
            <w:r w:rsidRPr="00964AEF">
              <w:rPr>
                <w:rFonts w:ascii="Times New Roman" w:eastAsia="Times New Roman" w:hAnsi="Times New Roman" w:cs="Times New Roman"/>
                <w:iCs/>
                <w:sz w:val="24"/>
                <w:szCs w:val="24"/>
                <w:lang w:eastAsia="lv-LV"/>
              </w:rPr>
              <w:t>butirolaktons, ko personas izmanto apreibināšanās nolūkos. Latvijā tā tiek kontrolēta kā narkotiska viela un to atļauts ievest tikai ar Zāļu valsts aģentūras izsniegtu atļauju. Tomēr vairāki uzņēmēji, kas tirgojas ar ķīmijas precēm iesaistās šīs vielas apritē. Ja tiek saņemta informāciju par ceturksnī iepirktiem, pārdotiem gamma</w:t>
            </w:r>
            <w:r w:rsidR="00322013" w:rsidRPr="00964AEF">
              <w:rPr>
                <w:rFonts w:ascii="Times New Roman" w:eastAsia="Times New Roman" w:hAnsi="Times New Roman" w:cs="Times New Roman"/>
                <w:iCs/>
                <w:sz w:val="24"/>
                <w:szCs w:val="24"/>
                <w:lang w:eastAsia="lv-LV"/>
              </w:rPr>
              <w:t>-</w:t>
            </w:r>
            <w:r w:rsidRPr="00964AEF">
              <w:rPr>
                <w:rFonts w:ascii="Times New Roman" w:eastAsia="Times New Roman" w:hAnsi="Times New Roman" w:cs="Times New Roman"/>
                <w:iCs/>
                <w:sz w:val="24"/>
                <w:szCs w:val="24"/>
                <w:lang w:eastAsia="lv-LV"/>
              </w:rPr>
              <w:t xml:space="preserve">butirolaktona daudzumiem, tūlītēji reaģējot var novērst tālāku šīs vielas apriti. Savukārt, ja pārskatu saņemam </w:t>
            </w:r>
            <w:r w:rsidR="00322013" w:rsidRPr="00964AEF">
              <w:rPr>
                <w:rFonts w:ascii="Times New Roman" w:eastAsia="Times New Roman" w:hAnsi="Times New Roman" w:cs="Times New Roman"/>
                <w:iCs/>
                <w:sz w:val="24"/>
                <w:szCs w:val="24"/>
                <w:lang w:eastAsia="lv-LV"/>
              </w:rPr>
              <w:t>reizi</w:t>
            </w:r>
            <w:r w:rsidRPr="00964AEF">
              <w:rPr>
                <w:rFonts w:ascii="Times New Roman" w:eastAsia="Times New Roman" w:hAnsi="Times New Roman" w:cs="Times New Roman"/>
                <w:iCs/>
                <w:sz w:val="24"/>
                <w:szCs w:val="24"/>
                <w:lang w:eastAsia="lv-LV"/>
              </w:rPr>
              <w:t xml:space="preserve"> gadā, tad tūlītēja iesaiste izpaliek, jo viela sen jau ir ievesta un tālāk pārdota. </w:t>
            </w:r>
          </w:p>
          <w:p w14:paraId="010A14F4" w14:textId="662C562A" w:rsidR="00E1303E" w:rsidRPr="00964AEF" w:rsidRDefault="00DE0072" w:rsidP="00DE0072">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Piemēram, saņemot pārskatu par prekursoru apriti š.g.1.ceturksnī, tika konstatēts, ka viens komersants ir iepircis un tālāk pārdevis gamma</w:t>
            </w:r>
            <w:r w:rsidR="00322013" w:rsidRPr="00964AEF">
              <w:rPr>
                <w:rFonts w:ascii="Times New Roman" w:eastAsia="Times New Roman" w:hAnsi="Times New Roman" w:cs="Times New Roman"/>
                <w:iCs/>
                <w:sz w:val="24"/>
                <w:szCs w:val="24"/>
                <w:lang w:eastAsia="lv-LV"/>
              </w:rPr>
              <w:t>-</w:t>
            </w:r>
            <w:r w:rsidRPr="00964AEF">
              <w:rPr>
                <w:rFonts w:ascii="Times New Roman" w:eastAsia="Times New Roman" w:hAnsi="Times New Roman" w:cs="Times New Roman"/>
                <w:iCs/>
                <w:sz w:val="24"/>
                <w:szCs w:val="24"/>
                <w:lang w:eastAsia="lv-LV"/>
              </w:rPr>
              <w:t>butirolaktonu (</w:t>
            </w:r>
            <w:r w:rsidR="00322013" w:rsidRPr="00964AEF">
              <w:rPr>
                <w:rFonts w:ascii="Times New Roman" w:eastAsia="Times New Roman" w:hAnsi="Times New Roman" w:cs="Times New Roman"/>
                <w:iCs/>
                <w:sz w:val="24"/>
                <w:szCs w:val="24"/>
                <w:lang w:eastAsia="lv-LV"/>
              </w:rPr>
              <w:t>a</w:t>
            </w:r>
            <w:r w:rsidRPr="00964AEF">
              <w:rPr>
                <w:rFonts w:ascii="Times New Roman" w:eastAsia="Times New Roman" w:hAnsi="Times New Roman" w:cs="Times New Roman"/>
                <w:iCs/>
                <w:sz w:val="24"/>
                <w:szCs w:val="24"/>
                <w:lang w:eastAsia="lv-LV"/>
              </w:rPr>
              <w:t>ģentūra nekādu atļauju šīm darbībām nebija izsniegusi un arī nevarēja izsniegt, jo nebija likumīga pamata). Iepirktie un pārdotie daudzumi nebija lieli, bet ja nebūtu tūlītējas aģentūras un Veselības inspekcijas iesaistes, iespējams gad</w:t>
            </w:r>
            <w:r w:rsidR="00322013" w:rsidRPr="00964AEF">
              <w:rPr>
                <w:rFonts w:ascii="Times New Roman" w:eastAsia="Times New Roman" w:hAnsi="Times New Roman" w:cs="Times New Roman"/>
                <w:iCs/>
                <w:sz w:val="24"/>
                <w:szCs w:val="24"/>
                <w:lang w:eastAsia="lv-LV"/>
              </w:rPr>
              <w:t>a</w:t>
            </w:r>
            <w:r w:rsidRPr="00964AEF">
              <w:rPr>
                <w:rFonts w:ascii="Times New Roman" w:eastAsia="Times New Roman" w:hAnsi="Times New Roman" w:cs="Times New Roman"/>
                <w:iCs/>
                <w:sz w:val="24"/>
                <w:szCs w:val="24"/>
                <w:lang w:eastAsia="lv-LV"/>
              </w:rPr>
              <w:t xml:space="preserve"> apjomi būtu krietni lielāki.   </w:t>
            </w:r>
          </w:p>
          <w:p w14:paraId="272F06FA" w14:textId="77777777" w:rsidR="00EC3F7E" w:rsidRPr="00964AEF" w:rsidRDefault="00EC3F7E" w:rsidP="00DE0072">
            <w:pPr>
              <w:spacing w:after="0" w:line="240" w:lineRule="auto"/>
              <w:jc w:val="both"/>
              <w:rPr>
                <w:rFonts w:ascii="Times New Roman" w:eastAsia="Times New Roman" w:hAnsi="Times New Roman" w:cs="Times New Roman"/>
                <w:iCs/>
                <w:sz w:val="24"/>
                <w:szCs w:val="24"/>
                <w:lang w:eastAsia="lv-LV"/>
              </w:rPr>
            </w:pPr>
          </w:p>
          <w:p w14:paraId="57D3772F" w14:textId="77777777" w:rsidR="00EC3F7E" w:rsidRPr="00DA6AB4" w:rsidRDefault="00940B2A" w:rsidP="00FB34BA">
            <w:pPr>
              <w:spacing w:after="0"/>
              <w:jc w:val="both"/>
              <w:rPr>
                <w:rFonts w:ascii="Times New Roman" w:eastAsia="Times New Roman" w:hAnsi="Times New Roman" w:cs="Times New Roman"/>
                <w:sz w:val="24"/>
                <w:szCs w:val="24"/>
              </w:rPr>
            </w:pPr>
            <w:r w:rsidRPr="00DA6AB4">
              <w:rPr>
                <w:rFonts w:ascii="Times New Roman" w:eastAsia="Times New Roman" w:hAnsi="Times New Roman" w:cs="Times New Roman"/>
                <w:sz w:val="24"/>
                <w:szCs w:val="24"/>
              </w:rPr>
              <w:t xml:space="preserve">Papildus </w:t>
            </w:r>
            <w:r w:rsidR="00FB34BA" w:rsidRPr="00DA6AB4">
              <w:rPr>
                <w:rFonts w:ascii="Times New Roman" w:eastAsia="Times New Roman" w:hAnsi="Times New Roman" w:cs="Times New Roman"/>
                <w:sz w:val="24"/>
                <w:szCs w:val="24"/>
              </w:rPr>
              <w:t>Noteikumu projekts paredz, ka tajā tiks</w:t>
            </w:r>
            <w:r w:rsidR="00EC3F7E" w:rsidRPr="00DA6AB4">
              <w:rPr>
                <w:rFonts w:ascii="Times New Roman" w:eastAsia="Times New Roman" w:hAnsi="Times New Roman" w:cs="Times New Roman"/>
                <w:sz w:val="24"/>
                <w:szCs w:val="24"/>
              </w:rPr>
              <w:t>:</w:t>
            </w:r>
          </w:p>
          <w:p w14:paraId="23DFF4C5" w14:textId="1EA3BF35" w:rsidR="00EC3F7E" w:rsidRPr="00DA6AB4" w:rsidRDefault="00EC3F7E" w:rsidP="00EC3F7E">
            <w:pPr>
              <w:pStyle w:val="ListParagraph"/>
              <w:widowControl w:val="0"/>
              <w:spacing w:after="0" w:line="240" w:lineRule="auto"/>
              <w:ind w:left="0"/>
              <w:jc w:val="both"/>
              <w:rPr>
                <w:rFonts w:ascii="Times New Roman" w:hAnsi="Times New Roman" w:cs="Times New Roman"/>
                <w:sz w:val="24"/>
                <w:szCs w:val="24"/>
              </w:rPr>
            </w:pPr>
            <w:r w:rsidRPr="00DA6AB4">
              <w:rPr>
                <w:rFonts w:ascii="Times New Roman" w:eastAsia="Times New Roman" w:hAnsi="Times New Roman" w:cs="Times New Roman"/>
                <w:sz w:val="24"/>
                <w:szCs w:val="24"/>
              </w:rPr>
              <w:t>[1] Atbilstoši Likumā dotajam pilnvarojumam Ministru kabinetam</w:t>
            </w:r>
            <w:r w:rsidR="00094D20" w:rsidRPr="00DA6AB4">
              <w:rPr>
                <w:rFonts w:ascii="Times New Roman" w:eastAsia="Times New Roman" w:hAnsi="Times New Roman" w:cs="Times New Roman"/>
                <w:sz w:val="24"/>
                <w:szCs w:val="24"/>
              </w:rPr>
              <w:t>,</w:t>
            </w:r>
            <w:r w:rsidRPr="00DA6AB4">
              <w:rPr>
                <w:rFonts w:ascii="Times New Roman" w:eastAsia="Times New Roman" w:hAnsi="Times New Roman" w:cs="Times New Roman"/>
                <w:sz w:val="24"/>
                <w:szCs w:val="24"/>
              </w:rPr>
              <w:t xml:space="preserve"> redakcionāli </w:t>
            </w:r>
            <w:r w:rsidRPr="00DA6AB4">
              <w:rPr>
                <w:rFonts w:ascii="Times New Roman" w:hAnsi="Times New Roman"/>
                <w:sz w:val="24"/>
                <w:szCs w:val="24"/>
              </w:rPr>
              <w:t>precizēts MK noteikumu projekta 1.3.apakšpunkts</w:t>
            </w:r>
            <w:r w:rsidRPr="00DA6AB4">
              <w:rPr>
                <w:rFonts w:ascii="Times New Roman" w:hAnsi="Times New Roman" w:cs="Times New Roman"/>
                <w:sz w:val="24"/>
                <w:szCs w:val="24"/>
              </w:rPr>
              <w:t>, kas paredz kārtību, kādā prekursoru lietotājs sniedz informāciju par darījumiem ar prekursoriem</w:t>
            </w:r>
            <w:r w:rsidR="00576B38" w:rsidRPr="00DA6AB4">
              <w:rPr>
                <w:rFonts w:ascii="Times New Roman" w:hAnsi="Times New Roman" w:cs="Times New Roman"/>
                <w:sz w:val="24"/>
                <w:szCs w:val="24"/>
              </w:rPr>
              <w:t xml:space="preserve"> (</w:t>
            </w:r>
            <w:r w:rsidR="00975597">
              <w:rPr>
                <w:rFonts w:ascii="Times New Roman" w:hAnsi="Times New Roman" w:cs="Times New Roman"/>
                <w:sz w:val="24"/>
                <w:szCs w:val="24"/>
              </w:rPr>
              <w:t xml:space="preserve">Noteikumu </w:t>
            </w:r>
            <w:r w:rsidR="00576B38" w:rsidRPr="00DA6AB4">
              <w:rPr>
                <w:rFonts w:ascii="Times New Roman" w:hAnsi="Times New Roman" w:cs="Times New Roman"/>
                <w:sz w:val="24"/>
                <w:szCs w:val="24"/>
              </w:rPr>
              <w:t>projekta 1.3. apakšpunkts).</w:t>
            </w:r>
          </w:p>
          <w:p w14:paraId="63975C09" w14:textId="2DA7CD3A" w:rsidR="00EC3F7E" w:rsidRPr="00DA6AB4" w:rsidRDefault="00EC3F7E" w:rsidP="00EC3F7E">
            <w:pPr>
              <w:spacing w:after="0" w:line="240" w:lineRule="auto"/>
              <w:jc w:val="both"/>
              <w:rPr>
                <w:rFonts w:ascii="Times New Roman" w:eastAsia="Times New Roman" w:hAnsi="Times New Roman" w:cs="Times New Roman"/>
                <w:sz w:val="24"/>
                <w:szCs w:val="24"/>
              </w:rPr>
            </w:pPr>
            <w:r w:rsidRPr="00DA6AB4">
              <w:rPr>
                <w:rFonts w:ascii="Times New Roman" w:eastAsia="Times New Roman" w:hAnsi="Times New Roman" w:cs="Times New Roman"/>
                <w:sz w:val="24"/>
                <w:szCs w:val="24"/>
              </w:rPr>
              <w:t>[2]</w:t>
            </w:r>
            <w:r w:rsidRPr="00DA6AB4">
              <w:t xml:space="preserve"> </w:t>
            </w:r>
            <w:r w:rsidRPr="00DA6AB4">
              <w:rPr>
                <w:rFonts w:ascii="Times New Roman" w:hAnsi="Times New Roman" w:cs="Times New Roman"/>
                <w:sz w:val="24"/>
                <w:szCs w:val="24"/>
              </w:rPr>
              <w:t xml:space="preserve">Atbilstoši Likumā ietvertajam pilnvarojumam Ministru kabinetam </w:t>
            </w:r>
            <w:r w:rsidR="00975597">
              <w:rPr>
                <w:rFonts w:ascii="Times New Roman" w:hAnsi="Times New Roman" w:cs="Times New Roman"/>
                <w:sz w:val="24"/>
                <w:szCs w:val="24"/>
              </w:rPr>
              <w:t xml:space="preserve">precizēta </w:t>
            </w:r>
            <w:r w:rsidRPr="00DA6AB4">
              <w:rPr>
                <w:rFonts w:ascii="Times New Roman" w:hAnsi="Times New Roman" w:cs="Times New Roman"/>
                <w:sz w:val="24"/>
                <w:szCs w:val="24"/>
              </w:rPr>
              <w:t xml:space="preserve">kārtība, kādā </w:t>
            </w:r>
            <w:r w:rsidR="00576B38" w:rsidRPr="00DA6AB4">
              <w:rPr>
                <w:rFonts w:ascii="Times New Roman" w:hAnsi="Times New Roman" w:cs="Times New Roman"/>
                <w:sz w:val="24"/>
                <w:szCs w:val="24"/>
              </w:rPr>
              <w:t xml:space="preserve">personas darbībām ar 3. kategorijas prekursoriem </w:t>
            </w:r>
            <w:r w:rsidR="00576B38" w:rsidRPr="00DA6AB4">
              <w:rPr>
                <w:rFonts w:ascii="Times New Roman" w:hAnsi="Times New Roman" w:cs="Times New Roman"/>
                <w:sz w:val="24"/>
                <w:szCs w:val="24"/>
              </w:rPr>
              <w:lastRenderedPageBreak/>
              <w:t>reģistrējas darbībām ar 3. kategorijas prekursoriem (</w:t>
            </w:r>
            <w:r w:rsidR="00975597">
              <w:rPr>
                <w:rFonts w:ascii="Times New Roman" w:hAnsi="Times New Roman" w:cs="Times New Roman"/>
                <w:sz w:val="24"/>
                <w:szCs w:val="24"/>
              </w:rPr>
              <w:t xml:space="preserve">Noteikumu </w:t>
            </w:r>
            <w:r w:rsidR="00576B38" w:rsidRPr="00DA6AB4">
              <w:rPr>
                <w:rFonts w:ascii="Times New Roman" w:hAnsi="Times New Roman" w:cs="Times New Roman"/>
                <w:sz w:val="24"/>
                <w:szCs w:val="24"/>
              </w:rPr>
              <w:t xml:space="preserve">projekta </w:t>
            </w:r>
            <w:r w:rsidR="00975597">
              <w:rPr>
                <w:rFonts w:ascii="Times New Roman" w:hAnsi="Times New Roman" w:cs="Times New Roman"/>
                <w:sz w:val="24"/>
                <w:szCs w:val="24"/>
              </w:rPr>
              <w:t>5</w:t>
            </w:r>
            <w:r w:rsidR="00576B38" w:rsidRPr="00DA6AB4">
              <w:rPr>
                <w:rFonts w:ascii="Times New Roman" w:hAnsi="Times New Roman" w:cs="Times New Roman"/>
                <w:sz w:val="24"/>
                <w:szCs w:val="24"/>
              </w:rPr>
              <w:t>. punkts).</w:t>
            </w:r>
          </w:p>
          <w:p w14:paraId="5AED5BE9" w14:textId="0FCAE06F" w:rsidR="00576B38" w:rsidRPr="00DA6AB4" w:rsidRDefault="00EC3F7E" w:rsidP="00576B38">
            <w:pPr>
              <w:spacing w:after="0" w:line="240" w:lineRule="auto"/>
              <w:jc w:val="both"/>
              <w:rPr>
                <w:rFonts w:ascii="Times New Roman" w:eastAsia="Times New Roman" w:hAnsi="Times New Roman" w:cs="Times New Roman"/>
                <w:sz w:val="24"/>
                <w:szCs w:val="24"/>
              </w:rPr>
            </w:pPr>
            <w:r w:rsidRPr="00DA6AB4">
              <w:rPr>
                <w:rFonts w:ascii="Times New Roman" w:eastAsia="Times New Roman" w:hAnsi="Times New Roman" w:cs="Times New Roman"/>
                <w:sz w:val="24"/>
                <w:szCs w:val="24"/>
              </w:rPr>
              <w:t>[3]</w:t>
            </w:r>
            <w:r w:rsidR="00FB34BA" w:rsidRPr="00DA6AB4">
              <w:rPr>
                <w:rFonts w:ascii="Times New Roman" w:eastAsia="Times New Roman" w:hAnsi="Times New Roman" w:cs="Times New Roman"/>
                <w:sz w:val="24"/>
                <w:szCs w:val="24"/>
              </w:rPr>
              <w:t xml:space="preserve"> </w:t>
            </w:r>
            <w:r w:rsidR="00576B38" w:rsidRPr="00DA6AB4">
              <w:rPr>
                <w:rFonts w:ascii="Times New Roman" w:eastAsia="Times New Roman" w:hAnsi="Times New Roman" w:cs="Times New Roman"/>
                <w:sz w:val="24"/>
                <w:szCs w:val="24"/>
              </w:rPr>
              <w:t xml:space="preserve">Izteikta jaunā redakcijā kārtība un nosacījumi iesnieguma un tam pievienoto dokumentu izskatīšanai (projekta </w:t>
            </w:r>
            <w:r w:rsidR="00975597">
              <w:rPr>
                <w:rFonts w:ascii="Times New Roman" w:eastAsia="Times New Roman" w:hAnsi="Times New Roman" w:cs="Times New Roman"/>
                <w:sz w:val="24"/>
                <w:szCs w:val="24"/>
              </w:rPr>
              <w:t>6</w:t>
            </w:r>
            <w:r w:rsidR="00576B38" w:rsidRPr="00DA6AB4">
              <w:rPr>
                <w:rFonts w:ascii="Times New Roman" w:eastAsia="Times New Roman" w:hAnsi="Times New Roman" w:cs="Times New Roman"/>
                <w:sz w:val="24"/>
                <w:szCs w:val="24"/>
              </w:rPr>
              <w:t xml:space="preserve">. punkts). </w:t>
            </w:r>
          </w:p>
          <w:p w14:paraId="4CA1FAC3" w14:textId="2892C847" w:rsidR="00576B38" w:rsidRPr="00DA6AB4" w:rsidRDefault="00576B38" w:rsidP="00576B38">
            <w:pPr>
              <w:spacing w:after="0" w:line="240" w:lineRule="auto"/>
              <w:jc w:val="both"/>
              <w:rPr>
                <w:rFonts w:ascii="Times New Roman" w:eastAsia="Times New Roman" w:hAnsi="Times New Roman" w:cs="Times New Roman"/>
                <w:sz w:val="24"/>
                <w:szCs w:val="24"/>
              </w:rPr>
            </w:pPr>
            <w:r w:rsidRPr="00DA6AB4">
              <w:rPr>
                <w:rFonts w:ascii="Times New Roman" w:eastAsia="Times New Roman" w:hAnsi="Times New Roman" w:cs="Times New Roman"/>
                <w:sz w:val="24"/>
                <w:szCs w:val="24"/>
              </w:rPr>
              <w:t>[4] Izteikta jaunā redakcijā kārtība Zāļu valsts aģentūras pieņemtā lēmuma saņemšanai (</w:t>
            </w:r>
            <w:r w:rsidR="00975597">
              <w:rPr>
                <w:rFonts w:ascii="Times New Roman" w:eastAsia="Times New Roman" w:hAnsi="Times New Roman" w:cs="Times New Roman"/>
                <w:sz w:val="24"/>
                <w:szCs w:val="24"/>
              </w:rPr>
              <w:t xml:space="preserve">Noteikumu </w:t>
            </w:r>
            <w:r w:rsidRPr="00DA6AB4">
              <w:rPr>
                <w:rFonts w:ascii="Times New Roman" w:eastAsia="Times New Roman" w:hAnsi="Times New Roman" w:cs="Times New Roman"/>
                <w:sz w:val="24"/>
                <w:szCs w:val="24"/>
              </w:rPr>
              <w:t>projekta 1</w:t>
            </w:r>
            <w:r w:rsidR="00975597">
              <w:rPr>
                <w:rFonts w:ascii="Times New Roman" w:eastAsia="Times New Roman" w:hAnsi="Times New Roman" w:cs="Times New Roman"/>
                <w:sz w:val="24"/>
                <w:szCs w:val="24"/>
              </w:rPr>
              <w:t>0</w:t>
            </w:r>
            <w:r w:rsidRPr="00DA6AB4">
              <w:rPr>
                <w:rFonts w:ascii="Times New Roman" w:eastAsia="Times New Roman" w:hAnsi="Times New Roman" w:cs="Times New Roman"/>
                <w:sz w:val="24"/>
                <w:szCs w:val="24"/>
              </w:rPr>
              <w:t>. punkts).</w:t>
            </w:r>
          </w:p>
          <w:p w14:paraId="579F0B06" w14:textId="5B462191" w:rsidR="00576B38" w:rsidRPr="00DA6AB4" w:rsidRDefault="00576B38" w:rsidP="00576B38">
            <w:pPr>
              <w:spacing w:after="0" w:line="240" w:lineRule="auto"/>
              <w:jc w:val="both"/>
              <w:rPr>
                <w:rFonts w:ascii="Times New Roman" w:eastAsia="Times New Roman" w:hAnsi="Times New Roman" w:cs="Times New Roman"/>
                <w:sz w:val="24"/>
                <w:szCs w:val="24"/>
              </w:rPr>
            </w:pPr>
            <w:r w:rsidRPr="00DA6AB4">
              <w:rPr>
                <w:rFonts w:ascii="Times New Roman" w:eastAsia="Times New Roman" w:hAnsi="Times New Roman" w:cs="Times New Roman"/>
                <w:sz w:val="24"/>
                <w:szCs w:val="24"/>
              </w:rPr>
              <w:t xml:space="preserve">[5] Ņemot vērā, ka </w:t>
            </w:r>
            <w:r w:rsidRPr="00DA6AB4">
              <w:rPr>
                <w:rFonts w:ascii="Times New Roman" w:hAnsi="Times New Roman" w:cs="Times New Roman"/>
                <w:sz w:val="24"/>
                <w:szCs w:val="24"/>
              </w:rPr>
              <w:t>Likums neparedz Ministru kabinetam tiesības noteikt prekursoru operatoru, kuri drīkst iesniegt informāciju Zāļu valsts aģentūrai, veidus, r</w:t>
            </w:r>
            <w:r w:rsidRPr="00DA6AB4">
              <w:rPr>
                <w:rFonts w:ascii="Times New Roman" w:eastAsia="Times New Roman" w:hAnsi="Times New Roman" w:cs="Times New Roman"/>
                <w:sz w:val="24"/>
                <w:szCs w:val="24"/>
              </w:rPr>
              <w:t>edakcionāli precizēts MK noteikumu projekta 1</w:t>
            </w:r>
            <w:r w:rsidR="00975597">
              <w:rPr>
                <w:rFonts w:ascii="Times New Roman" w:eastAsia="Times New Roman" w:hAnsi="Times New Roman" w:cs="Times New Roman"/>
                <w:sz w:val="24"/>
                <w:szCs w:val="24"/>
              </w:rPr>
              <w:t>3</w:t>
            </w:r>
            <w:r w:rsidRPr="00DA6AB4">
              <w:rPr>
                <w:rFonts w:ascii="Times New Roman" w:eastAsia="Times New Roman" w:hAnsi="Times New Roman" w:cs="Times New Roman"/>
                <w:sz w:val="24"/>
                <w:szCs w:val="24"/>
              </w:rPr>
              <w:t>. punkts (</w:t>
            </w:r>
            <w:r w:rsidR="00975597">
              <w:rPr>
                <w:rFonts w:ascii="Times New Roman" w:eastAsia="Times New Roman" w:hAnsi="Times New Roman" w:cs="Times New Roman"/>
                <w:sz w:val="24"/>
                <w:szCs w:val="24"/>
              </w:rPr>
              <w:t xml:space="preserve">Noteikumu </w:t>
            </w:r>
            <w:r w:rsidRPr="00DA6AB4">
              <w:rPr>
                <w:rFonts w:ascii="Times New Roman" w:eastAsia="Times New Roman" w:hAnsi="Times New Roman" w:cs="Times New Roman"/>
                <w:sz w:val="24"/>
                <w:szCs w:val="24"/>
              </w:rPr>
              <w:t>projekta 1</w:t>
            </w:r>
            <w:r w:rsidR="00975597">
              <w:rPr>
                <w:rFonts w:ascii="Times New Roman" w:eastAsia="Times New Roman" w:hAnsi="Times New Roman" w:cs="Times New Roman"/>
                <w:sz w:val="24"/>
                <w:szCs w:val="24"/>
              </w:rPr>
              <w:t>3</w:t>
            </w:r>
            <w:r w:rsidRPr="00DA6AB4">
              <w:rPr>
                <w:rFonts w:ascii="Times New Roman" w:eastAsia="Times New Roman" w:hAnsi="Times New Roman" w:cs="Times New Roman"/>
                <w:sz w:val="24"/>
                <w:szCs w:val="24"/>
              </w:rPr>
              <w:t>. punkts).</w:t>
            </w:r>
          </w:p>
          <w:p w14:paraId="2D6CBE11" w14:textId="710F5451" w:rsidR="00576B38" w:rsidRPr="00DA6AB4" w:rsidRDefault="00576B38" w:rsidP="00576B38">
            <w:pPr>
              <w:spacing w:after="0" w:line="240" w:lineRule="auto"/>
              <w:jc w:val="both"/>
              <w:rPr>
                <w:rFonts w:ascii="Times New Roman" w:hAnsi="Times New Roman" w:cs="Times New Roman"/>
                <w:sz w:val="24"/>
                <w:szCs w:val="24"/>
              </w:rPr>
            </w:pPr>
            <w:r w:rsidRPr="00DA6AB4">
              <w:rPr>
                <w:rFonts w:ascii="Times New Roman" w:eastAsia="Times New Roman" w:hAnsi="Times New Roman" w:cs="Times New Roman"/>
                <w:sz w:val="24"/>
                <w:szCs w:val="24"/>
              </w:rPr>
              <w:t>[6] Ņemot vērā MK noteikumu projekta 1</w:t>
            </w:r>
            <w:r w:rsidR="003879A6">
              <w:rPr>
                <w:rFonts w:ascii="Times New Roman" w:eastAsia="Times New Roman" w:hAnsi="Times New Roman" w:cs="Times New Roman"/>
                <w:sz w:val="24"/>
                <w:szCs w:val="24"/>
              </w:rPr>
              <w:t>3</w:t>
            </w:r>
            <w:r w:rsidRPr="00DA6AB4">
              <w:rPr>
                <w:rFonts w:ascii="Times New Roman" w:eastAsia="Times New Roman" w:hAnsi="Times New Roman" w:cs="Times New Roman"/>
                <w:sz w:val="24"/>
                <w:szCs w:val="24"/>
              </w:rPr>
              <w:t>.-1</w:t>
            </w:r>
            <w:r w:rsidR="003879A6">
              <w:rPr>
                <w:rFonts w:ascii="Times New Roman" w:eastAsia="Times New Roman" w:hAnsi="Times New Roman" w:cs="Times New Roman"/>
                <w:sz w:val="24"/>
                <w:szCs w:val="24"/>
              </w:rPr>
              <w:t>5</w:t>
            </w:r>
            <w:r w:rsidRPr="00DA6AB4">
              <w:rPr>
                <w:rFonts w:ascii="Times New Roman" w:eastAsia="Times New Roman" w:hAnsi="Times New Roman" w:cs="Times New Roman"/>
                <w:sz w:val="24"/>
                <w:szCs w:val="24"/>
              </w:rPr>
              <w:t>. punkta būtību, redakcionāli precizēts MK noteikumu projekta 1</w:t>
            </w:r>
            <w:r w:rsidR="003879A6">
              <w:rPr>
                <w:rFonts w:ascii="Times New Roman" w:eastAsia="Times New Roman" w:hAnsi="Times New Roman" w:cs="Times New Roman"/>
                <w:sz w:val="24"/>
                <w:szCs w:val="24"/>
              </w:rPr>
              <w:t>7</w:t>
            </w:r>
            <w:r w:rsidRPr="00DA6AB4">
              <w:rPr>
                <w:rFonts w:ascii="Times New Roman" w:eastAsia="Times New Roman" w:hAnsi="Times New Roman" w:cs="Times New Roman"/>
                <w:sz w:val="24"/>
                <w:szCs w:val="24"/>
              </w:rPr>
              <w:t>. punkts (</w:t>
            </w:r>
            <w:r w:rsidR="003879A6">
              <w:rPr>
                <w:rFonts w:ascii="Times New Roman" w:eastAsia="Times New Roman" w:hAnsi="Times New Roman" w:cs="Times New Roman"/>
                <w:sz w:val="24"/>
                <w:szCs w:val="24"/>
              </w:rPr>
              <w:t xml:space="preserve">Noteikumu </w:t>
            </w:r>
            <w:r w:rsidRPr="00DA6AB4">
              <w:rPr>
                <w:rFonts w:ascii="Times New Roman" w:eastAsia="Times New Roman" w:hAnsi="Times New Roman" w:cs="Times New Roman"/>
                <w:sz w:val="24"/>
                <w:szCs w:val="24"/>
              </w:rPr>
              <w:t>projekta 1</w:t>
            </w:r>
            <w:r w:rsidR="003879A6">
              <w:rPr>
                <w:rFonts w:ascii="Times New Roman" w:eastAsia="Times New Roman" w:hAnsi="Times New Roman" w:cs="Times New Roman"/>
                <w:sz w:val="24"/>
                <w:szCs w:val="24"/>
              </w:rPr>
              <w:t>7</w:t>
            </w:r>
            <w:r w:rsidRPr="00DA6AB4">
              <w:rPr>
                <w:rFonts w:ascii="Times New Roman" w:eastAsia="Times New Roman" w:hAnsi="Times New Roman" w:cs="Times New Roman"/>
                <w:sz w:val="24"/>
                <w:szCs w:val="24"/>
              </w:rPr>
              <w:t>. punkts).</w:t>
            </w:r>
          </w:p>
          <w:p w14:paraId="5DCA6611" w14:textId="250BD939" w:rsidR="00FB34BA" w:rsidRPr="00DA6AB4" w:rsidRDefault="00576B38" w:rsidP="00D65827">
            <w:pPr>
              <w:spacing w:after="0" w:line="240" w:lineRule="auto"/>
              <w:jc w:val="both"/>
              <w:rPr>
                <w:rFonts w:ascii="Times New Roman" w:eastAsia="Times New Roman" w:hAnsi="Times New Roman" w:cs="Times New Roman"/>
                <w:sz w:val="24"/>
                <w:szCs w:val="24"/>
              </w:rPr>
            </w:pPr>
            <w:r w:rsidRPr="00DA6AB4">
              <w:rPr>
                <w:rFonts w:ascii="Times New Roman" w:eastAsia="Times New Roman" w:hAnsi="Times New Roman" w:cs="Times New Roman"/>
                <w:sz w:val="24"/>
                <w:szCs w:val="24"/>
              </w:rPr>
              <w:t xml:space="preserve">[7] MK noteikumu projektā </w:t>
            </w:r>
            <w:r w:rsidR="00FB34BA" w:rsidRPr="00DA6AB4">
              <w:rPr>
                <w:rFonts w:ascii="Times New Roman" w:eastAsia="Times New Roman" w:hAnsi="Times New Roman" w:cs="Times New Roman"/>
                <w:sz w:val="24"/>
                <w:szCs w:val="24"/>
              </w:rPr>
              <w:t xml:space="preserve">iekļauta jauna sadaļa “Noslēguma jautājumi”, līdz ar ko Noteikumu projekts tiks papildināts ar </w:t>
            </w:r>
            <w:r w:rsidR="003879A6">
              <w:rPr>
                <w:rFonts w:ascii="Times New Roman" w:eastAsia="Times New Roman" w:hAnsi="Times New Roman" w:cs="Times New Roman"/>
                <w:sz w:val="24"/>
                <w:szCs w:val="24"/>
              </w:rPr>
              <w:t>20</w:t>
            </w:r>
            <w:r w:rsidR="00FB34BA" w:rsidRPr="00DA6AB4">
              <w:rPr>
                <w:rFonts w:ascii="Times New Roman" w:eastAsia="Times New Roman" w:hAnsi="Times New Roman" w:cs="Times New Roman"/>
                <w:sz w:val="24"/>
                <w:szCs w:val="24"/>
              </w:rPr>
              <w:t>. punktu, nosakot, ka līdz ar šo Noteikumu projekta spēkā stāšanos pēc tā publicēšanas oficiālajā izdevumā ,,Latvijas Vēstnesis”, zaudēs spēku Noteikumi Nr.147 un anotācij</w:t>
            </w:r>
            <w:r w:rsidR="00FD31C3" w:rsidRPr="00DA6AB4">
              <w:rPr>
                <w:rFonts w:ascii="Times New Roman" w:eastAsia="Times New Roman" w:hAnsi="Times New Roman" w:cs="Times New Roman"/>
                <w:sz w:val="24"/>
                <w:szCs w:val="24"/>
              </w:rPr>
              <w:t>ā</w:t>
            </w:r>
            <w:r w:rsidR="00FB34BA" w:rsidRPr="00DA6AB4">
              <w:rPr>
                <w:rFonts w:ascii="Times New Roman" w:eastAsia="Times New Roman" w:hAnsi="Times New Roman" w:cs="Times New Roman"/>
                <w:sz w:val="24"/>
                <w:szCs w:val="24"/>
              </w:rPr>
              <w:t xml:space="preserve"> </w:t>
            </w:r>
            <w:r w:rsidR="00FD31C3" w:rsidRPr="00DA6AB4">
              <w:rPr>
                <w:rFonts w:ascii="Times New Roman" w:eastAsia="Times New Roman" w:hAnsi="Times New Roman" w:cs="Times New Roman"/>
                <w:sz w:val="24"/>
                <w:szCs w:val="24"/>
              </w:rPr>
              <w:t>norādītās</w:t>
            </w:r>
            <w:r w:rsidR="00FB34BA" w:rsidRPr="00DA6AB4">
              <w:rPr>
                <w:rFonts w:ascii="Times New Roman" w:eastAsia="Times New Roman" w:hAnsi="Times New Roman" w:cs="Times New Roman"/>
                <w:sz w:val="24"/>
                <w:szCs w:val="24"/>
              </w:rPr>
              <w:t xml:space="preserve"> problēmas saistībā ar Noteikumu Nr. 147 spēka zaudēšanu tas atrisinās pilnībā.</w:t>
            </w:r>
          </w:p>
          <w:p w14:paraId="43217000" w14:textId="32607B6D" w:rsidR="00D46248" w:rsidRPr="00964AEF" w:rsidRDefault="00D46248" w:rsidP="00D55C06">
            <w:pPr>
              <w:spacing w:after="0" w:line="240" w:lineRule="auto"/>
              <w:jc w:val="both"/>
              <w:rPr>
                <w:rFonts w:ascii="Times New Roman" w:eastAsia="Times New Roman" w:hAnsi="Times New Roman" w:cs="Times New Roman"/>
                <w:iCs/>
                <w:sz w:val="24"/>
                <w:szCs w:val="24"/>
                <w:lang w:eastAsia="lv-LV"/>
              </w:rPr>
            </w:pPr>
          </w:p>
        </w:tc>
      </w:tr>
      <w:tr w:rsidR="00CD486E" w:rsidRPr="00964AEF" w14:paraId="7B1C897B" w14:textId="77777777" w:rsidTr="000547C8">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4C0A4E42" w14:textId="77777777" w:rsidR="00CD486E" w:rsidRPr="00964AEF" w:rsidRDefault="00CD486E" w:rsidP="00CD486E">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lastRenderedPageBreak/>
              <w:t>3.</w:t>
            </w:r>
          </w:p>
        </w:tc>
        <w:tc>
          <w:tcPr>
            <w:tcW w:w="1871" w:type="pct"/>
            <w:gridSpan w:val="11"/>
            <w:tcBorders>
              <w:top w:val="outset" w:sz="6" w:space="0" w:color="auto"/>
              <w:left w:val="outset" w:sz="6" w:space="0" w:color="auto"/>
              <w:bottom w:val="outset" w:sz="6" w:space="0" w:color="auto"/>
              <w:right w:val="outset" w:sz="6" w:space="0" w:color="auto"/>
            </w:tcBorders>
            <w:hideMark/>
          </w:tcPr>
          <w:p w14:paraId="42692965" w14:textId="77777777" w:rsidR="00CD486E" w:rsidRPr="00964AEF" w:rsidRDefault="00CD486E" w:rsidP="00CD486E">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799" w:type="pct"/>
            <w:gridSpan w:val="2"/>
            <w:tcBorders>
              <w:top w:val="outset" w:sz="6" w:space="0" w:color="auto"/>
              <w:left w:val="outset" w:sz="6" w:space="0" w:color="auto"/>
              <w:bottom w:val="outset" w:sz="6" w:space="0" w:color="auto"/>
              <w:right w:val="outset" w:sz="6" w:space="0" w:color="auto"/>
            </w:tcBorders>
            <w:hideMark/>
          </w:tcPr>
          <w:p w14:paraId="5765E55A" w14:textId="77777777" w:rsidR="00CD486E" w:rsidRPr="00964AEF" w:rsidRDefault="0017126C" w:rsidP="00CD486E">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Zāļu valsts aģentūra, Veselības inspekcija</w:t>
            </w:r>
          </w:p>
        </w:tc>
      </w:tr>
      <w:tr w:rsidR="00CD486E" w:rsidRPr="00964AEF" w14:paraId="571CF423" w14:textId="77777777" w:rsidTr="000547C8">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10D32115" w14:textId="77777777" w:rsidR="00CD486E" w:rsidRPr="00964AEF" w:rsidRDefault="00CD486E" w:rsidP="00CD486E">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4.</w:t>
            </w:r>
          </w:p>
        </w:tc>
        <w:tc>
          <w:tcPr>
            <w:tcW w:w="1871" w:type="pct"/>
            <w:gridSpan w:val="11"/>
            <w:tcBorders>
              <w:top w:val="outset" w:sz="6" w:space="0" w:color="auto"/>
              <w:left w:val="outset" w:sz="6" w:space="0" w:color="auto"/>
              <w:bottom w:val="outset" w:sz="6" w:space="0" w:color="auto"/>
              <w:right w:val="outset" w:sz="6" w:space="0" w:color="auto"/>
            </w:tcBorders>
            <w:hideMark/>
          </w:tcPr>
          <w:p w14:paraId="0EA8DD9A" w14:textId="77777777" w:rsidR="00CD486E" w:rsidRPr="00964AEF" w:rsidRDefault="00CD486E" w:rsidP="00CD486E">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Cita informācija</w:t>
            </w:r>
          </w:p>
        </w:tc>
        <w:tc>
          <w:tcPr>
            <w:tcW w:w="2799" w:type="pct"/>
            <w:gridSpan w:val="2"/>
            <w:tcBorders>
              <w:top w:val="outset" w:sz="6" w:space="0" w:color="auto"/>
              <w:left w:val="outset" w:sz="6" w:space="0" w:color="auto"/>
              <w:bottom w:val="outset" w:sz="6" w:space="0" w:color="auto"/>
              <w:right w:val="outset" w:sz="6" w:space="0" w:color="auto"/>
            </w:tcBorders>
            <w:hideMark/>
          </w:tcPr>
          <w:p w14:paraId="7F4A0E8B" w14:textId="77777777" w:rsidR="00CD486E" w:rsidRPr="00964AEF" w:rsidRDefault="0017126C" w:rsidP="00CD486E">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w:t>
            </w:r>
          </w:p>
        </w:tc>
      </w:tr>
      <w:tr w:rsidR="00E5323B" w:rsidRPr="00964AEF" w14:paraId="04788C8A" w14:textId="77777777" w:rsidTr="00E5323B">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14:paraId="7606F882" w14:textId="1260FD6E" w:rsidR="00655F2C" w:rsidRPr="00964AEF" w:rsidRDefault="00E5323B" w:rsidP="00E5323B">
            <w:pPr>
              <w:spacing w:after="0" w:line="240" w:lineRule="auto"/>
              <w:rPr>
                <w:rFonts w:ascii="Times New Roman" w:eastAsia="Times New Roman" w:hAnsi="Times New Roman" w:cs="Times New Roman"/>
                <w:b/>
                <w:bCs/>
                <w:iCs/>
                <w:sz w:val="24"/>
                <w:szCs w:val="24"/>
                <w:lang w:eastAsia="lv-LV"/>
              </w:rPr>
            </w:pPr>
            <w:r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964AEF" w14:paraId="6054D7C2" w14:textId="77777777" w:rsidTr="000547C8">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1FB4409C" w14:textId="77777777" w:rsidR="00655F2C"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w:t>
            </w:r>
          </w:p>
        </w:tc>
        <w:tc>
          <w:tcPr>
            <w:tcW w:w="1714" w:type="pct"/>
            <w:gridSpan w:val="8"/>
            <w:tcBorders>
              <w:top w:val="outset" w:sz="6" w:space="0" w:color="auto"/>
              <w:left w:val="outset" w:sz="6" w:space="0" w:color="auto"/>
              <w:bottom w:val="outset" w:sz="6" w:space="0" w:color="auto"/>
              <w:right w:val="outset" w:sz="6" w:space="0" w:color="auto"/>
            </w:tcBorders>
            <w:hideMark/>
          </w:tcPr>
          <w:p w14:paraId="611F562B" w14:textId="77777777" w:rsidR="00E5323B"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Sabiedrības mērķgrupas, kuras tiesiskais regulējums ietekmē vai varētu ietekmēt</w:t>
            </w:r>
          </w:p>
        </w:tc>
        <w:tc>
          <w:tcPr>
            <w:tcW w:w="2956" w:type="pct"/>
            <w:gridSpan w:val="5"/>
            <w:tcBorders>
              <w:top w:val="outset" w:sz="6" w:space="0" w:color="auto"/>
              <w:left w:val="outset" w:sz="6" w:space="0" w:color="auto"/>
              <w:bottom w:val="outset" w:sz="6" w:space="0" w:color="auto"/>
              <w:right w:val="outset" w:sz="6" w:space="0" w:color="auto"/>
            </w:tcBorders>
            <w:hideMark/>
          </w:tcPr>
          <w:p w14:paraId="6C025D94" w14:textId="77777777" w:rsidR="00E5323B" w:rsidRPr="00964AEF" w:rsidRDefault="001259B1" w:rsidP="00B8640A">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Prekursoru operatori un lietotāji – dažādi komersanti (zāļu ražošana,</w:t>
            </w:r>
            <w:r w:rsidR="002741B7" w:rsidRPr="00964AEF">
              <w:rPr>
                <w:rFonts w:ascii="Times New Roman" w:eastAsia="Times New Roman" w:hAnsi="Times New Roman" w:cs="Times New Roman"/>
                <w:iCs/>
                <w:sz w:val="24"/>
                <w:szCs w:val="24"/>
                <w:lang w:eastAsia="lv-LV"/>
              </w:rPr>
              <w:t xml:space="preserve"> aktīvo vielu ražošana un izplatīšana,</w:t>
            </w:r>
            <w:r w:rsidRPr="00964AEF">
              <w:rPr>
                <w:rFonts w:ascii="Times New Roman" w:eastAsia="Times New Roman" w:hAnsi="Times New Roman" w:cs="Times New Roman"/>
                <w:iCs/>
                <w:sz w:val="24"/>
                <w:szCs w:val="24"/>
                <w:lang w:eastAsia="lv-LV"/>
              </w:rPr>
              <w:t xml:space="preserve"> ķīmisko vielu ražošana</w:t>
            </w:r>
            <w:r w:rsidR="002741B7" w:rsidRPr="00964AEF">
              <w:rPr>
                <w:rFonts w:ascii="Times New Roman" w:eastAsia="Times New Roman" w:hAnsi="Times New Roman" w:cs="Times New Roman"/>
                <w:iCs/>
                <w:sz w:val="24"/>
                <w:szCs w:val="24"/>
                <w:lang w:eastAsia="lv-LV"/>
              </w:rPr>
              <w:t xml:space="preserve"> un izplatīšana</w:t>
            </w:r>
            <w:r w:rsidRPr="00964AEF">
              <w:rPr>
                <w:rFonts w:ascii="Times New Roman" w:eastAsia="Times New Roman" w:hAnsi="Times New Roman" w:cs="Times New Roman"/>
                <w:iCs/>
                <w:sz w:val="24"/>
                <w:szCs w:val="24"/>
                <w:lang w:eastAsia="lv-LV"/>
              </w:rPr>
              <w:t xml:space="preserve"> utml.)</w:t>
            </w:r>
            <w:r w:rsidR="009B476D" w:rsidRPr="00964AEF">
              <w:rPr>
                <w:rFonts w:ascii="Times New Roman" w:eastAsia="Times New Roman" w:hAnsi="Times New Roman" w:cs="Times New Roman"/>
                <w:iCs/>
                <w:sz w:val="24"/>
                <w:szCs w:val="24"/>
                <w:lang w:eastAsia="lv-LV"/>
              </w:rPr>
              <w:t>,</w:t>
            </w:r>
            <w:r w:rsidRPr="00964AEF">
              <w:rPr>
                <w:rFonts w:ascii="Times New Roman" w:eastAsia="Times New Roman" w:hAnsi="Times New Roman" w:cs="Times New Roman"/>
                <w:iCs/>
                <w:sz w:val="24"/>
                <w:szCs w:val="24"/>
                <w:lang w:eastAsia="lv-LV"/>
              </w:rPr>
              <w:t xml:space="preserve"> ārstniecības iestādes.</w:t>
            </w:r>
          </w:p>
          <w:p w14:paraId="0A39A3FD" w14:textId="3DFB47E8" w:rsidR="00CC6908" w:rsidRPr="00964AEF" w:rsidRDefault="00CC6908" w:rsidP="00B8640A">
            <w:pPr>
              <w:spacing w:after="0" w:line="240" w:lineRule="auto"/>
              <w:jc w:val="both"/>
              <w:rPr>
                <w:rFonts w:ascii="Times New Roman" w:eastAsia="Times New Roman" w:hAnsi="Times New Roman" w:cs="Times New Roman"/>
                <w:iCs/>
                <w:sz w:val="24"/>
                <w:szCs w:val="24"/>
                <w:lang w:eastAsia="lv-LV"/>
              </w:rPr>
            </w:pPr>
          </w:p>
        </w:tc>
      </w:tr>
      <w:tr w:rsidR="00E5323B" w:rsidRPr="00964AEF" w14:paraId="172F6421" w14:textId="77777777" w:rsidTr="000547C8">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31E605D1" w14:textId="77777777" w:rsidR="00655F2C"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w:t>
            </w:r>
          </w:p>
        </w:tc>
        <w:tc>
          <w:tcPr>
            <w:tcW w:w="1714" w:type="pct"/>
            <w:gridSpan w:val="8"/>
            <w:tcBorders>
              <w:top w:val="outset" w:sz="6" w:space="0" w:color="auto"/>
              <w:left w:val="outset" w:sz="6" w:space="0" w:color="auto"/>
              <w:bottom w:val="outset" w:sz="6" w:space="0" w:color="auto"/>
              <w:right w:val="outset" w:sz="6" w:space="0" w:color="auto"/>
            </w:tcBorders>
            <w:hideMark/>
          </w:tcPr>
          <w:p w14:paraId="607A02AF" w14:textId="77777777" w:rsidR="00E5323B"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Tiesiskā regulējuma ietekme uz tautsaimniecību un administratīvo slogu</w:t>
            </w:r>
          </w:p>
        </w:tc>
        <w:tc>
          <w:tcPr>
            <w:tcW w:w="2956" w:type="pct"/>
            <w:gridSpan w:val="5"/>
            <w:tcBorders>
              <w:top w:val="outset" w:sz="6" w:space="0" w:color="auto"/>
              <w:left w:val="outset" w:sz="6" w:space="0" w:color="auto"/>
              <w:bottom w:val="outset" w:sz="6" w:space="0" w:color="auto"/>
              <w:right w:val="outset" w:sz="6" w:space="0" w:color="auto"/>
            </w:tcBorders>
            <w:hideMark/>
          </w:tcPr>
          <w:p w14:paraId="1E1A460E" w14:textId="77777777" w:rsidR="00E5323B" w:rsidRPr="00964AEF" w:rsidRDefault="00370E1F" w:rsidP="00B8640A">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Projekts</w:t>
            </w:r>
            <w:r w:rsidR="00160D2F" w:rsidRPr="00964AEF">
              <w:rPr>
                <w:rFonts w:ascii="Times New Roman" w:eastAsia="Times New Roman" w:hAnsi="Times New Roman" w:cs="Times New Roman"/>
                <w:iCs/>
                <w:sz w:val="24"/>
                <w:szCs w:val="24"/>
                <w:lang w:eastAsia="lv-LV"/>
              </w:rPr>
              <w:t xml:space="preserve"> </w:t>
            </w:r>
            <w:r w:rsidR="001259B1" w:rsidRPr="00964AEF">
              <w:rPr>
                <w:rFonts w:ascii="Times New Roman" w:eastAsia="Times New Roman" w:hAnsi="Times New Roman" w:cs="Times New Roman"/>
                <w:iCs/>
                <w:sz w:val="24"/>
                <w:szCs w:val="24"/>
                <w:lang w:eastAsia="lv-LV"/>
              </w:rPr>
              <w:t>nepalielina</w:t>
            </w:r>
            <w:r w:rsidR="00160D2F" w:rsidRPr="00964AEF">
              <w:rPr>
                <w:rFonts w:ascii="Times New Roman" w:eastAsia="Times New Roman" w:hAnsi="Times New Roman" w:cs="Times New Roman"/>
                <w:iCs/>
                <w:sz w:val="24"/>
                <w:szCs w:val="24"/>
                <w:lang w:eastAsia="lv-LV"/>
              </w:rPr>
              <w:t xml:space="preserve"> administratīvo slogu</w:t>
            </w:r>
            <w:r w:rsidR="005B00BB" w:rsidRPr="00964AEF">
              <w:rPr>
                <w:rFonts w:ascii="Times New Roman" w:eastAsia="Times New Roman" w:hAnsi="Times New Roman" w:cs="Times New Roman"/>
                <w:iCs/>
                <w:sz w:val="24"/>
                <w:szCs w:val="24"/>
                <w:lang w:eastAsia="lv-LV"/>
              </w:rPr>
              <w:t xml:space="preserve"> </w:t>
            </w:r>
            <w:r w:rsidR="00C85869" w:rsidRPr="00964AEF">
              <w:rPr>
                <w:rFonts w:ascii="Times New Roman" w:eastAsia="Times New Roman" w:hAnsi="Times New Roman" w:cs="Times New Roman"/>
                <w:iCs/>
                <w:sz w:val="24"/>
                <w:szCs w:val="24"/>
                <w:lang w:eastAsia="lv-LV"/>
              </w:rPr>
              <w:t>–</w:t>
            </w:r>
            <w:r w:rsidR="005B00BB" w:rsidRPr="00964AEF">
              <w:rPr>
                <w:rFonts w:ascii="Times New Roman" w:eastAsia="Times New Roman" w:hAnsi="Times New Roman" w:cs="Times New Roman"/>
                <w:iCs/>
                <w:sz w:val="24"/>
                <w:szCs w:val="24"/>
                <w:lang w:eastAsia="lv-LV"/>
              </w:rPr>
              <w:t xml:space="preserve"> </w:t>
            </w:r>
            <w:r w:rsidR="00C85869" w:rsidRPr="00964AEF">
              <w:rPr>
                <w:rFonts w:ascii="Times New Roman" w:eastAsia="Times New Roman" w:hAnsi="Times New Roman" w:cs="Times New Roman"/>
                <w:iCs/>
                <w:sz w:val="24"/>
                <w:szCs w:val="24"/>
                <w:lang w:eastAsia="lv-LV"/>
              </w:rPr>
              <w:t>operatoru pienākums sniegt informāciju aģentūrai par prekursoru apriti ir jau noteikts arī šobrīd</w:t>
            </w:r>
            <w:r w:rsidR="001259B1" w:rsidRPr="00964AEF">
              <w:rPr>
                <w:rFonts w:ascii="Times New Roman" w:eastAsia="Times New Roman" w:hAnsi="Times New Roman" w:cs="Times New Roman"/>
                <w:iCs/>
                <w:sz w:val="24"/>
                <w:szCs w:val="24"/>
                <w:lang w:eastAsia="lv-LV"/>
              </w:rPr>
              <w:t>.</w:t>
            </w:r>
          </w:p>
          <w:p w14:paraId="43C5D2A9" w14:textId="31CCEFDA" w:rsidR="00CC6908" w:rsidRPr="00964AEF" w:rsidRDefault="00CC6908" w:rsidP="00B8640A">
            <w:pPr>
              <w:spacing w:after="0" w:line="240" w:lineRule="auto"/>
              <w:jc w:val="both"/>
              <w:rPr>
                <w:rFonts w:ascii="Times New Roman" w:eastAsia="Times New Roman" w:hAnsi="Times New Roman" w:cs="Times New Roman"/>
                <w:iCs/>
                <w:sz w:val="24"/>
                <w:szCs w:val="24"/>
                <w:lang w:eastAsia="lv-LV"/>
              </w:rPr>
            </w:pPr>
          </w:p>
        </w:tc>
      </w:tr>
      <w:tr w:rsidR="00E5323B" w:rsidRPr="00964AEF" w14:paraId="32574397" w14:textId="77777777" w:rsidTr="000547C8">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10210B73" w14:textId="77777777" w:rsidR="00655F2C"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w:t>
            </w:r>
          </w:p>
        </w:tc>
        <w:tc>
          <w:tcPr>
            <w:tcW w:w="1714" w:type="pct"/>
            <w:gridSpan w:val="8"/>
            <w:tcBorders>
              <w:top w:val="outset" w:sz="6" w:space="0" w:color="auto"/>
              <w:left w:val="outset" w:sz="6" w:space="0" w:color="auto"/>
              <w:bottom w:val="outset" w:sz="6" w:space="0" w:color="auto"/>
              <w:right w:val="outset" w:sz="6" w:space="0" w:color="auto"/>
            </w:tcBorders>
            <w:hideMark/>
          </w:tcPr>
          <w:p w14:paraId="5EC0FCDD" w14:textId="77777777" w:rsidR="00E5323B"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Administratīvo izmaksu monetārs novērtējums</w:t>
            </w:r>
          </w:p>
        </w:tc>
        <w:tc>
          <w:tcPr>
            <w:tcW w:w="2956" w:type="pct"/>
            <w:gridSpan w:val="5"/>
            <w:tcBorders>
              <w:top w:val="outset" w:sz="6" w:space="0" w:color="auto"/>
              <w:left w:val="outset" w:sz="6" w:space="0" w:color="auto"/>
              <w:bottom w:val="outset" w:sz="6" w:space="0" w:color="auto"/>
              <w:right w:val="outset" w:sz="6" w:space="0" w:color="auto"/>
            </w:tcBorders>
            <w:hideMark/>
          </w:tcPr>
          <w:p w14:paraId="65360B2E" w14:textId="77777777" w:rsidR="00E5323B" w:rsidRPr="00964AEF" w:rsidRDefault="00F60FA7"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Zāļu valsts aģentūra jau šobrīd apstrādā no prekursoru operatoriem saņemto informāciju un projekta realizācija neprasīs no Zāļu valsts aģentūras papildus darba slodzes. Tā kā arī šobrīd prekursoru operatori sniedz informāciju Zāļu valsts aģentūrai par prekursoru apriti reizi ceturksnī, un prekursoru aprites uzskaiti</w:t>
            </w:r>
            <w:r w:rsidR="00C349A4" w:rsidRPr="00964AEF">
              <w:rPr>
                <w:rFonts w:ascii="Times New Roman" w:eastAsia="Times New Roman" w:hAnsi="Times New Roman" w:cs="Times New Roman"/>
                <w:iCs/>
                <w:sz w:val="24"/>
                <w:szCs w:val="24"/>
                <w:lang w:eastAsia="lv-LV"/>
              </w:rPr>
              <w:t xml:space="preserve"> un iesniegšanu Zāļu valsts aģentūrā</w:t>
            </w:r>
            <w:r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lastRenderedPageBreak/>
              <w:t xml:space="preserve">var veikt ar standarta biroja </w:t>
            </w:r>
            <w:r w:rsidR="00C349A4" w:rsidRPr="00964AEF">
              <w:rPr>
                <w:rFonts w:ascii="Times New Roman" w:eastAsia="Times New Roman" w:hAnsi="Times New Roman" w:cs="Times New Roman"/>
                <w:iCs/>
                <w:sz w:val="24"/>
                <w:szCs w:val="24"/>
                <w:lang w:eastAsia="lv-LV"/>
              </w:rPr>
              <w:t>programmatūru, kopējās administratīvās izmaksas ir zem EUR 2000.</w:t>
            </w:r>
          </w:p>
          <w:p w14:paraId="2CB18C11" w14:textId="70FE41FA" w:rsidR="00CC6908" w:rsidRPr="00964AEF" w:rsidRDefault="00CC6908" w:rsidP="00E5323B">
            <w:pPr>
              <w:spacing w:after="0" w:line="240" w:lineRule="auto"/>
              <w:rPr>
                <w:rFonts w:ascii="Times New Roman" w:eastAsia="Times New Roman" w:hAnsi="Times New Roman" w:cs="Times New Roman"/>
                <w:iCs/>
                <w:sz w:val="24"/>
                <w:szCs w:val="24"/>
                <w:lang w:eastAsia="lv-LV"/>
              </w:rPr>
            </w:pPr>
          </w:p>
        </w:tc>
      </w:tr>
      <w:tr w:rsidR="00E5323B" w:rsidRPr="00964AEF" w14:paraId="02D27AB7" w14:textId="77777777" w:rsidTr="000547C8">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58C8C268" w14:textId="77777777" w:rsidR="00655F2C"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lastRenderedPageBreak/>
              <w:t>4.</w:t>
            </w:r>
          </w:p>
        </w:tc>
        <w:tc>
          <w:tcPr>
            <w:tcW w:w="1714" w:type="pct"/>
            <w:gridSpan w:val="8"/>
            <w:tcBorders>
              <w:top w:val="outset" w:sz="6" w:space="0" w:color="auto"/>
              <w:left w:val="outset" w:sz="6" w:space="0" w:color="auto"/>
              <w:bottom w:val="outset" w:sz="6" w:space="0" w:color="auto"/>
              <w:right w:val="outset" w:sz="6" w:space="0" w:color="auto"/>
            </w:tcBorders>
            <w:hideMark/>
          </w:tcPr>
          <w:p w14:paraId="28D705B8" w14:textId="77777777" w:rsidR="00E5323B"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Atbilstības izmaksu monetārs novērtējums</w:t>
            </w:r>
          </w:p>
        </w:tc>
        <w:tc>
          <w:tcPr>
            <w:tcW w:w="2956" w:type="pct"/>
            <w:gridSpan w:val="5"/>
            <w:tcBorders>
              <w:top w:val="outset" w:sz="6" w:space="0" w:color="auto"/>
              <w:left w:val="outset" w:sz="6" w:space="0" w:color="auto"/>
              <w:bottom w:val="outset" w:sz="6" w:space="0" w:color="auto"/>
              <w:right w:val="outset" w:sz="6" w:space="0" w:color="auto"/>
            </w:tcBorders>
            <w:hideMark/>
          </w:tcPr>
          <w:p w14:paraId="741AC45B" w14:textId="77777777" w:rsidR="00E5323B" w:rsidRPr="00964AEF" w:rsidRDefault="005A50D7" w:rsidP="00B8640A">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P</w:t>
            </w:r>
            <w:r w:rsidR="001259B1" w:rsidRPr="00964AEF">
              <w:rPr>
                <w:rFonts w:ascii="Times New Roman" w:eastAsia="Times New Roman" w:hAnsi="Times New Roman" w:cs="Times New Roman"/>
                <w:iCs/>
                <w:sz w:val="24"/>
                <w:szCs w:val="24"/>
                <w:lang w:eastAsia="lv-LV"/>
              </w:rPr>
              <w:t>rekursoru operatoriem un lietotājiem var būt</w:t>
            </w:r>
            <w:r w:rsidRPr="00964AEF">
              <w:rPr>
                <w:rFonts w:ascii="Times New Roman" w:eastAsia="Times New Roman" w:hAnsi="Times New Roman" w:cs="Times New Roman"/>
                <w:iCs/>
                <w:sz w:val="24"/>
                <w:szCs w:val="24"/>
                <w:lang w:eastAsia="lv-LV"/>
              </w:rPr>
              <w:t xml:space="preserve"> nepieciešams iegādāties slēdzamu metāla skapi vai seifu saraksta vielu uzglabāšanai. Slēdzama metāla skapja vai seifa iegādes izmaksas ir</w:t>
            </w:r>
            <w:r w:rsidR="002741B7" w:rsidRPr="00964AEF">
              <w:rPr>
                <w:rFonts w:ascii="Times New Roman" w:eastAsia="Times New Roman" w:hAnsi="Times New Roman" w:cs="Times New Roman"/>
                <w:iCs/>
                <w:sz w:val="24"/>
                <w:szCs w:val="24"/>
                <w:lang w:eastAsia="lv-LV"/>
              </w:rPr>
              <w:t>, sākot ar</w:t>
            </w:r>
            <w:r w:rsidRPr="00964AEF">
              <w:rPr>
                <w:rFonts w:ascii="Times New Roman" w:eastAsia="Times New Roman" w:hAnsi="Times New Roman" w:cs="Times New Roman"/>
                <w:iCs/>
                <w:sz w:val="24"/>
                <w:szCs w:val="24"/>
                <w:lang w:eastAsia="lv-LV"/>
              </w:rPr>
              <w:t xml:space="preserve">  50-150 EUR</w:t>
            </w:r>
            <w:r w:rsidR="002741B7" w:rsidRPr="00964AEF">
              <w:rPr>
                <w:rFonts w:ascii="Times New Roman" w:eastAsia="Times New Roman" w:hAnsi="Times New Roman" w:cs="Times New Roman"/>
                <w:iCs/>
                <w:sz w:val="24"/>
                <w:szCs w:val="24"/>
                <w:lang w:eastAsia="lv-LV"/>
              </w:rPr>
              <w:t xml:space="preserve"> atkarībā no izmēra</w:t>
            </w:r>
            <w:r w:rsidRPr="00964AEF">
              <w:rPr>
                <w:rFonts w:ascii="Times New Roman" w:eastAsia="Times New Roman" w:hAnsi="Times New Roman" w:cs="Times New Roman"/>
                <w:iCs/>
                <w:sz w:val="24"/>
                <w:szCs w:val="24"/>
                <w:lang w:eastAsia="lv-LV"/>
              </w:rPr>
              <w:t>. Kopējais skaits personu, uz kurām attiecas šīs prasības, nav zināms.</w:t>
            </w:r>
            <w:r w:rsidR="001259B1" w:rsidRPr="00964AEF">
              <w:rPr>
                <w:rFonts w:ascii="Times New Roman" w:eastAsia="Times New Roman" w:hAnsi="Times New Roman" w:cs="Times New Roman"/>
                <w:iCs/>
                <w:sz w:val="24"/>
                <w:szCs w:val="24"/>
                <w:lang w:eastAsia="lv-LV"/>
              </w:rPr>
              <w:t xml:space="preserve"> Tāpat tiem var būt nepieciešams telpu, kurā glabājas prekursori, aprīkot ar signalizāciju</w:t>
            </w:r>
            <w:r w:rsidR="002741B7" w:rsidRPr="00964AEF">
              <w:rPr>
                <w:rFonts w:ascii="Times New Roman" w:eastAsia="Times New Roman" w:hAnsi="Times New Roman" w:cs="Times New Roman"/>
                <w:iCs/>
                <w:sz w:val="24"/>
                <w:szCs w:val="24"/>
                <w:lang w:eastAsia="lv-LV"/>
              </w:rPr>
              <w:t>, un izmaksas ir stipri individuālas katrā atsevišķā gadījumā, un šobrīd nav aprēķināmas</w:t>
            </w:r>
            <w:r w:rsidR="001259B1" w:rsidRPr="00964AEF">
              <w:rPr>
                <w:rFonts w:ascii="Times New Roman" w:eastAsia="Times New Roman" w:hAnsi="Times New Roman" w:cs="Times New Roman"/>
                <w:iCs/>
                <w:sz w:val="24"/>
                <w:szCs w:val="24"/>
                <w:lang w:eastAsia="lv-LV"/>
              </w:rPr>
              <w:t>.</w:t>
            </w:r>
          </w:p>
          <w:p w14:paraId="5C0339EF" w14:textId="6557CB2F" w:rsidR="00CC6908" w:rsidRPr="00964AEF" w:rsidRDefault="00CC6908" w:rsidP="00B8640A">
            <w:pPr>
              <w:spacing w:after="0" w:line="240" w:lineRule="auto"/>
              <w:jc w:val="both"/>
              <w:rPr>
                <w:rFonts w:ascii="Times New Roman" w:eastAsia="Times New Roman" w:hAnsi="Times New Roman" w:cs="Times New Roman"/>
                <w:iCs/>
                <w:sz w:val="24"/>
                <w:szCs w:val="24"/>
                <w:lang w:eastAsia="lv-LV"/>
              </w:rPr>
            </w:pPr>
          </w:p>
        </w:tc>
      </w:tr>
      <w:tr w:rsidR="00E5323B" w:rsidRPr="00964AEF" w14:paraId="2913FAFE" w14:textId="77777777" w:rsidTr="000547C8">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5FBA7FBE" w14:textId="77777777" w:rsidR="00655F2C"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5.</w:t>
            </w:r>
          </w:p>
        </w:tc>
        <w:tc>
          <w:tcPr>
            <w:tcW w:w="1714" w:type="pct"/>
            <w:gridSpan w:val="8"/>
            <w:tcBorders>
              <w:top w:val="outset" w:sz="6" w:space="0" w:color="auto"/>
              <w:left w:val="outset" w:sz="6" w:space="0" w:color="auto"/>
              <w:bottom w:val="outset" w:sz="6" w:space="0" w:color="auto"/>
              <w:right w:val="outset" w:sz="6" w:space="0" w:color="auto"/>
            </w:tcBorders>
            <w:hideMark/>
          </w:tcPr>
          <w:p w14:paraId="10C37DE3" w14:textId="77777777" w:rsidR="00E5323B"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Cita informācija</w:t>
            </w:r>
          </w:p>
        </w:tc>
        <w:tc>
          <w:tcPr>
            <w:tcW w:w="2956" w:type="pct"/>
            <w:gridSpan w:val="5"/>
            <w:tcBorders>
              <w:top w:val="outset" w:sz="6" w:space="0" w:color="auto"/>
              <w:left w:val="outset" w:sz="6" w:space="0" w:color="auto"/>
              <w:bottom w:val="outset" w:sz="6" w:space="0" w:color="auto"/>
              <w:right w:val="outset" w:sz="6" w:space="0" w:color="auto"/>
            </w:tcBorders>
            <w:hideMark/>
          </w:tcPr>
          <w:p w14:paraId="36C11A1F" w14:textId="77777777" w:rsidR="00E5323B" w:rsidRPr="00964AEF" w:rsidRDefault="005A50D7"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w:t>
            </w:r>
          </w:p>
        </w:tc>
      </w:tr>
      <w:tr w:rsidR="00E5323B" w:rsidRPr="00964AEF" w14:paraId="5BB49BF2" w14:textId="77777777" w:rsidTr="00E5323B">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14:paraId="1031A5DC" w14:textId="2DE73057" w:rsidR="00655F2C" w:rsidRPr="00964AEF" w:rsidRDefault="00E5323B" w:rsidP="00E5323B">
            <w:pPr>
              <w:spacing w:after="0" w:line="240" w:lineRule="auto"/>
              <w:rPr>
                <w:rFonts w:ascii="Times New Roman" w:eastAsia="Times New Roman" w:hAnsi="Times New Roman" w:cs="Times New Roman"/>
                <w:b/>
                <w:bCs/>
                <w:iCs/>
                <w:sz w:val="24"/>
                <w:szCs w:val="24"/>
                <w:lang w:eastAsia="lv-LV"/>
              </w:rPr>
            </w:pPr>
            <w:r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b/>
                <w:bCs/>
                <w:iCs/>
                <w:sz w:val="24"/>
                <w:szCs w:val="24"/>
                <w:lang w:eastAsia="lv-LV"/>
              </w:rPr>
              <w:t>III. Tiesību akta projekta ietekme uz valsts budžetu un pašvaldību budžetiem</w:t>
            </w:r>
          </w:p>
        </w:tc>
      </w:tr>
      <w:tr w:rsidR="0017126C" w:rsidRPr="00964AEF" w14:paraId="468E2B9E" w14:textId="77777777" w:rsidTr="0017126C">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3ACF8781" w14:textId="77777777" w:rsidR="0017126C" w:rsidRPr="00964AEF" w:rsidRDefault="0017126C" w:rsidP="0017126C">
            <w:pPr>
              <w:spacing w:after="0" w:line="240" w:lineRule="auto"/>
              <w:jc w:val="center"/>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Projekts šo jomu neskar</w:t>
            </w:r>
          </w:p>
        </w:tc>
      </w:tr>
      <w:tr w:rsidR="00E5323B" w:rsidRPr="00964AEF" w14:paraId="675A15FE" w14:textId="77777777" w:rsidTr="00E5323B">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14:paraId="51AFFBC2" w14:textId="1936491B" w:rsidR="00655F2C" w:rsidRPr="00964AEF" w:rsidRDefault="00E5323B" w:rsidP="00E5323B">
            <w:pPr>
              <w:spacing w:after="0" w:line="240" w:lineRule="auto"/>
              <w:rPr>
                <w:rFonts w:ascii="Times New Roman" w:eastAsia="Times New Roman" w:hAnsi="Times New Roman" w:cs="Times New Roman"/>
                <w:b/>
                <w:bCs/>
                <w:iCs/>
                <w:sz w:val="24"/>
                <w:szCs w:val="24"/>
                <w:lang w:eastAsia="lv-LV"/>
              </w:rPr>
            </w:pPr>
            <w:r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964AEF" w14:paraId="15E677A2" w14:textId="77777777" w:rsidTr="000547C8">
        <w:trPr>
          <w:tblCellSpacing w:w="15" w:type="dxa"/>
        </w:trPr>
        <w:tc>
          <w:tcPr>
            <w:tcW w:w="350" w:type="pct"/>
            <w:gridSpan w:val="4"/>
            <w:tcBorders>
              <w:top w:val="outset" w:sz="6" w:space="0" w:color="auto"/>
              <w:left w:val="outset" w:sz="6" w:space="0" w:color="auto"/>
              <w:bottom w:val="outset" w:sz="6" w:space="0" w:color="auto"/>
              <w:right w:val="outset" w:sz="6" w:space="0" w:color="auto"/>
            </w:tcBorders>
            <w:hideMark/>
          </w:tcPr>
          <w:p w14:paraId="060AAD49" w14:textId="77777777" w:rsidR="00655F2C" w:rsidRPr="00964AEF" w:rsidRDefault="00E5323B" w:rsidP="00E5323B">
            <w:pPr>
              <w:spacing w:after="0" w:line="240" w:lineRule="auto"/>
              <w:rPr>
                <w:rFonts w:ascii="Times New Roman" w:eastAsia="Times New Roman" w:hAnsi="Times New Roman" w:cs="Times New Roman"/>
                <w:iCs/>
                <w:sz w:val="24"/>
                <w:szCs w:val="24"/>
                <w:lang w:eastAsia="lv-LV"/>
              </w:rPr>
            </w:pPr>
            <w:bookmarkStart w:id="2" w:name="_Hlk70077129"/>
            <w:r w:rsidRPr="00964AEF">
              <w:rPr>
                <w:rFonts w:ascii="Times New Roman" w:eastAsia="Times New Roman" w:hAnsi="Times New Roman" w:cs="Times New Roman"/>
                <w:iCs/>
                <w:sz w:val="24"/>
                <w:szCs w:val="24"/>
                <w:lang w:eastAsia="lv-LV"/>
              </w:rPr>
              <w:t>1.</w:t>
            </w:r>
          </w:p>
        </w:tc>
        <w:tc>
          <w:tcPr>
            <w:tcW w:w="1711" w:type="pct"/>
            <w:gridSpan w:val="7"/>
            <w:tcBorders>
              <w:top w:val="outset" w:sz="6" w:space="0" w:color="auto"/>
              <w:left w:val="outset" w:sz="6" w:space="0" w:color="auto"/>
              <w:bottom w:val="outset" w:sz="6" w:space="0" w:color="auto"/>
              <w:right w:val="outset" w:sz="6" w:space="0" w:color="auto"/>
            </w:tcBorders>
            <w:hideMark/>
          </w:tcPr>
          <w:p w14:paraId="62A66E3C" w14:textId="77777777" w:rsidR="00E5323B"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Saistītie tiesību aktu projekti</w:t>
            </w:r>
          </w:p>
        </w:tc>
        <w:tc>
          <w:tcPr>
            <w:tcW w:w="2874" w:type="pct"/>
            <w:gridSpan w:val="3"/>
            <w:tcBorders>
              <w:top w:val="outset" w:sz="6" w:space="0" w:color="auto"/>
              <w:left w:val="outset" w:sz="6" w:space="0" w:color="auto"/>
              <w:bottom w:val="outset" w:sz="6" w:space="0" w:color="auto"/>
              <w:right w:val="outset" w:sz="6" w:space="0" w:color="auto"/>
            </w:tcBorders>
            <w:hideMark/>
          </w:tcPr>
          <w:p w14:paraId="25DFCDCA" w14:textId="77777777" w:rsidR="00E5323B" w:rsidRPr="00964AEF" w:rsidRDefault="0017126C"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w:t>
            </w:r>
          </w:p>
        </w:tc>
      </w:tr>
      <w:tr w:rsidR="00E5323B" w:rsidRPr="00964AEF" w14:paraId="01278EB9" w14:textId="77777777" w:rsidTr="000547C8">
        <w:trPr>
          <w:tblCellSpacing w:w="15" w:type="dxa"/>
        </w:trPr>
        <w:tc>
          <w:tcPr>
            <w:tcW w:w="350" w:type="pct"/>
            <w:gridSpan w:val="4"/>
            <w:tcBorders>
              <w:top w:val="outset" w:sz="6" w:space="0" w:color="auto"/>
              <w:left w:val="outset" w:sz="6" w:space="0" w:color="auto"/>
              <w:bottom w:val="outset" w:sz="6" w:space="0" w:color="auto"/>
              <w:right w:val="outset" w:sz="6" w:space="0" w:color="auto"/>
            </w:tcBorders>
            <w:hideMark/>
          </w:tcPr>
          <w:p w14:paraId="45882CA3" w14:textId="77777777" w:rsidR="00655F2C"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w:t>
            </w:r>
          </w:p>
        </w:tc>
        <w:tc>
          <w:tcPr>
            <w:tcW w:w="1711" w:type="pct"/>
            <w:gridSpan w:val="7"/>
            <w:tcBorders>
              <w:top w:val="outset" w:sz="6" w:space="0" w:color="auto"/>
              <w:left w:val="outset" w:sz="6" w:space="0" w:color="auto"/>
              <w:bottom w:val="outset" w:sz="6" w:space="0" w:color="auto"/>
              <w:right w:val="outset" w:sz="6" w:space="0" w:color="auto"/>
            </w:tcBorders>
            <w:hideMark/>
          </w:tcPr>
          <w:p w14:paraId="14253831" w14:textId="77777777" w:rsidR="00E5323B"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Atbildīgā institūcija</w:t>
            </w:r>
          </w:p>
        </w:tc>
        <w:tc>
          <w:tcPr>
            <w:tcW w:w="2874" w:type="pct"/>
            <w:gridSpan w:val="3"/>
            <w:tcBorders>
              <w:top w:val="outset" w:sz="6" w:space="0" w:color="auto"/>
              <w:left w:val="outset" w:sz="6" w:space="0" w:color="auto"/>
              <w:bottom w:val="outset" w:sz="6" w:space="0" w:color="auto"/>
              <w:right w:val="outset" w:sz="6" w:space="0" w:color="auto"/>
            </w:tcBorders>
            <w:hideMark/>
          </w:tcPr>
          <w:p w14:paraId="72E97482" w14:textId="77777777" w:rsidR="00E5323B" w:rsidRPr="00964AEF" w:rsidRDefault="0017126C"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Veselības ministrija</w:t>
            </w:r>
          </w:p>
        </w:tc>
      </w:tr>
      <w:tr w:rsidR="00E5323B" w:rsidRPr="00964AEF" w14:paraId="332EEA6E" w14:textId="77777777" w:rsidTr="000547C8">
        <w:trPr>
          <w:tblCellSpacing w:w="15" w:type="dxa"/>
        </w:trPr>
        <w:tc>
          <w:tcPr>
            <w:tcW w:w="350" w:type="pct"/>
            <w:gridSpan w:val="4"/>
            <w:tcBorders>
              <w:top w:val="outset" w:sz="6" w:space="0" w:color="auto"/>
              <w:left w:val="outset" w:sz="6" w:space="0" w:color="auto"/>
              <w:bottom w:val="outset" w:sz="6" w:space="0" w:color="auto"/>
              <w:right w:val="outset" w:sz="6" w:space="0" w:color="auto"/>
            </w:tcBorders>
            <w:hideMark/>
          </w:tcPr>
          <w:p w14:paraId="659B0D78" w14:textId="77777777" w:rsidR="00655F2C"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w:t>
            </w:r>
          </w:p>
        </w:tc>
        <w:tc>
          <w:tcPr>
            <w:tcW w:w="1711" w:type="pct"/>
            <w:gridSpan w:val="7"/>
            <w:tcBorders>
              <w:top w:val="outset" w:sz="6" w:space="0" w:color="auto"/>
              <w:left w:val="outset" w:sz="6" w:space="0" w:color="auto"/>
              <w:bottom w:val="outset" w:sz="6" w:space="0" w:color="auto"/>
              <w:right w:val="outset" w:sz="6" w:space="0" w:color="auto"/>
            </w:tcBorders>
            <w:hideMark/>
          </w:tcPr>
          <w:p w14:paraId="0860B2A1" w14:textId="77777777" w:rsidR="00E5323B"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Cita informācija</w:t>
            </w:r>
          </w:p>
        </w:tc>
        <w:tc>
          <w:tcPr>
            <w:tcW w:w="2874" w:type="pct"/>
            <w:gridSpan w:val="3"/>
            <w:tcBorders>
              <w:top w:val="outset" w:sz="6" w:space="0" w:color="auto"/>
              <w:left w:val="outset" w:sz="6" w:space="0" w:color="auto"/>
              <w:bottom w:val="outset" w:sz="6" w:space="0" w:color="auto"/>
              <w:right w:val="outset" w:sz="6" w:space="0" w:color="auto"/>
            </w:tcBorders>
            <w:hideMark/>
          </w:tcPr>
          <w:p w14:paraId="00B17700" w14:textId="77777777" w:rsidR="00E5323B" w:rsidRPr="00964AEF" w:rsidRDefault="0017126C"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w:t>
            </w:r>
          </w:p>
        </w:tc>
      </w:tr>
      <w:bookmarkEnd w:id="2"/>
      <w:tr w:rsidR="008F497F" w:rsidRPr="00964AEF" w14:paraId="1695852F" w14:textId="77777777" w:rsidTr="00AF7E61">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14:paraId="37E99212" w14:textId="529F5FEF" w:rsidR="008F497F" w:rsidRPr="00964AEF" w:rsidRDefault="00E5323B" w:rsidP="00AF7E61">
            <w:pPr>
              <w:spacing w:after="0" w:line="240" w:lineRule="auto"/>
              <w:rPr>
                <w:rFonts w:ascii="Times New Roman" w:eastAsia="Times New Roman" w:hAnsi="Times New Roman" w:cs="Times New Roman"/>
                <w:b/>
                <w:bCs/>
                <w:iCs/>
                <w:sz w:val="24"/>
                <w:szCs w:val="24"/>
                <w:lang w:eastAsia="lv-LV"/>
              </w:rPr>
            </w:pPr>
            <w:r w:rsidRPr="00964AEF">
              <w:rPr>
                <w:rFonts w:ascii="Times New Roman" w:eastAsia="Times New Roman" w:hAnsi="Times New Roman" w:cs="Times New Roman"/>
                <w:iCs/>
                <w:sz w:val="24"/>
                <w:szCs w:val="24"/>
                <w:lang w:eastAsia="lv-LV"/>
              </w:rPr>
              <w:t xml:space="preserve">  </w:t>
            </w:r>
            <w:r w:rsidR="008F497F" w:rsidRPr="00964AE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F497F" w:rsidRPr="00964AEF" w14:paraId="47A17B75" w14:textId="77777777" w:rsidTr="000547C8">
        <w:trPr>
          <w:tblCellSpacing w:w="15" w:type="dxa"/>
        </w:trPr>
        <w:tc>
          <w:tcPr>
            <w:tcW w:w="308" w:type="pct"/>
            <w:gridSpan w:val="3"/>
            <w:tcBorders>
              <w:top w:val="outset" w:sz="6" w:space="0" w:color="auto"/>
              <w:left w:val="outset" w:sz="6" w:space="0" w:color="auto"/>
              <w:bottom w:val="outset" w:sz="6" w:space="0" w:color="auto"/>
              <w:right w:val="outset" w:sz="6" w:space="0" w:color="auto"/>
            </w:tcBorders>
            <w:hideMark/>
          </w:tcPr>
          <w:p w14:paraId="0123268F"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w:t>
            </w:r>
          </w:p>
        </w:tc>
        <w:tc>
          <w:tcPr>
            <w:tcW w:w="1712" w:type="pct"/>
            <w:gridSpan w:val="7"/>
            <w:tcBorders>
              <w:top w:val="outset" w:sz="6" w:space="0" w:color="auto"/>
              <w:left w:val="outset" w:sz="6" w:space="0" w:color="auto"/>
              <w:bottom w:val="outset" w:sz="6" w:space="0" w:color="auto"/>
              <w:right w:val="outset" w:sz="6" w:space="0" w:color="auto"/>
            </w:tcBorders>
            <w:hideMark/>
          </w:tcPr>
          <w:p w14:paraId="3C8ADE31"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Saistības pret Eiropas Savienību</w:t>
            </w:r>
          </w:p>
        </w:tc>
        <w:tc>
          <w:tcPr>
            <w:tcW w:w="2914" w:type="pct"/>
            <w:gridSpan w:val="4"/>
            <w:tcBorders>
              <w:top w:val="outset" w:sz="6" w:space="0" w:color="auto"/>
              <w:left w:val="outset" w:sz="6" w:space="0" w:color="auto"/>
              <w:bottom w:val="outset" w:sz="6" w:space="0" w:color="auto"/>
              <w:right w:val="outset" w:sz="6" w:space="0" w:color="auto"/>
            </w:tcBorders>
            <w:hideMark/>
          </w:tcPr>
          <w:p w14:paraId="367AD804" w14:textId="77777777" w:rsidR="00BB2AF2" w:rsidRPr="00964AEF" w:rsidRDefault="00BB2AF2" w:rsidP="00BB2AF2">
            <w:pPr>
              <w:spacing w:after="0" w:line="240" w:lineRule="auto"/>
              <w:jc w:val="both"/>
              <w:rPr>
                <w:rFonts w:ascii="Times New Roman" w:eastAsia="Times New Roman" w:hAnsi="Times New Roman" w:cs="Times New Roman"/>
                <w:sz w:val="24"/>
                <w:szCs w:val="24"/>
                <w:lang w:eastAsia="lv-LV"/>
              </w:rPr>
            </w:pPr>
            <w:r w:rsidRPr="00964AEF">
              <w:rPr>
                <w:rFonts w:ascii="Times New Roman" w:eastAsia="Times New Roman" w:hAnsi="Times New Roman" w:cs="Times New Roman"/>
                <w:sz w:val="24"/>
                <w:szCs w:val="24"/>
                <w:lang w:eastAsia="lv-LV"/>
              </w:rPr>
              <w:t>Ar projektu tiek ieviest</w:t>
            </w:r>
            <w:r w:rsidR="00A9195E" w:rsidRPr="00964AEF">
              <w:rPr>
                <w:rFonts w:ascii="Times New Roman" w:eastAsia="Times New Roman" w:hAnsi="Times New Roman" w:cs="Times New Roman"/>
                <w:sz w:val="24"/>
                <w:szCs w:val="24"/>
                <w:lang w:eastAsia="lv-LV"/>
              </w:rPr>
              <w:t>i</w:t>
            </w:r>
            <w:r w:rsidRPr="00964AEF">
              <w:rPr>
                <w:rFonts w:ascii="Times New Roman" w:eastAsia="Times New Roman" w:hAnsi="Times New Roman" w:cs="Times New Roman"/>
                <w:sz w:val="24"/>
                <w:szCs w:val="24"/>
                <w:lang w:eastAsia="lv-LV"/>
              </w:rPr>
              <w:t xml:space="preserve"> šādi</w:t>
            </w:r>
            <w:r w:rsidR="00A9195E" w:rsidRPr="00964AEF">
              <w:rPr>
                <w:rFonts w:ascii="Times New Roman" w:eastAsia="Times New Roman" w:hAnsi="Times New Roman" w:cs="Times New Roman"/>
                <w:sz w:val="24"/>
                <w:szCs w:val="24"/>
                <w:lang w:eastAsia="lv-LV"/>
              </w:rPr>
              <w:t xml:space="preserve"> </w:t>
            </w:r>
            <w:r w:rsidRPr="00964AEF">
              <w:rPr>
                <w:rFonts w:ascii="Times New Roman" w:eastAsia="Times New Roman" w:hAnsi="Times New Roman" w:cs="Times New Roman"/>
                <w:sz w:val="24"/>
                <w:szCs w:val="24"/>
                <w:lang w:eastAsia="lv-LV"/>
              </w:rPr>
              <w:t>ES tiesību akti:</w:t>
            </w:r>
          </w:p>
          <w:p w14:paraId="21BDEB12" w14:textId="73783849" w:rsidR="00A9195E" w:rsidRPr="00964AEF" w:rsidRDefault="005C2DB2" w:rsidP="00BB2AF2">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w:t>
            </w:r>
            <w:r w:rsidR="00D90885" w:rsidRPr="00964AEF">
              <w:rPr>
                <w:rFonts w:ascii="Times New Roman" w:eastAsia="Times New Roman" w:hAnsi="Times New Roman" w:cs="Times New Roman"/>
                <w:iCs/>
                <w:sz w:val="24"/>
                <w:szCs w:val="24"/>
                <w:lang w:eastAsia="lv-LV"/>
              </w:rPr>
              <w:t>) Komisijas 2015.</w:t>
            </w:r>
            <w:r w:rsidR="00270385">
              <w:rPr>
                <w:rFonts w:ascii="Times New Roman" w:eastAsia="Times New Roman" w:hAnsi="Times New Roman" w:cs="Times New Roman"/>
                <w:iCs/>
                <w:sz w:val="24"/>
                <w:szCs w:val="24"/>
                <w:lang w:eastAsia="lv-LV"/>
              </w:rPr>
              <w:t xml:space="preserve"> </w:t>
            </w:r>
            <w:r w:rsidR="00D90885" w:rsidRPr="00964AEF">
              <w:rPr>
                <w:rFonts w:ascii="Times New Roman" w:eastAsia="Times New Roman" w:hAnsi="Times New Roman" w:cs="Times New Roman"/>
                <w:iCs/>
                <w:sz w:val="24"/>
                <w:szCs w:val="24"/>
                <w:lang w:eastAsia="lv-LV"/>
              </w:rPr>
              <w:t>gada 24.</w:t>
            </w:r>
            <w:r w:rsidR="00270385">
              <w:rPr>
                <w:rFonts w:ascii="Times New Roman" w:eastAsia="Times New Roman" w:hAnsi="Times New Roman" w:cs="Times New Roman"/>
                <w:iCs/>
                <w:sz w:val="24"/>
                <w:szCs w:val="24"/>
                <w:lang w:eastAsia="lv-LV"/>
              </w:rPr>
              <w:t xml:space="preserve"> </w:t>
            </w:r>
            <w:r w:rsidR="00D90885" w:rsidRPr="00964AEF">
              <w:rPr>
                <w:rFonts w:ascii="Times New Roman" w:eastAsia="Times New Roman" w:hAnsi="Times New Roman" w:cs="Times New Roman"/>
                <w:iCs/>
                <w:sz w:val="24"/>
                <w:szCs w:val="24"/>
                <w:lang w:eastAsia="lv-LV"/>
              </w:rPr>
              <w:t>aprīļa deleģētā regula (ES) Nr.</w:t>
            </w:r>
            <w:r w:rsidR="00270385">
              <w:rPr>
                <w:rFonts w:ascii="Times New Roman" w:eastAsia="Times New Roman" w:hAnsi="Times New Roman" w:cs="Times New Roman"/>
                <w:iCs/>
                <w:sz w:val="24"/>
                <w:szCs w:val="24"/>
                <w:lang w:eastAsia="lv-LV"/>
              </w:rPr>
              <w:t xml:space="preserve"> </w:t>
            </w:r>
            <w:r w:rsidR="00D90885" w:rsidRPr="00964AEF">
              <w:rPr>
                <w:rFonts w:ascii="Times New Roman" w:eastAsia="Times New Roman" w:hAnsi="Times New Roman" w:cs="Times New Roman"/>
                <w:iCs/>
                <w:sz w:val="24"/>
                <w:szCs w:val="24"/>
                <w:lang w:eastAsia="lv-LV"/>
              </w:rPr>
              <w:t>2015/1011, ar kuru papildina Eiropas Parlamenta un Padomes Regulu (EK) Nr.</w:t>
            </w:r>
            <w:r w:rsidR="00270385">
              <w:rPr>
                <w:rFonts w:ascii="Times New Roman" w:eastAsia="Times New Roman" w:hAnsi="Times New Roman" w:cs="Times New Roman"/>
                <w:iCs/>
                <w:sz w:val="24"/>
                <w:szCs w:val="24"/>
                <w:lang w:eastAsia="lv-LV"/>
              </w:rPr>
              <w:t xml:space="preserve"> </w:t>
            </w:r>
            <w:r w:rsidR="00D90885" w:rsidRPr="00964AEF">
              <w:rPr>
                <w:rFonts w:ascii="Times New Roman" w:eastAsia="Times New Roman" w:hAnsi="Times New Roman" w:cs="Times New Roman"/>
                <w:iCs/>
                <w:sz w:val="24"/>
                <w:szCs w:val="24"/>
                <w:lang w:eastAsia="lv-LV"/>
              </w:rPr>
              <w:t>273/2004 par narkotisko vielu prekursoriem un Padomes Regulu (EK) Nr.</w:t>
            </w:r>
            <w:r w:rsidR="00270385">
              <w:rPr>
                <w:rFonts w:ascii="Times New Roman" w:eastAsia="Times New Roman" w:hAnsi="Times New Roman" w:cs="Times New Roman"/>
                <w:iCs/>
                <w:sz w:val="24"/>
                <w:szCs w:val="24"/>
                <w:lang w:eastAsia="lv-LV"/>
              </w:rPr>
              <w:t xml:space="preserve"> </w:t>
            </w:r>
            <w:r w:rsidR="00D90885" w:rsidRPr="00964AEF">
              <w:rPr>
                <w:rFonts w:ascii="Times New Roman" w:eastAsia="Times New Roman" w:hAnsi="Times New Roman" w:cs="Times New Roman"/>
                <w:iCs/>
                <w:sz w:val="24"/>
                <w:szCs w:val="24"/>
                <w:lang w:eastAsia="lv-LV"/>
              </w:rPr>
              <w:t>111/2005, ar ko paredz noteikumus par uzraudzību attiecībā uz narkotisko vielu prekursoru tirdzniecību starp Savienību un trešajām valstīm, un ar kuru atceļ Komisijas Regulu (EK) Nr.</w:t>
            </w:r>
            <w:r w:rsidR="00270385">
              <w:rPr>
                <w:rFonts w:ascii="Times New Roman" w:eastAsia="Times New Roman" w:hAnsi="Times New Roman" w:cs="Times New Roman"/>
                <w:iCs/>
                <w:sz w:val="24"/>
                <w:szCs w:val="24"/>
                <w:lang w:eastAsia="lv-LV"/>
              </w:rPr>
              <w:t xml:space="preserve"> </w:t>
            </w:r>
            <w:r w:rsidR="00D90885" w:rsidRPr="00964AEF">
              <w:rPr>
                <w:rFonts w:ascii="Times New Roman" w:eastAsia="Times New Roman" w:hAnsi="Times New Roman" w:cs="Times New Roman"/>
                <w:iCs/>
                <w:sz w:val="24"/>
                <w:szCs w:val="24"/>
                <w:lang w:eastAsia="lv-LV"/>
              </w:rPr>
              <w:t>1277/2005;</w:t>
            </w:r>
          </w:p>
          <w:p w14:paraId="0DEFCE4F" w14:textId="2DB79B15" w:rsidR="00D90885" w:rsidRPr="00964AEF" w:rsidRDefault="005C2DB2" w:rsidP="00BB2AF2">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sz w:val="24"/>
                <w:szCs w:val="24"/>
                <w:lang w:eastAsia="lv-LV"/>
              </w:rPr>
              <w:t>2</w:t>
            </w:r>
            <w:r w:rsidR="00D90885" w:rsidRPr="00964AEF">
              <w:rPr>
                <w:rFonts w:ascii="Times New Roman" w:eastAsia="Times New Roman" w:hAnsi="Times New Roman" w:cs="Times New Roman"/>
                <w:sz w:val="24"/>
                <w:szCs w:val="24"/>
                <w:lang w:eastAsia="lv-LV"/>
              </w:rPr>
              <w:t>) </w:t>
            </w:r>
            <w:r w:rsidR="00D90885" w:rsidRPr="00964AEF">
              <w:rPr>
                <w:rFonts w:ascii="Times New Roman" w:eastAsia="Times New Roman" w:hAnsi="Times New Roman" w:cs="Times New Roman"/>
                <w:iCs/>
                <w:sz w:val="24"/>
                <w:szCs w:val="24"/>
                <w:lang w:eastAsia="lv-LV"/>
              </w:rPr>
              <w:t>Komisijas 2015.</w:t>
            </w:r>
            <w:r w:rsidR="00270385">
              <w:rPr>
                <w:rFonts w:ascii="Times New Roman" w:eastAsia="Times New Roman" w:hAnsi="Times New Roman" w:cs="Times New Roman"/>
                <w:iCs/>
                <w:sz w:val="24"/>
                <w:szCs w:val="24"/>
                <w:lang w:eastAsia="lv-LV"/>
              </w:rPr>
              <w:t xml:space="preserve"> </w:t>
            </w:r>
            <w:r w:rsidR="00D90885" w:rsidRPr="00964AEF">
              <w:rPr>
                <w:rFonts w:ascii="Times New Roman" w:eastAsia="Times New Roman" w:hAnsi="Times New Roman" w:cs="Times New Roman"/>
                <w:iCs/>
                <w:sz w:val="24"/>
                <w:szCs w:val="24"/>
                <w:lang w:eastAsia="lv-LV"/>
              </w:rPr>
              <w:t>gada 25.</w:t>
            </w:r>
            <w:r w:rsidR="00270385">
              <w:rPr>
                <w:rFonts w:ascii="Times New Roman" w:eastAsia="Times New Roman" w:hAnsi="Times New Roman" w:cs="Times New Roman"/>
                <w:iCs/>
                <w:sz w:val="24"/>
                <w:szCs w:val="24"/>
                <w:lang w:eastAsia="lv-LV"/>
              </w:rPr>
              <w:t xml:space="preserve"> </w:t>
            </w:r>
            <w:r w:rsidR="00D90885" w:rsidRPr="00964AEF">
              <w:rPr>
                <w:rFonts w:ascii="Times New Roman" w:eastAsia="Times New Roman" w:hAnsi="Times New Roman" w:cs="Times New Roman"/>
                <w:iCs/>
                <w:sz w:val="24"/>
                <w:szCs w:val="24"/>
                <w:lang w:eastAsia="lv-LV"/>
              </w:rPr>
              <w:t>jūnija deleģētā regula (ES) Nr.</w:t>
            </w:r>
            <w:r w:rsidR="00270385">
              <w:rPr>
                <w:rFonts w:ascii="Times New Roman" w:eastAsia="Times New Roman" w:hAnsi="Times New Roman" w:cs="Times New Roman"/>
                <w:iCs/>
                <w:sz w:val="24"/>
                <w:szCs w:val="24"/>
                <w:lang w:eastAsia="lv-LV"/>
              </w:rPr>
              <w:t xml:space="preserve"> </w:t>
            </w:r>
            <w:r w:rsidR="00D90885" w:rsidRPr="00964AEF">
              <w:rPr>
                <w:rFonts w:ascii="Times New Roman" w:eastAsia="Times New Roman" w:hAnsi="Times New Roman" w:cs="Times New Roman"/>
                <w:iCs/>
                <w:sz w:val="24"/>
                <w:szCs w:val="24"/>
                <w:lang w:eastAsia="lv-LV"/>
              </w:rPr>
              <w:t>2015/1013, ar ko paredz noteikumus attiecībā uz Eiropas Parlamenta un Padomes Regulu (EK) Nr. 273/2004 par narkotisko vielu prekursoriem un Padomes Regulu (EK) Nr. 111/2005, ar ko paredz noteikumus par uzraudzību attiecībā uz narkotisko vielu prekursoru tirdzniecības starp Savienību un trešajām valstīm.</w:t>
            </w:r>
          </w:p>
          <w:p w14:paraId="0C721C56" w14:textId="77777777" w:rsidR="00CC6908" w:rsidRPr="00964AEF" w:rsidRDefault="00CC6908" w:rsidP="00BB2AF2">
            <w:pPr>
              <w:spacing w:after="0" w:line="240" w:lineRule="auto"/>
              <w:jc w:val="both"/>
              <w:rPr>
                <w:rFonts w:ascii="Times New Roman" w:eastAsia="Times New Roman" w:hAnsi="Times New Roman" w:cs="Times New Roman"/>
                <w:sz w:val="24"/>
                <w:szCs w:val="24"/>
                <w:lang w:eastAsia="lv-LV"/>
              </w:rPr>
            </w:pPr>
          </w:p>
          <w:p w14:paraId="43CA6C17"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p>
        </w:tc>
      </w:tr>
      <w:tr w:rsidR="008F497F" w:rsidRPr="00964AEF" w14:paraId="017198CB" w14:textId="77777777" w:rsidTr="000547C8">
        <w:trPr>
          <w:tblCellSpacing w:w="15" w:type="dxa"/>
        </w:trPr>
        <w:tc>
          <w:tcPr>
            <w:tcW w:w="308" w:type="pct"/>
            <w:gridSpan w:val="3"/>
            <w:tcBorders>
              <w:top w:val="outset" w:sz="6" w:space="0" w:color="auto"/>
              <w:left w:val="outset" w:sz="6" w:space="0" w:color="auto"/>
              <w:bottom w:val="outset" w:sz="6" w:space="0" w:color="auto"/>
              <w:right w:val="outset" w:sz="6" w:space="0" w:color="auto"/>
            </w:tcBorders>
            <w:hideMark/>
          </w:tcPr>
          <w:p w14:paraId="190A0DD3"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w:t>
            </w:r>
          </w:p>
        </w:tc>
        <w:tc>
          <w:tcPr>
            <w:tcW w:w="1712" w:type="pct"/>
            <w:gridSpan w:val="7"/>
            <w:tcBorders>
              <w:top w:val="outset" w:sz="6" w:space="0" w:color="auto"/>
              <w:left w:val="outset" w:sz="6" w:space="0" w:color="auto"/>
              <w:bottom w:val="outset" w:sz="6" w:space="0" w:color="auto"/>
              <w:right w:val="outset" w:sz="6" w:space="0" w:color="auto"/>
            </w:tcBorders>
            <w:hideMark/>
          </w:tcPr>
          <w:p w14:paraId="31C114B8"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Citas starptautiskās saistības</w:t>
            </w:r>
          </w:p>
        </w:tc>
        <w:tc>
          <w:tcPr>
            <w:tcW w:w="2914" w:type="pct"/>
            <w:gridSpan w:val="4"/>
            <w:tcBorders>
              <w:top w:val="outset" w:sz="6" w:space="0" w:color="auto"/>
              <w:left w:val="outset" w:sz="6" w:space="0" w:color="auto"/>
              <w:bottom w:val="outset" w:sz="6" w:space="0" w:color="auto"/>
              <w:right w:val="outset" w:sz="6" w:space="0" w:color="auto"/>
            </w:tcBorders>
            <w:hideMark/>
          </w:tcPr>
          <w:p w14:paraId="5744B21B" w14:textId="77777777" w:rsidR="008F497F" w:rsidRPr="00964AEF" w:rsidRDefault="00A9195E"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w:t>
            </w:r>
          </w:p>
        </w:tc>
      </w:tr>
      <w:tr w:rsidR="008F497F" w:rsidRPr="00964AEF" w14:paraId="00FA8E33" w14:textId="77777777" w:rsidTr="000547C8">
        <w:trPr>
          <w:tblCellSpacing w:w="15" w:type="dxa"/>
        </w:trPr>
        <w:tc>
          <w:tcPr>
            <w:tcW w:w="308" w:type="pct"/>
            <w:gridSpan w:val="3"/>
            <w:tcBorders>
              <w:top w:val="outset" w:sz="6" w:space="0" w:color="auto"/>
              <w:left w:val="outset" w:sz="6" w:space="0" w:color="auto"/>
              <w:bottom w:val="outset" w:sz="6" w:space="0" w:color="auto"/>
              <w:right w:val="outset" w:sz="6" w:space="0" w:color="auto"/>
            </w:tcBorders>
            <w:hideMark/>
          </w:tcPr>
          <w:p w14:paraId="7DFF5532"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w:t>
            </w:r>
          </w:p>
        </w:tc>
        <w:tc>
          <w:tcPr>
            <w:tcW w:w="1712" w:type="pct"/>
            <w:gridSpan w:val="7"/>
            <w:tcBorders>
              <w:top w:val="outset" w:sz="6" w:space="0" w:color="auto"/>
              <w:left w:val="outset" w:sz="6" w:space="0" w:color="auto"/>
              <w:bottom w:val="outset" w:sz="6" w:space="0" w:color="auto"/>
              <w:right w:val="outset" w:sz="6" w:space="0" w:color="auto"/>
            </w:tcBorders>
            <w:hideMark/>
          </w:tcPr>
          <w:p w14:paraId="47745ADF"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Cita informācija</w:t>
            </w:r>
          </w:p>
        </w:tc>
        <w:tc>
          <w:tcPr>
            <w:tcW w:w="2914" w:type="pct"/>
            <w:gridSpan w:val="4"/>
            <w:tcBorders>
              <w:top w:val="outset" w:sz="6" w:space="0" w:color="auto"/>
              <w:left w:val="outset" w:sz="6" w:space="0" w:color="auto"/>
              <w:bottom w:val="outset" w:sz="6" w:space="0" w:color="auto"/>
              <w:right w:val="outset" w:sz="6" w:space="0" w:color="auto"/>
            </w:tcBorders>
            <w:hideMark/>
          </w:tcPr>
          <w:p w14:paraId="55CEFE31"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w:t>
            </w:r>
          </w:p>
        </w:tc>
      </w:tr>
      <w:tr w:rsidR="008F497F" w:rsidRPr="00964AEF" w14:paraId="35700A57" w14:textId="77777777" w:rsidTr="00AF7E61">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14:paraId="24F711BB" w14:textId="47302678" w:rsidR="008F497F" w:rsidRPr="00964AEF" w:rsidRDefault="008F497F" w:rsidP="00AF7E61">
            <w:pPr>
              <w:spacing w:after="0" w:line="240" w:lineRule="auto"/>
              <w:rPr>
                <w:rFonts w:ascii="Times New Roman" w:eastAsia="Times New Roman" w:hAnsi="Times New Roman" w:cs="Times New Roman"/>
                <w:b/>
                <w:bCs/>
                <w:iCs/>
                <w:sz w:val="24"/>
                <w:szCs w:val="24"/>
                <w:lang w:eastAsia="lv-LV"/>
              </w:rPr>
            </w:pPr>
            <w:bookmarkStart w:id="3" w:name="_Hlk70078359"/>
            <w:bookmarkStart w:id="4" w:name="_Hlk70078294"/>
            <w:r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b/>
                <w:bCs/>
                <w:iCs/>
                <w:sz w:val="24"/>
                <w:szCs w:val="24"/>
                <w:lang w:eastAsia="lv-LV"/>
              </w:rPr>
              <w:t>1.</w:t>
            </w:r>
            <w:r w:rsidR="00287694" w:rsidRPr="00964AEF">
              <w:rPr>
                <w:rFonts w:ascii="Times New Roman" w:eastAsia="Times New Roman" w:hAnsi="Times New Roman" w:cs="Times New Roman"/>
                <w:b/>
                <w:bCs/>
                <w:iCs/>
                <w:sz w:val="24"/>
                <w:szCs w:val="24"/>
                <w:lang w:eastAsia="lv-LV"/>
              </w:rPr>
              <w:t>a</w:t>
            </w:r>
            <w:r w:rsidRPr="00964AEF">
              <w:rPr>
                <w:rFonts w:ascii="Times New Roman" w:eastAsia="Times New Roman" w:hAnsi="Times New Roman" w:cs="Times New Roman"/>
                <w:b/>
                <w:bCs/>
                <w:iCs/>
                <w:sz w:val="24"/>
                <w:szCs w:val="24"/>
                <w:lang w:eastAsia="lv-LV"/>
              </w:rPr>
              <w:t xml:space="preserve"> tabula</w:t>
            </w:r>
            <w:r w:rsidRPr="00964AEF">
              <w:rPr>
                <w:rFonts w:ascii="Times New Roman" w:eastAsia="Times New Roman" w:hAnsi="Times New Roman" w:cs="Times New Roman"/>
                <w:b/>
                <w:bCs/>
                <w:iCs/>
                <w:sz w:val="24"/>
                <w:szCs w:val="24"/>
                <w:lang w:eastAsia="lv-LV"/>
              </w:rPr>
              <w:br/>
              <w:t>Tiesību akta projekta atbilstība ES tiesību aktiem</w:t>
            </w:r>
          </w:p>
        </w:tc>
      </w:tr>
      <w:tr w:rsidR="00A558B6" w:rsidRPr="00964AEF" w14:paraId="0F588CF2"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26496DCE"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 xml:space="preserve">Attiecīgā ES tiesību akta </w:t>
            </w:r>
            <w:r w:rsidRPr="00964AEF">
              <w:rPr>
                <w:rFonts w:ascii="Times New Roman" w:eastAsia="Times New Roman" w:hAnsi="Times New Roman" w:cs="Times New Roman"/>
                <w:iCs/>
                <w:sz w:val="24"/>
                <w:szCs w:val="24"/>
                <w:lang w:eastAsia="lv-LV"/>
              </w:rPr>
              <w:lastRenderedPageBreak/>
              <w:t>datums, numurs un nosaukums</w:t>
            </w:r>
          </w:p>
        </w:tc>
        <w:tc>
          <w:tcPr>
            <w:tcW w:w="4113" w:type="pct"/>
            <w:gridSpan w:val="9"/>
            <w:tcBorders>
              <w:top w:val="outset" w:sz="6" w:space="0" w:color="auto"/>
              <w:left w:val="outset" w:sz="6" w:space="0" w:color="auto"/>
              <w:bottom w:val="outset" w:sz="6" w:space="0" w:color="auto"/>
              <w:right w:val="outset" w:sz="6" w:space="0" w:color="auto"/>
            </w:tcBorders>
            <w:hideMark/>
          </w:tcPr>
          <w:p w14:paraId="2899F768" w14:textId="5761ACE4" w:rsidR="008F497F" w:rsidRPr="00964AEF" w:rsidRDefault="004D559A"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lastRenderedPageBreak/>
              <w:t>Komisijas 2015.</w:t>
            </w:r>
            <w:r w:rsidR="00270385">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gada 24.</w:t>
            </w:r>
            <w:r w:rsidR="00270385">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aprīļa deleģētā regula (ES) Nr.</w:t>
            </w:r>
            <w:r w:rsidR="00270385">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2015/1011, ar kuru papildina Eiropas Parlamenta un Padomes Regulu (EK) Nr.</w:t>
            </w:r>
            <w:r w:rsidR="00270385">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 xml:space="preserve">273/2004 par </w:t>
            </w:r>
            <w:r w:rsidRPr="00964AEF">
              <w:rPr>
                <w:rFonts w:ascii="Times New Roman" w:eastAsia="Times New Roman" w:hAnsi="Times New Roman" w:cs="Times New Roman"/>
                <w:iCs/>
                <w:sz w:val="24"/>
                <w:szCs w:val="24"/>
                <w:lang w:eastAsia="lv-LV"/>
              </w:rPr>
              <w:lastRenderedPageBreak/>
              <w:t>narkotisko vielu prekursoriem un Padomes Regulu (EK) Nr.</w:t>
            </w:r>
            <w:r w:rsidR="00270385">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111/2005, ar ko paredz noteikumus par uzraudzību attiecībā uz narkotisko vielu prekursoru tirdzniecību starp Savienību un trešajām valstīm, un ar kuru atceļ Komisijas Regulu (EK) Nr.</w:t>
            </w:r>
            <w:r w:rsidR="00270385">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1277/2005</w:t>
            </w:r>
          </w:p>
          <w:p w14:paraId="6A0650D9" w14:textId="10B5C6D8" w:rsidR="00CC6908" w:rsidRPr="00964AEF" w:rsidRDefault="00CC6908" w:rsidP="00AF7E61">
            <w:pPr>
              <w:spacing w:after="0" w:line="240" w:lineRule="auto"/>
              <w:rPr>
                <w:rFonts w:ascii="Times New Roman" w:eastAsia="Times New Roman" w:hAnsi="Times New Roman" w:cs="Times New Roman"/>
                <w:iCs/>
                <w:sz w:val="24"/>
                <w:szCs w:val="24"/>
                <w:lang w:eastAsia="lv-LV"/>
              </w:rPr>
            </w:pPr>
          </w:p>
        </w:tc>
      </w:tr>
      <w:tr w:rsidR="007857B4" w:rsidRPr="00964AEF" w14:paraId="29CA5071"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vAlign w:val="center"/>
            <w:hideMark/>
          </w:tcPr>
          <w:p w14:paraId="5323D9E8"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lastRenderedPageBreak/>
              <w:t>A</w:t>
            </w:r>
          </w:p>
        </w:tc>
        <w:tc>
          <w:tcPr>
            <w:tcW w:w="904" w:type="pct"/>
            <w:tcBorders>
              <w:top w:val="outset" w:sz="6" w:space="0" w:color="auto"/>
              <w:left w:val="outset" w:sz="6" w:space="0" w:color="auto"/>
              <w:bottom w:val="outset" w:sz="6" w:space="0" w:color="auto"/>
              <w:right w:val="outset" w:sz="6" w:space="0" w:color="auto"/>
            </w:tcBorders>
            <w:vAlign w:val="center"/>
            <w:hideMark/>
          </w:tcPr>
          <w:p w14:paraId="216B89C0"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B</w:t>
            </w:r>
          </w:p>
        </w:tc>
        <w:tc>
          <w:tcPr>
            <w:tcW w:w="1304" w:type="pct"/>
            <w:gridSpan w:val="7"/>
            <w:tcBorders>
              <w:top w:val="outset" w:sz="6" w:space="0" w:color="auto"/>
              <w:left w:val="outset" w:sz="6" w:space="0" w:color="auto"/>
              <w:bottom w:val="outset" w:sz="6" w:space="0" w:color="auto"/>
              <w:right w:val="outset" w:sz="6" w:space="0" w:color="auto"/>
            </w:tcBorders>
            <w:vAlign w:val="center"/>
            <w:hideMark/>
          </w:tcPr>
          <w:p w14:paraId="359056E1"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C</w:t>
            </w:r>
          </w:p>
        </w:tc>
        <w:tc>
          <w:tcPr>
            <w:tcW w:w="1872" w:type="pct"/>
            <w:tcBorders>
              <w:top w:val="outset" w:sz="6" w:space="0" w:color="auto"/>
              <w:left w:val="outset" w:sz="6" w:space="0" w:color="auto"/>
              <w:bottom w:val="outset" w:sz="6" w:space="0" w:color="auto"/>
              <w:right w:val="outset" w:sz="6" w:space="0" w:color="auto"/>
            </w:tcBorders>
            <w:vAlign w:val="center"/>
            <w:hideMark/>
          </w:tcPr>
          <w:p w14:paraId="7D61BE31"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D</w:t>
            </w:r>
          </w:p>
        </w:tc>
      </w:tr>
      <w:tr w:rsidR="007857B4" w:rsidRPr="00964AEF" w14:paraId="2D60189B"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517CD598"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904" w:type="pct"/>
            <w:tcBorders>
              <w:top w:val="outset" w:sz="6" w:space="0" w:color="auto"/>
              <w:left w:val="outset" w:sz="6" w:space="0" w:color="auto"/>
              <w:bottom w:val="outset" w:sz="6" w:space="0" w:color="auto"/>
              <w:right w:val="outset" w:sz="6" w:space="0" w:color="auto"/>
            </w:tcBorders>
            <w:hideMark/>
          </w:tcPr>
          <w:p w14:paraId="3D1AFA31"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304" w:type="pct"/>
            <w:gridSpan w:val="7"/>
            <w:tcBorders>
              <w:top w:val="outset" w:sz="6" w:space="0" w:color="auto"/>
              <w:left w:val="outset" w:sz="6" w:space="0" w:color="auto"/>
              <w:bottom w:val="outset" w:sz="6" w:space="0" w:color="auto"/>
              <w:right w:val="outset" w:sz="6" w:space="0" w:color="auto"/>
            </w:tcBorders>
            <w:hideMark/>
          </w:tcPr>
          <w:p w14:paraId="4EFCF8B3"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964AEF">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964AEF">
              <w:rPr>
                <w:rFonts w:ascii="Times New Roman" w:eastAsia="Times New Roman" w:hAnsi="Times New Roman" w:cs="Times New Roman"/>
                <w:iCs/>
                <w:sz w:val="24"/>
                <w:szCs w:val="24"/>
                <w:lang w:eastAsia="lv-LV"/>
              </w:rPr>
              <w:br/>
              <w:t>Norāda institūciju, kas ir atbildīga par šo saistību izpildi pilnībā</w:t>
            </w:r>
          </w:p>
        </w:tc>
        <w:tc>
          <w:tcPr>
            <w:tcW w:w="1872" w:type="pct"/>
            <w:tcBorders>
              <w:top w:val="outset" w:sz="6" w:space="0" w:color="auto"/>
              <w:left w:val="outset" w:sz="6" w:space="0" w:color="auto"/>
              <w:bottom w:val="outset" w:sz="6" w:space="0" w:color="auto"/>
              <w:right w:val="outset" w:sz="6" w:space="0" w:color="auto"/>
            </w:tcBorders>
            <w:hideMark/>
          </w:tcPr>
          <w:p w14:paraId="59DDCF21"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964AEF">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964AEF">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857B4" w:rsidRPr="00964AEF" w14:paraId="2FE07716"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5A9CB033" w14:textId="77777777" w:rsidR="004D559A" w:rsidRPr="00964AEF" w:rsidRDefault="004D559A"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1.pants</w:t>
            </w:r>
          </w:p>
        </w:tc>
        <w:tc>
          <w:tcPr>
            <w:tcW w:w="904" w:type="pct"/>
            <w:tcBorders>
              <w:top w:val="outset" w:sz="6" w:space="0" w:color="auto"/>
              <w:left w:val="outset" w:sz="6" w:space="0" w:color="auto"/>
              <w:bottom w:val="outset" w:sz="6" w:space="0" w:color="auto"/>
              <w:right w:val="outset" w:sz="6" w:space="0" w:color="auto"/>
            </w:tcBorders>
            <w:hideMark/>
          </w:tcPr>
          <w:p w14:paraId="48206FB7" w14:textId="77777777" w:rsidR="008F497F" w:rsidRPr="00964AEF" w:rsidRDefault="004D559A"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nosaka regulēšanas priekšmetu</w:t>
            </w:r>
          </w:p>
        </w:tc>
        <w:tc>
          <w:tcPr>
            <w:tcW w:w="1304" w:type="pct"/>
            <w:gridSpan w:val="7"/>
            <w:tcBorders>
              <w:top w:val="outset" w:sz="6" w:space="0" w:color="auto"/>
              <w:left w:val="outset" w:sz="6" w:space="0" w:color="auto"/>
              <w:bottom w:val="outset" w:sz="6" w:space="0" w:color="auto"/>
              <w:right w:val="outset" w:sz="6" w:space="0" w:color="auto"/>
            </w:tcBorders>
            <w:hideMark/>
          </w:tcPr>
          <w:p w14:paraId="1F6A9B7F" w14:textId="77777777" w:rsidR="008F497F" w:rsidRPr="00964AEF" w:rsidRDefault="004D559A"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hideMark/>
          </w:tcPr>
          <w:p w14:paraId="57DC0CB6" w14:textId="77777777" w:rsidR="008F497F" w:rsidRPr="00964AEF" w:rsidRDefault="004D559A"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1EC885DA"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1456015" w14:textId="77777777" w:rsidR="004D559A" w:rsidRPr="00964AEF" w:rsidRDefault="004D559A"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2.pants</w:t>
            </w:r>
          </w:p>
        </w:tc>
        <w:tc>
          <w:tcPr>
            <w:tcW w:w="904" w:type="pct"/>
            <w:tcBorders>
              <w:top w:val="outset" w:sz="6" w:space="0" w:color="auto"/>
              <w:left w:val="outset" w:sz="6" w:space="0" w:color="auto"/>
              <w:bottom w:val="outset" w:sz="6" w:space="0" w:color="auto"/>
              <w:right w:val="outset" w:sz="6" w:space="0" w:color="auto"/>
            </w:tcBorders>
          </w:tcPr>
          <w:p w14:paraId="6D83DE57" w14:textId="77777777" w:rsidR="004D559A" w:rsidRPr="00964AEF" w:rsidRDefault="00221182"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6F5B234" w14:textId="77777777" w:rsidR="004D559A" w:rsidRPr="00964AEF" w:rsidRDefault="00221182"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AC265CF" w14:textId="77777777" w:rsidR="004D559A" w:rsidRPr="00964AEF" w:rsidRDefault="00221182"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42742F" w:rsidRPr="00964AEF" w14:paraId="27B2C599" w14:textId="77777777" w:rsidTr="0042742F">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0DC3B2E5" w14:textId="77777777" w:rsidR="0042742F" w:rsidRPr="00964AEF" w:rsidRDefault="0042742F" w:rsidP="00AF7E61">
            <w:pPr>
              <w:spacing w:after="0" w:line="240" w:lineRule="auto"/>
              <w:rPr>
                <w:rFonts w:ascii="Times New Roman" w:eastAsia="Times New Roman" w:hAnsi="Times New Roman" w:cs="Times New Roman"/>
                <w:iCs/>
                <w:sz w:val="24"/>
                <w:szCs w:val="24"/>
                <w:lang w:eastAsia="lv-LV"/>
              </w:rPr>
            </w:pPr>
            <w:bookmarkStart w:id="5" w:name="_Hlk70078925"/>
            <w:bookmarkEnd w:id="3"/>
            <w:r w:rsidRPr="00964AEF">
              <w:rPr>
                <w:rFonts w:ascii="Times New Roman" w:eastAsia="Times New Roman" w:hAnsi="Times New Roman" w:cs="Times New Roman"/>
                <w:iCs/>
                <w:sz w:val="24"/>
                <w:szCs w:val="24"/>
                <w:lang w:eastAsia="lv-LV"/>
              </w:rPr>
              <w:t>3.pants</w:t>
            </w:r>
          </w:p>
        </w:tc>
      </w:tr>
      <w:tr w:rsidR="007857B4" w:rsidRPr="00964AEF" w14:paraId="038336B0"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0534039" w14:textId="77777777" w:rsidR="004D559A" w:rsidRPr="00964AEF" w:rsidRDefault="00DB49DE" w:rsidP="00AF7E61">
            <w:pPr>
              <w:spacing w:after="0" w:line="240" w:lineRule="auto"/>
              <w:rPr>
                <w:rFonts w:ascii="Times New Roman" w:eastAsia="Times New Roman" w:hAnsi="Times New Roman" w:cs="Times New Roman"/>
                <w:iCs/>
                <w:sz w:val="24"/>
                <w:szCs w:val="24"/>
                <w:lang w:eastAsia="lv-LV"/>
              </w:rPr>
            </w:pPr>
            <w:bookmarkStart w:id="6" w:name="_Hlk70079115"/>
            <w:bookmarkEnd w:id="5"/>
            <w:r w:rsidRPr="00964AEF">
              <w:rPr>
                <w:rFonts w:ascii="Times New Roman" w:eastAsia="Times New Roman" w:hAnsi="Times New Roman" w:cs="Times New Roman"/>
                <w:iCs/>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64D382AD" w14:textId="77777777" w:rsidR="004D559A" w:rsidRPr="00964AEF" w:rsidRDefault="00DB49DE"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21491AFD" w14:textId="77777777" w:rsidR="004D559A" w:rsidRPr="00964AEF" w:rsidRDefault="00DB49DE"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0C9D2438" w14:textId="77777777" w:rsidR="004D559A" w:rsidRPr="00964AEF" w:rsidRDefault="00DB49DE"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0EA1A3DB"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BD5B635" w14:textId="77777777" w:rsidR="004D559A" w:rsidRPr="00964AEF" w:rsidRDefault="00DB49DE"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w:t>
            </w:r>
            <w:r w:rsidR="00167458" w:rsidRPr="00964AEF">
              <w:rPr>
                <w:rFonts w:ascii="Times New Roman" w:eastAsia="Times New Roman" w:hAnsi="Times New Roman" w:cs="Times New Roman"/>
                <w:iCs/>
                <w:sz w:val="24"/>
                <w:szCs w:val="24"/>
                <w:lang w:eastAsia="lv-LV"/>
              </w:rPr>
              <w:t>punkta</w:t>
            </w:r>
            <w:r w:rsidRPr="00964AEF">
              <w:rPr>
                <w:rFonts w:ascii="Times New Roman" w:eastAsia="Times New Roman" w:hAnsi="Times New Roman" w:cs="Times New Roman"/>
                <w:iCs/>
                <w:sz w:val="24"/>
                <w:szCs w:val="24"/>
                <w:lang w:eastAsia="lv-LV"/>
              </w:rPr>
              <w:t xml:space="preserve"> a) apakšpunkts</w:t>
            </w:r>
          </w:p>
        </w:tc>
        <w:tc>
          <w:tcPr>
            <w:tcW w:w="904" w:type="pct"/>
            <w:tcBorders>
              <w:top w:val="outset" w:sz="6" w:space="0" w:color="auto"/>
              <w:left w:val="outset" w:sz="6" w:space="0" w:color="auto"/>
              <w:bottom w:val="outset" w:sz="6" w:space="0" w:color="auto"/>
              <w:right w:val="outset" w:sz="6" w:space="0" w:color="auto"/>
            </w:tcBorders>
          </w:tcPr>
          <w:p w14:paraId="30BBF8E7" w14:textId="77777777" w:rsidR="004D559A" w:rsidRPr="00964AEF" w:rsidRDefault="00DB49DE"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3648941B" w14:textId="77777777" w:rsidR="004D559A" w:rsidRPr="00964AEF" w:rsidRDefault="00DB49DE"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9668FA6" w14:textId="77777777" w:rsidR="004D559A" w:rsidRPr="00964AEF" w:rsidRDefault="00DB49DE"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26CE03DD"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A17C626" w14:textId="77777777" w:rsidR="004D559A" w:rsidRPr="00964AEF" w:rsidRDefault="00DB49DE"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w:t>
            </w:r>
            <w:r w:rsidR="00167458" w:rsidRPr="00964AEF">
              <w:rPr>
                <w:rFonts w:ascii="Times New Roman" w:eastAsia="Times New Roman" w:hAnsi="Times New Roman" w:cs="Times New Roman"/>
                <w:iCs/>
                <w:sz w:val="24"/>
                <w:szCs w:val="24"/>
                <w:lang w:eastAsia="lv-LV"/>
              </w:rPr>
              <w:t>punkta</w:t>
            </w:r>
            <w:r w:rsidRPr="00964AEF">
              <w:rPr>
                <w:rFonts w:ascii="Times New Roman" w:eastAsia="Times New Roman" w:hAnsi="Times New Roman" w:cs="Times New Roman"/>
                <w:iCs/>
                <w:sz w:val="24"/>
                <w:szCs w:val="24"/>
                <w:lang w:eastAsia="lv-LV"/>
              </w:rPr>
              <w:t xml:space="preserve"> b) apakšpunkts</w:t>
            </w:r>
          </w:p>
        </w:tc>
        <w:tc>
          <w:tcPr>
            <w:tcW w:w="904" w:type="pct"/>
            <w:tcBorders>
              <w:top w:val="outset" w:sz="6" w:space="0" w:color="auto"/>
              <w:left w:val="outset" w:sz="6" w:space="0" w:color="auto"/>
              <w:bottom w:val="outset" w:sz="6" w:space="0" w:color="auto"/>
              <w:right w:val="outset" w:sz="6" w:space="0" w:color="auto"/>
            </w:tcBorders>
          </w:tcPr>
          <w:p w14:paraId="2D19857C" w14:textId="77777777" w:rsidR="004D559A" w:rsidRPr="00964AEF" w:rsidRDefault="00167458"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2.punkts</w:t>
            </w:r>
          </w:p>
        </w:tc>
        <w:tc>
          <w:tcPr>
            <w:tcW w:w="1304" w:type="pct"/>
            <w:gridSpan w:val="7"/>
            <w:tcBorders>
              <w:top w:val="outset" w:sz="6" w:space="0" w:color="auto"/>
              <w:left w:val="outset" w:sz="6" w:space="0" w:color="auto"/>
              <w:bottom w:val="outset" w:sz="6" w:space="0" w:color="auto"/>
              <w:right w:val="outset" w:sz="6" w:space="0" w:color="auto"/>
            </w:tcBorders>
          </w:tcPr>
          <w:p w14:paraId="4722AC2E" w14:textId="77777777" w:rsidR="004D559A" w:rsidRPr="00964AEF" w:rsidRDefault="00167458"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18343B27" w14:textId="77777777" w:rsidR="004D559A" w:rsidRPr="00964AEF" w:rsidRDefault="00167458"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18665167"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4876EDB5" w14:textId="77777777" w:rsidR="004D559A" w:rsidRPr="00964AEF" w:rsidRDefault="00131B47"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3.punkts</w:t>
            </w:r>
          </w:p>
        </w:tc>
        <w:tc>
          <w:tcPr>
            <w:tcW w:w="904" w:type="pct"/>
            <w:tcBorders>
              <w:top w:val="outset" w:sz="6" w:space="0" w:color="auto"/>
              <w:left w:val="outset" w:sz="6" w:space="0" w:color="auto"/>
              <w:bottom w:val="outset" w:sz="6" w:space="0" w:color="auto"/>
              <w:right w:val="outset" w:sz="6" w:space="0" w:color="auto"/>
            </w:tcBorders>
          </w:tcPr>
          <w:p w14:paraId="158A09FB" w14:textId="77777777" w:rsidR="004D559A" w:rsidRPr="00964AEF" w:rsidRDefault="00131B47"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6BAD91C3" w14:textId="77777777" w:rsidR="004D559A" w:rsidRPr="00964AEF" w:rsidRDefault="00F95E1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CBDCCCA" w14:textId="77777777" w:rsidR="004D559A" w:rsidRPr="00964AEF" w:rsidRDefault="00131B47"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7E1AD872"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84DA52D" w14:textId="77777777" w:rsidR="004D559A" w:rsidRPr="00964AEF" w:rsidRDefault="00F95E1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4.punkts</w:t>
            </w:r>
          </w:p>
        </w:tc>
        <w:tc>
          <w:tcPr>
            <w:tcW w:w="904" w:type="pct"/>
            <w:tcBorders>
              <w:top w:val="outset" w:sz="6" w:space="0" w:color="auto"/>
              <w:left w:val="outset" w:sz="6" w:space="0" w:color="auto"/>
              <w:bottom w:val="outset" w:sz="6" w:space="0" w:color="auto"/>
              <w:right w:val="outset" w:sz="6" w:space="0" w:color="auto"/>
            </w:tcBorders>
          </w:tcPr>
          <w:p w14:paraId="45C67122" w14:textId="77777777" w:rsidR="004D559A" w:rsidRPr="00964AEF" w:rsidRDefault="00F95E1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68EF119F" w14:textId="77777777" w:rsidR="004D559A" w:rsidRPr="00964AEF" w:rsidRDefault="00F95E1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3683ECA9" w14:textId="77777777" w:rsidR="004D559A" w:rsidRPr="00964AEF" w:rsidRDefault="00F95E1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4F7406FD"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6EE9170" w14:textId="77777777" w:rsidR="004D559A" w:rsidRPr="00964AEF" w:rsidRDefault="00DA4327"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lastRenderedPageBreak/>
              <w:t>5.punkts</w:t>
            </w:r>
          </w:p>
        </w:tc>
        <w:tc>
          <w:tcPr>
            <w:tcW w:w="904" w:type="pct"/>
            <w:tcBorders>
              <w:top w:val="outset" w:sz="6" w:space="0" w:color="auto"/>
              <w:left w:val="outset" w:sz="6" w:space="0" w:color="auto"/>
              <w:bottom w:val="outset" w:sz="6" w:space="0" w:color="auto"/>
              <w:right w:val="outset" w:sz="6" w:space="0" w:color="auto"/>
            </w:tcBorders>
          </w:tcPr>
          <w:p w14:paraId="694E519F" w14:textId="77777777" w:rsidR="004D559A" w:rsidRPr="00964AEF" w:rsidRDefault="00DA4327"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2.punkt</w:t>
            </w:r>
            <w:r w:rsidR="00B95B58" w:rsidRPr="00964AEF">
              <w:rPr>
                <w:rFonts w:ascii="Times New Roman" w:eastAsia="Times New Roman" w:hAnsi="Times New Roman" w:cs="Times New Roman"/>
                <w:iCs/>
                <w:sz w:val="24"/>
                <w:szCs w:val="24"/>
                <w:lang w:eastAsia="lv-LV"/>
              </w:rPr>
              <w:t>a pirmais un otrais teikums</w:t>
            </w:r>
          </w:p>
        </w:tc>
        <w:tc>
          <w:tcPr>
            <w:tcW w:w="1304" w:type="pct"/>
            <w:gridSpan w:val="7"/>
            <w:tcBorders>
              <w:top w:val="outset" w:sz="6" w:space="0" w:color="auto"/>
              <w:left w:val="outset" w:sz="6" w:space="0" w:color="auto"/>
              <w:bottom w:val="outset" w:sz="6" w:space="0" w:color="auto"/>
              <w:right w:val="outset" w:sz="6" w:space="0" w:color="auto"/>
            </w:tcBorders>
          </w:tcPr>
          <w:p w14:paraId="7C9E3C17" w14:textId="77777777" w:rsidR="004D559A" w:rsidRPr="00964AEF" w:rsidRDefault="00DA4327"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5D743DCF" w14:textId="77777777" w:rsidR="004D559A" w:rsidRPr="00964AEF" w:rsidRDefault="00DA4327"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2CE315A6"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13CFB1E" w14:textId="77777777" w:rsidR="00131B47" w:rsidRPr="00964AEF" w:rsidRDefault="00DA4327"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6.punkts</w:t>
            </w:r>
          </w:p>
        </w:tc>
        <w:tc>
          <w:tcPr>
            <w:tcW w:w="904" w:type="pct"/>
            <w:tcBorders>
              <w:top w:val="outset" w:sz="6" w:space="0" w:color="auto"/>
              <w:left w:val="outset" w:sz="6" w:space="0" w:color="auto"/>
              <w:bottom w:val="outset" w:sz="6" w:space="0" w:color="auto"/>
              <w:right w:val="outset" w:sz="6" w:space="0" w:color="auto"/>
            </w:tcBorders>
          </w:tcPr>
          <w:p w14:paraId="0B7A7442" w14:textId="77777777" w:rsidR="00131B47" w:rsidRPr="00964AEF" w:rsidRDefault="00DA4327"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3CAD0F4" w14:textId="77777777" w:rsidR="00131B47" w:rsidRPr="00964AEF" w:rsidRDefault="00DA4327"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6BF1DB2" w14:textId="77777777" w:rsidR="00131B47" w:rsidRPr="00964AEF" w:rsidRDefault="00DA4327"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266379D6"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EC24EEF" w14:textId="77777777" w:rsidR="00131B47" w:rsidRPr="00964AEF" w:rsidRDefault="00DA4327"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7.punkts</w:t>
            </w:r>
          </w:p>
        </w:tc>
        <w:tc>
          <w:tcPr>
            <w:tcW w:w="904" w:type="pct"/>
            <w:tcBorders>
              <w:top w:val="outset" w:sz="6" w:space="0" w:color="auto"/>
              <w:left w:val="outset" w:sz="6" w:space="0" w:color="auto"/>
              <w:bottom w:val="outset" w:sz="6" w:space="0" w:color="auto"/>
              <w:right w:val="outset" w:sz="6" w:space="0" w:color="auto"/>
            </w:tcBorders>
          </w:tcPr>
          <w:p w14:paraId="1F5AE132" w14:textId="26E9BCF3" w:rsidR="00131B47" w:rsidRPr="00964AEF" w:rsidRDefault="00A03104"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6.3</w:t>
            </w:r>
            <w:r w:rsidR="002C4F41" w:rsidRPr="00964AEF">
              <w:rPr>
                <w:rFonts w:ascii="Times New Roman" w:eastAsia="Times New Roman" w:hAnsi="Times New Roman" w:cs="Times New Roman"/>
                <w:iCs/>
                <w:sz w:val="24"/>
                <w:szCs w:val="24"/>
                <w:lang w:eastAsia="lv-LV"/>
              </w:rPr>
              <w:t>.apakšpunkts</w:t>
            </w:r>
            <w:r w:rsidRPr="00964AEF">
              <w:rPr>
                <w:rFonts w:ascii="Times New Roman" w:eastAsia="Times New Roman" w:hAnsi="Times New Roman" w:cs="Times New Roman"/>
                <w:iCs/>
                <w:sz w:val="24"/>
                <w:szCs w:val="24"/>
                <w:lang w:eastAsia="lv-LV"/>
              </w:rPr>
              <w:t xml:space="preserve"> un 7.punkts</w:t>
            </w:r>
          </w:p>
        </w:tc>
        <w:tc>
          <w:tcPr>
            <w:tcW w:w="1304" w:type="pct"/>
            <w:gridSpan w:val="7"/>
            <w:tcBorders>
              <w:top w:val="outset" w:sz="6" w:space="0" w:color="auto"/>
              <w:left w:val="outset" w:sz="6" w:space="0" w:color="auto"/>
              <w:bottom w:val="outset" w:sz="6" w:space="0" w:color="auto"/>
              <w:right w:val="outset" w:sz="6" w:space="0" w:color="auto"/>
            </w:tcBorders>
          </w:tcPr>
          <w:p w14:paraId="7C7E01BE" w14:textId="77777777" w:rsidR="00131B47" w:rsidRPr="00964AEF" w:rsidRDefault="002C4F4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0915DA47" w14:textId="77777777" w:rsidR="00131B47" w:rsidRPr="00964AEF" w:rsidRDefault="002C4F4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0FF29EE7"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145C861" w14:textId="77777777" w:rsidR="00131B47" w:rsidRPr="00964AEF" w:rsidRDefault="00E1391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8.punkts</w:t>
            </w:r>
          </w:p>
        </w:tc>
        <w:tc>
          <w:tcPr>
            <w:tcW w:w="904" w:type="pct"/>
            <w:tcBorders>
              <w:top w:val="outset" w:sz="6" w:space="0" w:color="auto"/>
              <w:left w:val="outset" w:sz="6" w:space="0" w:color="auto"/>
              <w:bottom w:val="outset" w:sz="6" w:space="0" w:color="auto"/>
              <w:right w:val="outset" w:sz="6" w:space="0" w:color="auto"/>
            </w:tcBorders>
          </w:tcPr>
          <w:p w14:paraId="7D250F92" w14:textId="77777777" w:rsidR="00131B47" w:rsidRPr="00964AEF" w:rsidRDefault="0043679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11D3482E" w14:textId="77777777" w:rsidR="00131B47" w:rsidRPr="00964AEF" w:rsidRDefault="0043679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184D52A" w14:textId="77777777" w:rsidR="00131B47" w:rsidRPr="00964AEF" w:rsidRDefault="0043679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62D4A6EB"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9C6B418" w14:textId="77777777" w:rsidR="00E13911" w:rsidRPr="00964AEF" w:rsidRDefault="0043679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9.punkts</w:t>
            </w:r>
          </w:p>
        </w:tc>
        <w:tc>
          <w:tcPr>
            <w:tcW w:w="904" w:type="pct"/>
            <w:tcBorders>
              <w:top w:val="outset" w:sz="6" w:space="0" w:color="auto"/>
              <w:left w:val="outset" w:sz="6" w:space="0" w:color="auto"/>
              <w:bottom w:val="outset" w:sz="6" w:space="0" w:color="auto"/>
              <w:right w:val="outset" w:sz="6" w:space="0" w:color="auto"/>
            </w:tcBorders>
          </w:tcPr>
          <w:p w14:paraId="06F7F50F" w14:textId="77777777" w:rsidR="00E13911" w:rsidRPr="00964AEF" w:rsidRDefault="0043679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180E8FC" w14:textId="77777777" w:rsidR="00E13911" w:rsidRPr="00964AEF" w:rsidRDefault="0043679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976EFA6" w14:textId="77777777" w:rsidR="00E13911" w:rsidRPr="00964AEF" w:rsidRDefault="0043679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17FA8B72"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31469B4" w14:textId="77777777" w:rsidR="00E13911" w:rsidRPr="00964AEF" w:rsidRDefault="0043679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10.punkts</w:t>
            </w:r>
          </w:p>
        </w:tc>
        <w:tc>
          <w:tcPr>
            <w:tcW w:w="904" w:type="pct"/>
            <w:tcBorders>
              <w:top w:val="outset" w:sz="6" w:space="0" w:color="auto"/>
              <w:left w:val="outset" w:sz="6" w:space="0" w:color="auto"/>
              <w:bottom w:val="outset" w:sz="6" w:space="0" w:color="auto"/>
              <w:right w:val="outset" w:sz="6" w:space="0" w:color="auto"/>
            </w:tcBorders>
          </w:tcPr>
          <w:p w14:paraId="1127DA30" w14:textId="77777777" w:rsidR="00E13911" w:rsidRPr="00964AEF" w:rsidRDefault="0043679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40EA14F7" w14:textId="77777777" w:rsidR="00E13911" w:rsidRPr="00964AEF" w:rsidRDefault="0043679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F33240A" w14:textId="77777777" w:rsidR="00E13911" w:rsidRPr="00964AEF" w:rsidRDefault="0043679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43B20457"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1C458FA" w14:textId="77777777" w:rsidR="00E13911" w:rsidRPr="00964AEF" w:rsidRDefault="0043679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11.punkts</w:t>
            </w:r>
          </w:p>
        </w:tc>
        <w:tc>
          <w:tcPr>
            <w:tcW w:w="904" w:type="pct"/>
            <w:tcBorders>
              <w:top w:val="outset" w:sz="6" w:space="0" w:color="auto"/>
              <w:left w:val="outset" w:sz="6" w:space="0" w:color="auto"/>
              <w:bottom w:val="outset" w:sz="6" w:space="0" w:color="auto"/>
              <w:right w:val="outset" w:sz="6" w:space="0" w:color="auto"/>
            </w:tcBorders>
          </w:tcPr>
          <w:p w14:paraId="64962A03" w14:textId="77777777" w:rsidR="00E13911" w:rsidRPr="00964AEF" w:rsidRDefault="0043679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6FD6A1F6" w14:textId="77777777" w:rsidR="00E13911" w:rsidRPr="00964AEF" w:rsidRDefault="0043679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810484A" w14:textId="77777777" w:rsidR="00E13911" w:rsidRPr="00964AEF" w:rsidRDefault="0043679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2D7B9DB9"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F5D660F" w14:textId="77777777" w:rsidR="00E13911" w:rsidRPr="00964AEF" w:rsidRDefault="0043679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12.punkts</w:t>
            </w:r>
          </w:p>
        </w:tc>
        <w:tc>
          <w:tcPr>
            <w:tcW w:w="904" w:type="pct"/>
            <w:tcBorders>
              <w:top w:val="outset" w:sz="6" w:space="0" w:color="auto"/>
              <w:left w:val="outset" w:sz="6" w:space="0" w:color="auto"/>
              <w:bottom w:val="outset" w:sz="6" w:space="0" w:color="auto"/>
              <w:right w:val="outset" w:sz="6" w:space="0" w:color="auto"/>
            </w:tcBorders>
          </w:tcPr>
          <w:p w14:paraId="5D2108DE" w14:textId="77777777" w:rsidR="00E13911" w:rsidRPr="00964AEF" w:rsidRDefault="0043679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75E080F" w14:textId="77777777" w:rsidR="00E13911" w:rsidRPr="00964AEF" w:rsidRDefault="0043679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D68185E" w14:textId="77777777" w:rsidR="00E13911" w:rsidRPr="00964AEF" w:rsidRDefault="0043679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7470780B"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A5E984C" w14:textId="77777777" w:rsidR="00E13911" w:rsidRPr="00964AEF" w:rsidRDefault="00CF025B" w:rsidP="00AF7E61">
            <w:pPr>
              <w:spacing w:after="0" w:line="240" w:lineRule="auto"/>
              <w:rPr>
                <w:rFonts w:ascii="Times New Roman" w:eastAsia="Times New Roman" w:hAnsi="Times New Roman" w:cs="Times New Roman"/>
                <w:iCs/>
                <w:sz w:val="24"/>
                <w:szCs w:val="24"/>
                <w:lang w:eastAsia="lv-LV"/>
              </w:rPr>
            </w:pPr>
            <w:bookmarkStart w:id="7" w:name="_Hlk70079137"/>
            <w:bookmarkEnd w:id="6"/>
            <w:r w:rsidRPr="00964AEF">
              <w:rPr>
                <w:rFonts w:ascii="Times New Roman" w:eastAsia="Times New Roman" w:hAnsi="Times New Roman" w:cs="Times New Roman"/>
                <w:iCs/>
                <w:sz w:val="24"/>
                <w:szCs w:val="24"/>
                <w:lang w:eastAsia="lv-LV"/>
              </w:rPr>
              <w:t>4.pants</w:t>
            </w:r>
          </w:p>
        </w:tc>
        <w:tc>
          <w:tcPr>
            <w:tcW w:w="904" w:type="pct"/>
            <w:tcBorders>
              <w:top w:val="outset" w:sz="6" w:space="0" w:color="auto"/>
              <w:left w:val="outset" w:sz="6" w:space="0" w:color="auto"/>
              <w:bottom w:val="outset" w:sz="6" w:space="0" w:color="auto"/>
              <w:right w:val="outset" w:sz="6" w:space="0" w:color="auto"/>
            </w:tcBorders>
          </w:tcPr>
          <w:p w14:paraId="1A059080" w14:textId="3E90DCFC" w:rsidR="00E13911" w:rsidRPr="00964AEF" w:rsidRDefault="00784B0E"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 xml:space="preserve">Netiek ieviests, jo </w:t>
            </w:r>
            <w:r w:rsidR="008C08EE" w:rsidRPr="00964AEF">
              <w:rPr>
                <w:rFonts w:ascii="Times New Roman" w:eastAsia="Times New Roman" w:hAnsi="Times New Roman" w:cs="Times New Roman"/>
                <w:iCs/>
                <w:sz w:val="24"/>
                <w:szCs w:val="24"/>
                <w:lang w:eastAsia="lv-LV"/>
              </w:rPr>
              <w:t>netiek izmantota rīcības brīvība</w:t>
            </w:r>
          </w:p>
        </w:tc>
        <w:tc>
          <w:tcPr>
            <w:tcW w:w="1304" w:type="pct"/>
            <w:gridSpan w:val="7"/>
            <w:tcBorders>
              <w:top w:val="outset" w:sz="6" w:space="0" w:color="auto"/>
              <w:left w:val="outset" w:sz="6" w:space="0" w:color="auto"/>
              <w:bottom w:val="outset" w:sz="6" w:space="0" w:color="auto"/>
              <w:right w:val="outset" w:sz="6" w:space="0" w:color="auto"/>
            </w:tcBorders>
          </w:tcPr>
          <w:p w14:paraId="62853FC3" w14:textId="1489955F" w:rsidR="00E13911" w:rsidRPr="00964AEF" w:rsidRDefault="00784B0E"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CEBFDB3" w14:textId="77777777" w:rsidR="00E13911" w:rsidRPr="00964AEF" w:rsidRDefault="00CF025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bookmarkEnd w:id="7"/>
      <w:tr w:rsidR="00C66ADF" w:rsidRPr="00964AEF" w14:paraId="16087DB3" w14:textId="77777777" w:rsidTr="00C66ADF">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19BA2ACB" w14:textId="77777777" w:rsidR="00C66ADF" w:rsidRPr="00964AEF" w:rsidRDefault="00C66AD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5.pants</w:t>
            </w:r>
          </w:p>
        </w:tc>
      </w:tr>
      <w:tr w:rsidR="007857B4" w:rsidRPr="00964AEF" w14:paraId="700D2338"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ECAE83C" w14:textId="77777777" w:rsidR="00E13911" w:rsidRPr="00964AEF" w:rsidRDefault="00C9767B" w:rsidP="00AF7E61">
            <w:pPr>
              <w:spacing w:after="0" w:line="240" w:lineRule="auto"/>
              <w:rPr>
                <w:rFonts w:ascii="Times New Roman" w:eastAsia="Times New Roman" w:hAnsi="Times New Roman" w:cs="Times New Roman"/>
                <w:iCs/>
                <w:sz w:val="24"/>
                <w:szCs w:val="24"/>
                <w:lang w:eastAsia="lv-LV"/>
              </w:rPr>
            </w:pPr>
            <w:bookmarkStart w:id="8" w:name="_Hlk70079197"/>
            <w:r w:rsidRPr="00964AEF">
              <w:rPr>
                <w:rFonts w:ascii="Times New Roman" w:eastAsia="Times New Roman" w:hAnsi="Times New Roman" w:cs="Times New Roman"/>
                <w:iCs/>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293C2615" w14:textId="77777777" w:rsidR="00E13911" w:rsidRPr="00964AEF" w:rsidRDefault="00C9767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038DB6C5" w14:textId="77777777" w:rsidR="00E13911" w:rsidRPr="00964AEF" w:rsidRDefault="00C9767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EA94D73" w14:textId="77777777" w:rsidR="00E13911" w:rsidRPr="00964AEF" w:rsidRDefault="00C9767B"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13FA637E"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430D11A8" w14:textId="77777777" w:rsidR="00E13911" w:rsidRPr="00964AEF" w:rsidRDefault="00844628"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676B2CAD" w14:textId="3092DBBA" w:rsidR="00E13911" w:rsidRPr="00964AEF" w:rsidRDefault="00653385"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3.punkt</w:t>
            </w:r>
            <w:r w:rsidR="00B8640A" w:rsidRPr="00964AEF">
              <w:rPr>
                <w:rFonts w:ascii="Times New Roman" w:eastAsia="Times New Roman" w:hAnsi="Times New Roman" w:cs="Times New Roman"/>
                <w:iCs/>
                <w:sz w:val="24"/>
                <w:szCs w:val="24"/>
                <w:lang w:eastAsia="lv-LV"/>
              </w:rPr>
              <w:t>s</w:t>
            </w:r>
            <w:r w:rsidR="00B95B58" w:rsidRPr="00964AEF">
              <w:rPr>
                <w:rFonts w:ascii="Times New Roman" w:eastAsia="Times New Roman" w:hAnsi="Times New Roman" w:cs="Times New Roman"/>
                <w:iCs/>
                <w:sz w:val="24"/>
                <w:szCs w:val="24"/>
                <w:lang w:eastAsia="lv-LV"/>
              </w:rPr>
              <w:t xml:space="preserve"> </w:t>
            </w:r>
          </w:p>
        </w:tc>
        <w:tc>
          <w:tcPr>
            <w:tcW w:w="1304" w:type="pct"/>
            <w:gridSpan w:val="7"/>
            <w:tcBorders>
              <w:top w:val="outset" w:sz="6" w:space="0" w:color="auto"/>
              <w:left w:val="outset" w:sz="6" w:space="0" w:color="auto"/>
              <w:bottom w:val="outset" w:sz="6" w:space="0" w:color="auto"/>
              <w:right w:val="outset" w:sz="6" w:space="0" w:color="auto"/>
            </w:tcBorders>
          </w:tcPr>
          <w:p w14:paraId="159DD01A" w14:textId="77777777" w:rsidR="00E13911" w:rsidRPr="00964AEF" w:rsidRDefault="00653385"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62453475" w14:textId="77777777" w:rsidR="00E13911" w:rsidRPr="00964AEF" w:rsidRDefault="00653385"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52EB5F14"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7C79D56" w14:textId="77777777" w:rsidR="00E13911" w:rsidRPr="00964AEF" w:rsidRDefault="00653385"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3.punkts</w:t>
            </w:r>
          </w:p>
        </w:tc>
        <w:tc>
          <w:tcPr>
            <w:tcW w:w="904" w:type="pct"/>
            <w:tcBorders>
              <w:top w:val="outset" w:sz="6" w:space="0" w:color="auto"/>
              <w:left w:val="outset" w:sz="6" w:space="0" w:color="auto"/>
              <w:bottom w:val="outset" w:sz="6" w:space="0" w:color="auto"/>
              <w:right w:val="outset" w:sz="6" w:space="0" w:color="auto"/>
            </w:tcBorders>
          </w:tcPr>
          <w:p w14:paraId="0FEBA770" w14:textId="77777777" w:rsidR="00E13911" w:rsidRPr="00964AEF" w:rsidRDefault="00653385"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E833A32" w14:textId="77777777" w:rsidR="00E13911" w:rsidRPr="00964AEF" w:rsidRDefault="00653385"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B5C6714" w14:textId="77777777" w:rsidR="00E13911" w:rsidRPr="00964AEF" w:rsidRDefault="00653385"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62F6C3B0"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AAB6300" w14:textId="77777777" w:rsidR="00E13911" w:rsidRPr="00964AEF" w:rsidRDefault="00653385"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4.punkts</w:t>
            </w:r>
          </w:p>
        </w:tc>
        <w:tc>
          <w:tcPr>
            <w:tcW w:w="904" w:type="pct"/>
            <w:tcBorders>
              <w:top w:val="outset" w:sz="6" w:space="0" w:color="auto"/>
              <w:left w:val="outset" w:sz="6" w:space="0" w:color="auto"/>
              <w:bottom w:val="outset" w:sz="6" w:space="0" w:color="auto"/>
              <w:right w:val="outset" w:sz="6" w:space="0" w:color="auto"/>
            </w:tcBorders>
          </w:tcPr>
          <w:p w14:paraId="0C01BD96" w14:textId="0C34DF52" w:rsidR="00E13911" w:rsidRPr="00964AEF" w:rsidRDefault="00A03104"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39D2DB04" w14:textId="77777777" w:rsidR="00E13911" w:rsidRPr="00964AEF" w:rsidRDefault="00653385"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6928F2C8" w14:textId="77777777" w:rsidR="00E13911" w:rsidRPr="00964AEF" w:rsidRDefault="00653385"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31E0D199"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FBE1965" w14:textId="77777777" w:rsidR="00E13911" w:rsidRPr="00964AEF" w:rsidRDefault="0024326E"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5.punkts</w:t>
            </w:r>
          </w:p>
        </w:tc>
        <w:tc>
          <w:tcPr>
            <w:tcW w:w="904" w:type="pct"/>
            <w:tcBorders>
              <w:top w:val="outset" w:sz="6" w:space="0" w:color="auto"/>
              <w:left w:val="outset" w:sz="6" w:space="0" w:color="auto"/>
              <w:bottom w:val="outset" w:sz="6" w:space="0" w:color="auto"/>
              <w:right w:val="outset" w:sz="6" w:space="0" w:color="auto"/>
            </w:tcBorders>
          </w:tcPr>
          <w:p w14:paraId="2AE10518" w14:textId="045638A0" w:rsidR="00E13911" w:rsidRPr="00964AEF" w:rsidRDefault="00A03104"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9</w:t>
            </w:r>
            <w:r w:rsidR="0024326E" w:rsidRPr="00964AEF">
              <w:rPr>
                <w:rFonts w:ascii="Times New Roman" w:eastAsia="Times New Roman" w:hAnsi="Times New Roman" w:cs="Times New Roman"/>
                <w:iCs/>
                <w:sz w:val="24"/>
                <w:szCs w:val="24"/>
                <w:lang w:eastAsia="lv-LV"/>
              </w:rPr>
              <w:t>.punkts</w:t>
            </w:r>
          </w:p>
        </w:tc>
        <w:tc>
          <w:tcPr>
            <w:tcW w:w="1304" w:type="pct"/>
            <w:gridSpan w:val="7"/>
            <w:tcBorders>
              <w:top w:val="outset" w:sz="6" w:space="0" w:color="auto"/>
              <w:left w:val="outset" w:sz="6" w:space="0" w:color="auto"/>
              <w:bottom w:val="outset" w:sz="6" w:space="0" w:color="auto"/>
              <w:right w:val="outset" w:sz="6" w:space="0" w:color="auto"/>
            </w:tcBorders>
          </w:tcPr>
          <w:p w14:paraId="158D358D" w14:textId="77777777" w:rsidR="00E13911" w:rsidRPr="00964AEF" w:rsidRDefault="0024326E"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654C0ECE" w14:textId="77777777" w:rsidR="00E13911" w:rsidRPr="00964AEF" w:rsidRDefault="0024326E"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bookmarkEnd w:id="8"/>
      <w:tr w:rsidR="00876735" w:rsidRPr="00964AEF" w14:paraId="58B9AD71" w14:textId="77777777" w:rsidTr="00876735">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18D5AF7A" w14:textId="77777777" w:rsidR="00876735" w:rsidRPr="00964AEF" w:rsidRDefault="00876735"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6.pants</w:t>
            </w:r>
          </w:p>
        </w:tc>
      </w:tr>
      <w:tr w:rsidR="007857B4" w:rsidRPr="00964AEF" w14:paraId="4C0BDC99"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63FA4E3" w14:textId="77777777" w:rsidR="0073778E" w:rsidRPr="00964AEF" w:rsidRDefault="00876735" w:rsidP="00AF7E61">
            <w:pPr>
              <w:spacing w:after="0" w:line="240" w:lineRule="auto"/>
              <w:rPr>
                <w:rFonts w:ascii="Times New Roman" w:eastAsia="Times New Roman" w:hAnsi="Times New Roman" w:cs="Times New Roman"/>
                <w:iCs/>
                <w:sz w:val="24"/>
                <w:szCs w:val="24"/>
                <w:lang w:eastAsia="lv-LV"/>
              </w:rPr>
            </w:pPr>
            <w:bookmarkStart w:id="9" w:name="_Hlk70079242"/>
            <w:r w:rsidRPr="00964AEF">
              <w:rPr>
                <w:rFonts w:ascii="Times New Roman" w:eastAsia="Times New Roman" w:hAnsi="Times New Roman" w:cs="Times New Roman"/>
                <w:iCs/>
                <w:sz w:val="24"/>
                <w:szCs w:val="24"/>
                <w:lang w:eastAsia="lv-LV"/>
              </w:rPr>
              <w:t>a) punkts</w:t>
            </w:r>
          </w:p>
        </w:tc>
        <w:tc>
          <w:tcPr>
            <w:tcW w:w="904" w:type="pct"/>
            <w:tcBorders>
              <w:top w:val="outset" w:sz="6" w:space="0" w:color="auto"/>
              <w:left w:val="outset" w:sz="6" w:space="0" w:color="auto"/>
              <w:bottom w:val="outset" w:sz="6" w:space="0" w:color="auto"/>
              <w:right w:val="outset" w:sz="6" w:space="0" w:color="auto"/>
            </w:tcBorders>
          </w:tcPr>
          <w:p w14:paraId="32A57454" w14:textId="114BE8FE" w:rsidR="0073778E" w:rsidRPr="00964AEF" w:rsidRDefault="00F30E70"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netiek izmantota rīcības brīvība</w:t>
            </w:r>
          </w:p>
        </w:tc>
        <w:tc>
          <w:tcPr>
            <w:tcW w:w="1304" w:type="pct"/>
            <w:gridSpan w:val="7"/>
            <w:tcBorders>
              <w:top w:val="outset" w:sz="6" w:space="0" w:color="auto"/>
              <w:left w:val="outset" w:sz="6" w:space="0" w:color="auto"/>
              <w:bottom w:val="outset" w:sz="6" w:space="0" w:color="auto"/>
              <w:right w:val="outset" w:sz="6" w:space="0" w:color="auto"/>
            </w:tcBorders>
          </w:tcPr>
          <w:p w14:paraId="106C8885" w14:textId="21408767" w:rsidR="0073778E" w:rsidRPr="00964AEF" w:rsidRDefault="00F30E70"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EBE0D2A" w14:textId="77777777" w:rsidR="0073778E" w:rsidRPr="00964AEF" w:rsidRDefault="006A4C15"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0FBA1DEA"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E1AB956" w14:textId="77777777" w:rsidR="0073778E" w:rsidRPr="00964AEF" w:rsidRDefault="00876735"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lastRenderedPageBreak/>
              <w:t>b) punkts</w:t>
            </w:r>
          </w:p>
        </w:tc>
        <w:tc>
          <w:tcPr>
            <w:tcW w:w="904" w:type="pct"/>
            <w:tcBorders>
              <w:top w:val="outset" w:sz="6" w:space="0" w:color="auto"/>
              <w:left w:val="outset" w:sz="6" w:space="0" w:color="auto"/>
              <w:bottom w:val="outset" w:sz="6" w:space="0" w:color="auto"/>
              <w:right w:val="outset" w:sz="6" w:space="0" w:color="auto"/>
            </w:tcBorders>
          </w:tcPr>
          <w:p w14:paraId="62451DB0" w14:textId="3C3B0ED8" w:rsidR="0073778E" w:rsidRPr="00964AEF" w:rsidRDefault="00AF7E6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4</w:t>
            </w:r>
            <w:r w:rsidR="00FE3E21" w:rsidRPr="00964AEF">
              <w:rPr>
                <w:rFonts w:ascii="Times New Roman" w:eastAsia="Times New Roman" w:hAnsi="Times New Roman" w:cs="Times New Roman"/>
                <w:iCs/>
                <w:sz w:val="24"/>
                <w:szCs w:val="24"/>
                <w:lang w:eastAsia="lv-LV"/>
              </w:rPr>
              <w:t>.</w:t>
            </w:r>
            <w:r w:rsidR="00F30E70" w:rsidRPr="00964AEF">
              <w:rPr>
                <w:rFonts w:ascii="Times New Roman" w:eastAsia="Times New Roman" w:hAnsi="Times New Roman" w:cs="Times New Roman"/>
                <w:iCs/>
                <w:sz w:val="24"/>
                <w:szCs w:val="24"/>
                <w:lang w:eastAsia="lv-LV"/>
              </w:rPr>
              <w:t>1</w:t>
            </w:r>
            <w:r w:rsidR="00A85771" w:rsidRPr="00964AEF">
              <w:rPr>
                <w:rFonts w:ascii="Times New Roman" w:eastAsia="Times New Roman" w:hAnsi="Times New Roman" w:cs="Times New Roman"/>
                <w:iCs/>
                <w:sz w:val="24"/>
                <w:szCs w:val="24"/>
                <w:lang w:eastAsia="lv-LV"/>
              </w:rPr>
              <w:t>.</w:t>
            </w:r>
            <w:r w:rsidR="00A03104" w:rsidRPr="00964AEF">
              <w:rPr>
                <w:rFonts w:ascii="Times New Roman" w:eastAsia="Times New Roman" w:hAnsi="Times New Roman" w:cs="Times New Roman"/>
                <w:iCs/>
                <w:sz w:val="24"/>
                <w:szCs w:val="24"/>
                <w:lang w:eastAsia="lv-LV"/>
              </w:rPr>
              <w:t>apakš</w:t>
            </w:r>
            <w:r w:rsidR="00FE3E21" w:rsidRPr="00964AEF">
              <w:rPr>
                <w:rFonts w:ascii="Times New Roman" w:eastAsia="Times New Roman" w:hAnsi="Times New Roman" w:cs="Times New Roman"/>
                <w:iCs/>
                <w:sz w:val="24"/>
                <w:szCs w:val="24"/>
                <w:lang w:eastAsia="lv-LV"/>
              </w:rPr>
              <w:t>punkt</w:t>
            </w:r>
            <w:r w:rsidRPr="00964AEF">
              <w:rPr>
                <w:rFonts w:ascii="Times New Roman" w:eastAsia="Times New Roman" w:hAnsi="Times New Roman" w:cs="Times New Roman"/>
                <w:iCs/>
                <w:sz w:val="24"/>
                <w:szCs w:val="24"/>
                <w:lang w:eastAsia="lv-LV"/>
              </w:rPr>
              <w:t>s</w:t>
            </w:r>
          </w:p>
        </w:tc>
        <w:tc>
          <w:tcPr>
            <w:tcW w:w="1304" w:type="pct"/>
            <w:gridSpan w:val="7"/>
            <w:tcBorders>
              <w:top w:val="outset" w:sz="6" w:space="0" w:color="auto"/>
              <w:left w:val="outset" w:sz="6" w:space="0" w:color="auto"/>
              <w:bottom w:val="outset" w:sz="6" w:space="0" w:color="auto"/>
              <w:right w:val="outset" w:sz="6" w:space="0" w:color="auto"/>
            </w:tcBorders>
          </w:tcPr>
          <w:p w14:paraId="1090D61C" w14:textId="77777777" w:rsidR="0073778E" w:rsidRPr="00964AEF" w:rsidRDefault="00FE3E2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1F72BC9A" w14:textId="77777777" w:rsidR="0073778E" w:rsidRPr="00964AEF" w:rsidRDefault="00FE3E2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388120A7"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21A55CC" w14:textId="77777777" w:rsidR="0073778E" w:rsidRPr="00964AEF" w:rsidRDefault="00876735"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c) punkts</w:t>
            </w:r>
          </w:p>
        </w:tc>
        <w:tc>
          <w:tcPr>
            <w:tcW w:w="904" w:type="pct"/>
            <w:tcBorders>
              <w:top w:val="outset" w:sz="6" w:space="0" w:color="auto"/>
              <w:left w:val="outset" w:sz="6" w:space="0" w:color="auto"/>
              <w:bottom w:val="outset" w:sz="6" w:space="0" w:color="auto"/>
              <w:right w:val="outset" w:sz="6" w:space="0" w:color="auto"/>
            </w:tcBorders>
          </w:tcPr>
          <w:p w14:paraId="775A715C" w14:textId="5ACE1E99" w:rsidR="0073778E" w:rsidRPr="00964AEF" w:rsidRDefault="00A8577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4.</w:t>
            </w:r>
            <w:r w:rsidR="00F30E70" w:rsidRPr="00964AEF">
              <w:rPr>
                <w:rFonts w:ascii="Times New Roman" w:eastAsia="Times New Roman" w:hAnsi="Times New Roman" w:cs="Times New Roman"/>
                <w:iCs/>
                <w:sz w:val="24"/>
                <w:szCs w:val="24"/>
                <w:lang w:eastAsia="lv-LV"/>
              </w:rPr>
              <w:t>2</w:t>
            </w:r>
            <w:r w:rsidRPr="00964AEF">
              <w:rPr>
                <w:rFonts w:ascii="Times New Roman" w:eastAsia="Times New Roman" w:hAnsi="Times New Roman" w:cs="Times New Roman"/>
                <w:iCs/>
                <w:sz w:val="24"/>
                <w:szCs w:val="24"/>
                <w:lang w:eastAsia="lv-LV"/>
              </w:rPr>
              <w:t>.</w:t>
            </w:r>
            <w:r w:rsidR="00A03104" w:rsidRPr="00964AEF">
              <w:rPr>
                <w:rFonts w:ascii="Times New Roman" w:eastAsia="Times New Roman" w:hAnsi="Times New Roman" w:cs="Times New Roman"/>
                <w:iCs/>
                <w:sz w:val="24"/>
                <w:szCs w:val="24"/>
                <w:lang w:eastAsia="lv-LV"/>
              </w:rPr>
              <w:t>apakšpu</w:t>
            </w:r>
            <w:r w:rsidRPr="00964AEF">
              <w:rPr>
                <w:rFonts w:ascii="Times New Roman" w:eastAsia="Times New Roman" w:hAnsi="Times New Roman" w:cs="Times New Roman"/>
                <w:iCs/>
                <w:sz w:val="24"/>
                <w:szCs w:val="24"/>
                <w:lang w:eastAsia="lv-LV"/>
              </w:rPr>
              <w:t xml:space="preserve">nkts </w:t>
            </w:r>
          </w:p>
        </w:tc>
        <w:tc>
          <w:tcPr>
            <w:tcW w:w="1304" w:type="pct"/>
            <w:gridSpan w:val="7"/>
            <w:tcBorders>
              <w:top w:val="outset" w:sz="6" w:space="0" w:color="auto"/>
              <w:left w:val="outset" w:sz="6" w:space="0" w:color="auto"/>
              <w:bottom w:val="outset" w:sz="6" w:space="0" w:color="auto"/>
              <w:right w:val="outset" w:sz="6" w:space="0" w:color="auto"/>
            </w:tcBorders>
          </w:tcPr>
          <w:p w14:paraId="63BBD92B" w14:textId="77777777" w:rsidR="0073778E" w:rsidRPr="00964AEF" w:rsidRDefault="00AF7E6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3887457A" w14:textId="77777777" w:rsidR="0073778E" w:rsidRPr="00964AEF" w:rsidRDefault="00AF7E6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62BDE012"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4CCE7D82" w14:textId="77777777" w:rsidR="0073778E" w:rsidRPr="00964AEF" w:rsidRDefault="006F18CA"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7.pants</w:t>
            </w:r>
          </w:p>
        </w:tc>
        <w:tc>
          <w:tcPr>
            <w:tcW w:w="904" w:type="pct"/>
            <w:tcBorders>
              <w:top w:val="outset" w:sz="6" w:space="0" w:color="auto"/>
              <w:left w:val="outset" w:sz="6" w:space="0" w:color="auto"/>
              <w:bottom w:val="outset" w:sz="6" w:space="0" w:color="auto"/>
              <w:right w:val="outset" w:sz="6" w:space="0" w:color="auto"/>
            </w:tcBorders>
          </w:tcPr>
          <w:p w14:paraId="28B1D213" w14:textId="77777777" w:rsidR="0073778E" w:rsidRPr="00964AEF" w:rsidRDefault="006F18CA"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48D4E151" w14:textId="77777777" w:rsidR="0073778E" w:rsidRPr="00964AEF" w:rsidRDefault="006F18CA"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9D4C608" w14:textId="77777777" w:rsidR="0073778E" w:rsidRPr="00964AEF" w:rsidRDefault="006F18CA"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bookmarkEnd w:id="9"/>
      <w:tr w:rsidR="004A6362" w:rsidRPr="00964AEF" w14:paraId="14B32EC4" w14:textId="77777777" w:rsidTr="004A6362">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2949F11A" w14:textId="77777777" w:rsidR="004A6362" w:rsidRPr="00964AEF" w:rsidRDefault="004A6362"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8.pants</w:t>
            </w:r>
          </w:p>
        </w:tc>
      </w:tr>
      <w:tr w:rsidR="007857B4" w:rsidRPr="00964AEF" w14:paraId="289A3773"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915D126" w14:textId="77777777" w:rsidR="0073778E" w:rsidRPr="00964AEF" w:rsidRDefault="009F62CC"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15055E46" w14:textId="77777777" w:rsidR="0073778E" w:rsidRPr="00964AEF" w:rsidRDefault="009F62CC"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09FE5124" w14:textId="77777777" w:rsidR="0073778E" w:rsidRPr="00964AEF" w:rsidRDefault="009F62CC"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C7B7DE8" w14:textId="77777777" w:rsidR="0073778E" w:rsidRPr="00964AEF" w:rsidRDefault="009F62CC"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30E7E35C"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F4E0E85" w14:textId="77777777" w:rsidR="0073778E" w:rsidRPr="00964AEF" w:rsidRDefault="009F62CC"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308FD2B1" w14:textId="77777777" w:rsidR="0073778E" w:rsidRPr="00964AEF" w:rsidRDefault="002341D5"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1892A9FE" w14:textId="77777777" w:rsidR="0073778E" w:rsidRPr="00964AEF" w:rsidRDefault="002341D5"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D903902" w14:textId="77777777" w:rsidR="0073778E" w:rsidRPr="00964AEF" w:rsidRDefault="002341D5"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341D5" w:rsidRPr="00964AEF" w14:paraId="5BC40359" w14:textId="77777777" w:rsidTr="002341D5">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4B0A0DE6" w14:textId="77777777" w:rsidR="002341D5" w:rsidRPr="00964AEF" w:rsidRDefault="002341D5"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9.pants</w:t>
            </w:r>
          </w:p>
        </w:tc>
      </w:tr>
      <w:tr w:rsidR="007857B4" w:rsidRPr="00964AEF" w14:paraId="69952F4D"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9C16286" w14:textId="77777777" w:rsidR="0073778E" w:rsidRPr="00964AEF" w:rsidRDefault="00EB4560"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5AED6573" w14:textId="713EF52A" w:rsidR="0073778E" w:rsidRPr="00964AEF" w:rsidRDefault="008457F6"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9</w:t>
            </w:r>
            <w:r w:rsidR="000B08CC" w:rsidRPr="00964AEF">
              <w:rPr>
                <w:rFonts w:ascii="Times New Roman" w:eastAsia="Times New Roman" w:hAnsi="Times New Roman" w:cs="Times New Roman"/>
                <w:iCs/>
                <w:sz w:val="24"/>
                <w:szCs w:val="24"/>
                <w:lang w:eastAsia="lv-LV"/>
              </w:rPr>
              <w:t>.punkts</w:t>
            </w:r>
          </w:p>
        </w:tc>
        <w:tc>
          <w:tcPr>
            <w:tcW w:w="1304" w:type="pct"/>
            <w:gridSpan w:val="7"/>
            <w:tcBorders>
              <w:top w:val="outset" w:sz="6" w:space="0" w:color="auto"/>
              <w:left w:val="outset" w:sz="6" w:space="0" w:color="auto"/>
              <w:bottom w:val="outset" w:sz="6" w:space="0" w:color="auto"/>
              <w:right w:val="outset" w:sz="6" w:space="0" w:color="auto"/>
            </w:tcBorders>
          </w:tcPr>
          <w:p w14:paraId="6059E483" w14:textId="77777777" w:rsidR="0073778E" w:rsidRPr="00964AEF" w:rsidRDefault="000B08CC"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73A05977" w14:textId="77777777" w:rsidR="0073778E" w:rsidRPr="00964AEF" w:rsidRDefault="000B08CC"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1006BEB0"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B448D98" w14:textId="77777777" w:rsidR="0073778E" w:rsidRPr="00964AEF" w:rsidRDefault="000B08CC"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2FF8B3EC" w14:textId="77777777" w:rsidR="0073778E" w:rsidRPr="00964AEF" w:rsidRDefault="000B08CC"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31B24F2" w14:textId="77777777" w:rsidR="0073778E" w:rsidRPr="00964AEF" w:rsidRDefault="000B08CC"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3654B4D" w14:textId="77777777" w:rsidR="0073778E" w:rsidRPr="00964AEF" w:rsidRDefault="000B08CC"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243853EB"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DCE2733" w14:textId="77777777" w:rsidR="0073778E" w:rsidRPr="00964AEF" w:rsidRDefault="004F2CD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3.punkts</w:t>
            </w:r>
          </w:p>
        </w:tc>
        <w:tc>
          <w:tcPr>
            <w:tcW w:w="904" w:type="pct"/>
            <w:tcBorders>
              <w:top w:val="outset" w:sz="6" w:space="0" w:color="auto"/>
              <w:left w:val="outset" w:sz="6" w:space="0" w:color="auto"/>
              <w:bottom w:val="outset" w:sz="6" w:space="0" w:color="auto"/>
              <w:right w:val="outset" w:sz="6" w:space="0" w:color="auto"/>
            </w:tcBorders>
          </w:tcPr>
          <w:p w14:paraId="18C2B163" w14:textId="77777777" w:rsidR="0073778E" w:rsidRPr="00964AEF" w:rsidRDefault="004F2CD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001BDF23" w14:textId="77777777" w:rsidR="0073778E" w:rsidRPr="00964AEF" w:rsidRDefault="004F2CD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84BEFB8" w14:textId="77777777" w:rsidR="0073778E" w:rsidRPr="00964AEF" w:rsidRDefault="004F2CD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40A1859A"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FF819B7" w14:textId="77777777" w:rsidR="0073778E" w:rsidRPr="00964AEF" w:rsidRDefault="004F2CD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4.punkts</w:t>
            </w:r>
          </w:p>
        </w:tc>
        <w:tc>
          <w:tcPr>
            <w:tcW w:w="904" w:type="pct"/>
            <w:tcBorders>
              <w:top w:val="outset" w:sz="6" w:space="0" w:color="auto"/>
              <w:left w:val="outset" w:sz="6" w:space="0" w:color="auto"/>
              <w:bottom w:val="outset" w:sz="6" w:space="0" w:color="auto"/>
              <w:right w:val="outset" w:sz="6" w:space="0" w:color="auto"/>
            </w:tcBorders>
          </w:tcPr>
          <w:p w14:paraId="0BFF55EE" w14:textId="77777777" w:rsidR="0073778E" w:rsidRPr="00964AEF" w:rsidRDefault="004F2CD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D9033C5" w14:textId="77777777" w:rsidR="0073778E" w:rsidRPr="00964AEF" w:rsidRDefault="004F2CD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001F0222" w14:textId="77777777" w:rsidR="0073778E" w:rsidRPr="00964AEF" w:rsidRDefault="004F2CD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3B4DE87C"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F8F4815" w14:textId="77777777" w:rsidR="0073778E" w:rsidRPr="00964AEF" w:rsidRDefault="004F2CD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5.punkts</w:t>
            </w:r>
          </w:p>
        </w:tc>
        <w:tc>
          <w:tcPr>
            <w:tcW w:w="904" w:type="pct"/>
            <w:tcBorders>
              <w:top w:val="outset" w:sz="6" w:space="0" w:color="auto"/>
              <w:left w:val="outset" w:sz="6" w:space="0" w:color="auto"/>
              <w:bottom w:val="outset" w:sz="6" w:space="0" w:color="auto"/>
              <w:right w:val="outset" w:sz="6" w:space="0" w:color="auto"/>
            </w:tcBorders>
          </w:tcPr>
          <w:p w14:paraId="06CCF50C" w14:textId="77777777" w:rsidR="0073778E" w:rsidRPr="00964AEF" w:rsidRDefault="004F2CD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FE16F4C" w14:textId="77777777" w:rsidR="0073778E" w:rsidRPr="00964AEF" w:rsidRDefault="004F2CD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0677C1AE" w14:textId="77777777" w:rsidR="0073778E" w:rsidRPr="00964AEF" w:rsidRDefault="004F2CD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16BB1" w:rsidRPr="00964AEF" w14:paraId="02DDB8F5"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6DCA055" w14:textId="77777777" w:rsidR="004F2CD3" w:rsidRPr="00964AEF" w:rsidRDefault="004F2CD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6.punkts</w:t>
            </w:r>
          </w:p>
        </w:tc>
        <w:tc>
          <w:tcPr>
            <w:tcW w:w="904" w:type="pct"/>
            <w:tcBorders>
              <w:top w:val="outset" w:sz="6" w:space="0" w:color="auto"/>
              <w:left w:val="outset" w:sz="6" w:space="0" w:color="auto"/>
              <w:bottom w:val="outset" w:sz="6" w:space="0" w:color="auto"/>
              <w:right w:val="outset" w:sz="6" w:space="0" w:color="auto"/>
            </w:tcBorders>
          </w:tcPr>
          <w:p w14:paraId="48FFBB10" w14:textId="77777777" w:rsidR="004F2CD3" w:rsidRPr="00964AEF" w:rsidRDefault="004F2CD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15B83B05" w14:textId="77777777" w:rsidR="004F2CD3" w:rsidRPr="00964AEF" w:rsidRDefault="004F2CD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57BCD900" w14:textId="77777777" w:rsidR="004F2CD3" w:rsidRPr="00964AEF" w:rsidRDefault="004F2CD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F520A4" w:rsidRPr="00964AEF" w14:paraId="0C8265EE" w14:textId="77777777" w:rsidTr="00F520A4">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0F0D4E52" w14:textId="77777777" w:rsidR="00F520A4" w:rsidRPr="00964AEF" w:rsidRDefault="00F520A4"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10.pants</w:t>
            </w:r>
          </w:p>
        </w:tc>
      </w:tr>
      <w:tr w:rsidR="00716BB1" w:rsidRPr="00964AEF" w14:paraId="63739117"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18D002E" w14:textId="77777777" w:rsidR="004F2CD3" w:rsidRPr="00964AEF" w:rsidRDefault="00F520A4"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Pirmā daļa</w:t>
            </w:r>
          </w:p>
        </w:tc>
        <w:tc>
          <w:tcPr>
            <w:tcW w:w="904" w:type="pct"/>
            <w:tcBorders>
              <w:top w:val="outset" w:sz="6" w:space="0" w:color="auto"/>
              <w:left w:val="outset" w:sz="6" w:space="0" w:color="auto"/>
              <w:bottom w:val="outset" w:sz="6" w:space="0" w:color="auto"/>
              <w:right w:val="outset" w:sz="6" w:space="0" w:color="auto"/>
            </w:tcBorders>
          </w:tcPr>
          <w:p w14:paraId="194C9857" w14:textId="77777777" w:rsidR="004F2CD3" w:rsidRPr="00964AEF" w:rsidRDefault="00F520A4"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2A7CFADA" w14:textId="77777777" w:rsidR="004F2CD3" w:rsidRPr="00964AEF" w:rsidRDefault="00F520A4"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7B059D9" w14:textId="77777777" w:rsidR="004F2CD3" w:rsidRPr="00964AEF" w:rsidRDefault="00F520A4"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16BB1" w:rsidRPr="00964AEF" w14:paraId="6FA305E3"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3920AD7" w14:textId="77777777" w:rsidR="004F2CD3" w:rsidRPr="00964AEF" w:rsidRDefault="00F520A4"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Otrā daļa</w:t>
            </w:r>
          </w:p>
        </w:tc>
        <w:tc>
          <w:tcPr>
            <w:tcW w:w="904" w:type="pct"/>
            <w:tcBorders>
              <w:top w:val="outset" w:sz="6" w:space="0" w:color="auto"/>
              <w:left w:val="outset" w:sz="6" w:space="0" w:color="auto"/>
              <w:bottom w:val="outset" w:sz="6" w:space="0" w:color="auto"/>
              <w:right w:val="outset" w:sz="6" w:space="0" w:color="auto"/>
            </w:tcBorders>
          </w:tcPr>
          <w:p w14:paraId="74B6B66A" w14:textId="77777777" w:rsidR="004F2CD3" w:rsidRPr="00964AEF" w:rsidRDefault="00F520A4"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2080F852" w14:textId="77777777" w:rsidR="004F2CD3" w:rsidRPr="00964AEF" w:rsidRDefault="00F520A4"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0EC3265A" w14:textId="77777777" w:rsidR="004F2CD3" w:rsidRPr="00964AEF" w:rsidRDefault="00F520A4"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F520A4" w:rsidRPr="00964AEF" w14:paraId="2F9D343C" w14:textId="77777777" w:rsidTr="00F520A4">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5C25C256" w14:textId="77777777" w:rsidR="00F520A4" w:rsidRPr="00964AEF" w:rsidRDefault="00F520A4"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11.pants</w:t>
            </w:r>
          </w:p>
        </w:tc>
      </w:tr>
      <w:tr w:rsidR="00716BB1" w:rsidRPr="00964AEF" w14:paraId="6C7930D1"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CE9B737" w14:textId="77777777" w:rsidR="004F2CD3" w:rsidRPr="00964AEF" w:rsidRDefault="00F520A4"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6D269584" w14:textId="77777777" w:rsidR="004F2CD3" w:rsidRPr="00964AEF" w:rsidRDefault="00B542BD"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C42CF4D" w14:textId="77777777" w:rsidR="004F2CD3" w:rsidRPr="00964AEF" w:rsidRDefault="00B542BD"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A17C1F9" w14:textId="77777777" w:rsidR="004F2CD3" w:rsidRPr="00964AEF" w:rsidRDefault="00B542BD"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16BB1" w:rsidRPr="00964AEF" w14:paraId="4C90E602"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052A715" w14:textId="77777777" w:rsidR="004F2CD3" w:rsidRPr="00964AEF" w:rsidRDefault="00F520A4"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7DE08C7E" w14:textId="77777777" w:rsidR="004F2CD3" w:rsidRPr="00964AEF" w:rsidRDefault="00B542BD"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2A7AC300" w14:textId="77777777" w:rsidR="004F2CD3" w:rsidRPr="00964AEF" w:rsidRDefault="00B542BD"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2979737" w14:textId="77777777" w:rsidR="004F2CD3" w:rsidRPr="00964AEF" w:rsidRDefault="00B542BD"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9E57AA" w:rsidRPr="00964AEF" w14:paraId="0ED91C34"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DD4AA13" w14:textId="77777777" w:rsidR="00F520A4" w:rsidRPr="00964AEF" w:rsidRDefault="00F520A4"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lastRenderedPageBreak/>
              <w:t>3.punkts</w:t>
            </w:r>
          </w:p>
        </w:tc>
        <w:tc>
          <w:tcPr>
            <w:tcW w:w="904" w:type="pct"/>
            <w:tcBorders>
              <w:top w:val="outset" w:sz="6" w:space="0" w:color="auto"/>
              <w:left w:val="outset" w:sz="6" w:space="0" w:color="auto"/>
              <w:bottom w:val="outset" w:sz="6" w:space="0" w:color="auto"/>
              <w:right w:val="outset" w:sz="6" w:space="0" w:color="auto"/>
            </w:tcBorders>
          </w:tcPr>
          <w:p w14:paraId="128D8275" w14:textId="77777777" w:rsidR="00F520A4" w:rsidRPr="00964AEF" w:rsidRDefault="00B542BD"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9D2772D" w14:textId="77777777" w:rsidR="00F520A4" w:rsidRPr="00964AEF" w:rsidRDefault="00B542BD"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A32EDC8" w14:textId="77777777" w:rsidR="00F520A4" w:rsidRPr="00964AEF" w:rsidRDefault="00B542BD"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9111A6" w:rsidRPr="00964AEF" w14:paraId="518EF364" w14:textId="77777777" w:rsidTr="009111A6">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3A1BA4D3" w14:textId="77777777" w:rsidR="009111A6" w:rsidRPr="00964AEF" w:rsidRDefault="009111A6"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12.pants</w:t>
            </w:r>
          </w:p>
        </w:tc>
      </w:tr>
      <w:tr w:rsidR="009E57AA" w:rsidRPr="00964AEF" w14:paraId="065933A7"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41C1AC4" w14:textId="77777777" w:rsidR="00F520A4" w:rsidRPr="00964AEF" w:rsidRDefault="009111A6"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753BD06E" w14:textId="77777777" w:rsidR="00F520A4" w:rsidRPr="00964AEF" w:rsidRDefault="00D5194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12B7F64A" w14:textId="77777777" w:rsidR="00F520A4" w:rsidRPr="00964AEF" w:rsidRDefault="00D5194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36701EC5" w14:textId="77777777" w:rsidR="00F520A4" w:rsidRPr="00964AEF" w:rsidRDefault="00A75A7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9E57AA" w:rsidRPr="00964AEF" w14:paraId="5B008554"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71F371B" w14:textId="77777777" w:rsidR="00F520A4" w:rsidRPr="00964AEF" w:rsidRDefault="009111A6"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7391CB71" w14:textId="77777777" w:rsidR="00F520A4" w:rsidRPr="00964AEF" w:rsidRDefault="00D5194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3B369694" w14:textId="77777777" w:rsidR="00F520A4" w:rsidRPr="00964AEF" w:rsidRDefault="00D5194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383B6E3A" w14:textId="77777777" w:rsidR="00F520A4" w:rsidRPr="00964AEF" w:rsidRDefault="00A75A7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9E57AA" w:rsidRPr="00964AEF" w14:paraId="726DD457"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E07D4B0" w14:textId="77777777" w:rsidR="00F520A4" w:rsidRPr="00964AEF" w:rsidRDefault="009111A6"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3.punkts</w:t>
            </w:r>
          </w:p>
        </w:tc>
        <w:tc>
          <w:tcPr>
            <w:tcW w:w="904" w:type="pct"/>
            <w:tcBorders>
              <w:top w:val="outset" w:sz="6" w:space="0" w:color="auto"/>
              <w:left w:val="outset" w:sz="6" w:space="0" w:color="auto"/>
              <w:bottom w:val="outset" w:sz="6" w:space="0" w:color="auto"/>
              <w:right w:val="outset" w:sz="6" w:space="0" w:color="auto"/>
            </w:tcBorders>
          </w:tcPr>
          <w:p w14:paraId="4D77305D" w14:textId="77777777" w:rsidR="00F520A4" w:rsidRPr="00964AEF" w:rsidRDefault="00D5194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087441D" w14:textId="77777777" w:rsidR="00F520A4" w:rsidRPr="00964AEF" w:rsidRDefault="00D5194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04CEEB2" w14:textId="77777777" w:rsidR="00F520A4" w:rsidRPr="00964AEF" w:rsidRDefault="00A75A7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9E57AA" w:rsidRPr="00964AEF" w14:paraId="520E68E0"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A77F7DA" w14:textId="77777777" w:rsidR="00F520A4" w:rsidRPr="00964AEF" w:rsidRDefault="009111A6"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4.punkts</w:t>
            </w:r>
          </w:p>
        </w:tc>
        <w:tc>
          <w:tcPr>
            <w:tcW w:w="904" w:type="pct"/>
            <w:tcBorders>
              <w:top w:val="outset" w:sz="6" w:space="0" w:color="auto"/>
              <w:left w:val="outset" w:sz="6" w:space="0" w:color="auto"/>
              <w:bottom w:val="outset" w:sz="6" w:space="0" w:color="auto"/>
              <w:right w:val="outset" w:sz="6" w:space="0" w:color="auto"/>
            </w:tcBorders>
          </w:tcPr>
          <w:p w14:paraId="676C55E9" w14:textId="77777777" w:rsidR="00F520A4" w:rsidRPr="00964AEF" w:rsidRDefault="00D5194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4228C541" w14:textId="77777777" w:rsidR="00F520A4" w:rsidRPr="00964AEF" w:rsidRDefault="00D5194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312420E3" w14:textId="77777777" w:rsidR="00F520A4" w:rsidRPr="00964AEF" w:rsidRDefault="00A75A73"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A9556E" w:rsidRPr="00964AEF" w14:paraId="05FD0164" w14:textId="77777777" w:rsidTr="00A9556E">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0DDA2D00" w14:textId="77777777" w:rsidR="00A9556E" w:rsidRPr="00964AEF" w:rsidRDefault="00A9556E"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13.pants</w:t>
            </w:r>
          </w:p>
        </w:tc>
      </w:tr>
      <w:tr w:rsidR="009E57AA" w:rsidRPr="00964AEF" w14:paraId="57976BCC"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62B0922" w14:textId="77777777" w:rsidR="00F520A4" w:rsidRPr="00964AEF" w:rsidRDefault="00FC52F0"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4C0A32D8" w14:textId="77777777" w:rsidR="00F520A4" w:rsidRPr="00964AEF" w:rsidRDefault="00FC52F0"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uzliek pienākumu dalībvalstīm</w:t>
            </w:r>
          </w:p>
        </w:tc>
        <w:tc>
          <w:tcPr>
            <w:tcW w:w="1304" w:type="pct"/>
            <w:gridSpan w:val="7"/>
            <w:tcBorders>
              <w:top w:val="outset" w:sz="6" w:space="0" w:color="auto"/>
              <w:left w:val="outset" w:sz="6" w:space="0" w:color="auto"/>
              <w:bottom w:val="outset" w:sz="6" w:space="0" w:color="auto"/>
              <w:right w:val="outset" w:sz="6" w:space="0" w:color="auto"/>
            </w:tcBorders>
          </w:tcPr>
          <w:p w14:paraId="3E4D6BF9" w14:textId="77777777" w:rsidR="00F520A4" w:rsidRPr="00964AEF" w:rsidRDefault="00FC52F0"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3B3411B0" w14:textId="77777777" w:rsidR="00F520A4" w:rsidRPr="00964AEF" w:rsidRDefault="00FC52F0"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9E57AA" w:rsidRPr="00964AEF" w14:paraId="7905C1F7"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70F494C" w14:textId="77777777" w:rsidR="00F520A4" w:rsidRPr="00964AEF" w:rsidRDefault="00FC52F0"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507BE0CB" w14:textId="77777777" w:rsidR="00F520A4" w:rsidRPr="00964AEF" w:rsidRDefault="00FC52F0"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uzliek pienākumu dalībvalstīm</w:t>
            </w:r>
          </w:p>
        </w:tc>
        <w:tc>
          <w:tcPr>
            <w:tcW w:w="1304" w:type="pct"/>
            <w:gridSpan w:val="7"/>
            <w:tcBorders>
              <w:top w:val="outset" w:sz="6" w:space="0" w:color="auto"/>
              <w:left w:val="outset" w:sz="6" w:space="0" w:color="auto"/>
              <w:bottom w:val="outset" w:sz="6" w:space="0" w:color="auto"/>
              <w:right w:val="outset" w:sz="6" w:space="0" w:color="auto"/>
            </w:tcBorders>
          </w:tcPr>
          <w:p w14:paraId="3B6BB313" w14:textId="77777777" w:rsidR="00F520A4" w:rsidRPr="00964AEF" w:rsidRDefault="00FC52F0"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DC1A5E3" w14:textId="77777777" w:rsidR="00F520A4" w:rsidRPr="00964AEF" w:rsidRDefault="00FC52F0"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B057A4" w:rsidRPr="00964AEF" w14:paraId="782A0CE8"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CEF0C06" w14:textId="77777777" w:rsidR="00A9556E" w:rsidRPr="00964AEF" w:rsidRDefault="0009518D"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3.punkts</w:t>
            </w:r>
          </w:p>
        </w:tc>
        <w:tc>
          <w:tcPr>
            <w:tcW w:w="904" w:type="pct"/>
            <w:tcBorders>
              <w:top w:val="outset" w:sz="6" w:space="0" w:color="auto"/>
              <w:left w:val="outset" w:sz="6" w:space="0" w:color="auto"/>
              <w:bottom w:val="outset" w:sz="6" w:space="0" w:color="auto"/>
              <w:right w:val="outset" w:sz="6" w:space="0" w:color="auto"/>
            </w:tcBorders>
          </w:tcPr>
          <w:p w14:paraId="29AD4694" w14:textId="77777777" w:rsidR="00A9556E" w:rsidRPr="00964AEF" w:rsidRDefault="0009518D"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uzliek pienākumu Eiropas Komisijai</w:t>
            </w:r>
          </w:p>
        </w:tc>
        <w:tc>
          <w:tcPr>
            <w:tcW w:w="1304" w:type="pct"/>
            <w:gridSpan w:val="7"/>
            <w:tcBorders>
              <w:top w:val="outset" w:sz="6" w:space="0" w:color="auto"/>
              <w:left w:val="outset" w:sz="6" w:space="0" w:color="auto"/>
              <w:bottom w:val="outset" w:sz="6" w:space="0" w:color="auto"/>
              <w:right w:val="outset" w:sz="6" w:space="0" w:color="auto"/>
            </w:tcBorders>
          </w:tcPr>
          <w:p w14:paraId="7779741A" w14:textId="77777777" w:rsidR="00A9556E" w:rsidRPr="00964AEF" w:rsidRDefault="0009518D"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09680F92" w14:textId="77777777" w:rsidR="00A9556E" w:rsidRPr="00964AEF" w:rsidRDefault="0009518D"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B057A4" w:rsidRPr="00964AEF" w14:paraId="7F05330B"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03E1B51" w14:textId="77777777" w:rsidR="00A9556E" w:rsidRPr="00964AEF" w:rsidRDefault="0009518D"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14.pants</w:t>
            </w:r>
          </w:p>
        </w:tc>
        <w:tc>
          <w:tcPr>
            <w:tcW w:w="904" w:type="pct"/>
            <w:tcBorders>
              <w:top w:val="outset" w:sz="6" w:space="0" w:color="auto"/>
              <w:left w:val="outset" w:sz="6" w:space="0" w:color="auto"/>
              <w:bottom w:val="outset" w:sz="6" w:space="0" w:color="auto"/>
              <w:right w:val="outset" w:sz="6" w:space="0" w:color="auto"/>
            </w:tcBorders>
          </w:tcPr>
          <w:p w14:paraId="69AAAFCA" w14:textId="77777777" w:rsidR="00A9556E" w:rsidRPr="00964AEF" w:rsidRDefault="0009518D"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ar to atceļ citu regulu</w:t>
            </w:r>
          </w:p>
        </w:tc>
        <w:tc>
          <w:tcPr>
            <w:tcW w:w="1304" w:type="pct"/>
            <w:gridSpan w:val="7"/>
            <w:tcBorders>
              <w:top w:val="outset" w:sz="6" w:space="0" w:color="auto"/>
              <w:left w:val="outset" w:sz="6" w:space="0" w:color="auto"/>
              <w:bottom w:val="outset" w:sz="6" w:space="0" w:color="auto"/>
              <w:right w:val="outset" w:sz="6" w:space="0" w:color="auto"/>
            </w:tcBorders>
          </w:tcPr>
          <w:p w14:paraId="5426CF85" w14:textId="77777777" w:rsidR="00A9556E" w:rsidRPr="00964AEF" w:rsidRDefault="004463F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FF40232" w14:textId="77777777" w:rsidR="00A9556E" w:rsidRPr="00964AEF" w:rsidRDefault="004463F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B057A4" w:rsidRPr="00964AEF" w14:paraId="6769EDDF"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5842902" w14:textId="77777777" w:rsidR="00A9556E" w:rsidRPr="00964AEF" w:rsidRDefault="004463F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15.pants</w:t>
            </w:r>
          </w:p>
        </w:tc>
        <w:tc>
          <w:tcPr>
            <w:tcW w:w="904" w:type="pct"/>
            <w:tcBorders>
              <w:top w:val="outset" w:sz="6" w:space="0" w:color="auto"/>
              <w:left w:val="outset" w:sz="6" w:space="0" w:color="auto"/>
              <w:bottom w:val="outset" w:sz="6" w:space="0" w:color="auto"/>
              <w:right w:val="outset" w:sz="6" w:space="0" w:color="auto"/>
            </w:tcBorders>
          </w:tcPr>
          <w:p w14:paraId="3A25D684" w14:textId="77777777" w:rsidR="00A9556E" w:rsidRPr="00964AEF" w:rsidRDefault="004463F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tas regulē regulas spēkā stāšanos</w:t>
            </w:r>
          </w:p>
        </w:tc>
        <w:tc>
          <w:tcPr>
            <w:tcW w:w="1304" w:type="pct"/>
            <w:gridSpan w:val="7"/>
            <w:tcBorders>
              <w:top w:val="outset" w:sz="6" w:space="0" w:color="auto"/>
              <w:left w:val="outset" w:sz="6" w:space="0" w:color="auto"/>
              <w:bottom w:val="outset" w:sz="6" w:space="0" w:color="auto"/>
              <w:right w:val="outset" w:sz="6" w:space="0" w:color="auto"/>
            </w:tcBorders>
          </w:tcPr>
          <w:p w14:paraId="58A366E9" w14:textId="77777777" w:rsidR="00A9556E" w:rsidRPr="00964AEF" w:rsidRDefault="004463F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0FAFD423" w14:textId="77777777" w:rsidR="00A9556E" w:rsidRPr="00964AEF" w:rsidRDefault="004463F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65AFE" w:rsidRPr="00964AEF" w14:paraId="4D37D9C1"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5D775D3" w14:textId="77777777" w:rsidR="00765AFE" w:rsidRPr="00964AEF" w:rsidRDefault="00765AFE"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1.pielikums</w:t>
            </w:r>
          </w:p>
        </w:tc>
        <w:tc>
          <w:tcPr>
            <w:tcW w:w="904" w:type="pct"/>
            <w:tcBorders>
              <w:top w:val="outset" w:sz="6" w:space="0" w:color="auto"/>
              <w:left w:val="outset" w:sz="6" w:space="0" w:color="auto"/>
              <w:bottom w:val="outset" w:sz="6" w:space="0" w:color="auto"/>
              <w:right w:val="outset" w:sz="6" w:space="0" w:color="auto"/>
            </w:tcBorders>
          </w:tcPr>
          <w:p w14:paraId="15D01C7C" w14:textId="77777777" w:rsidR="00765AFE" w:rsidRPr="00964AEF" w:rsidRDefault="00765AFE"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6BE18C0C" w14:textId="77777777" w:rsidR="00765AFE" w:rsidRPr="00964AEF" w:rsidRDefault="00765AFE"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6C6A1BE" w14:textId="77777777" w:rsidR="00765AFE" w:rsidRPr="00964AEF" w:rsidRDefault="00765AFE"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65AFE" w:rsidRPr="00964AEF" w14:paraId="7EE77A03"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2A991E2" w14:textId="77777777" w:rsidR="00765AFE" w:rsidRPr="00964AEF" w:rsidRDefault="0019099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2.pielikums</w:t>
            </w:r>
          </w:p>
        </w:tc>
        <w:tc>
          <w:tcPr>
            <w:tcW w:w="904" w:type="pct"/>
            <w:tcBorders>
              <w:top w:val="outset" w:sz="6" w:space="0" w:color="auto"/>
              <w:left w:val="outset" w:sz="6" w:space="0" w:color="auto"/>
              <w:bottom w:val="outset" w:sz="6" w:space="0" w:color="auto"/>
              <w:right w:val="outset" w:sz="6" w:space="0" w:color="auto"/>
            </w:tcBorders>
          </w:tcPr>
          <w:p w14:paraId="6E4E83F5" w14:textId="77777777" w:rsidR="00765AFE" w:rsidRPr="00964AEF" w:rsidRDefault="0019099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5294DC1" w14:textId="77777777" w:rsidR="00765AFE" w:rsidRPr="00964AEF" w:rsidRDefault="0019099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C98D9C7" w14:textId="77777777" w:rsidR="00765AFE" w:rsidRPr="00964AEF" w:rsidRDefault="0019099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190991" w:rsidRPr="00964AEF" w14:paraId="68FEB563"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140B350" w14:textId="77777777" w:rsidR="00190991" w:rsidRPr="00964AEF" w:rsidRDefault="0019099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lastRenderedPageBreak/>
              <w:t>3.pielikums</w:t>
            </w:r>
          </w:p>
        </w:tc>
        <w:tc>
          <w:tcPr>
            <w:tcW w:w="904" w:type="pct"/>
            <w:tcBorders>
              <w:top w:val="outset" w:sz="6" w:space="0" w:color="auto"/>
              <w:left w:val="outset" w:sz="6" w:space="0" w:color="auto"/>
              <w:bottom w:val="outset" w:sz="6" w:space="0" w:color="auto"/>
              <w:right w:val="outset" w:sz="6" w:space="0" w:color="auto"/>
            </w:tcBorders>
          </w:tcPr>
          <w:p w14:paraId="7A2BBF07" w14:textId="77777777" w:rsidR="00190991" w:rsidRPr="00964AEF" w:rsidRDefault="0019099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B4C6DDE" w14:textId="77777777" w:rsidR="00190991" w:rsidRPr="00964AEF" w:rsidRDefault="0019099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3E1FE771" w14:textId="77777777" w:rsidR="00190991" w:rsidRPr="00964AEF" w:rsidRDefault="00190991"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A558B6" w:rsidRPr="00964AEF" w14:paraId="6B8B1AA4"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0E8180EB"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113" w:type="pct"/>
            <w:gridSpan w:val="9"/>
            <w:tcBorders>
              <w:top w:val="outset" w:sz="6" w:space="0" w:color="auto"/>
              <w:left w:val="outset" w:sz="6" w:space="0" w:color="auto"/>
              <w:bottom w:val="outset" w:sz="6" w:space="0" w:color="auto"/>
              <w:right w:val="outset" w:sz="6" w:space="0" w:color="auto"/>
            </w:tcBorders>
            <w:hideMark/>
          </w:tcPr>
          <w:p w14:paraId="193B64B5" w14:textId="2D06C8A0" w:rsidR="008F497F" w:rsidRPr="00964AEF" w:rsidRDefault="00AF7E61" w:rsidP="00A85771">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1. </w:t>
            </w:r>
            <w:r w:rsidR="002C4F41" w:rsidRPr="00964AEF">
              <w:rPr>
                <w:rFonts w:ascii="Times New Roman" w:eastAsia="Times New Roman" w:hAnsi="Times New Roman" w:cs="Times New Roman"/>
                <w:iCs/>
                <w:sz w:val="24"/>
                <w:szCs w:val="24"/>
                <w:lang w:eastAsia="lv-LV"/>
              </w:rPr>
              <w:t>Regulas 3.</w:t>
            </w:r>
            <w:r w:rsidR="00BD1F61" w:rsidRPr="00964AEF">
              <w:rPr>
                <w:rFonts w:ascii="Times New Roman" w:eastAsia="Times New Roman" w:hAnsi="Times New Roman" w:cs="Times New Roman"/>
                <w:iCs/>
                <w:sz w:val="24"/>
                <w:szCs w:val="24"/>
                <w:lang w:eastAsia="lv-LV"/>
              </w:rPr>
              <w:t xml:space="preserve"> </w:t>
            </w:r>
            <w:r w:rsidR="002C4F41" w:rsidRPr="00964AEF">
              <w:rPr>
                <w:rFonts w:ascii="Times New Roman" w:eastAsia="Times New Roman" w:hAnsi="Times New Roman" w:cs="Times New Roman"/>
                <w:iCs/>
                <w:sz w:val="24"/>
                <w:szCs w:val="24"/>
                <w:lang w:eastAsia="lv-LV"/>
              </w:rPr>
              <w:t>panta 7.</w:t>
            </w:r>
            <w:r w:rsidR="00BD1F61" w:rsidRPr="00964AEF">
              <w:rPr>
                <w:rFonts w:ascii="Times New Roman" w:eastAsia="Times New Roman" w:hAnsi="Times New Roman" w:cs="Times New Roman"/>
                <w:iCs/>
                <w:sz w:val="24"/>
                <w:szCs w:val="24"/>
                <w:lang w:eastAsia="lv-LV"/>
              </w:rPr>
              <w:t xml:space="preserve"> </w:t>
            </w:r>
            <w:r w:rsidR="002C4F41" w:rsidRPr="00964AEF">
              <w:rPr>
                <w:rFonts w:ascii="Times New Roman" w:eastAsia="Times New Roman" w:hAnsi="Times New Roman" w:cs="Times New Roman"/>
                <w:iCs/>
                <w:sz w:val="24"/>
                <w:szCs w:val="24"/>
                <w:lang w:eastAsia="lv-LV"/>
              </w:rPr>
              <w:t xml:space="preserve">punkts dod iespēju paredzēt, ka licences izdod uz ierobežotu termiņu  - līdz trīs gadiem. </w:t>
            </w:r>
            <w:r w:rsidR="00270385">
              <w:rPr>
                <w:rFonts w:ascii="Times New Roman" w:eastAsia="Times New Roman" w:hAnsi="Times New Roman" w:cs="Times New Roman"/>
                <w:iCs/>
                <w:sz w:val="24"/>
                <w:szCs w:val="24"/>
                <w:lang w:eastAsia="lv-LV"/>
              </w:rPr>
              <w:t>Noteikumu p</w:t>
            </w:r>
            <w:r w:rsidR="002C4F41" w:rsidRPr="00964AEF">
              <w:rPr>
                <w:rFonts w:ascii="Times New Roman" w:eastAsia="Times New Roman" w:hAnsi="Times New Roman" w:cs="Times New Roman"/>
                <w:iCs/>
                <w:sz w:val="24"/>
                <w:szCs w:val="24"/>
                <w:lang w:eastAsia="lv-LV"/>
              </w:rPr>
              <w:t>rojekts paredz beztermiņa licenci</w:t>
            </w:r>
            <w:r w:rsidR="00461027" w:rsidRPr="00964AEF">
              <w:rPr>
                <w:rFonts w:ascii="Times New Roman" w:eastAsia="Times New Roman" w:hAnsi="Times New Roman" w:cs="Times New Roman"/>
                <w:iCs/>
                <w:sz w:val="24"/>
                <w:szCs w:val="24"/>
                <w:lang w:eastAsia="lv-LV"/>
              </w:rPr>
              <w:t>, lai neapgrūtinātu komersantus ar atkārtotu licencēšanu, kas pēc būtības ir formālu darbību veikšana bez jebkāda racionāla vai faktiska pamata. Tā vietā, lai nodrošinātu operatoru atbilstību normatīvo aktu prasībām, Veselības inspekcija veiks plānveida kontroles</w:t>
            </w:r>
            <w:r w:rsidR="008C08EE" w:rsidRPr="00964AEF">
              <w:rPr>
                <w:rFonts w:ascii="Times New Roman" w:eastAsia="Times New Roman" w:hAnsi="Times New Roman" w:cs="Times New Roman"/>
                <w:iCs/>
                <w:sz w:val="24"/>
                <w:szCs w:val="24"/>
                <w:lang w:eastAsia="lv-LV"/>
              </w:rPr>
              <w:t xml:space="preserve"> vismaz reizi trīs gados</w:t>
            </w:r>
            <w:r w:rsidR="00461027" w:rsidRPr="00964AEF">
              <w:rPr>
                <w:rFonts w:ascii="Times New Roman" w:eastAsia="Times New Roman" w:hAnsi="Times New Roman" w:cs="Times New Roman"/>
                <w:iCs/>
                <w:sz w:val="24"/>
                <w:szCs w:val="24"/>
                <w:lang w:eastAsia="lv-LV"/>
              </w:rPr>
              <w:t>.</w:t>
            </w:r>
          </w:p>
          <w:p w14:paraId="1693231D" w14:textId="3B16E5EE" w:rsidR="00DC67D4" w:rsidRPr="00964AEF" w:rsidRDefault="00AF7E61" w:rsidP="00A85771">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2. </w:t>
            </w:r>
            <w:r w:rsidR="00DC67D4" w:rsidRPr="00964AEF">
              <w:rPr>
                <w:rFonts w:ascii="Times New Roman" w:eastAsia="Times New Roman" w:hAnsi="Times New Roman" w:cs="Times New Roman"/>
                <w:iCs/>
                <w:sz w:val="24"/>
                <w:szCs w:val="24"/>
                <w:lang w:eastAsia="lv-LV"/>
              </w:rPr>
              <w:t>Regulas 4.</w:t>
            </w:r>
            <w:r w:rsidR="00BD1F61" w:rsidRPr="00964AEF">
              <w:rPr>
                <w:rFonts w:ascii="Times New Roman" w:eastAsia="Times New Roman" w:hAnsi="Times New Roman" w:cs="Times New Roman"/>
                <w:iCs/>
                <w:sz w:val="24"/>
                <w:szCs w:val="24"/>
                <w:lang w:eastAsia="lv-LV"/>
              </w:rPr>
              <w:t xml:space="preserve"> </w:t>
            </w:r>
            <w:r w:rsidR="00DC67D4" w:rsidRPr="00964AEF">
              <w:rPr>
                <w:rFonts w:ascii="Times New Roman" w:eastAsia="Times New Roman" w:hAnsi="Times New Roman" w:cs="Times New Roman"/>
                <w:iCs/>
                <w:sz w:val="24"/>
                <w:szCs w:val="24"/>
                <w:lang w:eastAsia="lv-LV"/>
              </w:rPr>
              <w:t xml:space="preserve">pants dod iespēju atbrīvot no prasības pēc licences </w:t>
            </w:r>
            <w:r w:rsidR="004012AD" w:rsidRPr="00964AEF">
              <w:rPr>
                <w:rFonts w:ascii="Times New Roman" w:eastAsia="Times New Roman" w:hAnsi="Times New Roman" w:cs="Times New Roman"/>
                <w:iCs/>
                <w:sz w:val="24"/>
                <w:szCs w:val="24"/>
                <w:lang w:eastAsia="lv-LV"/>
              </w:rPr>
              <w:t xml:space="preserve">aptiekas, veterinārmedicīnas iestādes, muitu, policiju, bruņotos spēkus un kompetento iestāžu oficiālās laboratorijas. </w:t>
            </w:r>
            <w:r w:rsidR="00270385">
              <w:rPr>
                <w:rFonts w:ascii="Times New Roman" w:eastAsia="Times New Roman" w:hAnsi="Times New Roman" w:cs="Times New Roman"/>
                <w:iCs/>
                <w:sz w:val="24"/>
                <w:szCs w:val="24"/>
                <w:lang w:eastAsia="lv-LV"/>
              </w:rPr>
              <w:t>Noteikumu p</w:t>
            </w:r>
            <w:r w:rsidR="004012AD" w:rsidRPr="00964AEF">
              <w:rPr>
                <w:rFonts w:ascii="Times New Roman" w:eastAsia="Times New Roman" w:hAnsi="Times New Roman" w:cs="Times New Roman"/>
                <w:iCs/>
                <w:sz w:val="24"/>
                <w:szCs w:val="24"/>
                <w:lang w:eastAsia="lv-LV"/>
              </w:rPr>
              <w:t xml:space="preserve">rojekts </w:t>
            </w:r>
            <w:r w:rsidR="008C08EE" w:rsidRPr="00964AEF">
              <w:rPr>
                <w:rFonts w:ascii="Times New Roman" w:eastAsia="Times New Roman" w:hAnsi="Times New Roman" w:cs="Times New Roman"/>
                <w:iCs/>
                <w:sz w:val="24"/>
                <w:szCs w:val="24"/>
                <w:lang w:eastAsia="lv-LV"/>
              </w:rPr>
              <w:t>ne</w:t>
            </w:r>
            <w:r w:rsidR="004012AD" w:rsidRPr="00964AEF">
              <w:rPr>
                <w:rFonts w:ascii="Times New Roman" w:eastAsia="Times New Roman" w:hAnsi="Times New Roman" w:cs="Times New Roman"/>
                <w:iCs/>
                <w:sz w:val="24"/>
                <w:szCs w:val="24"/>
                <w:lang w:eastAsia="lv-LV"/>
              </w:rPr>
              <w:t>paredz</w:t>
            </w:r>
            <w:r w:rsidR="008C08EE" w:rsidRPr="00964AEF">
              <w:rPr>
                <w:rFonts w:ascii="Times New Roman" w:eastAsia="Times New Roman" w:hAnsi="Times New Roman" w:cs="Times New Roman"/>
                <w:iCs/>
                <w:sz w:val="24"/>
                <w:szCs w:val="24"/>
                <w:lang w:eastAsia="lv-LV"/>
              </w:rPr>
              <w:t xml:space="preserve"> izmantot šo iespēju un minētās organizācijas netiks ar normatīvo aktu atbrīvotas no prasības pēc licences, jo muita, policija un bruņotie spēki</w:t>
            </w:r>
            <w:r w:rsidR="00FB15C4" w:rsidRPr="00964AEF">
              <w:rPr>
                <w:rFonts w:ascii="Times New Roman" w:eastAsia="Times New Roman" w:hAnsi="Times New Roman" w:cs="Times New Roman"/>
                <w:iCs/>
                <w:sz w:val="24"/>
                <w:szCs w:val="24"/>
                <w:lang w:eastAsia="lv-LV"/>
              </w:rPr>
              <w:t xml:space="preserve"> parasti</w:t>
            </w:r>
            <w:r w:rsidR="008C08EE" w:rsidRPr="00964AEF">
              <w:rPr>
                <w:rFonts w:ascii="Times New Roman" w:eastAsia="Times New Roman" w:hAnsi="Times New Roman" w:cs="Times New Roman"/>
                <w:iCs/>
                <w:sz w:val="24"/>
                <w:szCs w:val="24"/>
                <w:lang w:eastAsia="lv-LV"/>
              </w:rPr>
              <w:t xml:space="preserve"> nelieto prekursorus</w:t>
            </w:r>
            <w:r w:rsidR="00FB15C4" w:rsidRPr="00964AEF">
              <w:rPr>
                <w:rFonts w:ascii="Times New Roman" w:eastAsia="Times New Roman" w:hAnsi="Times New Roman" w:cs="Times New Roman"/>
                <w:iCs/>
                <w:sz w:val="24"/>
                <w:szCs w:val="24"/>
                <w:lang w:eastAsia="lv-LV"/>
              </w:rPr>
              <w:t>, bet, ja lieto, tad ne</w:t>
            </w:r>
            <w:r w:rsidR="008C08EE" w:rsidRPr="00964AEF">
              <w:rPr>
                <w:rFonts w:ascii="Times New Roman" w:eastAsia="Times New Roman" w:hAnsi="Times New Roman" w:cs="Times New Roman"/>
                <w:iCs/>
                <w:sz w:val="24"/>
                <w:szCs w:val="24"/>
                <w:lang w:eastAsia="lv-LV"/>
              </w:rPr>
              <w:t xml:space="preserve"> tādos daudzumos, lai uz šīm iestādēm varētu attiecināt pienākumu saņemt licenci.</w:t>
            </w:r>
            <w:r w:rsidR="00FB15C4" w:rsidRPr="00964AEF">
              <w:rPr>
                <w:rFonts w:ascii="Times New Roman" w:eastAsia="Times New Roman" w:hAnsi="Times New Roman" w:cs="Times New Roman"/>
                <w:iCs/>
                <w:sz w:val="24"/>
                <w:szCs w:val="24"/>
                <w:lang w:eastAsia="lv-LV"/>
              </w:rPr>
              <w:t xml:space="preserve"> Vajadzības gadījumā šo regulas 4.</w:t>
            </w:r>
            <w:r w:rsidR="00270385">
              <w:rPr>
                <w:rFonts w:ascii="Times New Roman" w:eastAsia="Times New Roman" w:hAnsi="Times New Roman" w:cs="Times New Roman"/>
                <w:iCs/>
                <w:sz w:val="24"/>
                <w:szCs w:val="24"/>
                <w:lang w:eastAsia="lv-LV"/>
              </w:rPr>
              <w:t xml:space="preserve"> </w:t>
            </w:r>
            <w:r w:rsidR="00FB15C4" w:rsidRPr="00964AEF">
              <w:rPr>
                <w:rFonts w:ascii="Times New Roman" w:eastAsia="Times New Roman" w:hAnsi="Times New Roman" w:cs="Times New Roman"/>
                <w:iCs/>
                <w:sz w:val="24"/>
                <w:szCs w:val="24"/>
                <w:lang w:eastAsia="lv-LV"/>
              </w:rPr>
              <w:t>pantu Zāļu valsts aģentūra var piemērot un ir piemērojusi arī tieši.</w:t>
            </w:r>
            <w:r w:rsidR="008C08EE" w:rsidRPr="00964AEF">
              <w:rPr>
                <w:rFonts w:ascii="Times New Roman" w:eastAsia="Times New Roman" w:hAnsi="Times New Roman" w:cs="Times New Roman"/>
                <w:iCs/>
                <w:sz w:val="24"/>
                <w:szCs w:val="24"/>
                <w:lang w:eastAsia="lv-LV"/>
              </w:rPr>
              <w:t xml:space="preserve"> </w:t>
            </w:r>
            <w:r w:rsidR="00FB15C4" w:rsidRPr="00964AEF">
              <w:rPr>
                <w:rFonts w:ascii="Times New Roman" w:eastAsia="Times New Roman" w:hAnsi="Times New Roman" w:cs="Times New Roman"/>
                <w:iCs/>
                <w:sz w:val="24"/>
                <w:szCs w:val="24"/>
                <w:lang w:eastAsia="lv-LV"/>
              </w:rPr>
              <w:t>Savukārt</w:t>
            </w:r>
            <w:r w:rsidR="008C08EE" w:rsidRPr="00964AEF">
              <w:rPr>
                <w:rFonts w:ascii="Times New Roman" w:eastAsia="Times New Roman" w:hAnsi="Times New Roman" w:cs="Times New Roman"/>
                <w:iCs/>
                <w:sz w:val="24"/>
                <w:szCs w:val="24"/>
                <w:lang w:eastAsia="lv-LV"/>
              </w:rPr>
              <w:t xml:space="preserve"> aptiekas un kompetento iestāžu oficiālās laboratorijas jau ir saņēmušas licenc</w:t>
            </w:r>
            <w:r w:rsidR="00FB15C4" w:rsidRPr="00964AEF">
              <w:rPr>
                <w:rFonts w:ascii="Times New Roman" w:eastAsia="Times New Roman" w:hAnsi="Times New Roman" w:cs="Times New Roman"/>
                <w:iCs/>
                <w:sz w:val="24"/>
                <w:szCs w:val="24"/>
                <w:lang w:eastAsia="lv-LV"/>
              </w:rPr>
              <w:t>es darbībām ar prekursoriem.</w:t>
            </w:r>
          </w:p>
          <w:p w14:paraId="25B6BB38" w14:textId="38D9A6D0" w:rsidR="006A4C15" w:rsidRPr="00964AEF" w:rsidRDefault="00AF7E61" w:rsidP="00A85771">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3. </w:t>
            </w:r>
            <w:r w:rsidR="006A4C15" w:rsidRPr="00964AEF">
              <w:rPr>
                <w:rFonts w:ascii="Times New Roman" w:eastAsia="Times New Roman" w:hAnsi="Times New Roman" w:cs="Times New Roman"/>
                <w:iCs/>
                <w:sz w:val="24"/>
                <w:szCs w:val="24"/>
                <w:lang w:eastAsia="lv-LV"/>
              </w:rPr>
              <w:t>Regulas 6.</w:t>
            </w:r>
            <w:r w:rsidR="00BD1F61" w:rsidRPr="00964AEF">
              <w:rPr>
                <w:rFonts w:ascii="Times New Roman" w:eastAsia="Times New Roman" w:hAnsi="Times New Roman" w:cs="Times New Roman"/>
                <w:iCs/>
                <w:sz w:val="24"/>
                <w:szCs w:val="24"/>
                <w:lang w:eastAsia="lv-LV"/>
              </w:rPr>
              <w:t xml:space="preserve"> </w:t>
            </w:r>
            <w:r w:rsidR="006A4C15" w:rsidRPr="00964AEF">
              <w:rPr>
                <w:rFonts w:ascii="Times New Roman" w:eastAsia="Times New Roman" w:hAnsi="Times New Roman" w:cs="Times New Roman"/>
                <w:iCs/>
                <w:sz w:val="24"/>
                <w:szCs w:val="24"/>
                <w:lang w:eastAsia="lv-LV"/>
              </w:rPr>
              <w:t xml:space="preserve">panta a) punkts dod iespēju atbrīvot no prasības pēc reģistrācijas aptiekas, veterinārmedicīnas iestādes, muitu, policiju, bruņotos spēkus un kompetento iestāžu oficiālās laboratorijas. </w:t>
            </w:r>
            <w:r w:rsidR="00A37276" w:rsidRPr="00964AEF">
              <w:rPr>
                <w:rFonts w:ascii="Times New Roman" w:eastAsia="Times New Roman" w:hAnsi="Times New Roman" w:cs="Times New Roman"/>
                <w:iCs/>
                <w:sz w:val="24"/>
                <w:szCs w:val="24"/>
                <w:lang w:eastAsia="lv-LV"/>
              </w:rPr>
              <w:t>Projekts neparedz izmantot šo iespēju un minētās organizācijas netiks ar normatīvo aktu atbrīvotas no prasības pēc reģistrācijas, jo muita, policija un bruņotie spēki parasti nelieto prekursorus, bet, ja lieto, tad ne tādos daudzumos, lai uz šīm iestādēm varētu attiecināt pienākumu reģistrēties. Vajadzības gadījumā šo regulas 6.panta a) punktu Zāļu valsts aģentūra var piemērot un ir piemērojusi arī tieši. Savukārt aptiekas un kompetento iestāžu oficiālās laboratorijas jau ir reģistrējušās darbībām ar prekursoriem.</w:t>
            </w:r>
          </w:p>
          <w:p w14:paraId="6E392936" w14:textId="17521CC4" w:rsidR="00AF7E61" w:rsidRPr="00964AEF" w:rsidRDefault="00AF7E61" w:rsidP="00A85771">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4. Regulas 6.</w:t>
            </w:r>
            <w:r w:rsidR="00BD1F61"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panta b) punkts dod iespēju atbrīvot no prasības pēc reģistrācijas</w:t>
            </w:r>
            <w:r w:rsidR="005D454A" w:rsidRPr="00964AEF">
              <w:rPr>
                <w:rFonts w:ascii="Times New Roman" w:eastAsia="Times New Roman" w:hAnsi="Times New Roman" w:cs="Times New Roman"/>
                <w:iCs/>
                <w:sz w:val="24"/>
                <w:szCs w:val="24"/>
                <w:lang w:eastAsia="lv-LV"/>
              </w:rPr>
              <w:t xml:space="preserve"> prekursoru operatorus, kuri ir iesaistīti regulas Nr.</w:t>
            </w:r>
            <w:r w:rsidR="00270385">
              <w:rPr>
                <w:rFonts w:ascii="Times New Roman" w:eastAsia="Times New Roman" w:hAnsi="Times New Roman" w:cs="Times New Roman"/>
                <w:iCs/>
                <w:sz w:val="24"/>
                <w:szCs w:val="24"/>
                <w:lang w:eastAsia="lv-LV"/>
              </w:rPr>
              <w:t xml:space="preserve"> </w:t>
            </w:r>
            <w:r w:rsidR="005D454A" w:rsidRPr="00964AEF">
              <w:rPr>
                <w:rFonts w:ascii="Times New Roman" w:eastAsia="Times New Roman" w:hAnsi="Times New Roman" w:cs="Times New Roman"/>
                <w:iCs/>
                <w:sz w:val="24"/>
                <w:szCs w:val="24"/>
                <w:lang w:eastAsia="lv-LV"/>
              </w:rPr>
              <w:t>111/2005 pielikuma 3.</w:t>
            </w:r>
            <w:r w:rsidR="00270385">
              <w:rPr>
                <w:rFonts w:ascii="Times New Roman" w:eastAsia="Times New Roman" w:hAnsi="Times New Roman" w:cs="Times New Roman"/>
                <w:iCs/>
                <w:sz w:val="24"/>
                <w:szCs w:val="24"/>
                <w:lang w:eastAsia="lv-LV"/>
              </w:rPr>
              <w:t xml:space="preserve"> </w:t>
            </w:r>
            <w:r w:rsidR="005D454A" w:rsidRPr="00964AEF">
              <w:rPr>
                <w:rFonts w:ascii="Times New Roman" w:eastAsia="Times New Roman" w:hAnsi="Times New Roman" w:cs="Times New Roman"/>
                <w:iCs/>
                <w:sz w:val="24"/>
                <w:szCs w:val="24"/>
                <w:lang w:eastAsia="lv-LV"/>
              </w:rPr>
              <w:t>kategorijā uzskaitīto prekursoru eksportā, ja kopējais to eksportētais daudzums iepriekšējā kalendārajā gadā nepārsniedz regulas 2015/1011 1.</w:t>
            </w:r>
            <w:r w:rsidR="00BD1F61" w:rsidRPr="00964AEF">
              <w:rPr>
                <w:rFonts w:ascii="Times New Roman" w:eastAsia="Times New Roman" w:hAnsi="Times New Roman" w:cs="Times New Roman"/>
                <w:iCs/>
                <w:sz w:val="24"/>
                <w:szCs w:val="24"/>
                <w:lang w:eastAsia="lv-LV"/>
              </w:rPr>
              <w:t xml:space="preserve"> </w:t>
            </w:r>
            <w:r w:rsidR="005D454A" w:rsidRPr="00964AEF">
              <w:rPr>
                <w:rFonts w:ascii="Times New Roman" w:eastAsia="Times New Roman" w:hAnsi="Times New Roman" w:cs="Times New Roman"/>
                <w:iCs/>
                <w:sz w:val="24"/>
                <w:szCs w:val="24"/>
                <w:lang w:eastAsia="lv-LV"/>
              </w:rPr>
              <w:t xml:space="preserve">pielikumā noteiktos daudzumus. </w:t>
            </w:r>
            <w:r w:rsidR="00270385">
              <w:rPr>
                <w:rFonts w:ascii="Times New Roman" w:eastAsia="Times New Roman" w:hAnsi="Times New Roman" w:cs="Times New Roman"/>
                <w:iCs/>
                <w:sz w:val="24"/>
                <w:szCs w:val="24"/>
                <w:lang w:eastAsia="lv-LV"/>
              </w:rPr>
              <w:t>Noteikumu p</w:t>
            </w:r>
            <w:r w:rsidR="005D454A" w:rsidRPr="00964AEF">
              <w:rPr>
                <w:rFonts w:ascii="Times New Roman" w:eastAsia="Times New Roman" w:hAnsi="Times New Roman" w:cs="Times New Roman"/>
                <w:iCs/>
                <w:sz w:val="24"/>
                <w:szCs w:val="24"/>
                <w:lang w:eastAsia="lv-LV"/>
              </w:rPr>
              <w:t>rojekts paredz šādu atbrīvojumu, lai neradītu administratīvo slogu komersantiem.</w:t>
            </w:r>
          </w:p>
          <w:p w14:paraId="6391CDA5" w14:textId="0DC32268" w:rsidR="006A4C15" w:rsidRPr="00964AEF" w:rsidRDefault="005D454A" w:rsidP="00A85771">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5. Regulas 6.</w:t>
            </w:r>
            <w:r w:rsidR="00BD1F61"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panta c) punkts dod iespēju atbrīvot no prasības pēc reģistrācijas prekursoru operatorus, kuri ir iesaistīti tādu maisījumu eksportā, kuri satur regulas Nr.</w:t>
            </w:r>
            <w:r w:rsidR="00270385">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111/2005 pielikuma 3.</w:t>
            </w:r>
            <w:r w:rsidR="00BD1F61"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kategorijā uzskaitītos prekursorus, ja maisījumos ietvertais kopējais klasificētās vielas daudzums iepriekšējā kalendārajā gadā nepārsniedz regulas 2015/1011 1.</w:t>
            </w:r>
            <w:r w:rsidR="00270385">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pielikumā noteiktos daudzumus. Projekts paredz šādu atbrīvojumu, lai neradītu administratīvo slogu komersantiem.</w:t>
            </w:r>
          </w:p>
        </w:tc>
      </w:tr>
      <w:tr w:rsidR="00A558B6" w:rsidRPr="00964AEF" w14:paraId="5CE190E3"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5289EE67"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 xml:space="preserve">Saistības sniegt paziņojumu ES institūcijām un ES dalībvalstīm </w:t>
            </w:r>
            <w:r w:rsidRPr="00964AEF">
              <w:rPr>
                <w:rFonts w:ascii="Times New Roman" w:eastAsia="Times New Roman" w:hAnsi="Times New Roman" w:cs="Times New Roman"/>
                <w:iCs/>
                <w:sz w:val="24"/>
                <w:szCs w:val="24"/>
                <w:lang w:eastAsia="lv-LV"/>
              </w:rPr>
              <w:lastRenderedPageBreak/>
              <w:t>atbilstoši normatīvajiem aktiem, kas regulē informācijas sniegšanu par tehnisko noteikumu, valsts atbalsta piešķiršanas un finanšu noteikumu (attiecībā uz monetāro politiku) projektiem</w:t>
            </w:r>
          </w:p>
        </w:tc>
        <w:tc>
          <w:tcPr>
            <w:tcW w:w="4113" w:type="pct"/>
            <w:gridSpan w:val="9"/>
            <w:tcBorders>
              <w:top w:val="outset" w:sz="6" w:space="0" w:color="auto"/>
              <w:left w:val="outset" w:sz="6" w:space="0" w:color="auto"/>
              <w:bottom w:val="outset" w:sz="6" w:space="0" w:color="auto"/>
              <w:right w:val="outset" w:sz="6" w:space="0" w:color="auto"/>
            </w:tcBorders>
            <w:hideMark/>
          </w:tcPr>
          <w:p w14:paraId="108BC3C2" w14:textId="77777777" w:rsidR="008F497F" w:rsidRPr="00964AEF" w:rsidRDefault="0009518D"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lastRenderedPageBreak/>
              <w:t>Projekts šo jomu neskar</w:t>
            </w:r>
          </w:p>
        </w:tc>
      </w:tr>
      <w:tr w:rsidR="00A558B6" w:rsidRPr="00964AEF" w14:paraId="23517BB9"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54804322" w14:textId="77777777" w:rsidR="008F497F" w:rsidRPr="00964AEF" w:rsidRDefault="008F497F"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Cita informācija</w:t>
            </w:r>
          </w:p>
        </w:tc>
        <w:tc>
          <w:tcPr>
            <w:tcW w:w="4113" w:type="pct"/>
            <w:gridSpan w:val="9"/>
            <w:tcBorders>
              <w:top w:val="outset" w:sz="6" w:space="0" w:color="auto"/>
              <w:left w:val="outset" w:sz="6" w:space="0" w:color="auto"/>
              <w:bottom w:val="outset" w:sz="6" w:space="0" w:color="auto"/>
              <w:right w:val="outset" w:sz="6" w:space="0" w:color="auto"/>
            </w:tcBorders>
            <w:hideMark/>
          </w:tcPr>
          <w:p w14:paraId="579C540E" w14:textId="77777777" w:rsidR="008F497F" w:rsidRPr="00964AEF" w:rsidRDefault="00287694" w:rsidP="00AF7E6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w:t>
            </w:r>
          </w:p>
        </w:tc>
      </w:tr>
      <w:tr w:rsidR="00287694" w:rsidRPr="00964AEF" w14:paraId="23055EF6" w14:textId="77777777" w:rsidTr="00606CDC">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14:paraId="08042B7F" w14:textId="77777777" w:rsidR="00287694" w:rsidRPr="00964AEF" w:rsidRDefault="00287694" w:rsidP="00606CDC">
            <w:pPr>
              <w:spacing w:after="0" w:line="240" w:lineRule="auto"/>
              <w:rPr>
                <w:rFonts w:ascii="Times New Roman" w:eastAsia="Times New Roman" w:hAnsi="Times New Roman" w:cs="Times New Roman"/>
                <w:b/>
                <w:bCs/>
                <w:iCs/>
                <w:sz w:val="24"/>
                <w:szCs w:val="24"/>
                <w:lang w:eastAsia="lv-LV"/>
              </w:rPr>
            </w:pPr>
            <w:r w:rsidRPr="00964AEF">
              <w:rPr>
                <w:rFonts w:ascii="Times New Roman" w:eastAsia="Times New Roman" w:hAnsi="Times New Roman" w:cs="Times New Roman"/>
                <w:b/>
                <w:bCs/>
                <w:iCs/>
                <w:sz w:val="24"/>
                <w:szCs w:val="24"/>
                <w:lang w:eastAsia="lv-LV"/>
              </w:rPr>
              <w:t>1.b tabula</w:t>
            </w:r>
            <w:r w:rsidRPr="00964AEF">
              <w:rPr>
                <w:rFonts w:ascii="Times New Roman" w:eastAsia="Times New Roman" w:hAnsi="Times New Roman" w:cs="Times New Roman"/>
                <w:b/>
                <w:bCs/>
                <w:iCs/>
                <w:sz w:val="24"/>
                <w:szCs w:val="24"/>
                <w:lang w:eastAsia="lv-LV"/>
              </w:rPr>
              <w:br/>
              <w:t>Tiesību akta projekta atbilstība ES tiesību aktiem</w:t>
            </w:r>
          </w:p>
        </w:tc>
      </w:tr>
      <w:tr w:rsidR="00287694" w:rsidRPr="00964AEF" w14:paraId="7EC3D46C"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2018C335" w14:textId="77777777" w:rsidR="00287694" w:rsidRPr="00964AEF" w:rsidRDefault="00287694" w:rsidP="00A85771">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Attiecīgā ES tiesību akta datums, numurs un nosaukums</w:t>
            </w:r>
          </w:p>
        </w:tc>
        <w:tc>
          <w:tcPr>
            <w:tcW w:w="4113" w:type="pct"/>
            <w:gridSpan w:val="9"/>
            <w:tcBorders>
              <w:top w:val="outset" w:sz="6" w:space="0" w:color="auto"/>
              <w:left w:val="outset" w:sz="6" w:space="0" w:color="auto"/>
              <w:bottom w:val="outset" w:sz="6" w:space="0" w:color="auto"/>
              <w:right w:val="outset" w:sz="6" w:space="0" w:color="auto"/>
            </w:tcBorders>
            <w:hideMark/>
          </w:tcPr>
          <w:p w14:paraId="6FA8B95A" w14:textId="120BB146" w:rsidR="00287694" w:rsidRPr="00964AEF" w:rsidRDefault="00287694" w:rsidP="00A85771">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Komisijas 2015.</w:t>
            </w:r>
            <w:r w:rsidR="00BD1F61"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gada 25.</w:t>
            </w:r>
            <w:r w:rsidR="00BD1F61"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jūnija deleģētā regula (ES) Nr.</w:t>
            </w:r>
            <w:r w:rsidR="00270385">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2015/1013, ar ko paredz noteikumus attiecībā uz Eiropas Parlamenta un Padomes Regulu (EK) Nr. 273/2004 par narkotisko vielu prekursoriem un Padomes Regulu (EK) Nr. 111/2005, ar ko paredz noteikumus par uzraudzību attiecībā uz narkotisko vielu prekursoru tirdzniecības starp Savienību un trešām valstīm</w:t>
            </w:r>
          </w:p>
          <w:p w14:paraId="710598CD" w14:textId="459E9436" w:rsidR="00CC6908" w:rsidRPr="00964AEF" w:rsidRDefault="00CC6908" w:rsidP="00A85771">
            <w:pPr>
              <w:spacing w:after="0" w:line="240" w:lineRule="auto"/>
              <w:jc w:val="both"/>
              <w:rPr>
                <w:rFonts w:ascii="Times New Roman" w:eastAsia="Times New Roman" w:hAnsi="Times New Roman" w:cs="Times New Roman"/>
                <w:iCs/>
                <w:sz w:val="24"/>
                <w:szCs w:val="24"/>
                <w:lang w:eastAsia="lv-LV"/>
              </w:rPr>
            </w:pPr>
          </w:p>
        </w:tc>
      </w:tr>
      <w:tr w:rsidR="00287694" w:rsidRPr="00964AEF" w14:paraId="120C4861"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vAlign w:val="center"/>
            <w:hideMark/>
          </w:tcPr>
          <w:p w14:paraId="39B93F6D" w14:textId="77777777" w:rsidR="00287694" w:rsidRPr="00964AEF" w:rsidRDefault="0028769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A</w:t>
            </w:r>
          </w:p>
        </w:tc>
        <w:tc>
          <w:tcPr>
            <w:tcW w:w="904" w:type="pct"/>
            <w:tcBorders>
              <w:top w:val="outset" w:sz="6" w:space="0" w:color="auto"/>
              <w:left w:val="outset" w:sz="6" w:space="0" w:color="auto"/>
              <w:bottom w:val="outset" w:sz="6" w:space="0" w:color="auto"/>
              <w:right w:val="outset" w:sz="6" w:space="0" w:color="auto"/>
            </w:tcBorders>
            <w:vAlign w:val="center"/>
            <w:hideMark/>
          </w:tcPr>
          <w:p w14:paraId="12C30CBF" w14:textId="77777777" w:rsidR="00287694" w:rsidRPr="00964AEF" w:rsidRDefault="0028769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B</w:t>
            </w:r>
          </w:p>
        </w:tc>
        <w:tc>
          <w:tcPr>
            <w:tcW w:w="1304" w:type="pct"/>
            <w:gridSpan w:val="7"/>
            <w:tcBorders>
              <w:top w:val="outset" w:sz="6" w:space="0" w:color="auto"/>
              <w:left w:val="outset" w:sz="6" w:space="0" w:color="auto"/>
              <w:bottom w:val="outset" w:sz="6" w:space="0" w:color="auto"/>
              <w:right w:val="outset" w:sz="6" w:space="0" w:color="auto"/>
            </w:tcBorders>
            <w:vAlign w:val="center"/>
            <w:hideMark/>
          </w:tcPr>
          <w:p w14:paraId="5FCCAE30" w14:textId="77777777" w:rsidR="00287694" w:rsidRPr="00964AEF" w:rsidRDefault="0028769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C</w:t>
            </w:r>
          </w:p>
        </w:tc>
        <w:tc>
          <w:tcPr>
            <w:tcW w:w="1872" w:type="pct"/>
            <w:tcBorders>
              <w:top w:val="outset" w:sz="6" w:space="0" w:color="auto"/>
              <w:left w:val="outset" w:sz="6" w:space="0" w:color="auto"/>
              <w:bottom w:val="outset" w:sz="6" w:space="0" w:color="auto"/>
              <w:right w:val="outset" w:sz="6" w:space="0" w:color="auto"/>
            </w:tcBorders>
            <w:vAlign w:val="center"/>
            <w:hideMark/>
          </w:tcPr>
          <w:p w14:paraId="4A43471F" w14:textId="77777777" w:rsidR="00287694" w:rsidRPr="00964AEF" w:rsidRDefault="0028769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D</w:t>
            </w:r>
          </w:p>
        </w:tc>
      </w:tr>
      <w:tr w:rsidR="00287694" w:rsidRPr="00964AEF" w14:paraId="6C3357E0"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7C417C17" w14:textId="77777777" w:rsidR="00287694" w:rsidRPr="00964AEF" w:rsidRDefault="0028769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904" w:type="pct"/>
            <w:tcBorders>
              <w:top w:val="outset" w:sz="6" w:space="0" w:color="auto"/>
              <w:left w:val="outset" w:sz="6" w:space="0" w:color="auto"/>
              <w:bottom w:val="outset" w:sz="6" w:space="0" w:color="auto"/>
              <w:right w:val="outset" w:sz="6" w:space="0" w:color="auto"/>
            </w:tcBorders>
            <w:hideMark/>
          </w:tcPr>
          <w:p w14:paraId="774269CD" w14:textId="77777777" w:rsidR="00287694" w:rsidRPr="00964AEF" w:rsidRDefault="0028769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304" w:type="pct"/>
            <w:gridSpan w:val="7"/>
            <w:tcBorders>
              <w:top w:val="outset" w:sz="6" w:space="0" w:color="auto"/>
              <w:left w:val="outset" w:sz="6" w:space="0" w:color="auto"/>
              <w:bottom w:val="outset" w:sz="6" w:space="0" w:color="auto"/>
              <w:right w:val="outset" w:sz="6" w:space="0" w:color="auto"/>
            </w:tcBorders>
            <w:hideMark/>
          </w:tcPr>
          <w:p w14:paraId="49E1C998" w14:textId="77777777" w:rsidR="00287694" w:rsidRPr="00964AEF" w:rsidRDefault="0028769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964AEF">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964AEF">
              <w:rPr>
                <w:rFonts w:ascii="Times New Roman" w:eastAsia="Times New Roman" w:hAnsi="Times New Roman" w:cs="Times New Roman"/>
                <w:iCs/>
                <w:sz w:val="24"/>
                <w:szCs w:val="24"/>
                <w:lang w:eastAsia="lv-LV"/>
              </w:rPr>
              <w:br/>
              <w:t>Norāda institūciju, kas ir atbildīga par šo saistību izpildi pilnībā</w:t>
            </w:r>
          </w:p>
        </w:tc>
        <w:tc>
          <w:tcPr>
            <w:tcW w:w="1872" w:type="pct"/>
            <w:tcBorders>
              <w:top w:val="outset" w:sz="6" w:space="0" w:color="auto"/>
              <w:left w:val="outset" w:sz="6" w:space="0" w:color="auto"/>
              <w:bottom w:val="outset" w:sz="6" w:space="0" w:color="auto"/>
              <w:right w:val="outset" w:sz="6" w:space="0" w:color="auto"/>
            </w:tcBorders>
            <w:hideMark/>
          </w:tcPr>
          <w:p w14:paraId="75FFAA40" w14:textId="77777777" w:rsidR="00287694" w:rsidRPr="00964AEF" w:rsidRDefault="0028769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964AEF">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964AEF">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87694" w:rsidRPr="00964AEF" w14:paraId="1F99774E"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8BF2BAF" w14:textId="77777777" w:rsidR="00287694" w:rsidRPr="00964AEF" w:rsidRDefault="00162C82"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1.pants</w:t>
            </w:r>
          </w:p>
        </w:tc>
        <w:tc>
          <w:tcPr>
            <w:tcW w:w="904" w:type="pct"/>
            <w:tcBorders>
              <w:top w:val="outset" w:sz="6" w:space="0" w:color="auto"/>
              <w:left w:val="outset" w:sz="6" w:space="0" w:color="auto"/>
              <w:bottom w:val="outset" w:sz="6" w:space="0" w:color="auto"/>
              <w:right w:val="outset" w:sz="6" w:space="0" w:color="auto"/>
            </w:tcBorders>
          </w:tcPr>
          <w:p w14:paraId="28FB7D11" w14:textId="77777777" w:rsidR="00287694" w:rsidRPr="00964AEF" w:rsidRDefault="00162C82"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 xml:space="preserve">Netiek ieviests, jo </w:t>
            </w:r>
            <w:r w:rsidR="00A433CD" w:rsidRPr="00964AEF">
              <w:rPr>
                <w:rFonts w:ascii="Times New Roman" w:eastAsia="Times New Roman" w:hAnsi="Times New Roman" w:cs="Times New Roman"/>
                <w:iCs/>
                <w:sz w:val="24"/>
                <w:szCs w:val="24"/>
                <w:lang w:eastAsia="lv-LV"/>
              </w:rPr>
              <w:t xml:space="preserve">nosaka </w:t>
            </w:r>
            <w:r w:rsidR="00A433CD" w:rsidRPr="00964AEF">
              <w:rPr>
                <w:rFonts w:ascii="Times New Roman" w:eastAsia="Times New Roman" w:hAnsi="Times New Roman" w:cs="Times New Roman"/>
                <w:iCs/>
                <w:sz w:val="24"/>
                <w:szCs w:val="24"/>
                <w:lang w:eastAsia="lv-LV"/>
              </w:rPr>
              <w:lastRenderedPageBreak/>
              <w:t>regulas priekšmetu</w:t>
            </w:r>
          </w:p>
        </w:tc>
        <w:tc>
          <w:tcPr>
            <w:tcW w:w="1304" w:type="pct"/>
            <w:gridSpan w:val="7"/>
            <w:tcBorders>
              <w:top w:val="outset" w:sz="6" w:space="0" w:color="auto"/>
              <w:left w:val="outset" w:sz="6" w:space="0" w:color="auto"/>
              <w:bottom w:val="outset" w:sz="6" w:space="0" w:color="auto"/>
              <w:right w:val="outset" w:sz="6" w:space="0" w:color="auto"/>
            </w:tcBorders>
          </w:tcPr>
          <w:p w14:paraId="52F9BA42" w14:textId="77777777" w:rsidR="00287694" w:rsidRPr="00964AEF" w:rsidRDefault="00A433C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lastRenderedPageBreak/>
              <w:t>Netiek ieviests</w:t>
            </w:r>
          </w:p>
        </w:tc>
        <w:tc>
          <w:tcPr>
            <w:tcW w:w="1872" w:type="pct"/>
            <w:tcBorders>
              <w:top w:val="outset" w:sz="6" w:space="0" w:color="auto"/>
              <w:left w:val="outset" w:sz="6" w:space="0" w:color="auto"/>
              <w:bottom w:val="outset" w:sz="6" w:space="0" w:color="auto"/>
              <w:right w:val="outset" w:sz="6" w:space="0" w:color="auto"/>
            </w:tcBorders>
          </w:tcPr>
          <w:p w14:paraId="516B61F3" w14:textId="77777777" w:rsidR="00287694" w:rsidRPr="00964AEF" w:rsidRDefault="00A433C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2D5D28E8"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D829E83" w14:textId="77777777" w:rsidR="00287694" w:rsidRPr="00964AEF" w:rsidRDefault="00A433C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2.pants</w:t>
            </w:r>
          </w:p>
        </w:tc>
        <w:tc>
          <w:tcPr>
            <w:tcW w:w="904" w:type="pct"/>
            <w:tcBorders>
              <w:top w:val="outset" w:sz="6" w:space="0" w:color="auto"/>
              <w:left w:val="outset" w:sz="6" w:space="0" w:color="auto"/>
              <w:bottom w:val="outset" w:sz="6" w:space="0" w:color="auto"/>
              <w:right w:val="outset" w:sz="6" w:space="0" w:color="auto"/>
            </w:tcBorders>
          </w:tcPr>
          <w:p w14:paraId="7707E3C0" w14:textId="77777777" w:rsidR="00287694" w:rsidRPr="00964AEF" w:rsidRDefault="00CE3830"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04B926A1" w14:textId="77777777" w:rsidR="00287694" w:rsidRPr="00964AEF" w:rsidRDefault="00CE3830"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E0B94ED" w14:textId="77777777" w:rsidR="00287694" w:rsidRPr="00964AEF" w:rsidRDefault="00CE3830"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47A6DA25" w14:textId="77777777" w:rsidTr="00606CDC">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69F719D4" w14:textId="77777777" w:rsidR="00287694" w:rsidRPr="00964AEF" w:rsidRDefault="00E06A2E"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3.pants</w:t>
            </w:r>
          </w:p>
        </w:tc>
      </w:tr>
      <w:tr w:rsidR="00287694" w:rsidRPr="00964AEF" w14:paraId="7CBED7F0"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70B8825" w14:textId="77777777" w:rsidR="00287694" w:rsidRPr="00964AEF" w:rsidRDefault="00E06A2E"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4072D0F4" w14:textId="77777777" w:rsidR="00287694" w:rsidRPr="00964AEF" w:rsidRDefault="001E2692"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2.punkts</w:t>
            </w:r>
          </w:p>
        </w:tc>
        <w:tc>
          <w:tcPr>
            <w:tcW w:w="1304" w:type="pct"/>
            <w:gridSpan w:val="7"/>
            <w:tcBorders>
              <w:top w:val="outset" w:sz="6" w:space="0" w:color="auto"/>
              <w:left w:val="outset" w:sz="6" w:space="0" w:color="auto"/>
              <w:bottom w:val="outset" w:sz="6" w:space="0" w:color="auto"/>
              <w:right w:val="outset" w:sz="6" w:space="0" w:color="auto"/>
            </w:tcBorders>
          </w:tcPr>
          <w:p w14:paraId="0FC6EE7F" w14:textId="77777777" w:rsidR="00287694" w:rsidRPr="00964AEF" w:rsidRDefault="001E2692"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5DB8270C" w14:textId="77777777" w:rsidR="00287694" w:rsidRPr="00964AEF" w:rsidRDefault="001E2692"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1342A644"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406F178F" w14:textId="77777777" w:rsidR="00287694" w:rsidRPr="00964AEF" w:rsidRDefault="00E06A2E"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00E7AF15" w14:textId="77777777" w:rsidR="00287694" w:rsidRPr="00964AEF" w:rsidRDefault="001E2692"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3345BD8" w14:textId="77777777" w:rsidR="00287694" w:rsidRPr="00964AEF" w:rsidRDefault="001E2692"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AB4558C" w14:textId="77777777" w:rsidR="00287694" w:rsidRPr="00964AEF" w:rsidRDefault="001E2692"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4E3432E2"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EF14056" w14:textId="77777777" w:rsidR="00287694" w:rsidRPr="00964AEF" w:rsidRDefault="00E06A2E"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3.punkts</w:t>
            </w:r>
          </w:p>
        </w:tc>
        <w:tc>
          <w:tcPr>
            <w:tcW w:w="904" w:type="pct"/>
            <w:tcBorders>
              <w:top w:val="outset" w:sz="6" w:space="0" w:color="auto"/>
              <w:left w:val="outset" w:sz="6" w:space="0" w:color="auto"/>
              <w:bottom w:val="outset" w:sz="6" w:space="0" w:color="auto"/>
              <w:right w:val="outset" w:sz="6" w:space="0" w:color="auto"/>
            </w:tcBorders>
          </w:tcPr>
          <w:p w14:paraId="083E27F2" w14:textId="77777777" w:rsidR="00287694" w:rsidRPr="00964AEF" w:rsidRDefault="004E67EF"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38F1667" w14:textId="77777777" w:rsidR="00287694" w:rsidRPr="00964AEF" w:rsidRDefault="004E67EF"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335B3CB1" w14:textId="77777777" w:rsidR="00287694" w:rsidRPr="00964AEF" w:rsidRDefault="004E67EF"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2C7EC7EA"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4390E71C" w14:textId="77777777" w:rsidR="00287694" w:rsidRPr="00964AEF" w:rsidRDefault="00E06A2E"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4.punkts</w:t>
            </w:r>
          </w:p>
        </w:tc>
        <w:tc>
          <w:tcPr>
            <w:tcW w:w="904" w:type="pct"/>
            <w:tcBorders>
              <w:top w:val="outset" w:sz="6" w:space="0" w:color="auto"/>
              <w:left w:val="outset" w:sz="6" w:space="0" w:color="auto"/>
              <w:bottom w:val="outset" w:sz="6" w:space="0" w:color="auto"/>
              <w:right w:val="outset" w:sz="6" w:space="0" w:color="auto"/>
            </w:tcBorders>
          </w:tcPr>
          <w:p w14:paraId="28FF034D" w14:textId="77777777" w:rsidR="00287694" w:rsidRPr="00964AEF" w:rsidRDefault="004F033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A2E6A8D" w14:textId="77777777" w:rsidR="00287694" w:rsidRPr="00964AEF" w:rsidRDefault="004F033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1BA8B4C" w14:textId="77777777" w:rsidR="00287694" w:rsidRPr="00964AEF" w:rsidRDefault="004F033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2F5CDC28"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6C825AA" w14:textId="77777777" w:rsidR="00287694" w:rsidRPr="00964AEF" w:rsidRDefault="00E06A2E"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5.punkts</w:t>
            </w:r>
          </w:p>
        </w:tc>
        <w:tc>
          <w:tcPr>
            <w:tcW w:w="904" w:type="pct"/>
            <w:tcBorders>
              <w:top w:val="outset" w:sz="6" w:space="0" w:color="auto"/>
              <w:left w:val="outset" w:sz="6" w:space="0" w:color="auto"/>
              <w:bottom w:val="outset" w:sz="6" w:space="0" w:color="auto"/>
              <w:right w:val="outset" w:sz="6" w:space="0" w:color="auto"/>
            </w:tcBorders>
          </w:tcPr>
          <w:p w14:paraId="1759B371" w14:textId="0F262885" w:rsidR="00287694" w:rsidRPr="00964AEF" w:rsidRDefault="00BC60A6"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7</w:t>
            </w:r>
            <w:r w:rsidR="001F7735" w:rsidRPr="00964AEF">
              <w:rPr>
                <w:rFonts w:ascii="Times New Roman" w:eastAsia="Times New Roman" w:hAnsi="Times New Roman" w:cs="Times New Roman"/>
                <w:iCs/>
                <w:sz w:val="24"/>
                <w:szCs w:val="24"/>
                <w:lang w:eastAsia="lv-LV"/>
              </w:rPr>
              <w:t>.punkt</w:t>
            </w:r>
            <w:r w:rsidR="00A85771" w:rsidRPr="00964AEF">
              <w:rPr>
                <w:rFonts w:ascii="Times New Roman" w:eastAsia="Times New Roman" w:hAnsi="Times New Roman" w:cs="Times New Roman"/>
                <w:iCs/>
                <w:sz w:val="24"/>
                <w:szCs w:val="24"/>
                <w:lang w:eastAsia="lv-LV"/>
              </w:rPr>
              <w:t>s</w:t>
            </w:r>
            <w:r w:rsidR="001F7735" w:rsidRPr="00964AEF">
              <w:rPr>
                <w:rFonts w:ascii="Times New Roman" w:eastAsia="Times New Roman" w:hAnsi="Times New Roman" w:cs="Times New Roman"/>
                <w:iCs/>
                <w:sz w:val="24"/>
                <w:szCs w:val="24"/>
                <w:lang w:eastAsia="lv-LV"/>
              </w:rPr>
              <w:t xml:space="preserve"> </w:t>
            </w:r>
          </w:p>
        </w:tc>
        <w:tc>
          <w:tcPr>
            <w:tcW w:w="1304" w:type="pct"/>
            <w:gridSpan w:val="7"/>
            <w:tcBorders>
              <w:top w:val="outset" w:sz="6" w:space="0" w:color="auto"/>
              <w:left w:val="outset" w:sz="6" w:space="0" w:color="auto"/>
              <w:bottom w:val="outset" w:sz="6" w:space="0" w:color="auto"/>
              <w:right w:val="outset" w:sz="6" w:space="0" w:color="auto"/>
            </w:tcBorders>
          </w:tcPr>
          <w:p w14:paraId="6745B0DE" w14:textId="77777777" w:rsidR="00287694" w:rsidRPr="00964AEF" w:rsidRDefault="001F773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779F250A" w14:textId="77777777" w:rsidR="00287694" w:rsidRPr="00964AEF" w:rsidRDefault="001F773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7718C84F"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876B730" w14:textId="77777777" w:rsidR="00287694" w:rsidRPr="00964AEF" w:rsidRDefault="00E06A2E"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6.punkts</w:t>
            </w:r>
          </w:p>
        </w:tc>
        <w:tc>
          <w:tcPr>
            <w:tcW w:w="904" w:type="pct"/>
            <w:tcBorders>
              <w:top w:val="outset" w:sz="6" w:space="0" w:color="auto"/>
              <w:left w:val="outset" w:sz="6" w:space="0" w:color="auto"/>
              <w:bottom w:val="outset" w:sz="6" w:space="0" w:color="auto"/>
              <w:right w:val="outset" w:sz="6" w:space="0" w:color="auto"/>
            </w:tcBorders>
          </w:tcPr>
          <w:p w14:paraId="1D5E58F3" w14:textId="77777777" w:rsidR="00287694" w:rsidRPr="00964AEF" w:rsidRDefault="001F773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478711B5" w14:textId="77777777" w:rsidR="00287694" w:rsidRPr="00964AEF" w:rsidRDefault="001F773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3BF25C5" w14:textId="77777777" w:rsidR="00287694" w:rsidRPr="00964AEF" w:rsidRDefault="001F773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6285ABCB"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CC9856C" w14:textId="77777777" w:rsidR="00287694" w:rsidRPr="00964AEF" w:rsidRDefault="001F773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4.pants</w:t>
            </w:r>
          </w:p>
        </w:tc>
        <w:tc>
          <w:tcPr>
            <w:tcW w:w="904" w:type="pct"/>
            <w:tcBorders>
              <w:top w:val="outset" w:sz="6" w:space="0" w:color="auto"/>
              <w:left w:val="outset" w:sz="6" w:space="0" w:color="auto"/>
              <w:bottom w:val="outset" w:sz="6" w:space="0" w:color="auto"/>
              <w:right w:val="outset" w:sz="6" w:space="0" w:color="auto"/>
            </w:tcBorders>
          </w:tcPr>
          <w:p w14:paraId="2A104A7D" w14:textId="77777777" w:rsidR="00287694" w:rsidRPr="00964AEF" w:rsidRDefault="005C2EBB"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4E067779" w14:textId="77777777" w:rsidR="00287694" w:rsidRPr="00964AEF" w:rsidRDefault="005C2EBB"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9224388" w14:textId="77777777" w:rsidR="00287694" w:rsidRPr="00964AEF" w:rsidRDefault="005C2EBB"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0073BC6E"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D1C8075" w14:textId="77777777" w:rsidR="00287694" w:rsidRPr="00964AEF" w:rsidRDefault="005C2EBB"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5.pants</w:t>
            </w:r>
          </w:p>
        </w:tc>
        <w:tc>
          <w:tcPr>
            <w:tcW w:w="904" w:type="pct"/>
            <w:tcBorders>
              <w:top w:val="outset" w:sz="6" w:space="0" w:color="auto"/>
              <w:left w:val="outset" w:sz="6" w:space="0" w:color="auto"/>
              <w:bottom w:val="outset" w:sz="6" w:space="0" w:color="auto"/>
              <w:right w:val="outset" w:sz="6" w:space="0" w:color="auto"/>
            </w:tcBorders>
          </w:tcPr>
          <w:p w14:paraId="0978F00F" w14:textId="77777777" w:rsidR="00287694" w:rsidRPr="00964AEF" w:rsidRDefault="005C2EBB"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F9E23F8" w14:textId="77777777" w:rsidR="00287694" w:rsidRPr="00964AEF" w:rsidRDefault="005C2EBB"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0D6EDF5" w14:textId="77777777" w:rsidR="00287694" w:rsidRPr="00964AEF" w:rsidRDefault="005C2EBB"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02082D75"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3107524" w14:textId="77777777" w:rsidR="00287694" w:rsidRPr="00964AEF" w:rsidRDefault="00E4582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6.pants</w:t>
            </w:r>
          </w:p>
        </w:tc>
        <w:tc>
          <w:tcPr>
            <w:tcW w:w="904" w:type="pct"/>
            <w:tcBorders>
              <w:top w:val="outset" w:sz="6" w:space="0" w:color="auto"/>
              <w:left w:val="outset" w:sz="6" w:space="0" w:color="auto"/>
              <w:bottom w:val="outset" w:sz="6" w:space="0" w:color="auto"/>
              <w:right w:val="outset" w:sz="6" w:space="0" w:color="auto"/>
            </w:tcBorders>
          </w:tcPr>
          <w:p w14:paraId="596AD439" w14:textId="77777777" w:rsidR="00287694" w:rsidRPr="00964AEF" w:rsidRDefault="00A85771"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25C7488" w14:textId="77777777" w:rsidR="00287694" w:rsidRPr="00964AEF" w:rsidRDefault="007857B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5FEF7FD6" w14:textId="77777777" w:rsidR="00287694" w:rsidRPr="00964AEF" w:rsidRDefault="007857B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24696BD2" w14:textId="77777777" w:rsidTr="007857B4">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0EC48686" w14:textId="77777777" w:rsidR="007857B4" w:rsidRPr="00964AEF" w:rsidRDefault="007857B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7.pants</w:t>
            </w:r>
          </w:p>
        </w:tc>
      </w:tr>
      <w:tr w:rsidR="00287694" w:rsidRPr="00964AEF" w14:paraId="4542C103"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B5A170D" w14:textId="77777777" w:rsidR="00287694" w:rsidRPr="00964AEF" w:rsidRDefault="007857B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4A333DAA" w14:textId="77777777" w:rsidR="00287694" w:rsidRPr="00964AEF" w:rsidRDefault="009E57AA"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2AD18AFC" w14:textId="77777777" w:rsidR="00287694" w:rsidRPr="00964AEF" w:rsidRDefault="009E57AA"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3CDB26C" w14:textId="77777777" w:rsidR="00287694" w:rsidRPr="00964AEF" w:rsidRDefault="009E57AA"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1BD44E32"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CF35985" w14:textId="77777777" w:rsidR="00287694" w:rsidRPr="00964AEF" w:rsidRDefault="007857B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0EBE1D75" w14:textId="34863825" w:rsidR="00287694" w:rsidRPr="00964AEF" w:rsidRDefault="009E57AA"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w:t>
            </w:r>
            <w:r w:rsidR="00BC60A6" w:rsidRPr="00964AEF">
              <w:rPr>
                <w:rFonts w:ascii="Times New Roman" w:eastAsia="Times New Roman" w:hAnsi="Times New Roman" w:cs="Times New Roman"/>
                <w:iCs/>
                <w:sz w:val="24"/>
                <w:szCs w:val="24"/>
                <w:lang w:eastAsia="lv-LV"/>
              </w:rPr>
              <w:t>5</w:t>
            </w:r>
            <w:r w:rsidRPr="00964AEF">
              <w:rPr>
                <w:rFonts w:ascii="Times New Roman" w:eastAsia="Times New Roman" w:hAnsi="Times New Roman" w:cs="Times New Roman"/>
                <w:iCs/>
                <w:sz w:val="24"/>
                <w:szCs w:val="24"/>
                <w:lang w:eastAsia="lv-LV"/>
              </w:rPr>
              <w:t>.punkts</w:t>
            </w:r>
          </w:p>
        </w:tc>
        <w:tc>
          <w:tcPr>
            <w:tcW w:w="1304" w:type="pct"/>
            <w:gridSpan w:val="7"/>
            <w:tcBorders>
              <w:top w:val="outset" w:sz="6" w:space="0" w:color="auto"/>
              <w:left w:val="outset" w:sz="6" w:space="0" w:color="auto"/>
              <w:bottom w:val="outset" w:sz="6" w:space="0" w:color="auto"/>
              <w:right w:val="outset" w:sz="6" w:space="0" w:color="auto"/>
            </w:tcBorders>
          </w:tcPr>
          <w:p w14:paraId="2E7CD8B0" w14:textId="77777777" w:rsidR="00287694" w:rsidRPr="00964AEF" w:rsidRDefault="009E57AA"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0691A0D9" w14:textId="77777777" w:rsidR="00287694" w:rsidRPr="00964AEF" w:rsidRDefault="009E57AA"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789071C5"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AC891D5" w14:textId="77777777" w:rsidR="00287694" w:rsidRPr="00964AEF" w:rsidRDefault="009E57AA"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8.pants</w:t>
            </w:r>
          </w:p>
        </w:tc>
        <w:tc>
          <w:tcPr>
            <w:tcW w:w="904" w:type="pct"/>
            <w:tcBorders>
              <w:top w:val="outset" w:sz="6" w:space="0" w:color="auto"/>
              <w:left w:val="outset" w:sz="6" w:space="0" w:color="auto"/>
              <w:bottom w:val="outset" w:sz="6" w:space="0" w:color="auto"/>
              <w:right w:val="outset" w:sz="6" w:space="0" w:color="auto"/>
            </w:tcBorders>
          </w:tcPr>
          <w:p w14:paraId="3B8F5EAA" w14:textId="77777777" w:rsidR="00287694" w:rsidRPr="00964AEF" w:rsidRDefault="009E57AA"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062F61C6" w14:textId="77777777" w:rsidR="00287694" w:rsidRPr="00964AEF" w:rsidRDefault="009E57AA"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2C69D61" w14:textId="77777777" w:rsidR="00287694" w:rsidRPr="00964AEF" w:rsidRDefault="009E57AA"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62D79C6A" w14:textId="77777777" w:rsidTr="00606CDC">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5869831C" w14:textId="77777777" w:rsidR="00287694" w:rsidRPr="00964AEF" w:rsidRDefault="009E57AA"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9.pants</w:t>
            </w:r>
          </w:p>
        </w:tc>
      </w:tr>
      <w:tr w:rsidR="00287694" w:rsidRPr="00964AEF" w14:paraId="3010C829"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4988725" w14:textId="77777777" w:rsidR="00287694" w:rsidRPr="00964AEF" w:rsidRDefault="009E57AA"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6A855AD9" w14:textId="77777777" w:rsidR="003A06B1" w:rsidRPr="00964AEF" w:rsidRDefault="003A06B1"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3.punkts</w:t>
            </w:r>
          </w:p>
          <w:p w14:paraId="18FB30D1" w14:textId="62948614" w:rsidR="003A06B1" w:rsidRPr="00964AEF" w:rsidRDefault="00174378"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7</w:t>
            </w:r>
            <w:r w:rsidR="00A558B6" w:rsidRPr="00964AEF">
              <w:rPr>
                <w:rFonts w:ascii="Times New Roman" w:eastAsia="Times New Roman" w:hAnsi="Times New Roman" w:cs="Times New Roman"/>
                <w:iCs/>
                <w:sz w:val="24"/>
                <w:szCs w:val="24"/>
                <w:lang w:eastAsia="lv-LV"/>
              </w:rPr>
              <w:t>.punkt</w:t>
            </w:r>
            <w:r w:rsidR="003A06B1" w:rsidRPr="00964AEF">
              <w:rPr>
                <w:rFonts w:ascii="Times New Roman" w:eastAsia="Times New Roman" w:hAnsi="Times New Roman" w:cs="Times New Roman"/>
                <w:iCs/>
                <w:sz w:val="24"/>
                <w:szCs w:val="24"/>
                <w:lang w:eastAsia="lv-LV"/>
              </w:rPr>
              <w:t>s</w:t>
            </w:r>
          </w:p>
          <w:p w14:paraId="778C90AC" w14:textId="5223A203" w:rsidR="00287694" w:rsidRPr="00964AEF" w:rsidRDefault="00A558B6"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w:t>
            </w:r>
            <w:r w:rsidR="00174378" w:rsidRPr="00964AEF">
              <w:rPr>
                <w:rFonts w:ascii="Times New Roman" w:eastAsia="Times New Roman" w:hAnsi="Times New Roman" w:cs="Times New Roman"/>
                <w:iCs/>
                <w:sz w:val="24"/>
                <w:szCs w:val="24"/>
                <w:lang w:eastAsia="lv-LV"/>
              </w:rPr>
              <w:t>5</w:t>
            </w:r>
            <w:r w:rsidRPr="00964AEF">
              <w:rPr>
                <w:rFonts w:ascii="Times New Roman" w:eastAsia="Times New Roman" w:hAnsi="Times New Roman" w:cs="Times New Roman"/>
                <w:iCs/>
                <w:sz w:val="24"/>
                <w:szCs w:val="24"/>
                <w:lang w:eastAsia="lv-LV"/>
              </w:rPr>
              <w:t xml:space="preserve">.punkts </w:t>
            </w:r>
          </w:p>
        </w:tc>
        <w:tc>
          <w:tcPr>
            <w:tcW w:w="1304" w:type="pct"/>
            <w:gridSpan w:val="7"/>
            <w:tcBorders>
              <w:top w:val="outset" w:sz="6" w:space="0" w:color="auto"/>
              <w:left w:val="outset" w:sz="6" w:space="0" w:color="auto"/>
              <w:bottom w:val="outset" w:sz="6" w:space="0" w:color="auto"/>
              <w:right w:val="outset" w:sz="6" w:space="0" w:color="auto"/>
            </w:tcBorders>
          </w:tcPr>
          <w:p w14:paraId="66971303" w14:textId="77777777" w:rsidR="00287694" w:rsidRPr="00964AEF" w:rsidRDefault="00A558B6"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4CC15619" w14:textId="77777777" w:rsidR="00287694" w:rsidRPr="00964AEF" w:rsidRDefault="00A558B6"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047EC0ED"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EDBA6E3" w14:textId="77777777" w:rsidR="00287694" w:rsidRPr="00964AEF" w:rsidRDefault="009E57AA"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lastRenderedPageBreak/>
              <w:t>2.punkts</w:t>
            </w:r>
          </w:p>
        </w:tc>
        <w:tc>
          <w:tcPr>
            <w:tcW w:w="904" w:type="pct"/>
            <w:tcBorders>
              <w:top w:val="outset" w:sz="6" w:space="0" w:color="auto"/>
              <w:left w:val="outset" w:sz="6" w:space="0" w:color="auto"/>
              <w:bottom w:val="outset" w:sz="6" w:space="0" w:color="auto"/>
              <w:right w:val="outset" w:sz="6" w:space="0" w:color="auto"/>
            </w:tcBorders>
          </w:tcPr>
          <w:p w14:paraId="1B9E0BB6" w14:textId="77777777" w:rsidR="00287694" w:rsidRPr="00964AEF" w:rsidRDefault="00A558B6"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19341644" w14:textId="77777777" w:rsidR="00287694" w:rsidRPr="00964AEF" w:rsidRDefault="00B057A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E46FDAD" w14:textId="77777777" w:rsidR="00287694" w:rsidRPr="00964AEF" w:rsidRDefault="00B057A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3BCDAEAA"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DBBE6F1" w14:textId="77777777" w:rsidR="00287694" w:rsidRPr="00964AEF" w:rsidRDefault="009E57AA"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3.punkts</w:t>
            </w:r>
          </w:p>
        </w:tc>
        <w:tc>
          <w:tcPr>
            <w:tcW w:w="904" w:type="pct"/>
            <w:tcBorders>
              <w:top w:val="outset" w:sz="6" w:space="0" w:color="auto"/>
              <w:left w:val="outset" w:sz="6" w:space="0" w:color="auto"/>
              <w:bottom w:val="outset" w:sz="6" w:space="0" w:color="auto"/>
              <w:right w:val="outset" w:sz="6" w:space="0" w:color="auto"/>
            </w:tcBorders>
          </w:tcPr>
          <w:p w14:paraId="7C9770C8" w14:textId="77777777" w:rsidR="00287694" w:rsidRPr="00964AEF" w:rsidRDefault="00B057A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8CEA290" w14:textId="77777777" w:rsidR="00287694" w:rsidRPr="00964AEF" w:rsidRDefault="00B057A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0A3F5C89" w14:textId="77777777" w:rsidR="00287694" w:rsidRPr="00964AEF" w:rsidRDefault="00B057A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6CEFEE10"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CB280C1" w14:textId="77777777" w:rsidR="00287694" w:rsidRPr="00964AEF" w:rsidRDefault="009E57AA"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4.punkts</w:t>
            </w:r>
          </w:p>
        </w:tc>
        <w:tc>
          <w:tcPr>
            <w:tcW w:w="904" w:type="pct"/>
            <w:tcBorders>
              <w:top w:val="outset" w:sz="6" w:space="0" w:color="auto"/>
              <w:left w:val="outset" w:sz="6" w:space="0" w:color="auto"/>
              <w:bottom w:val="outset" w:sz="6" w:space="0" w:color="auto"/>
              <w:right w:val="outset" w:sz="6" w:space="0" w:color="auto"/>
            </w:tcBorders>
          </w:tcPr>
          <w:p w14:paraId="47025384" w14:textId="77777777" w:rsidR="00287694" w:rsidRPr="00964AEF" w:rsidRDefault="00B057A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3F4ABBE8" w14:textId="77777777" w:rsidR="00287694" w:rsidRPr="00964AEF" w:rsidRDefault="00B057A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31177BAA" w14:textId="77777777" w:rsidR="00287694" w:rsidRPr="00964AEF" w:rsidRDefault="00B057A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75FB35F5" w14:textId="77777777" w:rsidTr="00606CDC">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4B8CDCB0" w14:textId="77777777" w:rsidR="00287694" w:rsidRPr="00964AEF" w:rsidRDefault="00B057A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10.pants</w:t>
            </w:r>
          </w:p>
        </w:tc>
      </w:tr>
      <w:tr w:rsidR="00287694" w:rsidRPr="00964AEF" w14:paraId="57BF31EF"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4151F908" w14:textId="77777777" w:rsidR="00287694" w:rsidRPr="00964AEF" w:rsidRDefault="00B057A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00CB79A8" w14:textId="680ECB07" w:rsidR="00287694" w:rsidRPr="00964AEF" w:rsidRDefault="00A561CE"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9</w:t>
            </w:r>
            <w:r w:rsidR="00142FFE" w:rsidRPr="00964AEF">
              <w:rPr>
                <w:rFonts w:ascii="Times New Roman" w:eastAsia="Times New Roman" w:hAnsi="Times New Roman" w:cs="Times New Roman"/>
                <w:iCs/>
                <w:sz w:val="24"/>
                <w:szCs w:val="24"/>
                <w:lang w:eastAsia="lv-LV"/>
              </w:rPr>
              <w:t>.punkts</w:t>
            </w:r>
          </w:p>
        </w:tc>
        <w:tc>
          <w:tcPr>
            <w:tcW w:w="1304" w:type="pct"/>
            <w:gridSpan w:val="7"/>
            <w:tcBorders>
              <w:top w:val="outset" w:sz="6" w:space="0" w:color="auto"/>
              <w:left w:val="outset" w:sz="6" w:space="0" w:color="auto"/>
              <w:bottom w:val="outset" w:sz="6" w:space="0" w:color="auto"/>
              <w:right w:val="outset" w:sz="6" w:space="0" w:color="auto"/>
            </w:tcBorders>
          </w:tcPr>
          <w:p w14:paraId="1906DC07" w14:textId="77777777" w:rsidR="00287694" w:rsidRPr="00964AEF" w:rsidRDefault="00716BB1"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3733C2A6" w14:textId="5662D257" w:rsidR="00287694" w:rsidRPr="00964AEF" w:rsidRDefault="00BD1F61" w:rsidP="0010634B">
            <w:pPr>
              <w:pStyle w:val="naisc"/>
              <w:spacing w:before="0" w:after="0"/>
              <w:jc w:val="both"/>
            </w:pPr>
            <w:r w:rsidRPr="00964AEF">
              <w:rPr>
                <w:iCs/>
              </w:rPr>
              <w:t>Noteikumu p</w:t>
            </w:r>
            <w:r w:rsidR="00606CDC" w:rsidRPr="00964AEF">
              <w:rPr>
                <w:iCs/>
              </w:rPr>
              <w:t>rojekt</w:t>
            </w:r>
            <w:r w:rsidR="00A5446F" w:rsidRPr="00964AEF">
              <w:rPr>
                <w:iCs/>
              </w:rPr>
              <w:t>a 1</w:t>
            </w:r>
            <w:r w:rsidR="0070205D">
              <w:rPr>
                <w:iCs/>
              </w:rPr>
              <w:t>4</w:t>
            </w:r>
            <w:r w:rsidR="00A5446F" w:rsidRPr="00964AEF">
              <w:rPr>
                <w:iCs/>
              </w:rPr>
              <w:t>.</w:t>
            </w:r>
            <w:r w:rsidRPr="00964AEF">
              <w:rPr>
                <w:iCs/>
              </w:rPr>
              <w:t xml:space="preserve"> </w:t>
            </w:r>
            <w:r w:rsidR="00A5446F" w:rsidRPr="00964AEF">
              <w:rPr>
                <w:iCs/>
              </w:rPr>
              <w:t>punktā noteikt</w:t>
            </w:r>
            <w:r w:rsidR="00383B2B" w:rsidRPr="00964AEF">
              <w:rPr>
                <w:iCs/>
              </w:rPr>
              <w:t>ais</w:t>
            </w:r>
            <w:r w:rsidR="00A5446F" w:rsidRPr="00964AEF">
              <w:rPr>
                <w:iCs/>
              </w:rPr>
              <w:t xml:space="preserve"> informācij</w:t>
            </w:r>
            <w:r w:rsidR="00931F5E" w:rsidRPr="00964AEF">
              <w:rPr>
                <w:iCs/>
              </w:rPr>
              <w:t>as</w:t>
            </w:r>
            <w:r w:rsidR="00383B2B" w:rsidRPr="00964AEF">
              <w:rPr>
                <w:iCs/>
              </w:rPr>
              <w:t xml:space="preserve"> sniegšanas pienākums reizi ceturksnī ir uzskatāms par stingrākām prasībām nekā paredz regula (reizi gadā)</w:t>
            </w:r>
            <w:r w:rsidR="00DD50A6" w:rsidRPr="00964AEF">
              <w:rPr>
                <w:iCs/>
              </w:rPr>
              <w:t>.</w:t>
            </w:r>
            <w:r w:rsidR="00606CDC" w:rsidRPr="00964AEF">
              <w:rPr>
                <w:iCs/>
              </w:rPr>
              <w:t xml:space="preserve"> </w:t>
            </w:r>
            <w:r w:rsidR="0010634B" w:rsidRPr="00964AEF">
              <w:rPr>
                <w:bCs/>
                <w:iCs/>
              </w:rPr>
              <w:t xml:space="preserve">Atskaišu </w:t>
            </w:r>
            <w:r w:rsidR="0010634B" w:rsidRPr="00964AEF">
              <w:rPr>
                <w:bCs/>
              </w:rPr>
              <w:t>iesniegšanas termiņš – reizi ceturksnī – jāsaglabā n</w:t>
            </w:r>
            <w:r w:rsidR="0010634B" w:rsidRPr="00964AEF">
              <w:rPr>
                <w:bCs/>
                <w:shd w:val="clear" w:color="auto" w:fill="FFFFFF"/>
              </w:rPr>
              <w:t xml:space="preserve">olūkā kontrolēt un uzraudzīt noteiktas vielas, ko bieži izmanto narkotisko vai psihotropo vielu nelikumīgai ražošanai, lai savlaicīgi pamanītu aizdomīgus darījumus. </w:t>
            </w:r>
            <w:r w:rsidR="00F52151" w:rsidRPr="00964AEF">
              <w:rPr>
                <w:bCs/>
              </w:rPr>
              <w:t xml:space="preserve">Šādas prasības leģitīmais mērķis ir sabiedrības veselības interešu aizsardzība, jo </w:t>
            </w:r>
            <w:r w:rsidR="0010634B" w:rsidRPr="00964AEF">
              <w:rPr>
                <w:bCs/>
              </w:rPr>
              <w:t>do</w:t>
            </w:r>
            <w:r w:rsidR="00F52151" w:rsidRPr="00964AEF">
              <w:rPr>
                <w:bCs/>
              </w:rPr>
              <w:t>d</w:t>
            </w:r>
            <w:r w:rsidR="0010634B" w:rsidRPr="00964AEF">
              <w:rPr>
                <w:bCs/>
              </w:rPr>
              <w:t xml:space="preserve"> iespēju efektīvi un operatīvi novērst  attiecīgo vielu nokļūšanu nelegālā apritē. </w:t>
            </w:r>
            <w:r w:rsidR="002E78ED" w:rsidRPr="00964AEF">
              <w:rPr>
                <w:bCs/>
              </w:rPr>
              <w:t>Citu alternatīvu, kas ļautu tikpat efektīvi un operatīvi ierobežot vai novērst attiecīgo vielu nokļūšanu nelegālajā apritē, pašlaik nav.</w:t>
            </w:r>
          </w:p>
        </w:tc>
      </w:tr>
      <w:tr w:rsidR="00287694" w:rsidRPr="00964AEF" w14:paraId="7EB745D5"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CEB74E4" w14:textId="77777777" w:rsidR="00287694" w:rsidRPr="00964AEF" w:rsidRDefault="00B057A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4FF02B37" w14:textId="2F28CFEF" w:rsidR="00287694" w:rsidRPr="00964AEF" w:rsidRDefault="00A561CE"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9</w:t>
            </w:r>
            <w:r w:rsidR="00716BB1" w:rsidRPr="00964AEF">
              <w:rPr>
                <w:rFonts w:ascii="Times New Roman" w:eastAsia="Times New Roman" w:hAnsi="Times New Roman" w:cs="Times New Roman"/>
                <w:iCs/>
                <w:sz w:val="24"/>
                <w:szCs w:val="24"/>
                <w:lang w:eastAsia="lv-LV"/>
              </w:rPr>
              <w:t>.punkts</w:t>
            </w:r>
          </w:p>
        </w:tc>
        <w:tc>
          <w:tcPr>
            <w:tcW w:w="1304" w:type="pct"/>
            <w:gridSpan w:val="7"/>
            <w:tcBorders>
              <w:top w:val="outset" w:sz="6" w:space="0" w:color="auto"/>
              <w:left w:val="outset" w:sz="6" w:space="0" w:color="auto"/>
              <w:bottom w:val="outset" w:sz="6" w:space="0" w:color="auto"/>
              <w:right w:val="outset" w:sz="6" w:space="0" w:color="auto"/>
            </w:tcBorders>
          </w:tcPr>
          <w:p w14:paraId="4BB6B565" w14:textId="77777777" w:rsidR="00287694" w:rsidRPr="00964AEF" w:rsidRDefault="00716BB1"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3B59CA6B" w14:textId="42201CDA" w:rsidR="00CC6908" w:rsidRPr="00964AEF" w:rsidRDefault="00BD1F61" w:rsidP="0010634B">
            <w:pPr>
              <w:pStyle w:val="naisc"/>
              <w:spacing w:before="0" w:after="0"/>
              <w:jc w:val="both"/>
            </w:pPr>
            <w:r w:rsidRPr="00964AEF">
              <w:rPr>
                <w:iCs/>
              </w:rPr>
              <w:t>Noteikumu p</w:t>
            </w:r>
            <w:r w:rsidR="00383B2B" w:rsidRPr="00964AEF">
              <w:rPr>
                <w:iCs/>
              </w:rPr>
              <w:t>rojekta 1</w:t>
            </w:r>
            <w:r w:rsidR="0070205D">
              <w:rPr>
                <w:iCs/>
              </w:rPr>
              <w:t>4</w:t>
            </w:r>
            <w:r w:rsidR="00383B2B" w:rsidRPr="00964AEF">
              <w:rPr>
                <w:iCs/>
              </w:rPr>
              <w:t>.</w:t>
            </w:r>
            <w:r w:rsidRPr="00964AEF">
              <w:rPr>
                <w:iCs/>
              </w:rPr>
              <w:t xml:space="preserve"> </w:t>
            </w:r>
            <w:r w:rsidR="00383B2B" w:rsidRPr="00964AEF">
              <w:rPr>
                <w:iCs/>
              </w:rPr>
              <w:t xml:space="preserve">punktā noteiktais informācijas sniegšanas pienākums reizi ceturksnī ir uzskatāms par stingrākām prasībām nekā paredz regula (reizi gadā). </w:t>
            </w:r>
            <w:r w:rsidR="0010634B" w:rsidRPr="00964AEF">
              <w:rPr>
                <w:iCs/>
              </w:rPr>
              <w:t xml:space="preserve">Atskaišu </w:t>
            </w:r>
            <w:r w:rsidR="0010634B" w:rsidRPr="00964AEF">
              <w:t>iesniegšanas termiņš – reizi ceturksnī – jāsaglabā n</w:t>
            </w:r>
            <w:r w:rsidR="0010634B" w:rsidRPr="00964AEF">
              <w:rPr>
                <w:shd w:val="clear" w:color="auto" w:fill="FFFFFF"/>
              </w:rPr>
              <w:t xml:space="preserve">olūkā kontrolēt un uzraudzīt noteiktas vielas, ko bieži izmanto narkotisko vai psihotropo vielu nelikumīgai ražošanai, lai savlaicīgi pamanītu aizdomīgus darījumus. </w:t>
            </w:r>
            <w:r w:rsidR="00F52151" w:rsidRPr="00964AEF">
              <w:t xml:space="preserve">Šādas prasības leģitīmais mērķis ir sabiedrības veselības interešu aizsardzība, jo </w:t>
            </w:r>
            <w:r w:rsidR="0010634B" w:rsidRPr="00964AEF">
              <w:lastRenderedPageBreak/>
              <w:t>do</w:t>
            </w:r>
            <w:r w:rsidR="00F52151" w:rsidRPr="00964AEF">
              <w:t>d</w:t>
            </w:r>
            <w:r w:rsidR="0010634B" w:rsidRPr="00964AEF">
              <w:t xml:space="preserve"> iespēju efektīvi un operatīvi novērst  attiecīgo vielu nokļūšanu nelegālā apritē. </w:t>
            </w:r>
            <w:r w:rsidR="002E78ED" w:rsidRPr="00964AEF">
              <w:t>Citu alternatīvu, kas ļautu tikpat efektīvi un operatīvi ierobežot vai novērst attiecīgo vielu nokļūšanu nelegālajā apritē, pašlaik nav.</w:t>
            </w:r>
          </w:p>
        </w:tc>
      </w:tr>
      <w:tr w:rsidR="00287694" w:rsidRPr="00964AEF" w14:paraId="6E7A754B"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7FEE9D9" w14:textId="77777777" w:rsidR="00287694" w:rsidRPr="00964AEF" w:rsidRDefault="00B057A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lastRenderedPageBreak/>
              <w:t>3.punkts</w:t>
            </w:r>
          </w:p>
        </w:tc>
        <w:tc>
          <w:tcPr>
            <w:tcW w:w="904" w:type="pct"/>
            <w:tcBorders>
              <w:top w:val="outset" w:sz="6" w:space="0" w:color="auto"/>
              <w:left w:val="outset" w:sz="6" w:space="0" w:color="auto"/>
              <w:bottom w:val="outset" w:sz="6" w:space="0" w:color="auto"/>
              <w:right w:val="outset" w:sz="6" w:space="0" w:color="auto"/>
            </w:tcBorders>
          </w:tcPr>
          <w:p w14:paraId="695E1234" w14:textId="77777777" w:rsidR="00287694" w:rsidRPr="00964AEF" w:rsidRDefault="00716BB1"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8ED5611" w14:textId="77777777" w:rsidR="00287694" w:rsidRPr="00964AEF" w:rsidRDefault="00716BB1"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40BA9B6" w14:textId="77777777" w:rsidR="00287694" w:rsidRPr="00964AEF" w:rsidRDefault="00716BB1"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7C7E5F29" w14:textId="77777777" w:rsidTr="00606CDC">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6AF2B7B4" w14:textId="77777777" w:rsidR="00287694" w:rsidRPr="00964AEF" w:rsidRDefault="00716BB1"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11.pants</w:t>
            </w:r>
          </w:p>
        </w:tc>
      </w:tr>
      <w:tr w:rsidR="00287694" w:rsidRPr="00964AEF" w14:paraId="7B0BEE0D"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715A1F5" w14:textId="77777777" w:rsidR="00287694" w:rsidRPr="00964AEF" w:rsidRDefault="005A7DAB"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33F2E36F" w14:textId="77777777" w:rsidR="00287694" w:rsidRPr="00964AEF" w:rsidRDefault="00324E8E"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080BF258" w14:textId="77777777" w:rsidR="00287694" w:rsidRPr="00964AEF" w:rsidRDefault="00324E8E"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D5CC55A" w14:textId="77777777" w:rsidR="00287694" w:rsidRPr="00964AEF" w:rsidRDefault="00324E8E"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4B94F7F9"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3B85931" w14:textId="77777777" w:rsidR="00287694" w:rsidRPr="00964AEF" w:rsidRDefault="00661BA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22427901" w14:textId="77777777" w:rsidR="00287694" w:rsidRPr="00964AEF" w:rsidRDefault="00324E8E"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6B28EAC9" w14:textId="77777777" w:rsidR="00287694" w:rsidRPr="00964AEF" w:rsidRDefault="00324E8E"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BC40F8B" w14:textId="77777777" w:rsidR="00287694" w:rsidRPr="00964AEF" w:rsidRDefault="00324E8E"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3CDAB544"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CF9F94E" w14:textId="77777777" w:rsidR="00287694" w:rsidRPr="00964AEF" w:rsidRDefault="00661BA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3.punkts</w:t>
            </w:r>
          </w:p>
        </w:tc>
        <w:tc>
          <w:tcPr>
            <w:tcW w:w="904" w:type="pct"/>
            <w:tcBorders>
              <w:top w:val="outset" w:sz="6" w:space="0" w:color="auto"/>
              <w:left w:val="outset" w:sz="6" w:space="0" w:color="auto"/>
              <w:bottom w:val="outset" w:sz="6" w:space="0" w:color="auto"/>
              <w:right w:val="outset" w:sz="6" w:space="0" w:color="auto"/>
            </w:tcBorders>
          </w:tcPr>
          <w:p w14:paraId="0CDDE3C1" w14:textId="77777777" w:rsidR="00287694" w:rsidRPr="00964AEF" w:rsidRDefault="0057025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3777225B" w14:textId="77777777" w:rsidR="00287694" w:rsidRPr="00964AEF" w:rsidRDefault="0057025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06DBC38" w14:textId="77777777" w:rsidR="00287694" w:rsidRPr="00964AEF" w:rsidRDefault="0057025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370C5C75"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D68D489" w14:textId="77777777" w:rsidR="00287694" w:rsidRPr="00964AEF" w:rsidRDefault="00661BA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4.punkts</w:t>
            </w:r>
          </w:p>
        </w:tc>
        <w:tc>
          <w:tcPr>
            <w:tcW w:w="904" w:type="pct"/>
            <w:tcBorders>
              <w:top w:val="outset" w:sz="6" w:space="0" w:color="auto"/>
              <w:left w:val="outset" w:sz="6" w:space="0" w:color="auto"/>
              <w:bottom w:val="outset" w:sz="6" w:space="0" w:color="auto"/>
              <w:right w:val="outset" w:sz="6" w:space="0" w:color="auto"/>
            </w:tcBorders>
          </w:tcPr>
          <w:p w14:paraId="29AE55A7" w14:textId="77777777" w:rsidR="00287694" w:rsidRPr="00964AEF" w:rsidRDefault="0057025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20189EE4" w14:textId="77777777" w:rsidR="00287694" w:rsidRPr="00964AEF" w:rsidRDefault="0057025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B9465A5" w14:textId="77777777" w:rsidR="00287694" w:rsidRPr="00964AEF" w:rsidRDefault="0057025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1F95A39F"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043D589" w14:textId="77777777" w:rsidR="00287694" w:rsidRPr="00964AEF" w:rsidRDefault="00661BA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5.punkts</w:t>
            </w:r>
          </w:p>
        </w:tc>
        <w:tc>
          <w:tcPr>
            <w:tcW w:w="904" w:type="pct"/>
            <w:tcBorders>
              <w:top w:val="outset" w:sz="6" w:space="0" w:color="auto"/>
              <w:left w:val="outset" w:sz="6" w:space="0" w:color="auto"/>
              <w:bottom w:val="outset" w:sz="6" w:space="0" w:color="auto"/>
              <w:right w:val="outset" w:sz="6" w:space="0" w:color="auto"/>
            </w:tcBorders>
          </w:tcPr>
          <w:p w14:paraId="7563CB39" w14:textId="77777777" w:rsidR="00287694" w:rsidRPr="00964AEF" w:rsidRDefault="0057025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10783DA0" w14:textId="77777777" w:rsidR="00287694" w:rsidRPr="00964AEF" w:rsidRDefault="0057025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FE0D699" w14:textId="77777777" w:rsidR="00287694" w:rsidRPr="00964AEF" w:rsidRDefault="0057025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0A68CC07"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4AB2BDF0" w14:textId="77777777" w:rsidR="00287694" w:rsidRPr="00964AEF" w:rsidRDefault="00661BA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6.punkts</w:t>
            </w:r>
          </w:p>
        </w:tc>
        <w:tc>
          <w:tcPr>
            <w:tcW w:w="904" w:type="pct"/>
            <w:tcBorders>
              <w:top w:val="outset" w:sz="6" w:space="0" w:color="auto"/>
              <w:left w:val="outset" w:sz="6" w:space="0" w:color="auto"/>
              <w:bottom w:val="outset" w:sz="6" w:space="0" w:color="auto"/>
              <w:right w:val="outset" w:sz="6" w:space="0" w:color="auto"/>
            </w:tcBorders>
          </w:tcPr>
          <w:p w14:paraId="462D7C59" w14:textId="77777777" w:rsidR="00287694" w:rsidRPr="00964AEF" w:rsidRDefault="0057025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A084C34" w14:textId="77777777" w:rsidR="00287694" w:rsidRPr="00964AEF" w:rsidRDefault="0057025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0B6059FC" w14:textId="77777777" w:rsidR="00287694" w:rsidRPr="00964AEF" w:rsidRDefault="0057025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168FA874"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167D3D9" w14:textId="77777777" w:rsidR="00287694" w:rsidRPr="00964AEF" w:rsidRDefault="00661BA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7.punkts</w:t>
            </w:r>
          </w:p>
        </w:tc>
        <w:tc>
          <w:tcPr>
            <w:tcW w:w="904" w:type="pct"/>
            <w:tcBorders>
              <w:top w:val="outset" w:sz="6" w:space="0" w:color="auto"/>
              <w:left w:val="outset" w:sz="6" w:space="0" w:color="auto"/>
              <w:bottom w:val="outset" w:sz="6" w:space="0" w:color="auto"/>
              <w:right w:val="outset" w:sz="6" w:space="0" w:color="auto"/>
            </w:tcBorders>
          </w:tcPr>
          <w:p w14:paraId="37372B96" w14:textId="77777777" w:rsidR="00287694" w:rsidRPr="00964AEF" w:rsidRDefault="007B38A5" w:rsidP="007B38A5">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A8FE7CA" w14:textId="77777777" w:rsidR="00287694" w:rsidRPr="00964AEF" w:rsidRDefault="007B38A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5DBC2977" w14:textId="77777777" w:rsidR="00287694" w:rsidRPr="00964AEF" w:rsidRDefault="007B38A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9E57AA" w:rsidRPr="00964AEF" w14:paraId="53E85838"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03E2509" w14:textId="77777777" w:rsidR="00287694" w:rsidRPr="00964AEF" w:rsidRDefault="00661BA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8.punkts</w:t>
            </w:r>
          </w:p>
        </w:tc>
        <w:tc>
          <w:tcPr>
            <w:tcW w:w="904" w:type="pct"/>
            <w:tcBorders>
              <w:top w:val="outset" w:sz="6" w:space="0" w:color="auto"/>
              <w:left w:val="outset" w:sz="6" w:space="0" w:color="auto"/>
              <w:bottom w:val="outset" w:sz="6" w:space="0" w:color="auto"/>
              <w:right w:val="outset" w:sz="6" w:space="0" w:color="auto"/>
            </w:tcBorders>
          </w:tcPr>
          <w:p w14:paraId="0B1F9B45" w14:textId="77777777" w:rsidR="00287694" w:rsidRPr="00964AEF" w:rsidRDefault="007B38A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694671A" w14:textId="77777777" w:rsidR="00287694" w:rsidRPr="00964AEF" w:rsidRDefault="007B38A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64443C3" w14:textId="77777777" w:rsidR="00287694" w:rsidRPr="00964AEF" w:rsidRDefault="007B38A5"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9E57AA" w:rsidRPr="00964AEF" w14:paraId="5652ADE4"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38D4805" w14:textId="77777777" w:rsidR="00287694" w:rsidRPr="00964AEF" w:rsidRDefault="00661BA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9.punkts</w:t>
            </w:r>
          </w:p>
        </w:tc>
        <w:tc>
          <w:tcPr>
            <w:tcW w:w="904" w:type="pct"/>
            <w:tcBorders>
              <w:top w:val="outset" w:sz="6" w:space="0" w:color="auto"/>
              <w:left w:val="outset" w:sz="6" w:space="0" w:color="auto"/>
              <w:bottom w:val="outset" w:sz="6" w:space="0" w:color="auto"/>
              <w:right w:val="outset" w:sz="6" w:space="0" w:color="auto"/>
            </w:tcBorders>
          </w:tcPr>
          <w:p w14:paraId="2E109BF8" w14:textId="77777777" w:rsidR="00287694" w:rsidRPr="00964AEF" w:rsidRDefault="00BD181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4E3C3CC1" w14:textId="77777777" w:rsidR="00287694" w:rsidRPr="00964AEF" w:rsidRDefault="00BD181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7F392C6" w14:textId="77777777" w:rsidR="00287694" w:rsidRPr="00964AEF" w:rsidRDefault="00BD181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9E57AA" w:rsidRPr="00964AEF" w14:paraId="5D7BA224"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CE5D653" w14:textId="77777777" w:rsidR="00287694" w:rsidRPr="00964AEF" w:rsidRDefault="00661BA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10.punkts</w:t>
            </w:r>
          </w:p>
        </w:tc>
        <w:tc>
          <w:tcPr>
            <w:tcW w:w="904" w:type="pct"/>
            <w:tcBorders>
              <w:top w:val="outset" w:sz="6" w:space="0" w:color="auto"/>
              <w:left w:val="outset" w:sz="6" w:space="0" w:color="auto"/>
              <w:bottom w:val="outset" w:sz="6" w:space="0" w:color="auto"/>
              <w:right w:val="outset" w:sz="6" w:space="0" w:color="auto"/>
            </w:tcBorders>
          </w:tcPr>
          <w:p w14:paraId="585C0777" w14:textId="77777777" w:rsidR="00287694" w:rsidRPr="00964AEF" w:rsidRDefault="00BD181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D974DD9" w14:textId="77777777" w:rsidR="00287694" w:rsidRPr="00964AEF" w:rsidRDefault="00BD181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0927412" w14:textId="77777777" w:rsidR="00287694" w:rsidRPr="00964AEF" w:rsidRDefault="00BD181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32460ECF" w14:textId="77777777" w:rsidTr="00606CDC">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6B08237B" w14:textId="77777777" w:rsidR="00287694" w:rsidRPr="00964AEF" w:rsidRDefault="00777BBC"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12.pants</w:t>
            </w:r>
          </w:p>
        </w:tc>
      </w:tr>
      <w:tr w:rsidR="009E57AA" w:rsidRPr="00964AEF" w14:paraId="3B021458"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44B2EF0B" w14:textId="77777777" w:rsidR="00287694" w:rsidRPr="00964AEF" w:rsidRDefault="0007739B"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1F895CA7" w14:textId="77777777" w:rsidR="00287694" w:rsidRPr="00964AEF" w:rsidRDefault="0007739B"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 xml:space="preserve">Netiek ieviests, jo uzliek </w:t>
            </w:r>
            <w:r w:rsidRPr="00964AEF">
              <w:rPr>
                <w:rFonts w:ascii="Times New Roman" w:eastAsia="Times New Roman" w:hAnsi="Times New Roman" w:cs="Times New Roman"/>
                <w:iCs/>
                <w:sz w:val="24"/>
                <w:szCs w:val="24"/>
                <w:lang w:eastAsia="lv-LV"/>
              </w:rPr>
              <w:lastRenderedPageBreak/>
              <w:t>pienākumu dalībvalstīm</w:t>
            </w:r>
          </w:p>
        </w:tc>
        <w:tc>
          <w:tcPr>
            <w:tcW w:w="1304" w:type="pct"/>
            <w:gridSpan w:val="7"/>
            <w:tcBorders>
              <w:top w:val="outset" w:sz="6" w:space="0" w:color="auto"/>
              <w:left w:val="outset" w:sz="6" w:space="0" w:color="auto"/>
              <w:bottom w:val="outset" w:sz="6" w:space="0" w:color="auto"/>
              <w:right w:val="outset" w:sz="6" w:space="0" w:color="auto"/>
            </w:tcBorders>
          </w:tcPr>
          <w:p w14:paraId="73B43C78" w14:textId="77777777" w:rsidR="00287694" w:rsidRPr="00964AEF" w:rsidRDefault="0007739B"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lastRenderedPageBreak/>
              <w:t>Netiek ieviests</w:t>
            </w:r>
          </w:p>
        </w:tc>
        <w:tc>
          <w:tcPr>
            <w:tcW w:w="1872" w:type="pct"/>
            <w:tcBorders>
              <w:top w:val="outset" w:sz="6" w:space="0" w:color="auto"/>
              <w:left w:val="outset" w:sz="6" w:space="0" w:color="auto"/>
              <w:bottom w:val="outset" w:sz="6" w:space="0" w:color="auto"/>
              <w:right w:val="outset" w:sz="6" w:space="0" w:color="auto"/>
            </w:tcBorders>
          </w:tcPr>
          <w:p w14:paraId="6480C492" w14:textId="77777777" w:rsidR="00287694" w:rsidRPr="00964AEF" w:rsidRDefault="0007739B"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9E57AA" w:rsidRPr="00964AEF" w14:paraId="4F3C0486"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9D33EBF" w14:textId="77777777" w:rsidR="00287694" w:rsidRPr="00964AEF" w:rsidRDefault="0007739B"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181B09DE" w14:textId="77777777" w:rsidR="00287694" w:rsidRPr="00964AEF" w:rsidRDefault="00CA18B1"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60565360" w14:textId="77777777" w:rsidR="00287694" w:rsidRPr="00964AEF" w:rsidRDefault="00CA18B1"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AC97FE3" w14:textId="77777777" w:rsidR="00287694" w:rsidRPr="00964AEF" w:rsidRDefault="009166D2"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30515DEF"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4C867999" w14:textId="77777777" w:rsidR="00287694" w:rsidRPr="00964AEF" w:rsidRDefault="0007739B"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3.punkts</w:t>
            </w:r>
          </w:p>
        </w:tc>
        <w:tc>
          <w:tcPr>
            <w:tcW w:w="904" w:type="pct"/>
            <w:tcBorders>
              <w:top w:val="outset" w:sz="6" w:space="0" w:color="auto"/>
              <w:left w:val="outset" w:sz="6" w:space="0" w:color="auto"/>
              <w:bottom w:val="outset" w:sz="6" w:space="0" w:color="auto"/>
              <w:right w:val="outset" w:sz="6" w:space="0" w:color="auto"/>
            </w:tcBorders>
          </w:tcPr>
          <w:p w14:paraId="5DF3B228" w14:textId="77777777" w:rsidR="00287694" w:rsidRPr="00964AEF" w:rsidRDefault="009166D2"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uzliek pienākumu Eiropas Komisijai</w:t>
            </w:r>
          </w:p>
        </w:tc>
        <w:tc>
          <w:tcPr>
            <w:tcW w:w="1304" w:type="pct"/>
            <w:gridSpan w:val="7"/>
            <w:tcBorders>
              <w:top w:val="outset" w:sz="6" w:space="0" w:color="auto"/>
              <w:left w:val="outset" w:sz="6" w:space="0" w:color="auto"/>
              <w:bottom w:val="outset" w:sz="6" w:space="0" w:color="auto"/>
              <w:right w:val="outset" w:sz="6" w:space="0" w:color="auto"/>
            </w:tcBorders>
          </w:tcPr>
          <w:p w14:paraId="69067E9F" w14:textId="77777777" w:rsidR="00287694" w:rsidRPr="00964AEF" w:rsidRDefault="009166D2"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39348EA7" w14:textId="77777777" w:rsidR="00287694" w:rsidRPr="00964AEF" w:rsidRDefault="009166D2"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37246A1F"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C8D5551" w14:textId="77777777" w:rsidR="00287694" w:rsidRPr="00964AEF" w:rsidRDefault="0007739B"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4.punkts</w:t>
            </w:r>
          </w:p>
        </w:tc>
        <w:tc>
          <w:tcPr>
            <w:tcW w:w="904" w:type="pct"/>
            <w:tcBorders>
              <w:top w:val="outset" w:sz="6" w:space="0" w:color="auto"/>
              <w:left w:val="outset" w:sz="6" w:space="0" w:color="auto"/>
              <w:bottom w:val="outset" w:sz="6" w:space="0" w:color="auto"/>
              <w:right w:val="outset" w:sz="6" w:space="0" w:color="auto"/>
            </w:tcBorders>
          </w:tcPr>
          <w:p w14:paraId="150EE6CF" w14:textId="77777777" w:rsidR="00287694" w:rsidRPr="00964AEF" w:rsidRDefault="009166D2"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uzliek pienākumu Eiropas Komisijai un dalībvalstīm</w:t>
            </w:r>
          </w:p>
        </w:tc>
        <w:tc>
          <w:tcPr>
            <w:tcW w:w="1304" w:type="pct"/>
            <w:gridSpan w:val="7"/>
            <w:tcBorders>
              <w:top w:val="outset" w:sz="6" w:space="0" w:color="auto"/>
              <w:left w:val="outset" w:sz="6" w:space="0" w:color="auto"/>
              <w:bottom w:val="outset" w:sz="6" w:space="0" w:color="auto"/>
              <w:right w:val="outset" w:sz="6" w:space="0" w:color="auto"/>
            </w:tcBorders>
          </w:tcPr>
          <w:p w14:paraId="77B959A1" w14:textId="77777777" w:rsidR="00287694" w:rsidRPr="00964AEF" w:rsidRDefault="009166D2"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CB06BCD" w14:textId="77777777" w:rsidR="00287694" w:rsidRPr="00964AEF" w:rsidRDefault="009166D2"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5B56850C"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B07E827" w14:textId="77777777" w:rsidR="00287694" w:rsidRPr="00964AEF" w:rsidRDefault="0007739B"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5.punkts</w:t>
            </w:r>
          </w:p>
        </w:tc>
        <w:tc>
          <w:tcPr>
            <w:tcW w:w="904" w:type="pct"/>
            <w:tcBorders>
              <w:top w:val="outset" w:sz="6" w:space="0" w:color="auto"/>
              <w:left w:val="outset" w:sz="6" w:space="0" w:color="auto"/>
              <w:bottom w:val="outset" w:sz="6" w:space="0" w:color="auto"/>
              <w:right w:val="outset" w:sz="6" w:space="0" w:color="auto"/>
            </w:tcBorders>
          </w:tcPr>
          <w:p w14:paraId="4961DF2F" w14:textId="77777777" w:rsidR="00287694" w:rsidRPr="00964AEF" w:rsidRDefault="009166D2"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4ABBDEB2" w14:textId="77777777" w:rsidR="00287694" w:rsidRPr="00964AEF" w:rsidRDefault="009166D2"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45B3D97" w14:textId="77777777" w:rsidR="00287694" w:rsidRPr="00964AEF" w:rsidRDefault="009166D2"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566633EE"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13B0A3B" w14:textId="77777777" w:rsidR="00287694" w:rsidRPr="00964AEF" w:rsidRDefault="0007739B"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6.punkts</w:t>
            </w:r>
          </w:p>
        </w:tc>
        <w:tc>
          <w:tcPr>
            <w:tcW w:w="904" w:type="pct"/>
            <w:tcBorders>
              <w:top w:val="outset" w:sz="6" w:space="0" w:color="auto"/>
              <w:left w:val="outset" w:sz="6" w:space="0" w:color="auto"/>
              <w:bottom w:val="outset" w:sz="6" w:space="0" w:color="auto"/>
              <w:right w:val="outset" w:sz="6" w:space="0" w:color="auto"/>
            </w:tcBorders>
          </w:tcPr>
          <w:p w14:paraId="71045059" w14:textId="77777777" w:rsidR="00287694" w:rsidRPr="00964AEF" w:rsidRDefault="00956E4E"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uzliek pienākumu Eiropas Komisijai</w:t>
            </w:r>
          </w:p>
        </w:tc>
        <w:tc>
          <w:tcPr>
            <w:tcW w:w="1304" w:type="pct"/>
            <w:gridSpan w:val="7"/>
            <w:tcBorders>
              <w:top w:val="outset" w:sz="6" w:space="0" w:color="auto"/>
              <w:left w:val="outset" w:sz="6" w:space="0" w:color="auto"/>
              <w:bottom w:val="outset" w:sz="6" w:space="0" w:color="auto"/>
              <w:right w:val="outset" w:sz="6" w:space="0" w:color="auto"/>
            </w:tcBorders>
          </w:tcPr>
          <w:p w14:paraId="4D8B5B25"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6347B2C" w14:textId="77777777" w:rsidR="00287694" w:rsidRPr="00964AEF" w:rsidRDefault="00956E4E"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678BA039"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9E30F7F"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13.pants</w:t>
            </w:r>
          </w:p>
        </w:tc>
        <w:tc>
          <w:tcPr>
            <w:tcW w:w="904" w:type="pct"/>
            <w:tcBorders>
              <w:top w:val="outset" w:sz="6" w:space="0" w:color="auto"/>
              <w:left w:val="outset" w:sz="6" w:space="0" w:color="auto"/>
              <w:bottom w:val="outset" w:sz="6" w:space="0" w:color="auto"/>
              <w:right w:val="outset" w:sz="6" w:space="0" w:color="auto"/>
            </w:tcBorders>
          </w:tcPr>
          <w:p w14:paraId="06D65368"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regulē regulas spēkā stāšanos</w:t>
            </w:r>
          </w:p>
        </w:tc>
        <w:tc>
          <w:tcPr>
            <w:tcW w:w="1304" w:type="pct"/>
            <w:gridSpan w:val="7"/>
            <w:tcBorders>
              <w:top w:val="outset" w:sz="6" w:space="0" w:color="auto"/>
              <w:left w:val="outset" w:sz="6" w:space="0" w:color="auto"/>
              <w:bottom w:val="outset" w:sz="6" w:space="0" w:color="auto"/>
              <w:right w:val="outset" w:sz="6" w:space="0" w:color="auto"/>
            </w:tcBorders>
          </w:tcPr>
          <w:p w14:paraId="674A6F35"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D992776"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521AB5C9"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28E9A0C"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1.pielikums</w:t>
            </w:r>
          </w:p>
        </w:tc>
        <w:tc>
          <w:tcPr>
            <w:tcW w:w="904" w:type="pct"/>
            <w:tcBorders>
              <w:top w:val="outset" w:sz="6" w:space="0" w:color="auto"/>
              <w:left w:val="outset" w:sz="6" w:space="0" w:color="auto"/>
              <w:bottom w:val="outset" w:sz="6" w:space="0" w:color="auto"/>
              <w:right w:val="outset" w:sz="6" w:space="0" w:color="auto"/>
            </w:tcBorders>
          </w:tcPr>
          <w:p w14:paraId="63B8BB6A"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40FAB17E"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C77FC66"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0886EDC6"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5BCCD0A"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2.pielikums</w:t>
            </w:r>
          </w:p>
        </w:tc>
        <w:tc>
          <w:tcPr>
            <w:tcW w:w="904" w:type="pct"/>
            <w:tcBorders>
              <w:top w:val="outset" w:sz="6" w:space="0" w:color="auto"/>
              <w:left w:val="outset" w:sz="6" w:space="0" w:color="auto"/>
              <w:bottom w:val="outset" w:sz="6" w:space="0" w:color="auto"/>
              <w:right w:val="outset" w:sz="6" w:space="0" w:color="auto"/>
            </w:tcBorders>
          </w:tcPr>
          <w:p w14:paraId="1712DD7D"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49C7CA9E"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0B4F0CF"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22E02ECE"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B5C7DBA"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3.pielikums</w:t>
            </w:r>
          </w:p>
        </w:tc>
        <w:tc>
          <w:tcPr>
            <w:tcW w:w="904" w:type="pct"/>
            <w:tcBorders>
              <w:top w:val="outset" w:sz="6" w:space="0" w:color="auto"/>
              <w:left w:val="outset" w:sz="6" w:space="0" w:color="auto"/>
              <w:bottom w:val="outset" w:sz="6" w:space="0" w:color="auto"/>
              <w:right w:val="outset" w:sz="6" w:space="0" w:color="auto"/>
            </w:tcBorders>
          </w:tcPr>
          <w:p w14:paraId="66501645"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29733CC5"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4EF1407"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7857B4" w:rsidRPr="00964AEF" w14:paraId="2630955D"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D705BA6"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4.pielikums</w:t>
            </w:r>
          </w:p>
        </w:tc>
        <w:tc>
          <w:tcPr>
            <w:tcW w:w="904" w:type="pct"/>
            <w:tcBorders>
              <w:top w:val="outset" w:sz="6" w:space="0" w:color="auto"/>
              <w:left w:val="outset" w:sz="6" w:space="0" w:color="auto"/>
              <w:bottom w:val="outset" w:sz="6" w:space="0" w:color="auto"/>
              <w:right w:val="outset" w:sz="6" w:space="0" w:color="auto"/>
            </w:tcBorders>
          </w:tcPr>
          <w:p w14:paraId="2A78955F"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6F071B7A"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EB5F979" w14:textId="77777777" w:rsidR="00287694" w:rsidRPr="00964AEF" w:rsidRDefault="0049436D"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tc>
      </w:tr>
      <w:tr w:rsidR="00287694" w:rsidRPr="00964AEF" w14:paraId="14FB14FA"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30DED4BF" w14:textId="77777777" w:rsidR="00287694" w:rsidRPr="00964AEF" w:rsidRDefault="0028769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 xml:space="preserve">Kā ir izmantota ES tiesību aktā paredzētā rīcības brīvība dalībvalstij </w:t>
            </w:r>
            <w:r w:rsidRPr="00964AEF">
              <w:rPr>
                <w:rFonts w:ascii="Times New Roman" w:eastAsia="Times New Roman" w:hAnsi="Times New Roman" w:cs="Times New Roman"/>
                <w:iCs/>
                <w:sz w:val="24"/>
                <w:szCs w:val="24"/>
                <w:lang w:eastAsia="lv-LV"/>
              </w:rPr>
              <w:lastRenderedPageBreak/>
              <w:t>pārņemt vai ieviest noteiktas ES tiesību akta normas? Kādēļ?</w:t>
            </w:r>
          </w:p>
        </w:tc>
        <w:tc>
          <w:tcPr>
            <w:tcW w:w="4113" w:type="pct"/>
            <w:gridSpan w:val="9"/>
            <w:tcBorders>
              <w:top w:val="outset" w:sz="6" w:space="0" w:color="auto"/>
              <w:left w:val="outset" w:sz="6" w:space="0" w:color="auto"/>
              <w:bottom w:val="outset" w:sz="6" w:space="0" w:color="auto"/>
              <w:right w:val="outset" w:sz="6" w:space="0" w:color="auto"/>
            </w:tcBorders>
            <w:hideMark/>
          </w:tcPr>
          <w:p w14:paraId="6F94738F" w14:textId="34866158" w:rsidR="00287694" w:rsidRPr="00964AEF" w:rsidRDefault="00287694" w:rsidP="001F1862">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lastRenderedPageBreak/>
              <w:t>1. Regulas 3.</w:t>
            </w:r>
            <w:r w:rsidR="00BD1F61"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 xml:space="preserve">panta </w:t>
            </w:r>
            <w:r w:rsidR="0050641E" w:rsidRPr="00964AEF">
              <w:rPr>
                <w:rFonts w:ascii="Times New Roman" w:eastAsia="Times New Roman" w:hAnsi="Times New Roman" w:cs="Times New Roman"/>
                <w:iCs/>
                <w:sz w:val="24"/>
                <w:szCs w:val="24"/>
                <w:lang w:eastAsia="lv-LV"/>
              </w:rPr>
              <w:t>1</w:t>
            </w:r>
            <w:r w:rsidRPr="00964AEF">
              <w:rPr>
                <w:rFonts w:ascii="Times New Roman" w:eastAsia="Times New Roman" w:hAnsi="Times New Roman" w:cs="Times New Roman"/>
                <w:iCs/>
                <w:sz w:val="24"/>
                <w:szCs w:val="24"/>
                <w:lang w:eastAsia="lv-LV"/>
              </w:rPr>
              <w:t>.</w:t>
            </w:r>
            <w:r w:rsidR="00BD1F61"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punkts</w:t>
            </w:r>
            <w:r w:rsidR="000D0CD3" w:rsidRPr="00964AEF">
              <w:rPr>
                <w:rFonts w:ascii="Times New Roman" w:eastAsia="Times New Roman" w:hAnsi="Times New Roman" w:cs="Times New Roman"/>
                <w:iCs/>
                <w:sz w:val="24"/>
                <w:szCs w:val="24"/>
                <w:lang w:eastAsia="lv-LV"/>
              </w:rPr>
              <w:t xml:space="preserve"> un 9.</w:t>
            </w:r>
            <w:r w:rsidR="00BD1F61" w:rsidRPr="00964AEF">
              <w:rPr>
                <w:rFonts w:ascii="Times New Roman" w:eastAsia="Times New Roman" w:hAnsi="Times New Roman" w:cs="Times New Roman"/>
                <w:iCs/>
                <w:sz w:val="24"/>
                <w:szCs w:val="24"/>
                <w:lang w:eastAsia="lv-LV"/>
              </w:rPr>
              <w:t xml:space="preserve"> </w:t>
            </w:r>
            <w:r w:rsidR="000D0CD3" w:rsidRPr="00964AEF">
              <w:rPr>
                <w:rFonts w:ascii="Times New Roman" w:eastAsia="Times New Roman" w:hAnsi="Times New Roman" w:cs="Times New Roman"/>
                <w:iCs/>
                <w:sz w:val="24"/>
                <w:szCs w:val="24"/>
                <w:lang w:eastAsia="lv-LV"/>
              </w:rPr>
              <w:t>panta 1.</w:t>
            </w:r>
            <w:r w:rsidR="00BD1F61" w:rsidRPr="00964AEF">
              <w:rPr>
                <w:rFonts w:ascii="Times New Roman" w:eastAsia="Times New Roman" w:hAnsi="Times New Roman" w:cs="Times New Roman"/>
                <w:iCs/>
                <w:sz w:val="24"/>
                <w:szCs w:val="24"/>
                <w:lang w:eastAsia="lv-LV"/>
              </w:rPr>
              <w:t xml:space="preserve"> </w:t>
            </w:r>
            <w:r w:rsidR="000D0CD3" w:rsidRPr="00964AEF">
              <w:rPr>
                <w:rFonts w:ascii="Times New Roman" w:eastAsia="Times New Roman" w:hAnsi="Times New Roman" w:cs="Times New Roman"/>
                <w:iCs/>
                <w:sz w:val="24"/>
                <w:szCs w:val="24"/>
                <w:lang w:eastAsia="lv-LV"/>
              </w:rPr>
              <w:t>punkts</w:t>
            </w:r>
            <w:r w:rsidRPr="00964AEF">
              <w:rPr>
                <w:rFonts w:ascii="Times New Roman" w:eastAsia="Times New Roman" w:hAnsi="Times New Roman" w:cs="Times New Roman"/>
                <w:iCs/>
                <w:sz w:val="24"/>
                <w:szCs w:val="24"/>
                <w:lang w:eastAsia="lv-LV"/>
              </w:rPr>
              <w:t xml:space="preserve"> dod iespēju paredzēt, </w:t>
            </w:r>
            <w:r w:rsidR="00E725E3" w:rsidRPr="00964AEF">
              <w:rPr>
                <w:rFonts w:ascii="Times New Roman" w:eastAsia="Times New Roman" w:hAnsi="Times New Roman" w:cs="Times New Roman"/>
                <w:iCs/>
                <w:sz w:val="24"/>
                <w:szCs w:val="24"/>
                <w:lang w:eastAsia="lv-LV"/>
              </w:rPr>
              <w:t>ka pieteikumu licences saņemšanai</w:t>
            </w:r>
            <w:r w:rsidR="0029194A" w:rsidRPr="00964AEF">
              <w:rPr>
                <w:rFonts w:ascii="Times New Roman" w:eastAsia="Times New Roman" w:hAnsi="Times New Roman" w:cs="Times New Roman"/>
                <w:iCs/>
                <w:sz w:val="24"/>
                <w:szCs w:val="24"/>
                <w:lang w:eastAsia="lv-LV"/>
              </w:rPr>
              <w:t xml:space="preserve"> un reģistrācijai</w:t>
            </w:r>
            <w:r w:rsidR="00E725E3" w:rsidRPr="00964AEF">
              <w:rPr>
                <w:rFonts w:ascii="Times New Roman" w:eastAsia="Times New Roman" w:hAnsi="Times New Roman" w:cs="Times New Roman"/>
                <w:iCs/>
                <w:sz w:val="24"/>
                <w:szCs w:val="24"/>
                <w:lang w:eastAsia="lv-LV"/>
              </w:rPr>
              <w:t xml:space="preserve"> var iesniegt gan elektroniski, gan drukāta dokumenta formā. </w:t>
            </w:r>
            <w:r w:rsidR="00FD31C3" w:rsidRPr="00964AEF">
              <w:rPr>
                <w:rFonts w:ascii="Times New Roman" w:eastAsia="Times New Roman" w:hAnsi="Times New Roman" w:cs="Times New Roman"/>
                <w:iCs/>
                <w:sz w:val="24"/>
                <w:szCs w:val="24"/>
                <w:lang w:eastAsia="lv-LV"/>
              </w:rPr>
              <w:t>Noteikumu p</w:t>
            </w:r>
            <w:r w:rsidR="00E725E3" w:rsidRPr="00964AEF">
              <w:rPr>
                <w:rFonts w:ascii="Times New Roman" w:eastAsia="Times New Roman" w:hAnsi="Times New Roman" w:cs="Times New Roman"/>
                <w:iCs/>
                <w:sz w:val="24"/>
                <w:szCs w:val="24"/>
                <w:lang w:eastAsia="lv-LV"/>
              </w:rPr>
              <w:t>rojekts paredz, ka šo pieteikumu var iesniegt rakstveidā – gan elektroniska, gan drukāta dokumenta formā, jo nav racionāla pamata ierobežot šī pieteikuma formu.</w:t>
            </w:r>
          </w:p>
          <w:p w14:paraId="2D221C6D" w14:textId="56A84A6D" w:rsidR="00E725E3" w:rsidRPr="00964AEF" w:rsidRDefault="00E725E3" w:rsidP="001F1862">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lastRenderedPageBreak/>
              <w:t>2. Regulas 3.</w:t>
            </w:r>
            <w:r w:rsidR="00BD1F61"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panta 5.</w:t>
            </w:r>
            <w:r w:rsidR="00BD1F61"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punkts</w:t>
            </w:r>
            <w:r w:rsidR="00D0552C" w:rsidRPr="00964AEF">
              <w:rPr>
                <w:rFonts w:ascii="Times New Roman" w:eastAsia="Times New Roman" w:hAnsi="Times New Roman" w:cs="Times New Roman"/>
                <w:iCs/>
                <w:sz w:val="24"/>
                <w:szCs w:val="24"/>
                <w:lang w:eastAsia="lv-LV"/>
              </w:rPr>
              <w:t xml:space="preserve"> un 9.</w:t>
            </w:r>
            <w:r w:rsidR="00BD1F61" w:rsidRPr="00964AEF">
              <w:rPr>
                <w:rFonts w:ascii="Times New Roman" w:eastAsia="Times New Roman" w:hAnsi="Times New Roman" w:cs="Times New Roman"/>
                <w:iCs/>
                <w:sz w:val="24"/>
                <w:szCs w:val="24"/>
                <w:lang w:eastAsia="lv-LV"/>
              </w:rPr>
              <w:t xml:space="preserve"> </w:t>
            </w:r>
            <w:r w:rsidR="00D0552C" w:rsidRPr="00964AEF">
              <w:rPr>
                <w:rFonts w:ascii="Times New Roman" w:eastAsia="Times New Roman" w:hAnsi="Times New Roman" w:cs="Times New Roman"/>
                <w:iCs/>
                <w:sz w:val="24"/>
                <w:szCs w:val="24"/>
                <w:lang w:eastAsia="lv-LV"/>
              </w:rPr>
              <w:t>panta 1.</w:t>
            </w:r>
            <w:r w:rsidR="00BD1F61" w:rsidRPr="00964AEF">
              <w:rPr>
                <w:rFonts w:ascii="Times New Roman" w:eastAsia="Times New Roman" w:hAnsi="Times New Roman" w:cs="Times New Roman"/>
                <w:iCs/>
                <w:sz w:val="24"/>
                <w:szCs w:val="24"/>
                <w:lang w:eastAsia="lv-LV"/>
              </w:rPr>
              <w:t xml:space="preserve"> </w:t>
            </w:r>
            <w:r w:rsidR="00D0552C" w:rsidRPr="00964AEF">
              <w:rPr>
                <w:rFonts w:ascii="Times New Roman" w:eastAsia="Times New Roman" w:hAnsi="Times New Roman" w:cs="Times New Roman"/>
                <w:iCs/>
                <w:sz w:val="24"/>
                <w:szCs w:val="24"/>
                <w:lang w:eastAsia="lv-LV"/>
              </w:rPr>
              <w:t>punkts</w:t>
            </w:r>
            <w:r w:rsidRPr="00964AEF">
              <w:rPr>
                <w:rFonts w:ascii="Times New Roman" w:eastAsia="Times New Roman" w:hAnsi="Times New Roman" w:cs="Times New Roman"/>
                <w:iCs/>
                <w:sz w:val="24"/>
                <w:szCs w:val="24"/>
                <w:lang w:eastAsia="lv-LV"/>
              </w:rPr>
              <w:t xml:space="preserve"> dod iespēju paredzēt, ka persona par atteikumu piešķirt licenci</w:t>
            </w:r>
            <w:r w:rsidR="0029194A" w:rsidRPr="00964AEF">
              <w:rPr>
                <w:rFonts w:ascii="Times New Roman" w:eastAsia="Times New Roman" w:hAnsi="Times New Roman" w:cs="Times New Roman"/>
                <w:iCs/>
                <w:sz w:val="24"/>
                <w:szCs w:val="24"/>
                <w:lang w:eastAsia="lv-LV"/>
              </w:rPr>
              <w:t xml:space="preserve"> un reģistrēt personu</w:t>
            </w:r>
            <w:r w:rsidRPr="00964AEF">
              <w:rPr>
                <w:rFonts w:ascii="Times New Roman" w:eastAsia="Times New Roman" w:hAnsi="Times New Roman" w:cs="Times New Roman"/>
                <w:iCs/>
                <w:sz w:val="24"/>
                <w:szCs w:val="24"/>
                <w:lang w:eastAsia="lv-LV"/>
              </w:rPr>
              <w:t xml:space="preserve"> tiek informēta elektroniski vai  drukāta dokumenta formā. </w:t>
            </w:r>
            <w:r w:rsidR="00FD31C3" w:rsidRPr="00964AEF">
              <w:rPr>
                <w:rFonts w:ascii="Times New Roman" w:eastAsia="Times New Roman" w:hAnsi="Times New Roman" w:cs="Times New Roman"/>
                <w:iCs/>
                <w:sz w:val="24"/>
                <w:szCs w:val="24"/>
                <w:lang w:eastAsia="lv-LV"/>
              </w:rPr>
              <w:t>Noteikumu p</w:t>
            </w:r>
            <w:r w:rsidRPr="00964AEF">
              <w:rPr>
                <w:rFonts w:ascii="Times New Roman" w:eastAsia="Times New Roman" w:hAnsi="Times New Roman" w:cs="Times New Roman"/>
                <w:iCs/>
                <w:sz w:val="24"/>
                <w:szCs w:val="24"/>
                <w:lang w:eastAsia="lv-LV"/>
              </w:rPr>
              <w:t>rojekts paredz, ka šādu atteikumu personai nosūta tikai</w:t>
            </w:r>
            <w:r w:rsidR="008B5416" w:rsidRPr="00964AEF">
              <w:rPr>
                <w:rFonts w:ascii="Times New Roman" w:eastAsia="Times New Roman" w:hAnsi="Times New Roman" w:cs="Times New Roman"/>
                <w:iCs/>
                <w:sz w:val="24"/>
                <w:szCs w:val="24"/>
                <w:lang w:eastAsia="lv-LV"/>
              </w:rPr>
              <w:t xml:space="preserve"> elektroniski (primāri izmantojot oficiālo elektroniskā pasta adresi, ja tāda ir aktivizēta)</w:t>
            </w:r>
            <w:r w:rsidRPr="00964AEF">
              <w:rPr>
                <w:rFonts w:ascii="Times New Roman" w:eastAsia="Times New Roman" w:hAnsi="Times New Roman" w:cs="Times New Roman"/>
                <w:iCs/>
                <w:sz w:val="24"/>
                <w:szCs w:val="24"/>
                <w:lang w:eastAsia="lv-LV"/>
              </w:rPr>
              <w:t>, nolūkā ekonomēt resursus.</w:t>
            </w:r>
          </w:p>
          <w:p w14:paraId="10A95598" w14:textId="330753B4" w:rsidR="00A101F1" w:rsidRPr="00964AEF" w:rsidRDefault="00A101F1" w:rsidP="001F1862">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 Regulas 6.</w:t>
            </w:r>
            <w:r w:rsidR="00BD1F61"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punkts</w:t>
            </w:r>
            <w:r w:rsidR="00D0552C" w:rsidRPr="00964AEF">
              <w:rPr>
                <w:rFonts w:ascii="Times New Roman" w:eastAsia="Times New Roman" w:hAnsi="Times New Roman" w:cs="Times New Roman"/>
                <w:iCs/>
                <w:sz w:val="24"/>
                <w:szCs w:val="24"/>
                <w:lang w:eastAsia="lv-LV"/>
              </w:rPr>
              <w:t xml:space="preserve"> un 9.</w:t>
            </w:r>
            <w:r w:rsidR="00BD1F61" w:rsidRPr="00964AEF">
              <w:rPr>
                <w:rFonts w:ascii="Times New Roman" w:eastAsia="Times New Roman" w:hAnsi="Times New Roman" w:cs="Times New Roman"/>
                <w:iCs/>
                <w:sz w:val="24"/>
                <w:szCs w:val="24"/>
                <w:lang w:eastAsia="lv-LV"/>
              </w:rPr>
              <w:t xml:space="preserve"> </w:t>
            </w:r>
            <w:r w:rsidR="00D0552C" w:rsidRPr="00964AEF">
              <w:rPr>
                <w:rFonts w:ascii="Times New Roman" w:eastAsia="Times New Roman" w:hAnsi="Times New Roman" w:cs="Times New Roman"/>
                <w:iCs/>
                <w:sz w:val="24"/>
                <w:szCs w:val="24"/>
                <w:lang w:eastAsia="lv-LV"/>
              </w:rPr>
              <w:t>panta 1.</w:t>
            </w:r>
            <w:r w:rsidR="00BD1F61" w:rsidRPr="00964AEF">
              <w:rPr>
                <w:rFonts w:ascii="Times New Roman" w:eastAsia="Times New Roman" w:hAnsi="Times New Roman" w:cs="Times New Roman"/>
                <w:iCs/>
                <w:sz w:val="24"/>
                <w:szCs w:val="24"/>
                <w:lang w:eastAsia="lv-LV"/>
              </w:rPr>
              <w:t xml:space="preserve"> </w:t>
            </w:r>
            <w:r w:rsidR="00D0552C" w:rsidRPr="00964AEF">
              <w:rPr>
                <w:rFonts w:ascii="Times New Roman" w:eastAsia="Times New Roman" w:hAnsi="Times New Roman" w:cs="Times New Roman"/>
                <w:iCs/>
                <w:sz w:val="24"/>
                <w:szCs w:val="24"/>
                <w:lang w:eastAsia="lv-LV"/>
              </w:rPr>
              <w:t>punkts</w:t>
            </w:r>
            <w:r w:rsidRPr="00964AEF">
              <w:rPr>
                <w:rFonts w:ascii="Times New Roman" w:eastAsia="Times New Roman" w:hAnsi="Times New Roman" w:cs="Times New Roman"/>
                <w:iCs/>
                <w:sz w:val="24"/>
                <w:szCs w:val="24"/>
                <w:lang w:eastAsia="lv-LV"/>
              </w:rPr>
              <w:t xml:space="preserve"> dod iespēju</w:t>
            </w:r>
            <w:r w:rsidR="00A42806" w:rsidRPr="00964AEF">
              <w:rPr>
                <w:rFonts w:ascii="Times New Roman" w:eastAsia="Times New Roman" w:hAnsi="Times New Roman" w:cs="Times New Roman"/>
                <w:iCs/>
                <w:sz w:val="24"/>
                <w:szCs w:val="24"/>
                <w:lang w:eastAsia="lv-LV"/>
              </w:rPr>
              <w:t xml:space="preserve"> paredzēt, ka persona</w:t>
            </w:r>
            <w:r w:rsidRPr="00964AEF">
              <w:rPr>
                <w:rFonts w:ascii="Times New Roman" w:eastAsia="Times New Roman" w:hAnsi="Times New Roman" w:cs="Times New Roman"/>
                <w:iCs/>
                <w:sz w:val="24"/>
                <w:szCs w:val="24"/>
                <w:lang w:eastAsia="lv-LV"/>
              </w:rPr>
              <w:t xml:space="preserve"> </w:t>
            </w:r>
            <w:r w:rsidR="00A42806" w:rsidRPr="00964AEF">
              <w:rPr>
                <w:rFonts w:ascii="Times New Roman" w:eastAsia="Times New Roman" w:hAnsi="Times New Roman" w:cs="Times New Roman"/>
                <w:iCs/>
                <w:sz w:val="24"/>
                <w:szCs w:val="24"/>
                <w:lang w:eastAsia="lv-LV"/>
              </w:rPr>
              <w:t xml:space="preserve">informāciju par izmaiņām iesniedz elektroniski vai  drukāta dokumenta formā. </w:t>
            </w:r>
            <w:r w:rsidR="00FD31C3" w:rsidRPr="00964AEF">
              <w:rPr>
                <w:rFonts w:ascii="Times New Roman" w:eastAsia="Times New Roman" w:hAnsi="Times New Roman" w:cs="Times New Roman"/>
                <w:iCs/>
                <w:sz w:val="24"/>
                <w:szCs w:val="24"/>
                <w:lang w:eastAsia="lv-LV"/>
              </w:rPr>
              <w:t>Noteikumu p</w:t>
            </w:r>
            <w:r w:rsidR="00A42806" w:rsidRPr="00964AEF">
              <w:rPr>
                <w:rFonts w:ascii="Times New Roman" w:eastAsia="Times New Roman" w:hAnsi="Times New Roman" w:cs="Times New Roman"/>
                <w:iCs/>
                <w:sz w:val="24"/>
                <w:szCs w:val="24"/>
                <w:lang w:eastAsia="lv-LV"/>
              </w:rPr>
              <w:t>rojekts paredz, ka šo informāciju iesniedz rakstveidā – gan elektroniska, gan drukāta dokumenta formā, jo nav racionāla pamata ierobežot šī pieteikuma formu.</w:t>
            </w:r>
          </w:p>
          <w:p w14:paraId="4B457372" w14:textId="62C21475" w:rsidR="00A42806" w:rsidRPr="00964AEF" w:rsidRDefault="00A42806" w:rsidP="001F1862">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4. Regulas 7.</w:t>
            </w:r>
            <w:r w:rsidR="00BD1F61"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panta 2.</w:t>
            </w:r>
            <w:r w:rsidR="00BD1F61"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iCs/>
                <w:sz w:val="24"/>
                <w:szCs w:val="24"/>
                <w:lang w:eastAsia="lv-LV"/>
              </w:rPr>
              <w:t>punkts</w:t>
            </w:r>
            <w:r w:rsidR="00D0552C" w:rsidRPr="00964AEF">
              <w:rPr>
                <w:rFonts w:ascii="Times New Roman" w:eastAsia="Times New Roman" w:hAnsi="Times New Roman" w:cs="Times New Roman"/>
                <w:iCs/>
                <w:sz w:val="24"/>
                <w:szCs w:val="24"/>
                <w:lang w:eastAsia="lv-LV"/>
              </w:rPr>
              <w:t xml:space="preserve"> un 9.</w:t>
            </w:r>
            <w:r w:rsidR="00BD1F61" w:rsidRPr="00964AEF">
              <w:rPr>
                <w:rFonts w:ascii="Times New Roman" w:eastAsia="Times New Roman" w:hAnsi="Times New Roman" w:cs="Times New Roman"/>
                <w:iCs/>
                <w:sz w:val="24"/>
                <w:szCs w:val="24"/>
                <w:lang w:eastAsia="lv-LV"/>
              </w:rPr>
              <w:t xml:space="preserve"> </w:t>
            </w:r>
            <w:r w:rsidR="00D0552C" w:rsidRPr="00964AEF">
              <w:rPr>
                <w:rFonts w:ascii="Times New Roman" w:eastAsia="Times New Roman" w:hAnsi="Times New Roman" w:cs="Times New Roman"/>
                <w:iCs/>
                <w:sz w:val="24"/>
                <w:szCs w:val="24"/>
                <w:lang w:eastAsia="lv-LV"/>
              </w:rPr>
              <w:t>panta 1.</w:t>
            </w:r>
            <w:r w:rsidR="00BD1F61" w:rsidRPr="00964AEF">
              <w:rPr>
                <w:rFonts w:ascii="Times New Roman" w:eastAsia="Times New Roman" w:hAnsi="Times New Roman" w:cs="Times New Roman"/>
                <w:iCs/>
                <w:sz w:val="24"/>
                <w:szCs w:val="24"/>
                <w:lang w:eastAsia="lv-LV"/>
              </w:rPr>
              <w:t xml:space="preserve"> </w:t>
            </w:r>
            <w:r w:rsidR="00D0552C" w:rsidRPr="00964AEF">
              <w:rPr>
                <w:rFonts w:ascii="Times New Roman" w:eastAsia="Times New Roman" w:hAnsi="Times New Roman" w:cs="Times New Roman"/>
                <w:iCs/>
                <w:sz w:val="24"/>
                <w:szCs w:val="24"/>
                <w:lang w:eastAsia="lv-LV"/>
              </w:rPr>
              <w:t>punkts</w:t>
            </w:r>
            <w:r w:rsidRPr="00964AEF">
              <w:rPr>
                <w:rFonts w:ascii="Times New Roman" w:eastAsia="Times New Roman" w:hAnsi="Times New Roman" w:cs="Times New Roman"/>
                <w:iCs/>
                <w:sz w:val="24"/>
                <w:szCs w:val="24"/>
                <w:lang w:eastAsia="lv-LV"/>
              </w:rPr>
              <w:t xml:space="preserve"> dod iespēju lēmumu par licences</w:t>
            </w:r>
            <w:r w:rsidR="0029194A" w:rsidRPr="00964AEF">
              <w:rPr>
                <w:rFonts w:ascii="Times New Roman" w:eastAsia="Times New Roman" w:hAnsi="Times New Roman" w:cs="Times New Roman"/>
                <w:iCs/>
                <w:sz w:val="24"/>
                <w:szCs w:val="24"/>
                <w:lang w:eastAsia="lv-LV"/>
              </w:rPr>
              <w:t xml:space="preserve"> vai reģistrācijas</w:t>
            </w:r>
            <w:r w:rsidRPr="00964AEF">
              <w:rPr>
                <w:rFonts w:ascii="Times New Roman" w:eastAsia="Times New Roman" w:hAnsi="Times New Roman" w:cs="Times New Roman"/>
                <w:iCs/>
                <w:sz w:val="24"/>
                <w:szCs w:val="24"/>
                <w:lang w:eastAsia="lv-LV"/>
              </w:rPr>
              <w:t xml:space="preserve"> apturēšanu vai anulēšanu licences turētajam nosūta elektroniski vai drukāta dokumenta formā. </w:t>
            </w:r>
            <w:r w:rsidR="00FD31C3" w:rsidRPr="00964AEF">
              <w:rPr>
                <w:rFonts w:ascii="Times New Roman" w:eastAsia="Times New Roman" w:hAnsi="Times New Roman" w:cs="Times New Roman"/>
                <w:iCs/>
                <w:sz w:val="24"/>
                <w:szCs w:val="24"/>
                <w:lang w:eastAsia="lv-LV"/>
              </w:rPr>
              <w:t>Noteikumu p</w:t>
            </w:r>
            <w:r w:rsidRPr="00964AEF">
              <w:rPr>
                <w:rFonts w:ascii="Times New Roman" w:eastAsia="Times New Roman" w:hAnsi="Times New Roman" w:cs="Times New Roman"/>
                <w:iCs/>
                <w:sz w:val="24"/>
                <w:szCs w:val="24"/>
                <w:lang w:eastAsia="lv-LV"/>
              </w:rPr>
              <w:t xml:space="preserve">rojekts paredz, ka šādu lēmumu paziņo adresātam </w:t>
            </w:r>
            <w:r w:rsidR="008B5416" w:rsidRPr="00964AEF">
              <w:rPr>
                <w:rFonts w:ascii="Times New Roman" w:eastAsia="Times New Roman" w:hAnsi="Times New Roman" w:cs="Times New Roman"/>
                <w:iCs/>
                <w:sz w:val="24"/>
                <w:szCs w:val="24"/>
                <w:lang w:eastAsia="lv-LV"/>
              </w:rPr>
              <w:t>tikai elektroniski (primāri izmantojot oficiālo elektroniskā pasta adresi, ja tāda ir aktivizēta)</w:t>
            </w:r>
            <w:r w:rsidRPr="00964AEF">
              <w:rPr>
                <w:rFonts w:ascii="Times New Roman" w:eastAsia="Times New Roman" w:hAnsi="Times New Roman" w:cs="Times New Roman"/>
                <w:iCs/>
                <w:sz w:val="24"/>
                <w:szCs w:val="24"/>
                <w:lang w:eastAsia="lv-LV"/>
              </w:rPr>
              <w:t>.</w:t>
            </w:r>
          </w:p>
          <w:p w14:paraId="406B1930" w14:textId="0619B45E" w:rsidR="00A42806" w:rsidRPr="00964AEF" w:rsidRDefault="00A42806" w:rsidP="001F1862">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5. </w:t>
            </w:r>
            <w:r w:rsidR="00687497" w:rsidRPr="00964AEF">
              <w:rPr>
                <w:rFonts w:ascii="Times New Roman" w:eastAsia="Times New Roman" w:hAnsi="Times New Roman" w:cs="Times New Roman"/>
                <w:iCs/>
                <w:sz w:val="24"/>
                <w:szCs w:val="24"/>
                <w:lang w:eastAsia="lv-LV"/>
              </w:rPr>
              <w:t>Regulas 10.</w:t>
            </w:r>
            <w:r w:rsidR="00BD1F61" w:rsidRPr="00964AEF">
              <w:rPr>
                <w:rFonts w:ascii="Times New Roman" w:eastAsia="Times New Roman" w:hAnsi="Times New Roman" w:cs="Times New Roman"/>
                <w:iCs/>
                <w:sz w:val="24"/>
                <w:szCs w:val="24"/>
                <w:lang w:eastAsia="lv-LV"/>
              </w:rPr>
              <w:t xml:space="preserve"> </w:t>
            </w:r>
            <w:r w:rsidR="00687497" w:rsidRPr="00964AEF">
              <w:rPr>
                <w:rFonts w:ascii="Times New Roman" w:eastAsia="Times New Roman" w:hAnsi="Times New Roman" w:cs="Times New Roman"/>
                <w:iCs/>
                <w:sz w:val="24"/>
                <w:szCs w:val="24"/>
                <w:lang w:eastAsia="lv-LV"/>
              </w:rPr>
              <w:t xml:space="preserve">panta 1. un 2.punkts paredz iespēju noteikt, ka prekursoru operatori informāciju par prekursoru apriti sniedz </w:t>
            </w:r>
            <w:r w:rsidR="009E74BA" w:rsidRPr="00964AEF">
              <w:rPr>
                <w:rFonts w:ascii="Times New Roman" w:eastAsia="Times New Roman" w:hAnsi="Times New Roman" w:cs="Times New Roman"/>
                <w:iCs/>
                <w:sz w:val="24"/>
                <w:szCs w:val="24"/>
                <w:lang w:eastAsia="lv-LV"/>
              </w:rPr>
              <w:t>vai nu elektroniski vai drukāta dokumenta formā.</w:t>
            </w:r>
            <w:r w:rsidR="00BA0843" w:rsidRPr="00964AEF">
              <w:rPr>
                <w:rFonts w:ascii="Times New Roman" w:eastAsia="Times New Roman" w:hAnsi="Times New Roman" w:cs="Times New Roman"/>
                <w:iCs/>
                <w:sz w:val="24"/>
                <w:szCs w:val="24"/>
                <w:lang w:eastAsia="lv-LV"/>
              </w:rPr>
              <w:t xml:space="preserve"> </w:t>
            </w:r>
            <w:r w:rsidR="00964AEF" w:rsidRPr="00964AEF">
              <w:rPr>
                <w:rFonts w:ascii="Times New Roman" w:eastAsia="Times New Roman" w:hAnsi="Times New Roman" w:cs="Times New Roman"/>
                <w:iCs/>
                <w:sz w:val="24"/>
                <w:szCs w:val="24"/>
                <w:lang w:eastAsia="lv-LV"/>
              </w:rPr>
              <w:t>Noteikumu p</w:t>
            </w:r>
            <w:r w:rsidR="00BA0843" w:rsidRPr="00964AEF">
              <w:rPr>
                <w:rFonts w:ascii="Times New Roman" w:eastAsia="Times New Roman" w:hAnsi="Times New Roman" w:cs="Times New Roman"/>
                <w:iCs/>
                <w:sz w:val="24"/>
                <w:szCs w:val="24"/>
                <w:lang w:eastAsia="lv-LV"/>
              </w:rPr>
              <w:t>rojekts paredz, ka prekursoru operatori informāciju par prekursoru apriti sniedz elektroniski, jo šādus datus ir ātri un viegli apstrādāt, kas ir arī galvenais to iegūšanas mērķis.</w:t>
            </w:r>
          </w:p>
          <w:p w14:paraId="426AC457" w14:textId="0931392D" w:rsidR="00CC6908" w:rsidRPr="00964AEF" w:rsidRDefault="00CC6908" w:rsidP="001F1862">
            <w:pPr>
              <w:spacing w:after="0" w:line="240" w:lineRule="auto"/>
              <w:jc w:val="both"/>
              <w:rPr>
                <w:rFonts w:ascii="Times New Roman" w:eastAsia="Times New Roman" w:hAnsi="Times New Roman" w:cs="Times New Roman"/>
                <w:iCs/>
                <w:sz w:val="24"/>
                <w:szCs w:val="24"/>
                <w:lang w:eastAsia="lv-LV"/>
              </w:rPr>
            </w:pPr>
          </w:p>
        </w:tc>
      </w:tr>
      <w:tr w:rsidR="00287694" w:rsidRPr="00964AEF" w14:paraId="27856A23"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7F60665A" w14:textId="77777777" w:rsidR="00287694" w:rsidRPr="00964AEF" w:rsidRDefault="0028769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13" w:type="pct"/>
            <w:gridSpan w:val="9"/>
            <w:tcBorders>
              <w:top w:val="outset" w:sz="6" w:space="0" w:color="auto"/>
              <w:left w:val="outset" w:sz="6" w:space="0" w:color="auto"/>
              <w:bottom w:val="outset" w:sz="6" w:space="0" w:color="auto"/>
              <w:right w:val="outset" w:sz="6" w:space="0" w:color="auto"/>
            </w:tcBorders>
            <w:hideMark/>
          </w:tcPr>
          <w:p w14:paraId="304378FE" w14:textId="77BF8771" w:rsidR="00287694" w:rsidRPr="00964AEF" w:rsidRDefault="00964AEF"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Noteikumu p</w:t>
            </w:r>
            <w:r w:rsidR="00287694" w:rsidRPr="00964AEF">
              <w:rPr>
                <w:rFonts w:ascii="Times New Roman" w:eastAsia="Times New Roman" w:hAnsi="Times New Roman" w:cs="Times New Roman"/>
                <w:iCs/>
                <w:sz w:val="24"/>
                <w:szCs w:val="24"/>
                <w:lang w:eastAsia="lv-LV"/>
              </w:rPr>
              <w:t>rojekts šo jomu neskar</w:t>
            </w:r>
          </w:p>
        </w:tc>
      </w:tr>
      <w:tr w:rsidR="00287694" w:rsidRPr="00964AEF" w14:paraId="63F22D48"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44458D97" w14:textId="77777777" w:rsidR="00287694" w:rsidRPr="00964AEF" w:rsidRDefault="0028769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Cita informācija</w:t>
            </w:r>
          </w:p>
        </w:tc>
        <w:tc>
          <w:tcPr>
            <w:tcW w:w="4113" w:type="pct"/>
            <w:gridSpan w:val="9"/>
            <w:tcBorders>
              <w:top w:val="outset" w:sz="6" w:space="0" w:color="auto"/>
              <w:left w:val="outset" w:sz="6" w:space="0" w:color="auto"/>
              <w:bottom w:val="outset" w:sz="6" w:space="0" w:color="auto"/>
              <w:right w:val="outset" w:sz="6" w:space="0" w:color="auto"/>
            </w:tcBorders>
            <w:hideMark/>
          </w:tcPr>
          <w:p w14:paraId="3B55C1A2" w14:textId="77777777" w:rsidR="00287694" w:rsidRPr="00964AEF" w:rsidRDefault="00287694" w:rsidP="00606CDC">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w:t>
            </w:r>
          </w:p>
        </w:tc>
      </w:tr>
      <w:bookmarkEnd w:id="4"/>
      <w:tr w:rsidR="00E5323B" w:rsidRPr="00964AEF" w14:paraId="5CB51BA6" w14:textId="77777777" w:rsidTr="00E5323B">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14:paraId="4C6513CA" w14:textId="77777777" w:rsidR="00655F2C" w:rsidRPr="00964AEF" w:rsidRDefault="00E5323B" w:rsidP="00E5323B">
            <w:pPr>
              <w:spacing w:after="0" w:line="240" w:lineRule="auto"/>
              <w:rPr>
                <w:rFonts w:ascii="Times New Roman" w:eastAsia="Times New Roman" w:hAnsi="Times New Roman" w:cs="Times New Roman"/>
                <w:b/>
                <w:bCs/>
                <w:iCs/>
                <w:sz w:val="24"/>
                <w:szCs w:val="24"/>
                <w:lang w:eastAsia="lv-LV"/>
              </w:rPr>
            </w:pPr>
            <w:r w:rsidRPr="00964AEF">
              <w:rPr>
                <w:rFonts w:ascii="Times New Roman" w:eastAsia="Times New Roman" w:hAnsi="Times New Roman" w:cs="Times New Roman"/>
                <w:iCs/>
                <w:sz w:val="24"/>
                <w:szCs w:val="24"/>
                <w:lang w:eastAsia="lv-LV"/>
              </w:rPr>
              <w:t xml:space="preserve"> </w:t>
            </w:r>
            <w:r w:rsidRPr="00964AEF">
              <w:rPr>
                <w:rFonts w:ascii="Times New Roman" w:eastAsia="Times New Roman" w:hAnsi="Times New Roman" w:cs="Times New Roman"/>
                <w:b/>
                <w:bCs/>
                <w:iCs/>
                <w:sz w:val="24"/>
                <w:szCs w:val="24"/>
                <w:lang w:eastAsia="lv-LV"/>
              </w:rPr>
              <w:t>VI. Sabiedrības līdzdalība un komunikācijas aktivitātes</w:t>
            </w:r>
          </w:p>
        </w:tc>
      </w:tr>
      <w:tr w:rsidR="00E5323B" w:rsidRPr="00964AEF" w14:paraId="48EFEDC4" w14:textId="77777777" w:rsidTr="00F60184">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2AF2A565" w14:textId="77777777" w:rsidR="00655F2C"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w:t>
            </w:r>
          </w:p>
        </w:tc>
        <w:tc>
          <w:tcPr>
            <w:tcW w:w="1678" w:type="pct"/>
            <w:gridSpan w:val="6"/>
            <w:tcBorders>
              <w:top w:val="outset" w:sz="6" w:space="0" w:color="auto"/>
              <w:left w:val="outset" w:sz="6" w:space="0" w:color="auto"/>
              <w:bottom w:val="outset" w:sz="6" w:space="0" w:color="auto"/>
              <w:right w:val="outset" w:sz="6" w:space="0" w:color="auto"/>
            </w:tcBorders>
            <w:hideMark/>
          </w:tcPr>
          <w:p w14:paraId="39BFD15C" w14:textId="77777777" w:rsidR="00E5323B"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gridSpan w:val="6"/>
            <w:tcBorders>
              <w:top w:val="outset" w:sz="6" w:space="0" w:color="auto"/>
              <w:left w:val="outset" w:sz="6" w:space="0" w:color="auto"/>
              <w:bottom w:val="outset" w:sz="6" w:space="0" w:color="auto"/>
              <w:right w:val="outset" w:sz="6" w:space="0" w:color="auto"/>
            </w:tcBorders>
            <w:hideMark/>
          </w:tcPr>
          <w:p w14:paraId="35FD8771" w14:textId="4B49001C" w:rsidR="00E5323B" w:rsidRPr="00964AEF" w:rsidRDefault="00FD3DDA" w:rsidP="001F1862">
            <w:pPr>
              <w:spacing w:after="0" w:line="240" w:lineRule="auto"/>
              <w:jc w:val="both"/>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 attiecināms.</w:t>
            </w:r>
          </w:p>
          <w:p w14:paraId="0ECF7CB5" w14:textId="67B215DC" w:rsidR="00CC6908" w:rsidRPr="00964AEF" w:rsidRDefault="00CC6908" w:rsidP="001F1862">
            <w:pPr>
              <w:spacing w:after="0" w:line="240" w:lineRule="auto"/>
              <w:jc w:val="both"/>
              <w:rPr>
                <w:rFonts w:ascii="Times New Roman" w:eastAsia="Times New Roman" w:hAnsi="Times New Roman" w:cs="Times New Roman"/>
                <w:iCs/>
                <w:sz w:val="24"/>
                <w:szCs w:val="24"/>
                <w:lang w:eastAsia="lv-LV"/>
              </w:rPr>
            </w:pPr>
          </w:p>
        </w:tc>
      </w:tr>
      <w:tr w:rsidR="00E5323B" w:rsidRPr="00964AEF" w14:paraId="41BD809A" w14:textId="77777777" w:rsidTr="00F60184">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37815304" w14:textId="77777777" w:rsidR="00655F2C"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lastRenderedPageBreak/>
              <w:t>2.</w:t>
            </w:r>
          </w:p>
        </w:tc>
        <w:tc>
          <w:tcPr>
            <w:tcW w:w="1678" w:type="pct"/>
            <w:gridSpan w:val="6"/>
            <w:tcBorders>
              <w:top w:val="outset" w:sz="6" w:space="0" w:color="auto"/>
              <w:left w:val="outset" w:sz="6" w:space="0" w:color="auto"/>
              <w:bottom w:val="outset" w:sz="6" w:space="0" w:color="auto"/>
              <w:right w:val="outset" w:sz="6" w:space="0" w:color="auto"/>
            </w:tcBorders>
            <w:hideMark/>
          </w:tcPr>
          <w:p w14:paraId="775A9FFC" w14:textId="77777777" w:rsidR="00E5323B"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Sabiedrības līdzdalība projekta izstrādē</w:t>
            </w:r>
          </w:p>
        </w:tc>
        <w:tc>
          <w:tcPr>
            <w:tcW w:w="2960" w:type="pct"/>
            <w:gridSpan w:val="6"/>
            <w:tcBorders>
              <w:top w:val="outset" w:sz="6" w:space="0" w:color="auto"/>
              <w:left w:val="outset" w:sz="6" w:space="0" w:color="auto"/>
              <w:bottom w:val="outset" w:sz="6" w:space="0" w:color="auto"/>
              <w:right w:val="outset" w:sz="6" w:space="0" w:color="auto"/>
            </w:tcBorders>
            <w:hideMark/>
          </w:tcPr>
          <w:p w14:paraId="6AB87716" w14:textId="738711CB" w:rsidR="00CC6908" w:rsidRPr="00964AEF" w:rsidRDefault="00FD3DDA" w:rsidP="00E5323B">
            <w:pPr>
              <w:spacing w:after="0" w:line="240" w:lineRule="auto"/>
              <w:rPr>
                <w:rFonts w:ascii="Times New Roman" w:eastAsia="Times New Roman" w:hAnsi="Times New Roman" w:cs="Times New Roman"/>
                <w:iCs/>
                <w:sz w:val="24"/>
                <w:szCs w:val="24"/>
                <w:lang w:eastAsia="lv-LV"/>
              </w:rPr>
            </w:pPr>
            <w:r w:rsidRPr="00964AEF">
              <w:rPr>
                <w:rFonts w:ascii="Times New Roman" w:hAnsi="Times New Roman" w:cs="Times New Roman"/>
                <w:sz w:val="24"/>
                <w:szCs w:val="24"/>
              </w:rPr>
              <w:t>Tā kā Noteikumu projekts tiek virzīts steidzamības kārtā, sabiedrības iesaiste Noteikumu projekta izstrādē nav organizēta.</w:t>
            </w:r>
          </w:p>
        </w:tc>
      </w:tr>
      <w:tr w:rsidR="00E5323B" w:rsidRPr="00964AEF" w14:paraId="756AC40B" w14:textId="77777777" w:rsidTr="00F60184">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1DFB6638" w14:textId="77777777" w:rsidR="00655F2C"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w:t>
            </w:r>
          </w:p>
        </w:tc>
        <w:tc>
          <w:tcPr>
            <w:tcW w:w="1678" w:type="pct"/>
            <w:gridSpan w:val="6"/>
            <w:tcBorders>
              <w:top w:val="outset" w:sz="6" w:space="0" w:color="auto"/>
              <w:left w:val="outset" w:sz="6" w:space="0" w:color="auto"/>
              <w:bottom w:val="outset" w:sz="6" w:space="0" w:color="auto"/>
              <w:right w:val="outset" w:sz="6" w:space="0" w:color="auto"/>
            </w:tcBorders>
            <w:hideMark/>
          </w:tcPr>
          <w:p w14:paraId="508D36C1" w14:textId="77777777" w:rsidR="00E5323B"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Sabiedrības līdzdalības rezultāti</w:t>
            </w:r>
          </w:p>
        </w:tc>
        <w:tc>
          <w:tcPr>
            <w:tcW w:w="2960" w:type="pct"/>
            <w:gridSpan w:val="6"/>
            <w:tcBorders>
              <w:top w:val="outset" w:sz="6" w:space="0" w:color="auto"/>
              <w:left w:val="outset" w:sz="6" w:space="0" w:color="auto"/>
              <w:bottom w:val="outset" w:sz="6" w:space="0" w:color="auto"/>
              <w:right w:val="outset" w:sz="6" w:space="0" w:color="auto"/>
            </w:tcBorders>
            <w:hideMark/>
          </w:tcPr>
          <w:p w14:paraId="547A5DBB" w14:textId="31213100" w:rsidR="00E5323B" w:rsidRPr="0070205D" w:rsidRDefault="0070205D" w:rsidP="00E5323B">
            <w:pPr>
              <w:spacing w:after="0" w:line="240" w:lineRule="auto"/>
              <w:rPr>
                <w:rFonts w:ascii="Times New Roman" w:eastAsia="Times New Roman" w:hAnsi="Times New Roman" w:cs="Times New Roman"/>
                <w:iCs/>
                <w:sz w:val="24"/>
                <w:szCs w:val="24"/>
                <w:lang w:eastAsia="lv-LV"/>
              </w:rPr>
            </w:pPr>
            <w:r w:rsidRPr="0070205D">
              <w:rPr>
                <w:rFonts w:ascii="Times New Roman" w:hAnsi="Times New Roman" w:cs="Times New Roman"/>
                <w:sz w:val="24"/>
                <w:szCs w:val="24"/>
              </w:rPr>
              <w:t>Projekts šo jomu neskar.</w:t>
            </w:r>
          </w:p>
        </w:tc>
      </w:tr>
      <w:tr w:rsidR="00E5323B" w:rsidRPr="00964AEF" w14:paraId="3B4ED071" w14:textId="77777777" w:rsidTr="00F60184">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1BEFD688" w14:textId="77777777" w:rsidR="00655F2C"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4.</w:t>
            </w:r>
          </w:p>
        </w:tc>
        <w:tc>
          <w:tcPr>
            <w:tcW w:w="1678" w:type="pct"/>
            <w:gridSpan w:val="6"/>
            <w:tcBorders>
              <w:top w:val="outset" w:sz="6" w:space="0" w:color="auto"/>
              <w:left w:val="outset" w:sz="6" w:space="0" w:color="auto"/>
              <w:bottom w:val="outset" w:sz="6" w:space="0" w:color="auto"/>
              <w:right w:val="outset" w:sz="6" w:space="0" w:color="auto"/>
            </w:tcBorders>
            <w:hideMark/>
          </w:tcPr>
          <w:p w14:paraId="5B05CEAF" w14:textId="77777777" w:rsidR="00E5323B"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Cita informācija</w:t>
            </w:r>
          </w:p>
        </w:tc>
        <w:tc>
          <w:tcPr>
            <w:tcW w:w="2960" w:type="pct"/>
            <w:gridSpan w:val="6"/>
            <w:tcBorders>
              <w:top w:val="outset" w:sz="6" w:space="0" w:color="auto"/>
              <w:left w:val="outset" w:sz="6" w:space="0" w:color="auto"/>
              <w:bottom w:val="outset" w:sz="6" w:space="0" w:color="auto"/>
              <w:right w:val="outset" w:sz="6" w:space="0" w:color="auto"/>
            </w:tcBorders>
            <w:hideMark/>
          </w:tcPr>
          <w:p w14:paraId="08D70105" w14:textId="77777777" w:rsidR="00E5323B" w:rsidRPr="00964AEF" w:rsidRDefault="003B63B4"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Nav</w:t>
            </w:r>
          </w:p>
        </w:tc>
      </w:tr>
    </w:tbl>
    <w:p w14:paraId="599F5EA8" w14:textId="77777777" w:rsidR="00E5323B"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64AEF" w14:paraId="49DB85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FF4A8B" w14:textId="77777777" w:rsidR="00655F2C" w:rsidRPr="00964AEF" w:rsidRDefault="00E5323B" w:rsidP="00E5323B">
            <w:pPr>
              <w:spacing w:after="0" w:line="240" w:lineRule="auto"/>
              <w:rPr>
                <w:rFonts w:ascii="Times New Roman" w:eastAsia="Times New Roman" w:hAnsi="Times New Roman" w:cs="Times New Roman"/>
                <w:b/>
                <w:bCs/>
                <w:iCs/>
                <w:sz w:val="24"/>
                <w:szCs w:val="24"/>
                <w:lang w:eastAsia="lv-LV"/>
              </w:rPr>
            </w:pPr>
            <w:r w:rsidRPr="00964AE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964AEF" w14:paraId="484DC2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9C37AC" w14:textId="77777777" w:rsidR="00655F2C"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106440" w14:textId="77777777" w:rsidR="00E5323B"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0E2CFE0" w14:textId="0C8362BF" w:rsidR="00E5323B" w:rsidRPr="00964AEF" w:rsidRDefault="002A4F2A"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Zāļu valsts aģentūra, Veselības inspekcija</w:t>
            </w:r>
          </w:p>
        </w:tc>
      </w:tr>
      <w:tr w:rsidR="00E5323B" w:rsidRPr="00964AEF" w14:paraId="74C992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27D756" w14:textId="77777777" w:rsidR="00655F2C"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57CE9FE" w14:textId="77777777" w:rsidR="00E5323B" w:rsidRPr="0070205D" w:rsidRDefault="00E5323B" w:rsidP="00E5323B">
            <w:pPr>
              <w:spacing w:after="0" w:line="240" w:lineRule="auto"/>
              <w:rPr>
                <w:rFonts w:ascii="Times New Roman" w:eastAsia="Times New Roman" w:hAnsi="Times New Roman" w:cs="Times New Roman"/>
                <w:iCs/>
                <w:sz w:val="24"/>
                <w:szCs w:val="24"/>
                <w:lang w:eastAsia="lv-LV"/>
              </w:rPr>
            </w:pPr>
            <w:r w:rsidRPr="0070205D">
              <w:rPr>
                <w:rFonts w:ascii="Times New Roman" w:eastAsia="Times New Roman" w:hAnsi="Times New Roman" w:cs="Times New Roman"/>
                <w:iCs/>
                <w:sz w:val="24"/>
                <w:szCs w:val="24"/>
                <w:lang w:eastAsia="lv-LV"/>
              </w:rPr>
              <w:t>Projekta izpildes ietekme uz pārvaldes funkcijām un institucionālo struktūru.</w:t>
            </w:r>
            <w:r w:rsidRPr="0070205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CEA5464" w14:textId="77777777" w:rsidR="0070205D" w:rsidRPr="0070205D" w:rsidRDefault="0070205D" w:rsidP="0070205D">
            <w:pPr>
              <w:jc w:val="both"/>
              <w:rPr>
                <w:rFonts w:ascii="Times New Roman" w:hAnsi="Times New Roman" w:cs="Times New Roman"/>
                <w:sz w:val="24"/>
                <w:szCs w:val="24"/>
              </w:rPr>
            </w:pPr>
            <w:r w:rsidRPr="0070205D">
              <w:rPr>
                <w:rFonts w:ascii="Times New Roman" w:hAnsi="Times New Roman" w:cs="Times New Roman"/>
                <w:sz w:val="24"/>
                <w:szCs w:val="24"/>
              </w:rPr>
              <w:t>Noteikumu projekta izpildei nav nepieciešams paplašināt institūciju funkcijas un uzdevumus.</w:t>
            </w:r>
          </w:p>
          <w:p w14:paraId="74297064" w14:textId="14B425DF" w:rsidR="00E5323B" w:rsidRPr="0070205D" w:rsidRDefault="0070205D" w:rsidP="0070205D">
            <w:pPr>
              <w:spacing w:after="0" w:line="240" w:lineRule="auto"/>
              <w:rPr>
                <w:rFonts w:ascii="Times New Roman" w:eastAsia="Times New Roman" w:hAnsi="Times New Roman" w:cs="Times New Roman"/>
                <w:iCs/>
                <w:sz w:val="24"/>
                <w:szCs w:val="24"/>
                <w:lang w:eastAsia="lv-LV"/>
              </w:rPr>
            </w:pPr>
            <w:r w:rsidRPr="0070205D">
              <w:rPr>
                <w:rFonts w:ascii="Times New Roman" w:hAnsi="Times New Roman" w:cs="Times New Roman"/>
                <w:sz w:val="24"/>
                <w:szCs w:val="24"/>
              </w:rPr>
              <w:t>Noteikumu projekta izpilde neietekmēs institūcijām pieejamos cilvēkresursus.</w:t>
            </w:r>
          </w:p>
        </w:tc>
      </w:tr>
      <w:tr w:rsidR="00E5323B" w:rsidRPr="00964AEF" w14:paraId="0A26E0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FBBC78" w14:textId="77777777" w:rsidR="00655F2C"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7A3C1C" w14:textId="77777777" w:rsidR="00E5323B" w:rsidRPr="00964AEF" w:rsidRDefault="00E5323B"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B3A6BD" w14:textId="77777777" w:rsidR="00E5323B" w:rsidRPr="00964AEF" w:rsidRDefault="009D26A4" w:rsidP="00E5323B">
            <w:pPr>
              <w:spacing w:after="0" w:line="240" w:lineRule="auto"/>
              <w:rPr>
                <w:rFonts w:ascii="Times New Roman" w:eastAsia="Times New Roman" w:hAnsi="Times New Roman" w:cs="Times New Roman"/>
                <w:iCs/>
                <w:sz w:val="24"/>
                <w:szCs w:val="24"/>
                <w:lang w:eastAsia="lv-LV"/>
              </w:rPr>
            </w:pPr>
            <w:r w:rsidRPr="00964AEF">
              <w:rPr>
                <w:rFonts w:ascii="Times New Roman" w:eastAsia="Times New Roman" w:hAnsi="Times New Roman" w:cs="Times New Roman"/>
                <w:iCs/>
                <w:sz w:val="24"/>
                <w:szCs w:val="24"/>
                <w:lang w:eastAsia="lv-LV"/>
              </w:rPr>
              <w:t>Projekta izpildē iesaistītās institūcijas - Veselības inspekcija - noteikumu projektā paredzēto pasākumu īstenošanu nodrošinās tām piešķirto valsts budžeta līdzekļu ietvaros un Zāļu valsts aģentūra - saņemto pašu ieņēmumu ietvaros.</w:t>
            </w:r>
          </w:p>
          <w:p w14:paraId="3B60C308" w14:textId="2EC84960" w:rsidR="00CC6908" w:rsidRPr="00964AEF" w:rsidRDefault="00CC6908" w:rsidP="00E5323B">
            <w:pPr>
              <w:spacing w:after="0" w:line="240" w:lineRule="auto"/>
              <w:rPr>
                <w:rFonts w:ascii="Times New Roman" w:eastAsia="Times New Roman" w:hAnsi="Times New Roman" w:cs="Times New Roman"/>
                <w:iCs/>
                <w:sz w:val="24"/>
                <w:szCs w:val="24"/>
                <w:lang w:eastAsia="lv-LV"/>
              </w:rPr>
            </w:pPr>
          </w:p>
        </w:tc>
      </w:tr>
    </w:tbl>
    <w:p w14:paraId="10918CD9" w14:textId="77777777" w:rsidR="00C25B49" w:rsidRPr="00964AEF" w:rsidRDefault="00C25B49" w:rsidP="00894C55">
      <w:pPr>
        <w:spacing w:after="0" w:line="240" w:lineRule="auto"/>
        <w:rPr>
          <w:rFonts w:ascii="Times New Roman" w:hAnsi="Times New Roman" w:cs="Times New Roman"/>
          <w:sz w:val="28"/>
          <w:szCs w:val="28"/>
        </w:rPr>
      </w:pPr>
    </w:p>
    <w:p w14:paraId="3C88E942" w14:textId="77777777" w:rsidR="006A4F71" w:rsidRPr="00964AEF" w:rsidRDefault="006A4F71" w:rsidP="008E0250">
      <w:pPr>
        <w:tabs>
          <w:tab w:val="left" w:pos="6237"/>
        </w:tabs>
        <w:spacing w:after="0" w:line="240" w:lineRule="auto"/>
        <w:rPr>
          <w:rFonts w:ascii="Times New Roman" w:hAnsi="Times New Roman" w:cs="Times New Roman"/>
          <w:sz w:val="28"/>
          <w:szCs w:val="28"/>
        </w:rPr>
      </w:pPr>
    </w:p>
    <w:p w14:paraId="1B424ED5" w14:textId="704B26E2" w:rsidR="00894C55" w:rsidRPr="00964AEF" w:rsidRDefault="008E0250" w:rsidP="001537FF">
      <w:pPr>
        <w:tabs>
          <w:tab w:val="left" w:pos="7513"/>
        </w:tabs>
        <w:spacing w:after="0" w:line="240" w:lineRule="auto"/>
        <w:rPr>
          <w:rFonts w:ascii="Times New Roman" w:hAnsi="Times New Roman" w:cs="Times New Roman"/>
          <w:sz w:val="28"/>
          <w:szCs w:val="28"/>
        </w:rPr>
      </w:pPr>
      <w:r w:rsidRPr="00964AEF">
        <w:rPr>
          <w:rFonts w:ascii="Times New Roman" w:hAnsi="Times New Roman" w:cs="Times New Roman"/>
          <w:sz w:val="28"/>
          <w:szCs w:val="28"/>
        </w:rPr>
        <w:t>Veselības</w:t>
      </w:r>
      <w:r w:rsidR="00894C55" w:rsidRPr="00964AEF">
        <w:rPr>
          <w:rFonts w:ascii="Times New Roman" w:hAnsi="Times New Roman" w:cs="Times New Roman"/>
          <w:sz w:val="28"/>
          <w:szCs w:val="28"/>
        </w:rPr>
        <w:t xml:space="preserve"> ministr</w:t>
      </w:r>
      <w:r w:rsidR="00BD1F61" w:rsidRPr="00964AEF">
        <w:rPr>
          <w:rFonts w:ascii="Times New Roman" w:hAnsi="Times New Roman" w:cs="Times New Roman"/>
          <w:sz w:val="28"/>
          <w:szCs w:val="28"/>
        </w:rPr>
        <w:t>s</w:t>
      </w:r>
      <w:r w:rsidRPr="00964AEF">
        <w:rPr>
          <w:rFonts w:ascii="Times New Roman" w:hAnsi="Times New Roman" w:cs="Times New Roman"/>
          <w:sz w:val="28"/>
          <w:szCs w:val="28"/>
        </w:rPr>
        <w:tab/>
      </w:r>
      <w:r w:rsidR="00BD1F61" w:rsidRPr="00964AEF">
        <w:rPr>
          <w:rFonts w:ascii="Times New Roman" w:hAnsi="Times New Roman" w:cs="Times New Roman"/>
          <w:sz w:val="28"/>
          <w:szCs w:val="28"/>
        </w:rPr>
        <w:t>D. Pavļuts</w:t>
      </w:r>
    </w:p>
    <w:p w14:paraId="11B01E95" w14:textId="77777777" w:rsidR="006A4F71" w:rsidRPr="00964AEF" w:rsidRDefault="006A4F71" w:rsidP="00894C55">
      <w:pPr>
        <w:tabs>
          <w:tab w:val="left" w:pos="6237"/>
        </w:tabs>
        <w:spacing w:after="0" w:line="240" w:lineRule="auto"/>
        <w:rPr>
          <w:rFonts w:ascii="Times New Roman" w:hAnsi="Times New Roman" w:cs="Times New Roman"/>
          <w:sz w:val="24"/>
          <w:szCs w:val="28"/>
        </w:rPr>
      </w:pPr>
    </w:p>
    <w:p w14:paraId="73BFD736" w14:textId="3EBD412D" w:rsidR="006A4F71" w:rsidRPr="00964AEF" w:rsidRDefault="006A4F71" w:rsidP="00894C55">
      <w:pPr>
        <w:tabs>
          <w:tab w:val="left" w:pos="6237"/>
        </w:tabs>
        <w:spacing w:after="0" w:line="240" w:lineRule="auto"/>
        <w:rPr>
          <w:rFonts w:ascii="Times New Roman" w:hAnsi="Times New Roman" w:cs="Times New Roman"/>
          <w:sz w:val="24"/>
          <w:szCs w:val="28"/>
        </w:rPr>
      </w:pPr>
    </w:p>
    <w:p w14:paraId="7FBB93CD" w14:textId="5A2213FC" w:rsidR="00BC350B" w:rsidRPr="00964AEF" w:rsidRDefault="00BC350B" w:rsidP="00894C55">
      <w:pPr>
        <w:tabs>
          <w:tab w:val="left" w:pos="6237"/>
        </w:tabs>
        <w:spacing w:after="0" w:line="240" w:lineRule="auto"/>
        <w:rPr>
          <w:rFonts w:ascii="Times New Roman" w:hAnsi="Times New Roman" w:cs="Times New Roman"/>
          <w:sz w:val="24"/>
          <w:szCs w:val="28"/>
        </w:rPr>
      </w:pPr>
    </w:p>
    <w:p w14:paraId="686595C4" w14:textId="77777777" w:rsidR="00BC350B" w:rsidRPr="00964AEF" w:rsidRDefault="00BC350B" w:rsidP="00894C55">
      <w:pPr>
        <w:tabs>
          <w:tab w:val="left" w:pos="6237"/>
        </w:tabs>
        <w:spacing w:after="0" w:line="240" w:lineRule="auto"/>
        <w:rPr>
          <w:rFonts w:ascii="Times New Roman" w:hAnsi="Times New Roman" w:cs="Times New Roman"/>
          <w:sz w:val="24"/>
          <w:szCs w:val="28"/>
        </w:rPr>
      </w:pPr>
    </w:p>
    <w:p w14:paraId="4229B57F" w14:textId="77777777" w:rsidR="00BD1F61" w:rsidRPr="00092C70" w:rsidRDefault="00BD1F61" w:rsidP="00BD1F61">
      <w:pPr>
        <w:tabs>
          <w:tab w:val="left" w:pos="6237"/>
        </w:tabs>
        <w:spacing w:after="0" w:line="240" w:lineRule="auto"/>
        <w:rPr>
          <w:rFonts w:ascii="Times New Roman" w:eastAsia="Calibri" w:hAnsi="Times New Roman" w:cs="Times New Roman"/>
          <w:sz w:val="24"/>
          <w:szCs w:val="24"/>
        </w:rPr>
      </w:pPr>
      <w:r w:rsidRPr="00092C70">
        <w:rPr>
          <w:rFonts w:ascii="Times New Roman" w:eastAsia="Calibri" w:hAnsi="Times New Roman" w:cs="Times New Roman"/>
          <w:sz w:val="24"/>
          <w:szCs w:val="24"/>
        </w:rPr>
        <w:t>Kristīne Kalniņa, 67876116</w:t>
      </w:r>
    </w:p>
    <w:p w14:paraId="55249F14" w14:textId="77777777" w:rsidR="00BD1F61" w:rsidRPr="00092C70" w:rsidRDefault="00572182" w:rsidP="00BD1F61">
      <w:pPr>
        <w:tabs>
          <w:tab w:val="left" w:pos="6237"/>
        </w:tabs>
        <w:spacing w:after="0" w:line="240" w:lineRule="auto"/>
        <w:rPr>
          <w:rFonts w:ascii="Times New Roman" w:eastAsia="Calibri" w:hAnsi="Times New Roman" w:cs="Times New Roman"/>
          <w:sz w:val="24"/>
          <w:szCs w:val="24"/>
        </w:rPr>
      </w:pPr>
      <w:hyperlink r:id="rId11" w:history="1">
        <w:r w:rsidR="00BD1F61" w:rsidRPr="00092C70">
          <w:rPr>
            <w:rFonts w:ascii="Times New Roman" w:eastAsia="Calibri" w:hAnsi="Times New Roman" w:cs="Times New Roman"/>
            <w:sz w:val="24"/>
            <w:szCs w:val="24"/>
            <w:u w:val="single"/>
          </w:rPr>
          <w:t>Kristine.Kalnina@vm.gov.lv</w:t>
        </w:r>
      </w:hyperlink>
    </w:p>
    <w:p w14:paraId="19164EC4" w14:textId="78704B4B" w:rsidR="00710B7B" w:rsidRPr="00964AEF" w:rsidRDefault="00710B7B" w:rsidP="00894C55">
      <w:pPr>
        <w:tabs>
          <w:tab w:val="left" w:pos="6237"/>
        </w:tabs>
        <w:spacing w:after="0" w:line="240" w:lineRule="auto"/>
        <w:rPr>
          <w:rFonts w:ascii="Times New Roman" w:hAnsi="Times New Roman" w:cs="Times New Roman"/>
          <w:sz w:val="24"/>
          <w:szCs w:val="28"/>
        </w:rPr>
      </w:pPr>
    </w:p>
    <w:p w14:paraId="27178FF2" w14:textId="01A284AB" w:rsidR="00710B7B" w:rsidRPr="00964AEF" w:rsidRDefault="00710B7B" w:rsidP="00894C55">
      <w:pPr>
        <w:tabs>
          <w:tab w:val="left" w:pos="6237"/>
        </w:tabs>
        <w:spacing w:after="0" w:line="240" w:lineRule="auto"/>
        <w:rPr>
          <w:rFonts w:ascii="Times New Roman" w:hAnsi="Times New Roman" w:cs="Times New Roman"/>
          <w:sz w:val="24"/>
          <w:szCs w:val="28"/>
        </w:rPr>
      </w:pPr>
    </w:p>
    <w:sectPr w:rsidR="00710B7B" w:rsidRPr="00964AEF"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8D2F3" w14:textId="77777777" w:rsidR="00572182" w:rsidRDefault="00572182" w:rsidP="00894C55">
      <w:pPr>
        <w:spacing w:after="0" w:line="240" w:lineRule="auto"/>
      </w:pPr>
      <w:r>
        <w:separator/>
      </w:r>
    </w:p>
  </w:endnote>
  <w:endnote w:type="continuationSeparator" w:id="0">
    <w:p w14:paraId="19418103" w14:textId="77777777" w:rsidR="00572182" w:rsidRDefault="0057218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A441" w14:textId="5454B513" w:rsidR="00572182" w:rsidRPr="00894C55" w:rsidRDefault="00572182">
    <w:pPr>
      <w:pStyle w:val="Footer"/>
      <w:rPr>
        <w:rFonts w:ascii="Times New Roman" w:hAnsi="Times New Roman" w:cs="Times New Roman"/>
        <w:sz w:val="20"/>
        <w:szCs w:val="20"/>
      </w:rPr>
    </w:pPr>
    <w:r>
      <w:rPr>
        <w:rFonts w:ascii="Times New Roman" w:hAnsi="Times New Roman" w:cs="Times New Roman"/>
        <w:sz w:val="20"/>
        <w:szCs w:val="20"/>
      </w:rPr>
      <w:t>VManot_23042021_prekursori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6CCA9" w14:textId="544F8F76" w:rsidR="00572182" w:rsidRPr="009A2654" w:rsidRDefault="00572182">
    <w:pPr>
      <w:pStyle w:val="Footer"/>
      <w:rPr>
        <w:rFonts w:ascii="Times New Roman" w:hAnsi="Times New Roman" w:cs="Times New Roman"/>
        <w:sz w:val="20"/>
        <w:szCs w:val="20"/>
      </w:rPr>
    </w:pPr>
    <w:r>
      <w:rPr>
        <w:rFonts w:ascii="Times New Roman" w:hAnsi="Times New Roman" w:cs="Times New Roman"/>
        <w:sz w:val="20"/>
        <w:szCs w:val="20"/>
      </w:rPr>
      <w:t>VManot_23042021_prekursori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AE985" w14:textId="77777777" w:rsidR="00572182" w:rsidRDefault="00572182" w:rsidP="00894C55">
      <w:pPr>
        <w:spacing w:after="0" w:line="240" w:lineRule="auto"/>
      </w:pPr>
      <w:r>
        <w:separator/>
      </w:r>
    </w:p>
  </w:footnote>
  <w:footnote w:type="continuationSeparator" w:id="0">
    <w:p w14:paraId="78D21B7E" w14:textId="77777777" w:rsidR="00572182" w:rsidRDefault="0057218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1222AF" w14:textId="77777777" w:rsidR="00572182" w:rsidRPr="00C25B49" w:rsidRDefault="0057218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F1FB8"/>
    <w:multiLevelType w:val="hybridMultilevel"/>
    <w:tmpl w:val="47A4C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EFF"/>
    <w:rsid w:val="0001085A"/>
    <w:rsid w:val="00030CEC"/>
    <w:rsid w:val="000547C8"/>
    <w:rsid w:val="00066FA8"/>
    <w:rsid w:val="0007739B"/>
    <w:rsid w:val="00083C77"/>
    <w:rsid w:val="000849CC"/>
    <w:rsid w:val="00092C70"/>
    <w:rsid w:val="00094D20"/>
    <w:rsid w:val="0009518D"/>
    <w:rsid w:val="000B08CC"/>
    <w:rsid w:val="000D0B09"/>
    <w:rsid w:val="000D0CD3"/>
    <w:rsid w:val="000F325F"/>
    <w:rsid w:val="0010395D"/>
    <w:rsid w:val="0010634B"/>
    <w:rsid w:val="001259B1"/>
    <w:rsid w:val="00131B47"/>
    <w:rsid w:val="0013379F"/>
    <w:rsid w:val="00142FB4"/>
    <w:rsid w:val="00142FFE"/>
    <w:rsid w:val="00145449"/>
    <w:rsid w:val="001466AB"/>
    <w:rsid w:val="0014717A"/>
    <w:rsid w:val="001537FF"/>
    <w:rsid w:val="00154C71"/>
    <w:rsid w:val="00157668"/>
    <w:rsid w:val="00160D2F"/>
    <w:rsid w:val="00162C82"/>
    <w:rsid w:val="00167458"/>
    <w:rsid w:val="0017126C"/>
    <w:rsid w:val="001718C4"/>
    <w:rsid w:val="00174378"/>
    <w:rsid w:val="00190991"/>
    <w:rsid w:val="001A5F62"/>
    <w:rsid w:val="001C0259"/>
    <w:rsid w:val="001C1831"/>
    <w:rsid w:val="001D6897"/>
    <w:rsid w:val="001E1BF9"/>
    <w:rsid w:val="001E2692"/>
    <w:rsid w:val="001F1862"/>
    <w:rsid w:val="001F3E19"/>
    <w:rsid w:val="001F7735"/>
    <w:rsid w:val="00204872"/>
    <w:rsid w:val="00221182"/>
    <w:rsid w:val="00223A6F"/>
    <w:rsid w:val="0022438C"/>
    <w:rsid w:val="002341D5"/>
    <w:rsid w:val="00243007"/>
    <w:rsid w:val="0024326E"/>
    <w:rsid w:val="00243426"/>
    <w:rsid w:val="00262926"/>
    <w:rsid w:val="00263980"/>
    <w:rsid w:val="002651BC"/>
    <w:rsid w:val="00270385"/>
    <w:rsid w:val="002741B7"/>
    <w:rsid w:val="00287694"/>
    <w:rsid w:val="0029194A"/>
    <w:rsid w:val="00291976"/>
    <w:rsid w:val="002920EA"/>
    <w:rsid w:val="002A3443"/>
    <w:rsid w:val="002A4C68"/>
    <w:rsid w:val="002A4F2A"/>
    <w:rsid w:val="002C4F41"/>
    <w:rsid w:val="002C61A0"/>
    <w:rsid w:val="002D3C9A"/>
    <w:rsid w:val="002E1C05"/>
    <w:rsid w:val="002E78ED"/>
    <w:rsid w:val="002F503D"/>
    <w:rsid w:val="0030149A"/>
    <w:rsid w:val="00314042"/>
    <w:rsid w:val="0031465B"/>
    <w:rsid w:val="003149CB"/>
    <w:rsid w:val="00322013"/>
    <w:rsid w:val="00324E8E"/>
    <w:rsid w:val="00327448"/>
    <w:rsid w:val="0036144F"/>
    <w:rsid w:val="00370E1F"/>
    <w:rsid w:val="00383B2B"/>
    <w:rsid w:val="003879A6"/>
    <w:rsid w:val="003A06B1"/>
    <w:rsid w:val="003B0BF9"/>
    <w:rsid w:val="003B1E46"/>
    <w:rsid w:val="003B63B4"/>
    <w:rsid w:val="003D0C6F"/>
    <w:rsid w:val="003E0791"/>
    <w:rsid w:val="003E2649"/>
    <w:rsid w:val="003E6CA3"/>
    <w:rsid w:val="003F28AC"/>
    <w:rsid w:val="004012AD"/>
    <w:rsid w:val="00402727"/>
    <w:rsid w:val="00404672"/>
    <w:rsid w:val="00423A87"/>
    <w:rsid w:val="00426829"/>
    <w:rsid w:val="0042742F"/>
    <w:rsid w:val="0043679B"/>
    <w:rsid w:val="00443498"/>
    <w:rsid w:val="004454FE"/>
    <w:rsid w:val="004463FF"/>
    <w:rsid w:val="004537C9"/>
    <w:rsid w:val="00456E40"/>
    <w:rsid w:val="00461027"/>
    <w:rsid w:val="00471188"/>
    <w:rsid w:val="00471F27"/>
    <w:rsid w:val="00475C38"/>
    <w:rsid w:val="004839F2"/>
    <w:rsid w:val="004905C6"/>
    <w:rsid w:val="00493813"/>
    <w:rsid w:val="0049436D"/>
    <w:rsid w:val="004A1A14"/>
    <w:rsid w:val="004A6362"/>
    <w:rsid w:val="004B3AD1"/>
    <w:rsid w:val="004B54B4"/>
    <w:rsid w:val="004B7245"/>
    <w:rsid w:val="004D1C01"/>
    <w:rsid w:val="004D559A"/>
    <w:rsid w:val="004D75E5"/>
    <w:rsid w:val="004E67EF"/>
    <w:rsid w:val="004F0334"/>
    <w:rsid w:val="004F2CD3"/>
    <w:rsid w:val="0050178F"/>
    <w:rsid w:val="0050641E"/>
    <w:rsid w:val="005113D3"/>
    <w:rsid w:val="00514B99"/>
    <w:rsid w:val="00520EAB"/>
    <w:rsid w:val="005240C2"/>
    <w:rsid w:val="0054062C"/>
    <w:rsid w:val="005417B7"/>
    <w:rsid w:val="00555B6D"/>
    <w:rsid w:val="00562691"/>
    <w:rsid w:val="00570255"/>
    <w:rsid w:val="00570402"/>
    <w:rsid w:val="00572182"/>
    <w:rsid w:val="00576B38"/>
    <w:rsid w:val="005A50D7"/>
    <w:rsid w:val="005A7DAB"/>
    <w:rsid w:val="005B00BB"/>
    <w:rsid w:val="005B4AFC"/>
    <w:rsid w:val="005B51E7"/>
    <w:rsid w:val="005C2DB2"/>
    <w:rsid w:val="005C2EBB"/>
    <w:rsid w:val="005C4C2E"/>
    <w:rsid w:val="005C4C8A"/>
    <w:rsid w:val="005D454A"/>
    <w:rsid w:val="005D7EDE"/>
    <w:rsid w:val="005F481A"/>
    <w:rsid w:val="00606CDC"/>
    <w:rsid w:val="00614474"/>
    <w:rsid w:val="006218FC"/>
    <w:rsid w:val="00621CEA"/>
    <w:rsid w:val="00626EA0"/>
    <w:rsid w:val="0064272B"/>
    <w:rsid w:val="00642D92"/>
    <w:rsid w:val="00644B24"/>
    <w:rsid w:val="00653385"/>
    <w:rsid w:val="00655F2C"/>
    <w:rsid w:val="00661BAD"/>
    <w:rsid w:val="0068694E"/>
    <w:rsid w:val="00687497"/>
    <w:rsid w:val="006A26D9"/>
    <w:rsid w:val="006A345E"/>
    <w:rsid w:val="006A4C15"/>
    <w:rsid w:val="006A4F71"/>
    <w:rsid w:val="006B264E"/>
    <w:rsid w:val="006B70B0"/>
    <w:rsid w:val="006C317B"/>
    <w:rsid w:val="006C4FFF"/>
    <w:rsid w:val="006E0820"/>
    <w:rsid w:val="006E1081"/>
    <w:rsid w:val="006E64DD"/>
    <w:rsid w:val="006F04F9"/>
    <w:rsid w:val="006F18CA"/>
    <w:rsid w:val="0070205D"/>
    <w:rsid w:val="00710B7B"/>
    <w:rsid w:val="00715D07"/>
    <w:rsid w:val="00716BB1"/>
    <w:rsid w:val="00720585"/>
    <w:rsid w:val="00735766"/>
    <w:rsid w:val="0073650E"/>
    <w:rsid w:val="0073778E"/>
    <w:rsid w:val="007538CF"/>
    <w:rsid w:val="00765AFE"/>
    <w:rsid w:val="00771C63"/>
    <w:rsid w:val="00773AF6"/>
    <w:rsid w:val="00777BBC"/>
    <w:rsid w:val="00784B0E"/>
    <w:rsid w:val="007857B4"/>
    <w:rsid w:val="007872E0"/>
    <w:rsid w:val="00791CCC"/>
    <w:rsid w:val="00795F71"/>
    <w:rsid w:val="00796207"/>
    <w:rsid w:val="007A0BDC"/>
    <w:rsid w:val="007A4802"/>
    <w:rsid w:val="007B2914"/>
    <w:rsid w:val="007B38A5"/>
    <w:rsid w:val="007B5D06"/>
    <w:rsid w:val="007B63DC"/>
    <w:rsid w:val="007C17FE"/>
    <w:rsid w:val="007E5F7A"/>
    <w:rsid w:val="007E73AB"/>
    <w:rsid w:val="007F5182"/>
    <w:rsid w:val="007F6245"/>
    <w:rsid w:val="00816C11"/>
    <w:rsid w:val="00824264"/>
    <w:rsid w:val="00840AD6"/>
    <w:rsid w:val="00842E9B"/>
    <w:rsid w:val="00844628"/>
    <w:rsid w:val="008457F6"/>
    <w:rsid w:val="00850789"/>
    <w:rsid w:val="008648C9"/>
    <w:rsid w:val="00870815"/>
    <w:rsid w:val="00876735"/>
    <w:rsid w:val="00894C55"/>
    <w:rsid w:val="00897264"/>
    <w:rsid w:val="00897E85"/>
    <w:rsid w:val="008A3161"/>
    <w:rsid w:val="008B32D8"/>
    <w:rsid w:val="008B4030"/>
    <w:rsid w:val="008B5416"/>
    <w:rsid w:val="008B5B28"/>
    <w:rsid w:val="008B7534"/>
    <w:rsid w:val="008C08EE"/>
    <w:rsid w:val="008E0250"/>
    <w:rsid w:val="008F497F"/>
    <w:rsid w:val="00910307"/>
    <w:rsid w:val="009111A6"/>
    <w:rsid w:val="009166D2"/>
    <w:rsid w:val="00931F5E"/>
    <w:rsid w:val="00940B2A"/>
    <w:rsid w:val="00956E4E"/>
    <w:rsid w:val="00964AEF"/>
    <w:rsid w:val="00964F93"/>
    <w:rsid w:val="00970D57"/>
    <w:rsid w:val="009717B5"/>
    <w:rsid w:val="00973277"/>
    <w:rsid w:val="00975597"/>
    <w:rsid w:val="009A2654"/>
    <w:rsid w:val="009B476D"/>
    <w:rsid w:val="009B47A2"/>
    <w:rsid w:val="009D26A4"/>
    <w:rsid w:val="009D3C1A"/>
    <w:rsid w:val="009E0FC6"/>
    <w:rsid w:val="009E5298"/>
    <w:rsid w:val="009E57AA"/>
    <w:rsid w:val="009E5BF4"/>
    <w:rsid w:val="009E74BA"/>
    <w:rsid w:val="009F62CC"/>
    <w:rsid w:val="009F777E"/>
    <w:rsid w:val="00A03104"/>
    <w:rsid w:val="00A101F1"/>
    <w:rsid w:val="00A10FC3"/>
    <w:rsid w:val="00A26A42"/>
    <w:rsid w:val="00A37276"/>
    <w:rsid w:val="00A42806"/>
    <w:rsid w:val="00A433CD"/>
    <w:rsid w:val="00A4452F"/>
    <w:rsid w:val="00A53854"/>
    <w:rsid w:val="00A5446F"/>
    <w:rsid w:val="00A558B6"/>
    <w:rsid w:val="00A561CE"/>
    <w:rsid w:val="00A57B9E"/>
    <w:rsid w:val="00A6073E"/>
    <w:rsid w:val="00A6166E"/>
    <w:rsid w:val="00A72621"/>
    <w:rsid w:val="00A75A73"/>
    <w:rsid w:val="00A777B4"/>
    <w:rsid w:val="00A85771"/>
    <w:rsid w:val="00A9195E"/>
    <w:rsid w:val="00A9556E"/>
    <w:rsid w:val="00AC1D40"/>
    <w:rsid w:val="00AD0428"/>
    <w:rsid w:val="00AD7797"/>
    <w:rsid w:val="00AE3995"/>
    <w:rsid w:val="00AE3D4D"/>
    <w:rsid w:val="00AE5567"/>
    <w:rsid w:val="00AF1239"/>
    <w:rsid w:val="00AF2582"/>
    <w:rsid w:val="00AF4117"/>
    <w:rsid w:val="00AF7E61"/>
    <w:rsid w:val="00B01A21"/>
    <w:rsid w:val="00B057A4"/>
    <w:rsid w:val="00B06A50"/>
    <w:rsid w:val="00B06BFF"/>
    <w:rsid w:val="00B07B9C"/>
    <w:rsid w:val="00B14E2A"/>
    <w:rsid w:val="00B16480"/>
    <w:rsid w:val="00B2165C"/>
    <w:rsid w:val="00B339D5"/>
    <w:rsid w:val="00B37CD4"/>
    <w:rsid w:val="00B532B7"/>
    <w:rsid w:val="00B542BD"/>
    <w:rsid w:val="00B804B4"/>
    <w:rsid w:val="00B8640A"/>
    <w:rsid w:val="00B95B58"/>
    <w:rsid w:val="00BA0843"/>
    <w:rsid w:val="00BA20AA"/>
    <w:rsid w:val="00BA3FB5"/>
    <w:rsid w:val="00BB2AF2"/>
    <w:rsid w:val="00BB60F7"/>
    <w:rsid w:val="00BC2AB5"/>
    <w:rsid w:val="00BC2F7C"/>
    <w:rsid w:val="00BC350B"/>
    <w:rsid w:val="00BC60A6"/>
    <w:rsid w:val="00BD181D"/>
    <w:rsid w:val="00BD1F61"/>
    <w:rsid w:val="00BD4425"/>
    <w:rsid w:val="00BD6519"/>
    <w:rsid w:val="00BD6AC0"/>
    <w:rsid w:val="00C25B49"/>
    <w:rsid w:val="00C30D05"/>
    <w:rsid w:val="00C349A4"/>
    <w:rsid w:val="00C51D10"/>
    <w:rsid w:val="00C66ADF"/>
    <w:rsid w:val="00C747E6"/>
    <w:rsid w:val="00C814BA"/>
    <w:rsid w:val="00C81B65"/>
    <w:rsid w:val="00C85869"/>
    <w:rsid w:val="00C86A62"/>
    <w:rsid w:val="00C90759"/>
    <w:rsid w:val="00C93CD9"/>
    <w:rsid w:val="00C9767B"/>
    <w:rsid w:val="00C97DD1"/>
    <w:rsid w:val="00CA05FA"/>
    <w:rsid w:val="00CA18B1"/>
    <w:rsid w:val="00CA53CD"/>
    <w:rsid w:val="00CB0DC8"/>
    <w:rsid w:val="00CB380F"/>
    <w:rsid w:val="00CC0D2D"/>
    <w:rsid w:val="00CC6908"/>
    <w:rsid w:val="00CD1FDB"/>
    <w:rsid w:val="00CD486E"/>
    <w:rsid w:val="00CD6CE3"/>
    <w:rsid w:val="00CE3830"/>
    <w:rsid w:val="00CE5657"/>
    <w:rsid w:val="00CE655E"/>
    <w:rsid w:val="00CF025B"/>
    <w:rsid w:val="00CF68E4"/>
    <w:rsid w:val="00D01D4F"/>
    <w:rsid w:val="00D0552C"/>
    <w:rsid w:val="00D133F8"/>
    <w:rsid w:val="00D14A3E"/>
    <w:rsid w:val="00D22C6F"/>
    <w:rsid w:val="00D24A73"/>
    <w:rsid w:val="00D42991"/>
    <w:rsid w:val="00D4568D"/>
    <w:rsid w:val="00D46248"/>
    <w:rsid w:val="00D51941"/>
    <w:rsid w:val="00D55C06"/>
    <w:rsid w:val="00D65827"/>
    <w:rsid w:val="00D827F8"/>
    <w:rsid w:val="00D86BE8"/>
    <w:rsid w:val="00D87BAC"/>
    <w:rsid w:val="00D87E22"/>
    <w:rsid w:val="00D9080E"/>
    <w:rsid w:val="00D90885"/>
    <w:rsid w:val="00D94EFE"/>
    <w:rsid w:val="00DA4327"/>
    <w:rsid w:val="00DA6AB4"/>
    <w:rsid w:val="00DB2788"/>
    <w:rsid w:val="00DB49DE"/>
    <w:rsid w:val="00DC67D4"/>
    <w:rsid w:val="00DD3061"/>
    <w:rsid w:val="00DD4178"/>
    <w:rsid w:val="00DD479A"/>
    <w:rsid w:val="00DD50A6"/>
    <w:rsid w:val="00DE0072"/>
    <w:rsid w:val="00E06A2E"/>
    <w:rsid w:val="00E1303E"/>
    <w:rsid w:val="00E13911"/>
    <w:rsid w:val="00E3716B"/>
    <w:rsid w:val="00E45824"/>
    <w:rsid w:val="00E5323B"/>
    <w:rsid w:val="00E545B2"/>
    <w:rsid w:val="00E63494"/>
    <w:rsid w:val="00E725E3"/>
    <w:rsid w:val="00E8749E"/>
    <w:rsid w:val="00E90C01"/>
    <w:rsid w:val="00E95585"/>
    <w:rsid w:val="00EA486E"/>
    <w:rsid w:val="00EB4560"/>
    <w:rsid w:val="00EC3F7E"/>
    <w:rsid w:val="00EC654C"/>
    <w:rsid w:val="00EC7D86"/>
    <w:rsid w:val="00ED5312"/>
    <w:rsid w:val="00EE7A6C"/>
    <w:rsid w:val="00EF23CF"/>
    <w:rsid w:val="00EF3ED1"/>
    <w:rsid w:val="00EF61AD"/>
    <w:rsid w:val="00F219FE"/>
    <w:rsid w:val="00F22353"/>
    <w:rsid w:val="00F22689"/>
    <w:rsid w:val="00F30E70"/>
    <w:rsid w:val="00F520A4"/>
    <w:rsid w:val="00F52151"/>
    <w:rsid w:val="00F524E8"/>
    <w:rsid w:val="00F57B0C"/>
    <w:rsid w:val="00F60184"/>
    <w:rsid w:val="00F60FA7"/>
    <w:rsid w:val="00F638A5"/>
    <w:rsid w:val="00F66EC7"/>
    <w:rsid w:val="00F702D5"/>
    <w:rsid w:val="00F82CFE"/>
    <w:rsid w:val="00F87605"/>
    <w:rsid w:val="00F92CC7"/>
    <w:rsid w:val="00F94E33"/>
    <w:rsid w:val="00F95E13"/>
    <w:rsid w:val="00FA7F06"/>
    <w:rsid w:val="00FB15C4"/>
    <w:rsid w:val="00FB2D41"/>
    <w:rsid w:val="00FB34BA"/>
    <w:rsid w:val="00FC0E5C"/>
    <w:rsid w:val="00FC52F0"/>
    <w:rsid w:val="00FD31C3"/>
    <w:rsid w:val="00FD3DDA"/>
    <w:rsid w:val="00FE1494"/>
    <w:rsid w:val="00FE3E21"/>
    <w:rsid w:val="00FF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4FB61C"/>
  <w15:docId w15:val="{4084D5DB-EDE0-445C-BA1E-AC1BF184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1466AB"/>
    <w:pPr>
      <w:ind w:left="720"/>
      <w:contextualSpacing/>
    </w:pPr>
  </w:style>
  <w:style w:type="paragraph" w:styleId="FootnoteText">
    <w:name w:val="footnote text"/>
    <w:basedOn w:val="Normal"/>
    <w:link w:val="FootnoteTextChar"/>
    <w:uiPriority w:val="99"/>
    <w:semiHidden/>
    <w:unhideWhenUsed/>
    <w:rsid w:val="00160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D2F"/>
    <w:rPr>
      <w:sz w:val="20"/>
      <w:szCs w:val="20"/>
    </w:rPr>
  </w:style>
  <w:style w:type="character" w:styleId="FootnoteReference">
    <w:name w:val="footnote reference"/>
    <w:basedOn w:val="DefaultParagraphFont"/>
    <w:uiPriority w:val="99"/>
    <w:semiHidden/>
    <w:unhideWhenUsed/>
    <w:rsid w:val="00160D2F"/>
    <w:rPr>
      <w:vertAlign w:val="superscript"/>
    </w:rPr>
  </w:style>
  <w:style w:type="paragraph" w:styleId="EndnoteText">
    <w:name w:val="endnote text"/>
    <w:basedOn w:val="Normal"/>
    <w:link w:val="EndnoteTextChar"/>
    <w:uiPriority w:val="99"/>
    <w:semiHidden/>
    <w:unhideWhenUsed/>
    <w:rsid w:val="004905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5C6"/>
    <w:rPr>
      <w:sz w:val="20"/>
      <w:szCs w:val="20"/>
    </w:rPr>
  </w:style>
  <w:style w:type="character" w:styleId="EndnoteReference">
    <w:name w:val="endnote reference"/>
    <w:basedOn w:val="DefaultParagraphFont"/>
    <w:uiPriority w:val="99"/>
    <w:semiHidden/>
    <w:unhideWhenUsed/>
    <w:rsid w:val="004905C6"/>
    <w:rPr>
      <w:vertAlign w:val="superscript"/>
    </w:rPr>
  </w:style>
  <w:style w:type="character" w:styleId="CommentReference">
    <w:name w:val="annotation reference"/>
    <w:basedOn w:val="DefaultParagraphFont"/>
    <w:uiPriority w:val="99"/>
    <w:semiHidden/>
    <w:unhideWhenUsed/>
    <w:rsid w:val="00B8640A"/>
    <w:rPr>
      <w:sz w:val="16"/>
      <w:szCs w:val="16"/>
    </w:rPr>
  </w:style>
  <w:style w:type="paragraph" w:styleId="CommentText">
    <w:name w:val="annotation text"/>
    <w:basedOn w:val="Normal"/>
    <w:link w:val="CommentTextChar"/>
    <w:uiPriority w:val="99"/>
    <w:semiHidden/>
    <w:unhideWhenUsed/>
    <w:rsid w:val="00B8640A"/>
    <w:pPr>
      <w:spacing w:line="240" w:lineRule="auto"/>
    </w:pPr>
    <w:rPr>
      <w:sz w:val="20"/>
      <w:szCs w:val="20"/>
    </w:rPr>
  </w:style>
  <w:style w:type="character" w:customStyle="1" w:styleId="CommentTextChar">
    <w:name w:val="Comment Text Char"/>
    <w:basedOn w:val="DefaultParagraphFont"/>
    <w:link w:val="CommentText"/>
    <w:uiPriority w:val="99"/>
    <w:semiHidden/>
    <w:rsid w:val="00B8640A"/>
    <w:rPr>
      <w:sz w:val="20"/>
      <w:szCs w:val="20"/>
    </w:rPr>
  </w:style>
  <w:style w:type="paragraph" w:styleId="CommentSubject">
    <w:name w:val="annotation subject"/>
    <w:basedOn w:val="CommentText"/>
    <w:next w:val="CommentText"/>
    <w:link w:val="CommentSubjectChar"/>
    <w:uiPriority w:val="99"/>
    <w:semiHidden/>
    <w:unhideWhenUsed/>
    <w:rsid w:val="00B8640A"/>
    <w:rPr>
      <w:b/>
      <w:bCs/>
    </w:rPr>
  </w:style>
  <w:style w:type="character" w:customStyle="1" w:styleId="CommentSubjectChar">
    <w:name w:val="Comment Subject Char"/>
    <w:basedOn w:val="CommentTextChar"/>
    <w:link w:val="CommentSubject"/>
    <w:uiPriority w:val="99"/>
    <w:semiHidden/>
    <w:rsid w:val="00B8640A"/>
    <w:rPr>
      <w:b/>
      <w:bCs/>
      <w:sz w:val="20"/>
      <w:szCs w:val="20"/>
    </w:rPr>
  </w:style>
  <w:style w:type="paragraph" w:styleId="NoSpacing">
    <w:name w:val="No Spacing"/>
    <w:uiPriority w:val="1"/>
    <w:qFormat/>
    <w:rsid w:val="00BD6AC0"/>
    <w:pPr>
      <w:spacing w:after="0"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BD6AC0"/>
  </w:style>
  <w:style w:type="paragraph" w:customStyle="1" w:styleId="norm">
    <w:name w:val="norm"/>
    <w:basedOn w:val="Normal"/>
    <w:rsid w:val="00BD6A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BD6AC0"/>
    <w:pPr>
      <w:spacing w:before="75" w:after="75" w:line="240" w:lineRule="auto"/>
      <w:jc w:val="center"/>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10B7B"/>
    <w:rPr>
      <w:color w:val="605E5C"/>
      <w:shd w:val="clear" w:color="auto" w:fill="E1DFDD"/>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EC3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739643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10462939">
      <w:bodyDiv w:val="1"/>
      <w:marLeft w:val="0"/>
      <w:marRight w:val="0"/>
      <w:marTop w:val="0"/>
      <w:marBottom w:val="0"/>
      <w:divBdr>
        <w:top w:val="none" w:sz="0" w:space="0" w:color="auto"/>
        <w:left w:val="none" w:sz="0" w:space="0" w:color="auto"/>
        <w:bottom w:val="none" w:sz="0" w:space="0" w:color="auto"/>
        <w:right w:val="none" w:sz="0" w:space="0" w:color="auto"/>
      </w:divBdr>
      <w:divsChild>
        <w:div w:id="1381439219">
          <w:marLeft w:val="0"/>
          <w:marRight w:val="0"/>
          <w:marTop w:val="0"/>
          <w:marBottom w:val="0"/>
          <w:divBdr>
            <w:top w:val="none" w:sz="0" w:space="0" w:color="auto"/>
            <w:left w:val="none" w:sz="0" w:space="0" w:color="auto"/>
            <w:bottom w:val="none" w:sz="0" w:space="0" w:color="auto"/>
            <w:right w:val="none" w:sz="0" w:space="0" w:color="auto"/>
          </w:divBdr>
        </w:div>
        <w:div w:id="1924099436">
          <w:marLeft w:val="0"/>
          <w:marRight w:val="0"/>
          <w:marTop w:val="0"/>
          <w:marBottom w:val="0"/>
          <w:divBdr>
            <w:top w:val="none" w:sz="0" w:space="0" w:color="auto"/>
            <w:left w:val="none" w:sz="0" w:space="0" w:color="auto"/>
            <w:bottom w:val="none" w:sz="0" w:space="0" w:color="auto"/>
            <w:right w:val="none" w:sz="0" w:space="0" w:color="auto"/>
          </w:divBdr>
        </w:div>
        <w:div w:id="1729066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ne.Kalnina@v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4CC4564DACB43B3F678C7E238EB19" ma:contentTypeVersion="10" ma:contentTypeDescription="Create a new document." ma:contentTypeScope="" ma:versionID="1aba4a8747682c698267fa939eae9e0b">
  <xsd:schema xmlns:xsd="http://www.w3.org/2001/XMLSchema" xmlns:xs="http://www.w3.org/2001/XMLSchema" xmlns:p="http://schemas.microsoft.com/office/2006/metadata/properties" xmlns:ns3="fb7c0ec6-56ca-443c-8b10-38447cf6d442" xmlns:ns4="f1d1d6e7-5adc-43ae-875c-5fbc8c901ea3" targetNamespace="http://schemas.microsoft.com/office/2006/metadata/properties" ma:root="true" ma:fieldsID="9e03380cc909006a92187159f9744696" ns3:_="" ns4:_="">
    <xsd:import namespace="fb7c0ec6-56ca-443c-8b10-38447cf6d442"/>
    <xsd:import namespace="f1d1d6e7-5adc-43ae-875c-5fbc8c901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0ec6-56ca-443c-8b10-38447cf6d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1d6e7-5adc-43ae-875c-5fbc8c901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954A9-F5F8-4D2C-BFB9-D9A91B7D6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0ec6-56ca-443c-8b10-38447cf6d442"/>
    <ds:schemaRef ds:uri="f1d1d6e7-5adc-43ae-875c-5fbc8c90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24A12-2F5D-40F9-952D-AB082FC2EF68}">
  <ds:schemaRefs>
    <ds:schemaRef ds:uri="http://schemas.microsoft.com/sharepoint/v3/contenttype/forms"/>
  </ds:schemaRefs>
</ds:datastoreItem>
</file>

<file path=customXml/itemProps3.xml><?xml version="1.0" encoding="utf-8"?>
<ds:datastoreItem xmlns:ds="http://schemas.openxmlformats.org/officeDocument/2006/customXml" ds:itemID="{1C9391BC-1D55-42BE-ABE8-89A7BDA684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E0C6DB-D95B-45A2-8ED8-6787185B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22</Pages>
  <Words>26143</Words>
  <Characters>14903</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Ministru kabineta noteikumu projekta “Prekursoru operatoru un prekursoru lietotāju reģistrēšanas un licencēšanas kārtība” sākotnējās ietekmes novērtējuma ziņojums (anotācija)</vt:lpstr>
    </vt:vector>
  </TitlesOfParts>
  <Company>Veselības ministrija</Company>
  <LinksUpToDate>false</LinksUpToDate>
  <CharactersWithSpaces>40965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“Prekursoru operatoru un prekursoru lietotāju reģistrēšanas un licencēšanas kārtība” sākotnējās ietekmes novērtējuma ziņojums (anotācija)</dc:title>
  <dc:subject>Anotācija</dc:subject>
  <dc:creator>Alvis Bless</dc:creator>
  <dc:description>67876177, Alvis.Bless@vm.gov.lv</dc:description>
  <cp:lastModifiedBy>Kristīne Kalniņa</cp:lastModifiedBy>
  <cp:revision>82</cp:revision>
  <dcterms:created xsi:type="dcterms:W3CDTF">2019-08-27T05:52:00Z</dcterms:created>
  <dcterms:modified xsi:type="dcterms:W3CDTF">2021-06-04T07:43:00Z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0x010100B4A4CC4564DACB43B3F678C7E238EB19</vt:lpwstr>
  </property>
</Properties>
</file>