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2512" w14:textId="77777777" w:rsidR="00894C55" w:rsidRPr="00A71967" w:rsidRDefault="00EC6E12" w:rsidP="00495126">
      <w:pPr>
        <w:pStyle w:val="NoSpacing"/>
        <w:jc w:val="center"/>
        <w:rPr>
          <w:rFonts w:ascii="Times New Roman" w:hAnsi="Times New Roman" w:cs="Times New Roman"/>
          <w:b/>
          <w:sz w:val="28"/>
          <w:szCs w:val="24"/>
          <w:lang w:eastAsia="lv-LV"/>
        </w:rPr>
      </w:pPr>
      <w:r w:rsidRPr="00A71967">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A71967">
        <w:rPr>
          <w:rFonts w:ascii="Times New Roman" w:hAnsi="Times New Roman" w:cs="Times New Roman"/>
          <w:b/>
          <w:sz w:val="28"/>
          <w:szCs w:val="24"/>
          <w:lang w:eastAsia="lv-LV"/>
        </w:rPr>
        <w:t>sākotnējās ietekmes novērtējuma ziņojums (anotācija)</w:t>
      </w:r>
    </w:p>
    <w:p w14:paraId="79CA1580" w14:textId="77777777" w:rsidR="00EC6E12" w:rsidRPr="00A71967" w:rsidRDefault="00EC6E12" w:rsidP="00495126">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C75EAE" w:rsidRPr="00A71967" w14:paraId="3A702BC6" w14:textId="77777777" w:rsidTr="00391B6A">
        <w:tc>
          <w:tcPr>
            <w:tcW w:w="9214" w:type="dxa"/>
          </w:tcPr>
          <w:p w14:paraId="58A7DA57" w14:textId="77777777" w:rsidR="00EC6E12" w:rsidRPr="00A71967" w:rsidRDefault="00EC6E12" w:rsidP="00495126">
            <w:pPr>
              <w:pStyle w:val="NoSpacing"/>
              <w:jc w:val="center"/>
              <w:rPr>
                <w:rFonts w:ascii="Times New Roman" w:hAnsi="Times New Roman" w:cs="Times New Roman"/>
                <w:b/>
                <w:sz w:val="25"/>
                <w:szCs w:val="25"/>
                <w:lang w:eastAsia="lv-LV"/>
              </w:rPr>
            </w:pPr>
            <w:r w:rsidRPr="00A71967">
              <w:rPr>
                <w:rFonts w:ascii="Times New Roman" w:hAnsi="Times New Roman" w:cs="Times New Roman"/>
                <w:b/>
                <w:iCs/>
                <w:sz w:val="25"/>
                <w:szCs w:val="25"/>
                <w:lang w:eastAsia="lv-LV"/>
              </w:rPr>
              <w:t>Tiesību akta projekta anotācijas kopsavilkums</w:t>
            </w:r>
          </w:p>
        </w:tc>
      </w:tr>
      <w:tr w:rsidR="00C75EAE" w:rsidRPr="00A71967" w14:paraId="0FAFD0CD" w14:textId="77777777" w:rsidTr="00391B6A">
        <w:tc>
          <w:tcPr>
            <w:tcW w:w="9214" w:type="dxa"/>
          </w:tcPr>
          <w:p w14:paraId="7C4C218B" w14:textId="77777777" w:rsidR="00130487" w:rsidRPr="00A71967" w:rsidRDefault="00130487" w:rsidP="00495126">
            <w:pPr>
              <w:pStyle w:val="NoSpacing"/>
              <w:jc w:val="center"/>
              <w:rPr>
                <w:rFonts w:ascii="Times New Roman" w:hAnsi="Times New Roman" w:cs="Times New Roman"/>
                <w:sz w:val="25"/>
                <w:szCs w:val="25"/>
                <w:lang w:eastAsia="lv-LV"/>
              </w:rPr>
            </w:pPr>
            <w:r w:rsidRPr="00A71967">
              <w:rPr>
                <w:rFonts w:ascii="Times New Roman" w:hAnsi="Times New Roman" w:cs="Times New Roman"/>
                <w:sz w:val="25"/>
                <w:szCs w:val="25"/>
                <w:lang w:eastAsia="lv-LV"/>
              </w:rPr>
              <w:t>Projekts šo jomu neskar</w:t>
            </w:r>
            <w:r w:rsidR="007272A8" w:rsidRPr="00A71967">
              <w:rPr>
                <w:rFonts w:ascii="Times New Roman" w:hAnsi="Times New Roman" w:cs="Times New Roman"/>
                <w:sz w:val="25"/>
                <w:szCs w:val="25"/>
                <w:lang w:eastAsia="lv-LV"/>
              </w:rPr>
              <w:t>.</w:t>
            </w:r>
          </w:p>
        </w:tc>
      </w:tr>
    </w:tbl>
    <w:p w14:paraId="66EA1353" w14:textId="77777777" w:rsidR="00EC6E12" w:rsidRPr="00A71967" w:rsidRDefault="00EC6E12" w:rsidP="00495126">
      <w:pPr>
        <w:pStyle w:val="NoSpacing"/>
        <w:jc w:val="center"/>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568"/>
        <w:gridCol w:w="1559"/>
        <w:gridCol w:w="7087"/>
      </w:tblGrid>
      <w:tr w:rsidR="00C75EAE" w:rsidRPr="00A71967" w14:paraId="01ABD38F" w14:textId="77777777" w:rsidTr="00391B6A">
        <w:tc>
          <w:tcPr>
            <w:tcW w:w="9214" w:type="dxa"/>
            <w:gridSpan w:val="3"/>
          </w:tcPr>
          <w:p w14:paraId="3CF4429A" w14:textId="77777777" w:rsidR="00EC6E12" w:rsidRPr="00A71967" w:rsidRDefault="00EC6E12" w:rsidP="00495126">
            <w:pPr>
              <w:pStyle w:val="NoSpacing"/>
              <w:jc w:val="center"/>
              <w:rPr>
                <w:rFonts w:ascii="Times New Roman" w:hAnsi="Times New Roman" w:cs="Times New Roman"/>
                <w:b/>
                <w:sz w:val="25"/>
                <w:szCs w:val="25"/>
                <w:lang w:eastAsia="lv-LV"/>
              </w:rPr>
            </w:pPr>
            <w:r w:rsidRPr="00A71967">
              <w:rPr>
                <w:rFonts w:ascii="Times New Roman" w:hAnsi="Times New Roman" w:cs="Times New Roman"/>
                <w:b/>
                <w:iCs/>
                <w:sz w:val="25"/>
                <w:szCs w:val="25"/>
                <w:lang w:eastAsia="lv-LV"/>
              </w:rPr>
              <w:t>I. Tiesību akta projekta izstrādes nepieciešamība</w:t>
            </w:r>
          </w:p>
        </w:tc>
      </w:tr>
      <w:tr w:rsidR="00C75EAE" w:rsidRPr="00A71967" w14:paraId="1DED91C9" w14:textId="77777777" w:rsidTr="00391B6A">
        <w:tc>
          <w:tcPr>
            <w:tcW w:w="568" w:type="dxa"/>
          </w:tcPr>
          <w:p w14:paraId="37DFBE9C" w14:textId="77777777" w:rsidR="00130487" w:rsidRPr="00A71967" w:rsidRDefault="001304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1.</w:t>
            </w:r>
          </w:p>
        </w:tc>
        <w:tc>
          <w:tcPr>
            <w:tcW w:w="1559" w:type="dxa"/>
          </w:tcPr>
          <w:p w14:paraId="1DA04037" w14:textId="77777777" w:rsidR="00130487" w:rsidRPr="00A71967" w:rsidRDefault="00130487"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Pamatojums</w:t>
            </w:r>
          </w:p>
        </w:tc>
        <w:tc>
          <w:tcPr>
            <w:tcW w:w="7087" w:type="dxa"/>
          </w:tcPr>
          <w:p w14:paraId="27CC4AC9" w14:textId="77777777" w:rsidR="0079260F" w:rsidRPr="00A71967" w:rsidRDefault="0079260F" w:rsidP="00495126">
            <w:pPr>
              <w:pStyle w:val="NoSpacing"/>
              <w:ind w:firstLine="311"/>
              <w:jc w:val="both"/>
              <w:rPr>
                <w:rFonts w:ascii="Times New Roman" w:hAnsi="Times New Roman" w:cs="Times New Roman"/>
                <w:sz w:val="26"/>
                <w:szCs w:val="26"/>
              </w:rPr>
            </w:pPr>
            <w:r w:rsidRPr="00A71967">
              <w:rPr>
                <w:rFonts w:ascii="Times New Roman" w:hAnsi="Times New Roman" w:cs="Times New Roman"/>
                <w:sz w:val="26"/>
                <w:szCs w:val="26"/>
              </w:rPr>
              <w:t>Ministru kabineta</w:t>
            </w:r>
            <w:r w:rsidR="00270726" w:rsidRPr="00A71967">
              <w:rPr>
                <w:rFonts w:ascii="Times New Roman" w:hAnsi="Times New Roman" w:cs="Times New Roman"/>
                <w:sz w:val="26"/>
                <w:szCs w:val="26"/>
              </w:rPr>
              <w:t xml:space="preserve"> (turpmāk – MK)</w:t>
            </w:r>
            <w:r w:rsidRPr="00A71967">
              <w:rPr>
                <w:rFonts w:ascii="Times New Roman" w:hAnsi="Times New Roman" w:cs="Times New Roman"/>
                <w:sz w:val="26"/>
                <w:szCs w:val="26"/>
              </w:rPr>
              <w:t xml:space="preserve"> rīkojuma projekts “Par finanšu līdzekļu piešķiršanu no valsts budžeta programmas “Līdzekļi neparedzētiem gadījumiem”” (turpmāk – rīkojuma projekts) izstrādāts, pamatojoties uz: </w:t>
            </w:r>
          </w:p>
          <w:p w14:paraId="448A629E" w14:textId="36037E51" w:rsidR="007C0E31" w:rsidRPr="00A71967" w:rsidRDefault="0053756E" w:rsidP="00495126">
            <w:pPr>
              <w:pStyle w:val="NoSpacing"/>
              <w:jc w:val="both"/>
              <w:rPr>
                <w:rFonts w:ascii="Times New Roman" w:hAnsi="Times New Roman" w:cs="Times New Roman"/>
                <w:sz w:val="26"/>
                <w:szCs w:val="26"/>
              </w:rPr>
            </w:pPr>
            <w:r w:rsidRPr="00A71967">
              <w:rPr>
                <w:rFonts w:ascii="Times New Roman" w:hAnsi="Times New Roman" w:cs="Times New Roman"/>
                <w:sz w:val="26"/>
                <w:szCs w:val="26"/>
              </w:rPr>
              <w:t>- MK 2018.gada 17.jūlija noteikumu Nr.421 “Kārtība, kādā veic gadskārtējā valsts budžeta likumā noteiktās apropriācijas izmaiņas” 41.punktu, kas nosaka, ka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r w:rsidR="004E35A2" w:rsidRPr="00A71967">
              <w:rPr>
                <w:rFonts w:ascii="Times New Roman" w:hAnsi="Times New Roman" w:cs="Times New Roman"/>
                <w:sz w:val="26"/>
                <w:szCs w:val="26"/>
              </w:rPr>
              <w:t>;</w:t>
            </w:r>
          </w:p>
          <w:p w14:paraId="635DBB76" w14:textId="444A96B5" w:rsidR="008424A5" w:rsidRPr="00A71967" w:rsidRDefault="008424A5" w:rsidP="00495126">
            <w:pPr>
              <w:pStyle w:val="NoSpacing"/>
              <w:jc w:val="both"/>
              <w:rPr>
                <w:rFonts w:ascii="Times New Roman" w:hAnsi="Times New Roman" w:cs="Times New Roman"/>
                <w:sz w:val="26"/>
                <w:szCs w:val="26"/>
              </w:rPr>
            </w:pPr>
            <w:r w:rsidRPr="00A71967">
              <w:rPr>
                <w:rFonts w:ascii="Times New Roman" w:hAnsi="Times New Roman" w:cs="Times New Roman"/>
                <w:sz w:val="26"/>
                <w:szCs w:val="26"/>
              </w:rPr>
              <w:t>- Covid-19 infekcijas izplatības seku pārvarēšanas likuma 25.pantu.</w:t>
            </w:r>
          </w:p>
        </w:tc>
      </w:tr>
      <w:tr w:rsidR="00C75EAE" w:rsidRPr="00A71967" w14:paraId="19E0ADCC" w14:textId="77777777" w:rsidTr="00391B6A">
        <w:tc>
          <w:tcPr>
            <w:tcW w:w="568" w:type="dxa"/>
          </w:tcPr>
          <w:p w14:paraId="3DFE7F6C" w14:textId="77777777" w:rsidR="0079260F" w:rsidRPr="00A71967" w:rsidRDefault="0079260F"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2.</w:t>
            </w:r>
          </w:p>
        </w:tc>
        <w:tc>
          <w:tcPr>
            <w:tcW w:w="1559" w:type="dxa"/>
          </w:tcPr>
          <w:p w14:paraId="676B1CF0" w14:textId="77777777" w:rsidR="00152501" w:rsidRPr="00A71967" w:rsidRDefault="0079260F"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Pašreizējā situācija un problēmas, kuru risināšanai tiesību akta projekts izstrādāts, tiesiskā regulējuma mērķis un būtība</w:t>
            </w:r>
          </w:p>
          <w:p w14:paraId="134200B3" w14:textId="77777777" w:rsidR="0079260F" w:rsidRPr="00A71967" w:rsidRDefault="0079260F" w:rsidP="00495126">
            <w:pPr>
              <w:jc w:val="center"/>
              <w:rPr>
                <w:sz w:val="26"/>
                <w:szCs w:val="26"/>
              </w:rPr>
            </w:pPr>
          </w:p>
          <w:p w14:paraId="6621A0E0" w14:textId="77777777" w:rsidR="00A40296" w:rsidRPr="00A71967" w:rsidRDefault="00A40296" w:rsidP="00495126">
            <w:pPr>
              <w:rPr>
                <w:sz w:val="26"/>
                <w:szCs w:val="26"/>
              </w:rPr>
            </w:pPr>
          </w:p>
          <w:p w14:paraId="3325A703" w14:textId="77777777" w:rsidR="00A40296" w:rsidRPr="00A71967" w:rsidRDefault="00A40296" w:rsidP="00495126">
            <w:pPr>
              <w:rPr>
                <w:sz w:val="26"/>
                <w:szCs w:val="26"/>
              </w:rPr>
            </w:pPr>
          </w:p>
          <w:p w14:paraId="4684FEAC" w14:textId="77777777" w:rsidR="00A40296" w:rsidRPr="00A71967" w:rsidRDefault="00A40296" w:rsidP="00495126">
            <w:pPr>
              <w:rPr>
                <w:sz w:val="26"/>
                <w:szCs w:val="26"/>
              </w:rPr>
            </w:pPr>
          </w:p>
          <w:p w14:paraId="772AEB7E" w14:textId="77777777" w:rsidR="00A40296" w:rsidRPr="00A71967" w:rsidRDefault="00A40296" w:rsidP="00495126">
            <w:pPr>
              <w:rPr>
                <w:sz w:val="26"/>
                <w:szCs w:val="26"/>
              </w:rPr>
            </w:pPr>
          </w:p>
          <w:p w14:paraId="449926E7" w14:textId="77777777" w:rsidR="00A40296" w:rsidRPr="00A71967" w:rsidRDefault="00A40296" w:rsidP="00495126">
            <w:pPr>
              <w:rPr>
                <w:sz w:val="26"/>
                <w:szCs w:val="26"/>
              </w:rPr>
            </w:pPr>
          </w:p>
          <w:p w14:paraId="42763593" w14:textId="77777777" w:rsidR="00A40296" w:rsidRPr="00A71967" w:rsidRDefault="00A40296" w:rsidP="00495126">
            <w:pPr>
              <w:rPr>
                <w:sz w:val="26"/>
                <w:szCs w:val="26"/>
              </w:rPr>
            </w:pPr>
          </w:p>
          <w:p w14:paraId="4BF21115" w14:textId="77777777" w:rsidR="00A40296" w:rsidRPr="00A71967" w:rsidRDefault="00A40296" w:rsidP="00495126">
            <w:pPr>
              <w:rPr>
                <w:sz w:val="26"/>
                <w:szCs w:val="26"/>
              </w:rPr>
            </w:pPr>
          </w:p>
          <w:p w14:paraId="208633D0" w14:textId="77777777" w:rsidR="00A40296" w:rsidRPr="00A71967" w:rsidRDefault="00A40296" w:rsidP="00495126">
            <w:pPr>
              <w:rPr>
                <w:sz w:val="26"/>
                <w:szCs w:val="26"/>
              </w:rPr>
            </w:pPr>
          </w:p>
          <w:p w14:paraId="577E7C97" w14:textId="77777777" w:rsidR="00A40296" w:rsidRPr="00A71967" w:rsidRDefault="00A40296" w:rsidP="00495126">
            <w:pPr>
              <w:rPr>
                <w:sz w:val="26"/>
                <w:szCs w:val="26"/>
              </w:rPr>
            </w:pPr>
          </w:p>
          <w:p w14:paraId="2A7E9861" w14:textId="77777777" w:rsidR="00A40296" w:rsidRPr="00A71967" w:rsidRDefault="00A40296" w:rsidP="00495126">
            <w:pPr>
              <w:rPr>
                <w:sz w:val="26"/>
                <w:szCs w:val="26"/>
              </w:rPr>
            </w:pPr>
          </w:p>
          <w:p w14:paraId="55A88DD0" w14:textId="77777777" w:rsidR="00A40296" w:rsidRPr="00A71967" w:rsidRDefault="00A40296" w:rsidP="00495126">
            <w:pPr>
              <w:rPr>
                <w:sz w:val="26"/>
                <w:szCs w:val="26"/>
              </w:rPr>
            </w:pPr>
          </w:p>
          <w:p w14:paraId="3E5556D4" w14:textId="77777777" w:rsidR="00A40296" w:rsidRPr="00A71967" w:rsidRDefault="00A40296" w:rsidP="00495126">
            <w:pPr>
              <w:rPr>
                <w:sz w:val="26"/>
                <w:szCs w:val="26"/>
              </w:rPr>
            </w:pPr>
          </w:p>
          <w:p w14:paraId="6AF0DCED" w14:textId="77777777" w:rsidR="00A40296" w:rsidRPr="00A71967" w:rsidRDefault="00A40296" w:rsidP="00495126">
            <w:pPr>
              <w:jc w:val="center"/>
              <w:rPr>
                <w:sz w:val="26"/>
                <w:szCs w:val="26"/>
              </w:rPr>
            </w:pPr>
          </w:p>
        </w:tc>
        <w:tc>
          <w:tcPr>
            <w:tcW w:w="7087" w:type="dxa"/>
          </w:tcPr>
          <w:p w14:paraId="4DF209A7" w14:textId="69746880" w:rsidR="003B3322" w:rsidRDefault="003B3322" w:rsidP="003B3322">
            <w:pPr>
              <w:ind w:firstLine="311"/>
              <w:jc w:val="both"/>
              <w:rPr>
                <w:sz w:val="26"/>
                <w:szCs w:val="26"/>
              </w:rPr>
            </w:pPr>
            <w:r w:rsidRPr="000C2022">
              <w:rPr>
                <w:sz w:val="26"/>
                <w:szCs w:val="26"/>
              </w:rPr>
              <w:lastRenderedPageBreak/>
              <w:t>Saskaņā ar literatūrā pieejamajiem datiem, vairāk nekā pusei pacientu pēc vidēji smagi un smagi pārslimotas C</w:t>
            </w:r>
            <w:r w:rsidR="0021345D">
              <w:rPr>
                <w:sz w:val="26"/>
                <w:szCs w:val="26"/>
              </w:rPr>
              <w:t>ovid</w:t>
            </w:r>
            <w:r w:rsidRPr="000C2022">
              <w:rPr>
                <w:sz w:val="26"/>
                <w:szCs w:val="26"/>
              </w:rPr>
              <w:t>-19 infekcijas, ilgstoši (ilgāk par 3 mēnešiem) saglabājas elpošanas sistēmas traucējumi (samazināta vitālā kapacitāte), kardiovaskulārās sistēmas komplikācijas (aritmijas, miokardīts, miokarda infarkts, sirds mazspēja), neiropsiholoģiskas komplikācijas (cerebrovaskulāri notikumi, izmainīts mentālais stāvoklis, atmiņas traucējumi, perifēras neiropātijas) vai muskuloskeletālas komplikācijas.</w:t>
            </w:r>
            <w:r>
              <w:rPr>
                <w:sz w:val="26"/>
                <w:szCs w:val="26"/>
              </w:rPr>
              <w:t xml:space="preserve"> </w:t>
            </w:r>
            <w:r w:rsidRPr="000C2022">
              <w:rPr>
                <w:sz w:val="26"/>
                <w:szCs w:val="26"/>
              </w:rPr>
              <w:t>Minētie traucējumi var izpausties kā vājums, nespēks, sāpes, elpas trūkums, atkarība no papildu skābekļa inhalāciju nepieciešamības, samazināta fiziskās slodzes tolerance, kognitīvs deficīts, miega traucējumi, krampju lēkmes, samazināts muskuļu spēks, rīšanas, fonācijas traucējumi un citi ikdienas aktivitāšu, darbspējas un dzīves kvalitāti ietekmējoši faktori.</w:t>
            </w:r>
          </w:p>
          <w:p w14:paraId="52A7E32D" w14:textId="32B454F2" w:rsidR="001E3C24" w:rsidRDefault="001E3C24" w:rsidP="003B3322">
            <w:pPr>
              <w:ind w:firstLine="311"/>
              <w:jc w:val="both"/>
              <w:rPr>
                <w:sz w:val="26"/>
                <w:szCs w:val="26"/>
              </w:rPr>
            </w:pPr>
            <w:r>
              <w:rPr>
                <w:sz w:val="26"/>
                <w:szCs w:val="26"/>
              </w:rPr>
              <w:t>Lai uzlabotu minēto pacientu funkcionālās spējas, veselības stāvokli un dzīves kvalitāti, vienlaikus nodrošinot viņiem iespēju ātrāk atgriezties ikdienas un darba gaitās, būtu jāparedz finansējums valsts apmaksātu medicīniskās rehabilitācijas pakalpojumu nodrošināšanai pacientiem, kuriem šādi pakalpojumi ir nepieciešami.</w:t>
            </w:r>
          </w:p>
          <w:p w14:paraId="0954836F" w14:textId="77777777" w:rsidR="00E40A60" w:rsidRDefault="00E40A60" w:rsidP="00E40A60">
            <w:pPr>
              <w:ind w:firstLine="311"/>
              <w:jc w:val="both"/>
              <w:rPr>
                <w:sz w:val="26"/>
                <w:szCs w:val="26"/>
              </w:rPr>
            </w:pPr>
            <w:r w:rsidRPr="000C2022">
              <w:rPr>
                <w:sz w:val="26"/>
                <w:szCs w:val="26"/>
              </w:rPr>
              <w:t xml:space="preserve">Atbilstoši Slimību profilakses un kontroles centra sniegtajai informācijai Covid-19 pacientu skaits š.g. aprīlī sasniedza 16 196 pacientus. Atkarībā no tā, vai 14 dienu kumulatīvais gadījumu skaits - 20 gadījumi uz 100 000 iedzīvotāju vakcinācijas rezultātā </w:t>
            </w:r>
            <w:r w:rsidRPr="000C2022">
              <w:rPr>
                <w:sz w:val="26"/>
                <w:szCs w:val="26"/>
              </w:rPr>
              <w:lastRenderedPageBreak/>
              <w:t>tiks sasniegts līdz šā gada septembrim vai šā gada decembrim, SPKC prognozējamais ar Covid-19 saslimušo skaits laika posmā no š.g. maija līdz decembrim varētu svārstīties no 57</w:t>
            </w:r>
            <w:r>
              <w:rPr>
                <w:sz w:val="26"/>
                <w:szCs w:val="26"/>
              </w:rPr>
              <w:t> </w:t>
            </w:r>
            <w:r w:rsidRPr="000C2022">
              <w:rPr>
                <w:sz w:val="26"/>
                <w:szCs w:val="26"/>
              </w:rPr>
              <w:t>910 līdz 74</w:t>
            </w:r>
            <w:r>
              <w:rPr>
                <w:sz w:val="26"/>
                <w:szCs w:val="26"/>
              </w:rPr>
              <w:t> </w:t>
            </w:r>
            <w:r w:rsidRPr="000C2022">
              <w:rPr>
                <w:sz w:val="26"/>
                <w:szCs w:val="26"/>
              </w:rPr>
              <w:t>960 pacientiem (skatīt 1. un 2. tabulu). Rēķinot vidējo prognozējamo ar Covid-19 saslimušo skaitu turpmākos 8 mēnešos, vidēji mēnesī ir prognozējami 8</w:t>
            </w:r>
            <w:r>
              <w:rPr>
                <w:sz w:val="26"/>
                <w:szCs w:val="26"/>
              </w:rPr>
              <w:t> </w:t>
            </w:r>
            <w:r w:rsidRPr="000C2022">
              <w:rPr>
                <w:sz w:val="26"/>
                <w:szCs w:val="26"/>
              </w:rPr>
              <w:t>304 pacienti.</w:t>
            </w:r>
          </w:p>
          <w:p w14:paraId="0A42E3F6" w14:textId="77777777" w:rsidR="00E40A60" w:rsidRPr="000C2022" w:rsidRDefault="00E40A60" w:rsidP="00E40A60">
            <w:pPr>
              <w:shd w:val="clear" w:color="auto" w:fill="FFFFFF"/>
              <w:jc w:val="right"/>
              <w:textAlignment w:val="baseline"/>
              <w:rPr>
                <w:sz w:val="26"/>
                <w:szCs w:val="26"/>
              </w:rPr>
            </w:pPr>
            <w:r w:rsidRPr="000C2022">
              <w:rPr>
                <w:sz w:val="26"/>
                <w:szCs w:val="26"/>
              </w:rPr>
              <w:t>1.tabula</w:t>
            </w:r>
          </w:p>
          <w:p w14:paraId="43301568" w14:textId="77777777" w:rsidR="00E40A60" w:rsidRPr="000C2022" w:rsidRDefault="00E40A60" w:rsidP="00E40A60">
            <w:pPr>
              <w:shd w:val="clear" w:color="auto" w:fill="FFFFFF"/>
              <w:spacing w:after="120"/>
              <w:jc w:val="center"/>
              <w:textAlignment w:val="baseline"/>
              <w:rPr>
                <w:i/>
                <w:iCs/>
                <w:sz w:val="28"/>
                <w:szCs w:val="28"/>
              </w:rPr>
            </w:pPr>
            <w:r w:rsidRPr="000C2022">
              <w:rPr>
                <w:b/>
                <w:bCs/>
                <w:sz w:val="26"/>
                <w:szCs w:val="26"/>
              </w:rPr>
              <w:t>Covid-19 saslimstības prognozes 2021. gadam</w:t>
            </w:r>
          </w:p>
          <w:tbl>
            <w:tblPr>
              <w:tblW w:w="6831" w:type="dxa"/>
              <w:tblLayout w:type="fixed"/>
              <w:tblCellMar>
                <w:top w:w="15" w:type="dxa"/>
                <w:left w:w="15" w:type="dxa"/>
                <w:bottom w:w="15" w:type="dxa"/>
                <w:right w:w="15" w:type="dxa"/>
              </w:tblCellMar>
              <w:tblLook w:val="04A0" w:firstRow="1" w:lastRow="0" w:firstColumn="1" w:lastColumn="0" w:noHBand="0" w:noVBand="1"/>
            </w:tblPr>
            <w:tblGrid>
              <w:gridCol w:w="2153"/>
              <w:gridCol w:w="2268"/>
              <w:gridCol w:w="2410"/>
            </w:tblGrid>
            <w:tr w:rsidR="00E40A60" w:rsidRPr="000C2022" w14:paraId="7AC7284B" w14:textId="77777777" w:rsidTr="004423B4">
              <w:tc>
                <w:tcPr>
                  <w:tcW w:w="2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203BC" w14:textId="77777777" w:rsidR="00E40A60" w:rsidRPr="00611205" w:rsidRDefault="00E40A60" w:rsidP="00E40A60">
                  <w:pPr>
                    <w:jc w:val="center"/>
                    <w:rPr>
                      <w:sz w:val="22"/>
                      <w:szCs w:val="22"/>
                    </w:rPr>
                  </w:pPr>
                  <w:r w:rsidRPr="00611205">
                    <w:rPr>
                      <w:sz w:val="22"/>
                      <w:szCs w:val="22"/>
                    </w:rPr>
                    <w:t>Mēnesis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460BAE" w14:textId="77777777" w:rsidR="00E40A60" w:rsidRPr="00611205" w:rsidRDefault="00E40A60" w:rsidP="00E40A60">
                  <w:pPr>
                    <w:jc w:val="center"/>
                    <w:rPr>
                      <w:sz w:val="22"/>
                      <w:szCs w:val="22"/>
                    </w:rPr>
                  </w:pPr>
                  <w:r w:rsidRPr="00611205">
                    <w:rPr>
                      <w:sz w:val="22"/>
                      <w:szCs w:val="22"/>
                    </w:rPr>
                    <w:t xml:space="preserve">A scenārijs </w:t>
                  </w:r>
                </w:p>
                <w:p w14:paraId="183AD786" w14:textId="77777777" w:rsidR="00E40A60" w:rsidRPr="00611205" w:rsidRDefault="00E40A60" w:rsidP="00E40A60">
                  <w:pPr>
                    <w:jc w:val="center"/>
                    <w:rPr>
                      <w:sz w:val="22"/>
                      <w:szCs w:val="22"/>
                    </w:rPr>
                  </w:pPr>
                  <w:r w:rsidRPr="00611205">
                    <w:rPr>
                      <w:sz w:val="22"/>
                      <w:szCs w:val="22"/>
                    </w:rPr>
                    <w:t>(vakcinācijas rezultātā 14 dienu kumulatīvais gadījumu skaits 20 gadījumi uz 100 000 iedz. tiks sasniegts līdz septembrim)</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6AE3D5" w14:textId="77777777" w:rsidR="00E40A60" w:rsidRPr="00611205" w:rsidRDefault="00E40A60" w:rsidP="00E40A60">
                  <w:pPr>
                    <w:jc w:val="center"/>
                    <w:rPr>
                      <w:sz w:val="22"/>
                      <w:szCs w:val="22"/>
                    </w:rPr>
                  </w:pPr>
                  <w:r w:rsidRPr="00611205">
                    <w:rPr>
                      <w:sz w:val="22"/>
                      <w:szCs w:val="22"/>
                    </w:rPr>
                    <w:t xml:space="preserve">B scenārijs </w:t>
                  </w:r>
                </w:p>
                <w:p w14:paraId="33B3260A" w14:textId="77777777" w:rsidR="00E40A60" w:rsidRPr="00611205" w:rsidRDefault="00E40A60" w:rsidP="00E40A60">
                  <w:pPr>
                    <w:jc w:val="center"/>
                    <w:rPr>
                      <w:sz w:val="22"/>
                      <w:szCs w:val="22"/>
                    </w:rPr>
                  </w:pPr>
                  <w:r w:rsidRPr="00611205">
                    <w:rPr>
                      <w:sz w:val="22"/>
                      <w:szCs w:val="22"/>
                    </w:rPr>
                    <w:t>(vakcinācijas rezultātā 14 dienu kumulatīvais gadījumu skaits 20 gadījumi uz 100 000 iedz. tiks sasniegts līdz decembrim)</w:t>
                  </w:r>
                </w:p>
              </w:tc>
            </w:tr>
            <w:tr w:rsidR="00E40A60" w:rsidRPr="000C2022" w14:paraId="389CE26F" w14:textId="77777777" w:rsidTr="004423B4">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1BD35" w14:textId="6DE77F46" w:rsidR="00E40A60" w:rsidRPr="00611205" w:rsidRDefault="00456551" w:rsidP="00E40A60">
                  <w:pPr>
                    <w:rPr>
                      <w:sz w:val="22"/>
                      <w:szCs w:val="22"/>
                    </w:rPr>
                  </w:pPr>
                  <w:r>
                    <w:rPr>
                      <w:sz w:val="22"/>
                      <w:szCs w:val="22"/>
                    </w:rPr>
                    <w:t>J</w:t>
                  </w:r>
                  <w:r w:rsidR="00E40A60" w:rsidRPr="00611205">
                    <w:rPr>
                      <w:sz w:val="22"/>
                      <w:szCs w:val="22"/>
                    </w:rPr>
                    <w:t>anvāris</w:t>
                  </w:r>
                  <w:r>
                    <w:rPr>
                      <w:sz w:val="22"/>
                      <w:szCs w:val="22"/>
                    </w:rPr>
                    <w:t xml:space="preserve"> </w:t>
                  </w:r>
                  <w:r w:rsidR="00E40A60" w:rsidRPr="00611205">
                    <w:rPr>
                      <w:sz w:val="22"/>
                      <w:szCs w:val="22"/>
                    </w:rPr>
                    <w:t>-</w:t>
                  </w:r>
                  <w:r>
                    <w:rPr>
                      <w:sz w:val="22"/>
                      <w:szCs w:val="22"/>
                    </w:rPr>
                    <w:t xml:space="preserve"> a</w:t>
                  </w:r>
                  <w:r w:rsidR="00E40A60" w:rsidRPr="00611205">
                    <w:rPr>
                      <w:sz w:val="22"/>
                      <w:szCs w:val="22"/>
                    </w:rPr>
                    <w:t>prīlis (faktiskais)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46CC0" w14:textId="77777777" w:rsidR="00E40A60" w:rsidRPr="00611205" w:rsidRDefault="00E40A60" w:rsidP="00E40A60">
                  <w:pPr>
                    <w:jc w:val="center"/>
                    <w:rPr>
                      <w:sz w:val="22"/>
                      <w:szCs w:val="22"/>
                    </w:rPr>
                  </w:pPr>
                  <w:r w:rsidRPr="00611205">
                    <w:rPr>
                      <w:sz w:val="22"/>
                      <w:szCs w:val="22"/>
                    </w:rPr>
                    <w:t>77 652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CDB11" w14:textId="77777777" w:rsidR="00E40A60" w:rsidRPr="00611205" w:rsidRDefault="00E40A60" w:rsidP="00E40A60">
                  <w:pPr>
                    <w:jc w:val="center"/>
                    <w:rPr>
                      <w:sz w:val="22"/>
                      <w:szCs w:val="22"/>
                    </w:rPr>
                  </w:pPr>
                  <w:r w:rsidRPr="00611205">
                    <w:rPr>
                      <w:sz w:val="22"/>
                      <w:szCs w:val="22"/>
                    </w:rPr>
                    <w:t>77 652</w:t>
                  </w:r>
                </w:p>
              </w:tc>
            </w:tr>
            <w:tr w:rsidR="00E40A60" w:rsidRPr="000C2022" w14:paraId="628752CD" w14:textId="77777777" w:rsidTr="004423B4">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78C32" w14:textId="77777777" w:rsidR="00E40A60" w:rsidRDefault="00E40A60" w:rsidP="00E40A60">
                  <w:pPr>
                    <w:rPr>
                      <w:sz w:val="22"/>
                      <w:szCs w:val="22"/>
                    </w:rPr>
                  </w:pPr>
                  <w:r>
                    <w:rPr>
                      <w:sz w:val="22"/>
                      <w:szCs w:val="22"/>
                    </w:rPr>
                    <w:t>Maijs</w:t>
                  </w:r>
                </w:p>
                <w:p w14:paraId="37BA4C21" w14:textId="77777777" w:rsidR="00E40A60" w:rsidRPr="00611205" w:rsidRDefault="00E40A60" w:rsidP="00E40A60">
                  <w:pPr>
                    <w:rPr>
                      <w:sz w:val="22"/>
                      <w:szCs w:val="22"/>
                    </w:rPr>
                  </w:pPr>
                  <w:r w:rsidRPr="00611205">
                    <w:rPr>
                      <w:sz w:val="22"/>
                      <w:szCs w:val="22"/>
                    </w:rPr>
                    <w:t>(prognozējamais, ievērojot pašreizējo pieauguma tendenci)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77279" w14:textId="77777777" w:rsidR="00E40A60" w:rsidRPr="00611205" w:rsidRDefault="00E40A60" w:rsidP="00E40A60">
                  <w:pPr>
                    <w:jc w:val="center"/>
                    <w:rPr>
                      <w:sz w:val="22"/>
                      <w:szCs w:val="22"/>
                    </w:rPr>
                  </w:pPr>
                  <w:r w:rsidRPr="00611205">
                    <w:rPr>
                      <w:sz w:val="22"/>
                      <w:szCs w:val="22"/>
                    </w:rPr>
                    <w:t>20 430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F2F53" w14:textId="77777777" w:rsidR="00E40A60" w:rsidRPr="00611205" w:rsidRDefault="00E40A60" w:rsidP="00E40A60">
                  <w:pPr>
                    <w:jc w:val="center"/>
                    <w:rPr>
                      <w:sz w:val="22"/>
                      <w:szCs w:val="22"/>
                    </w:rPr>
                  </w:pPr>
                  <w:r w:rsidRPr="00611205">
                    <w:rPr>
                      <w:sz w:val="22"/>
                      <w:szCs w:val="22"/>
                    </w:rPr>
                    <w:t>20 430</w:t>
                  </w:r>
                </w:p>
              </w:tc>
            </w:tr>
            <w:tr w:rsidR="00E40A60" w:rsidRPr="000C2022" w14:paraId="018FDA52" w14:textId="77777777" w:rsidTr="004423B4">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06B08" w14:textId="77777777" w:rsidR="00E40A60" w:rsidRPr="00611205" w:rsidRDefault="00E40A60" w:rsidP="00E40A60">
                  <w:pPr>
                    <w:rPr>
                      <w:sz w:val="22"/>
                      <w:szCs w:val="22"/>
                    </w:rPr>
                  </w:pPr>
                  <w:r w:rsidRPr="00611205">
                    <w:rPr>
                      <w:sz w:val="22"/>
                      <w:szCs w:val="22"/>
                    </w:rPr>
                    <w:t>Prognozētais 14 dienu kumulatīvais rādītājs uz 01.06.2021.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71148" w14:textId="77777777" w:rsidR="00E40A60" w:rsidRPr="00611205" w:rsidRDefault="00E40A60" w:rsidP="00E40A60">
                  <w:pPr>
                    <w:jc w:val="center"/>
                    <w:rPr>
                      <w:sz w:val="22"/>
                      <w:szCs w:val="22"/>
                    </w:rPr>
                  </w:pPr>
                  <w:r w:rsidRPr="00611205">
                    <w:rPr>
                      <w:sz w:val="22"/>
                      <w:szCs w:val="22"/>
                    </w:rPr>
                    <w:t>525,0 </w:t>
                  </w:r>
                </w:p>
                <w:p w14:paraId="6F7EEF44" w14:textId="77777777" w:rsidR="00E40A60" w:rsidRPr="00611205" w:rsidRDefault="00E40A60" w:rsidP="00E40A60">
                  <w:pPr>
                    <w:jc w:val="center"/>
                    <w:rPr>
                      <w:sz w:val="22"/>
                      <w:szCs w:val="22"/>
                    </w:rPr>
                  </w:pPr>
                  <w:r w:rsidRPr="00611205">
                    <w:rPr>
                      <w:sz w:val="22"/>
                      <w:szCs w:val="22"/>
                    </w:rPr>
                    <w:t>(01.09.2021. - 20,0 uz 100 000 iedz.)</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DE40F" w14:textId="77777777" w:rsidR="00E40A60" w:rsidRPr="00611205" w:rsidRDefault="00E40A60" w:rsidP="00E40A60">
                  <w:pPr>
                    <w:jc w:val="center"/>
                    <w:rPr>
                      <w:sz w:val="22"/>
                      <w:szCs w:val="22"/>
                    </w:rPr>
                  </w:pPr>
                  <w:r w:rsidRPr="00611205">
                    <w:rPr>
                      <w:sz w:val="22"/>
                      <w:szCs w:val="22"/>
                    </w:rPr>
                    <w:t>525,0 </w:t>
                  </w:r>
                </w:p>
                <w:p w14:paraId="71130410" w14:textId="77777777" w:rsidR="00E40A60" w:rsidRPr="00611205" w:rsidRDefault="00E40A60" w:rsidP="00E40A60">
                  <w:pPr>
                    <w:jc w:val="center"/>
                    <w:rPr>
                      <w:sz w:val="22"/>
                      <w:szCs w:val="22"/>
                    </w:rPr>
                  </w:pPr>
                  <w:r w:rsidRPr="00611205">
                    <w:rPr>
                      <w:sz w:val="22"/>
                      <w:szCs w:val="22"/>
                    </w:rPr>
                    <w:t>(01.12.2021. -  20,0 uz 100 000 iedz.)</w:t>
                  </w:r>
                </w:p>
              </w:tc>
            </w:tr>
            <w:tr w:rsidR="00E40A60" w:rsidRPr="000C2022" w14:paraId="0985D1D5" w14:textId="77777777" w:rsidTr="004423B4">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71CB0" w14:textId="613D5591" w:rsidR="00E40A60" w:rsidRPr="00611205" w:rsidRDefault="00E40A60" w:rsidP="00E40A60">
                  <w:pPr>
                    <w:rPr>
                      <w:sz w:val="22"/>
                      <w:szCs w:val="22"/>
                    </w:rPr>
                  </w:pPr>
                  <w:r w:rsidRPr="00611205">
                    <w:rPr>
                      <w:sz w:val="22"/>
                      <w:szCs w:val="22"/>
                    </w:rPr>
                    <w:t xml:space="preserve">Jūnijs - </w:t>
                  </w:r>
                  <w:r w:rsidR="00456551">
                    <w:rPr>
                      <w:sz w:val="22"/>
                      <w:szCs w:val="22"/>
                    </w:rPr>
                    <w:t>d</w:t>
                  </w:r>
                  <w:r w:rsidRPr="00611205">
                    <w:rPr>
                      <w:sz w:val="22"/>
                      <w:szCs w:val="22"/>
                    </w:rPr>
                    <w:t>ecembris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43573" w14:textId="77777777" w:rsidR="00E40A60" w:rsidRPr="00611205" w:rsidRDefault="00E40A60" w:rsidP="00E40A60">
                  <w:pPr>
                    <w:jc w:val="center"/>
                    <w:rPr>
                      <w:sz w:val="22"/>
                      <w:szCs w:val="22"/>
                    </w:rPr>
                  </w:pPr>
                  <w:r w:rsidRPr="00611205">
                    <w:rPr>
                      <w:sz w:val="22"/>
                      <w:szCs w:val="22"/>
                    </w:rPr>
                    <w:t>37 480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353E2" w14:textId="77777777" w:rsidR="00E40A60" w:rsidRPr="00611205" w:rsidRDefault="00E40A60" w:rsidP="00E40A60">
                  <w:pPr>
                    <w:jc w:val="center"/>
                    <w:rPr>
                      <w:sz w:val="22"/>
                      <w:szCs w:val="22"/>
                    </w:rPr>
                  </w:pPr>
                  <w:r w:rsidRPr="00611205">
                    <w:rPr>
                      <w:sz w:val="22"/>
                      <w:szCs w:val="22"/>
                    </w:rPr>
                    <w:t>54 530</w:t>
                  </w:r>
                </w:p>
              </w:tc>
            </w:tr>
            <w:tr w:rsidR="00E40A60" w:rsidRPr="000C2022" w14:paraId="15776D46" w14:textId="77777777" w:rsidTr="004423B4">
              <w:tc>
                <w:tcPr>
                  <w:tcW w:w="21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CF8BDA" w14:textId="77777777" w:rsidR="00E40A60" w:rsidRPr="00611205" w:rsidRDefault="00E40A60" w:rsidP="00E40A60">
                  <w:pPr>
                    <w:rPr>
                      <w:sz w:val="22"/>
                      <w:szCs w:val="22"/>
                    </w:rPr>
                  </w:pPr>
                  <w:r w:rsidRPr="00611205">
                    <w:rPr>
                      <w:sz w:val="22"/>
                      <w:szCs w:val="22"/>
                    </w:rPr>
                    <w:t xml:space="preserve">Kopā </w:t>
                  </w:r>
                </w:p>
                <w:p w14:paraId="4E35223B" w14:textId="336BEF4F" w:rsidR="00E40A60" w:rsidRPr="00611205" w:rsidRDefault="00E40A60" w:rsidP="00E40A60">
                  <w:pPr>
                    <w:rPr>
                      <w:sz w:val="22"/>
                      <w:szCs w:val="22"/>
                    </w:rPr>
                  </w:pPr>
                  <w:r w:rsidRPr="00611205">
                    <w:rPr>
                      <w:sz w:val="22"/>
                      <w:szCs w:val="22"/>
                    </w:rPr>
                    <w:t>(</w:t>
                  </w:r>
                  <w:r w:rsidR="00456551">
                    <w:rPr>
                      <w:sz w:val="22"/>
                      <w:szCs w:val="22"/>
                    </w:rPr>
                    <w:t>m</w:t>
                  </w:r>
                  <w:r w:rsidRPr="00611205">
                    <w:rPr>
                      <w:sz w:val="22"/>
                      <w:szCs w:val="22"/>
                    </w:rPr>
                    <w:t xml:space="preserve">aijs – </w:t>
                  </w:r>
                  <w:r w:rsidR="00456551">
                    <w:rPr>
                      <w:sz w:val="22"/>
                      <w:szCs w:val="22"/>
                    </w:rPr>
                    <w:t>d</w:t>
                  </w:r>
                  <w:r w:rsidRPr="00611205">
                    <w:rPr>
                      <w:sz w:val="22"/>
                      <w:szCs w:val="22"/>
                    </w:rPr>
                    <w:t>ecembris)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F0AF9" w14:textId="77777777" w:rsidR="00E40A60" w:rsidRPr="00611205" w:rsidRDefault="00E40A60" w:rsidP="00E40A60">
                  <w:pPr>
                    <w:jc w:val="center"/>
                    <w:rPr>
                      <w:sz w:val="22"/>
                      <w:szCs w:val="22"/>
                    </w:rPr>
                  </w:pPr>
                  <w:r w:rsidRPr="00611205">
                    <w:rPr>
                      <w:sz w:val="22"/>
                      <w:szCs w:val="22"/>
                    </w:rPr>
                    <w:t>57 910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4CE9F" w14:textId="77777777" w:rsidR="00E40A60" w:rsidRPr="00611205" w:rsidRDefault="00E40A60" w:rsidP="00E40A60">
                  <w:pPr>
                    <w:jc w:val="center"/>
                    <w:rPr>
                      <w:sz w:val="22"/>
                      <w:szCs w:val="22"/>
                    </w:rPr>
                  </w:pPr>
                  <w:r w:rsidRPr="00611205">
                    <w:rPr>
                      <w:sz w:val="22"/>
                      <w:szCs w:val="22"/>
                    </w:rPr>
                    <w:t>74 960</w:t>
                  </w:r>
                </w:p>
              </w:tc>
            </w:tr>
          </w:tbl>
          <w:p w14:paraId="21A7E329" w14:textId="77777777" w:rsidR="00E40A60" w:rsidRPr="000C2022" w:rsidRDefault="00E40A60" w:rsidP="00E40A60">
            <w:pPr>
              <w:shd w:val="clear" w:color="auto" w:fill="FFFFFF"/>
              <w:spacing w:after="120"/>
              <w:textAlignment w:val="baseline"/>
              <w:rPr>
                <w:sz w:val="20"/>
                <w:szCs w:val="20"/>
              </w:rPr>
            </w:pPr>
            <w:r w:rsidRPr="000C2022">
              <w:rPr>
                <w:sz w:val="20"/>
                <w:szCs w:val="20"/>
              </w:rPr>
              <w:t>Avots:</w:t>
            </w:r>
            <w:r>
              <w:rPr>
                <w:sz w:val="20"/>
                <w:szCs w:val="20"/>
              </w:rPr>
              <w:t xml:space="preserve"> </w:t>
            </w:r>
            <w:r w:rsidRPr="000C2022">
              <w:rPr>
                <w:sz w:val="20"/>
                <w:szCs w:val="20"/>
              </w:rPr>
              <w:t>SPKC</w:t>
            </w:r>
          </w:p>
          <w:p w14:paraId="40C24F5F" w14:textId="77777777" w:rsidR="00E40A60" w:rsidRPr="00177CB1" w:rsidRDefault="00E40A60" w:rsidP="00E40A60">
            <w:pPr>
              <w:shd w:val="clear" w:color="auto" w:fill="FFFFFF"/>
              <w:jc w:val="right"/>
              <w:textAlignment w:val="baseline"/>
              <w:rPr>
                <w:sz w:val="26"/>
                <w:szCs w:val="26"/>
              </w:rPr>
            </w:pPr>
            <w:r w:rsidRPr="00177CB1">
              <w:rPr>
                <w:sz w:val="26"/>
                <w:szCs w:val="26"/>
              </w:rPr>
              <w:t>2. tabula</w:t>
            </w:r>
          </w:p>
          <w:p w14:paraId="35DF0177" w14:textId="77777777" w:rsidR="00E40A60" w:rsidRPr="00177CB1" w:rsidRDefault="00E40A60" w:rsidP="00E40A60">
            <w:pPr>
              <w:shd w:val="clear" w:color="auto" w:fill="FFFFFF"/>
              <w:jc w:val="center"/>
              <w:textAlignment w:val="baseline"/>
              <w:rPr>
                <w:b/>
                <w:bCs/>
                <w:sz w:val="26"/>
                <w:szCs w:val="26"/>
              </w:rPr>
            </w:pPr>
            <w:r w:rsidRPr="00177CB1">
              <w:rPr>
                <w:b/>
                <w:bCs/>
                <w:sz w:val="26"/>
                <w:szCs w:val="26"/>
              </w:rPr>
              <w:t>Covid-19 saslimstības prognozes 2021. gadam sadalījumā pa mēnešiem</w:t>
            </w:r>
          </w:p>
          <w:tbl>
            <w:tblPr>
              <w:tblW w:w="6769" w:type="dxa"/>
              <w:tblInd w:w="30" w:type="dxa"/>
              <w:tblLayout w:type="fixed"/>
              <w:tblCellMar>
                <w:top w:w="15" w:type="dxa"/>
                <w:left w:w="15" w:type="dxa"/>
                <w:bottom w:w="15" w:type="dxa"/>
                <w:right w:w="15" w:type="dxa"/>
              </w:tblCellMar>
              <w:tblLook w:val="04A0" w:firstRow="1" w:lastRow="0" w:firstColumn="1" w:lastColumn="0" w:noHBand="0" w:noVBand="1"/>
            </w:tblPr>
            <w:tblGrid>
              <w:gridCol w:w="850"/>
              <w:gridCol w:w="1140"/>
              <w:gridCol w:w="1138"/>
              <w:gridCol w:w="27"/>
              <w:gridCol w:w="439"/>
              <w:gridCol w:w="27"/>
              <w:gridCol w:w="879"/>
              <w:gridCol w:w="1120"/>
              <w:gridCol w:w="1120"/>
              <w:gridCol w:w="29"/>
            </w:tblGrid>
            <w:tr w:rsidR="00E40A60" w:rsidRPr="00177CB1" w14:paraId="52F148BA" w14:textId="77777777" w:rsidTr="005A7E2D">
              <w:trPr>
                <w:trHeight w:val="300"/>
              </w:trPr>
              <w:tc>
                <w:tcPr>
                  <w:tcW w:w="3155" w:type="dxa"/>
                  <w:gridSpan w:val="4"/>
                  <w:tcBorders>
                    <w:bottom w:val="single" w:sz="4" w:space="0" w:color="auto"/>
                  </w:tcBorders>
                  <w:vAlign w:val="bottom"/>
                </w:tcPr>
                <w:p w14:paraId="47480088" w14:textId="77777777" w:rsidR="00E40A60" w:rsidRPr="00177CB1" w:rsidRDefault="00E40A60" w:rsidP="005A7E2D">
                  <w:pPr>
                    <w:spacing w:before="240"/>
                    <w:jc w:val="center"/>
                    <w:rPr>
                      <w:b/>
                      <w:bCs/>
                      <w:sz w:val="20"/>
                      <w:szCs w:val="20"/>
                    </w:rPr>
                  </w:pPr>
                  <w:r w:rsidRPr="00177CB1">
                    <w:rPr>
                      <w:b/>
                      <w:bCs/>
                      <w:sz w:val="20"/>
                      <w:szCs w:val="20"/>
                    </w:rPr>
                    <w:t>A scenārijs</w:t>
                  </w:r>
                </w:p>
              </w:tc>
              <w:tc>
                <w:tcPr>
                  <w:tcW w:w="466" w:type="dxa"/>
                  <w:gridSpan w:val="2"/>
                  <w:shd w:val="clear" w:color="auto" w:fill="auto"/>
                </w:tcPr>
                <w:p w14:paraId="30493421" w14:textId="77777777" w:rsidR="00E40A60" w:rsidRPr="00177CB1" w:rsidRDefault="00E40A60" w:rsidP="00E40A60">
                  <w:pPr>
                    <w:spacing w:after="160" w:line="259" w:lineRule="auto"/>
                    <w:rPr>
                      <w:sz w:val="20"/>
                      <w:szCs w:val="20"/>
                    </w:rPr>
                  </w:pPr>
                </w:p>
              </w:tc>
              <w:tc>
                <w:tcPr>
                  <w:tcW w:w="3148" w:type="dxa"/>
                  <w:gridSpan w:val="4"/>
                  <w:tcBorders>
                    <w:bottom w:val="single" w:sz="4" w:space="0" w:color="auto"/>
                  </w:tcBorders>
                  <w:vAlign w:val="bottom"/>
                </w:tcPr>
                <w:p w14:paraId="03619DD9" w14:textId="77777777" w:rsidR="00E40A60" w:rsidRPr="00177CB1" w:rsidRDefault="00E40A60" w:rsidP="00E40A60">
                  <w:pPr>
                    <w:spacing w:line="259" w:lineRule="auto"/>
                    <w:jc w:val="center"/>
                    <w:rPr>
                      <w:b/>
                      <w:bCs/>
                      <w:sz w:val="20"/>
                      <w:szCs w:val="20"/>
                    </w:rPr>
                  </w:pPr>
                  <w:r w:rsidRPr="00177CB1">
                    <w:rPr>
                      <w:b/>
                      <w:bCs/>
                      <w:sz w:val="20"/>
                      <w:szCs w:val="20"/>
                    </w:rPr>
                    <w:t>B scenārijs</w:t>
                  </w:r>
                </w:p>
              </w:tc>
            </w:tr>
            <w:tr w:rsidR="00E40A60" w:rsidRPr="00177CB1" w14:paraId="5EE43476" w14:textId="77777777" w:rsidTr="005A7E2D">
              <w:trPr>
                <w:gridAfter w:val="1"/>
                <w:wAfter w:w="29" w:type="dxa"/>
                <w:trHeight w:val="300"/>
              </w:trPr>
              <w:tc>
                <w:tcPr>
                  <w:tcW w:w="850" w:type="dxa"/>
                  <w:tcBorders>
                    <w:top w:val="single" w:sz="4" w:space="0" w:color="auto"/>
                    <w:left w:val="single" w:sz="4" w:space="0" w:color="auto"/>
                    <w:bottom w:val="single" w:sz="4" w:space="0" w:color="auto"/>
                    <w:right w:val="single" w:sz="4" w:space="0" w:color="auto"/>
                  </w:tcBorders>
                  <w:vAlign w:val="bottom"/>
                  <w:hideMark/>
                </w:tcPr>
                <w:p w14:paraId="0D7FD892" w14:textId="77777777" w:rsidR="00E40A60" w:rsidRPr="00611205" w:rsidRDefault="00E40A60" w:rsidP="00E40A60">
                  <w:pPr>
                    <w:jc w:val="center"/>
                    <w:rPr>
                      <w:sz w:val="22"/>
                      <w:szCs w:val="22"/>
                    </w:rPr>
                  </w:pPr>
                  <w:r w:rsidRPr="00611205">
                    <w:rPr>
                      <w:sz w:val="22"/>
                      <w:szCs w:val="22"/>
                    </w:rPr>
                    <w:t>Mēnesis</w:t>
                  </w:r>
                </w:p>
              </w:tc>
              <w:tc>
                <w:tcPr>
                  <w:tcW w:w="1140" w:type="dxa"/>
                  <w:tcBorders>
                    <w:top w:val="single" w:sz="4" w:space="0" w:color="auto"/>
                    <w:left w:val="nil"/>
                    <w:bottom w:val="single" w:sz="4" w:space="0" w:color="auto"/>
                    <w:right w:val="single" w:sz="4" w:space="0" w:color="auto"/>
                  </w:tcBorders>
                  <w:vAlign w:val="bottom"/>
                  <w:hideMark/>
                </w:tcPr>
                <w:p w14:paraId="7CA41A13" w14:textId="77777777" w:rsidR="00E40A60" w:rsidRPr="00611205" w:rsidRDefault="00E40A60" w:rsidP="00E40A60">
                  <w:pPr>
                    <w:jc w:val="center"/>
                    <w:rPr>
                      <w:sz w:val="22"/>
                      <w:szCs w:val="22"/>
                    </w:rPr>
                  </w:pPr>
                  <w:r w:rsidRPr="00611205">
                    <w:rPr>
                      <w:sz w:val="22"/>
                      <w:szCs w:val="22"/>
                    </w:rPr>
                    <w:t>COV skaits</w:t>
                  </w:r>
                </w:p>
              </w:tc>
              <w:tc>
                <w:tcPr>
                  <w:tcW w:w="1138" w:type="dxa"/>
                  <w:tcBorders>
                    <w:top w:val="single" w:sz="4" w:space="0" w:color="auto"/>
                    <w:left w:val="nil"/>
                    <w:bottom w:val="single" w:sz="4" w:space="0" w:color="auto"/>
                    <w:right w:val="single" w:sz="4" w:space="0" w:color="auto"/>
                  </w:tcBorders>
                  <w:vAlign w:val="bottom"/>
                  <w:hideMark/>
                </w:tcPr>
                <w:p w14:paraId="3E893E38" w14:textId="77777777" w:rsidR="00E40A60" w:rsidRPr="00611205" w:rsidRDefault="00E40A60" w:rsidP="00E40A60">
                  <w:pPr>
                    <w:jc w:val="center"/>
                    <w:rPr>
                      <w:sz w:val="22"/>
                      <w:szCs w:val="22"/>
                    </w:rPr>
                  </w:pPr>
                  <w:r w:rsidRPr="00611205">
                    <w:rPr>
                      <w:sz w:val="22"/>
                      <w:szCs w:val="22"/>
                    </w:rPr>
                    <w:t>Uz 100 000 iedz.</w:t>
                  </w:r>
                </w:p>
              </w:tc>
              <w:tc>
                <w:tcPr>
                  <w:tcW w:w="466" w:type="dxa"/>
                  <w:gridSpan w:val="2"/>
                  <w:tcBorders>
                    <w:right w:val="single" w:sz="4" w:space="0" w:color="auto"/>
                  </w:tcBorders>
                  <w:shd w:val="clear" w:color="auto" w:fill="auto"/>
                </w:tcPr>
                <w:p w14:paraId="3224B2CD" w14:textId="77777777" w:rsidR="00E40A60" w:rsidRPr="00611205" w:rsidRDefault="00E40A60" w:rsidP="00E40A60">
                  <w:pPr>
                    <w:spacing w:after="160" w:line="259" w:lineRule="auto"/>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44EC2EC0" w14:textId="77777777" w:rsidR="00E40A60" w:rsidRPr="00611205" w:rsidRDefault="00E40A60" w:rsidP="00E40A60">
                  <w:pPr>
                    <w:spacing w:line="259" w:lineRule="auto"/>
                    <w:jc w:val="center"/>
                    <w:rPr>
                      <w:rFonts w:eastAsiaTheme="minorHAnsi"/>
                      <w:sz w:val="22"/>
                      <w:szCs w:val="22"/>
                    </w:rPr>
                  </w:pPr>
                  <w:r w:rsidRPr="00611205">
                    <w:rPr>
                      <w:sz w:val="22"/>
                      <w:szCs w:val="22"/>
                    </w:rPr>
                    <w:t>Mēnesis</w:t>
                  </w:r>
                </w:p>
              </w:tc>
              <w:tc>
                <w:tcPr>
                  <w:tcW w:w="1120" w:type="dxa"/>
                  <w:tcBorders>
                    <w:top w:val="single" w:sz="4" w:space="0" w:color="auto"/>
                    <w:left w:val="single" w:sz="4" w:space="0" w:color="auto"/>
                    <w:bottom w:val="single" w:sz="4" w:space="0" w:color="auto"/>
                    <w:right w:val="single" w:sz="4" w:space="0" w:color="auto"/>
                  </w:tcBorders>
                  <w:vAlign w:val="bottom"/>
                </w:tcPr>
                <w:p w14:paraId="33CA5225" w14:textId="77777777" w:rsidR="00E40A60" w:rsidRPr="00611205" w:rsidRDefault="00E40A60" w:rsidP="00E40A60">
                  <w:pPr>
                    <w:spacing w:line="259" w:lineRule="auto"/>
                    <w:jc w:val="center"/>
                    <w:rPr>
                      <w:rFonts w:eastAsiaTheme="minorHAnsi"/>
                      <w:sz w:val="22"/>
                      <w:szCs w:val="22"/>
                    </w:rPr>
                  </w:pPr>
                  <w:r w:rsidRPr="00611205">
                    <w:rPr>
                      <w:sz w:val="22"/>
                      <w:szCs w:val="22"/>
                    </w:rPr>
                    <w:t>COV skaits</w:t>
                  </w:r>
                </w:p>
              </w:tc>
              <w:tc>
                <w:tcPr>
                  <w:tcW w:w="1120" w:type="dxa"/>
                  <w:tcBorders>
                    <w:top w:val="single" w:sz="4" w:space="0" w:color="auto"/>
                    <w:left w:val="single" w:sz="4" w:space="0" w:color="auto"/>
                    <w:bottom w:val="single" w:sz="4" w:space="0" w:color="auto"/>
                    <w:right w:val="single" w:sz="4" w:space="0" w:color="auto"/>
                  </w:tcBorders>
                  <w:vAlign w:val="bottom"/>
                </w:tcPr>
                <w:p w14:paraId="73BE1979" w14:textId="77777777" w:rsidR="00E40A60" w:rsidRPr="00611205" w:rsidRDefault="00E40A60" w:rsidP="00E40A60">
                  <w:pPr>
                    <w:spacing w:line="259" w:lineRule="auto"/>
                    <w:jc w:val="center"/>
                    <w:rPr>
                      <w:rFonts w:eastAsiaTheme="minorHAnsi"/>
                      <w:sz w:val="22"/>
                      <w:szCs w:val="22"/>
                    </w:rPr>
                  </w:pPr>
                  <w:r w:rsidRPr="00611205">
                    <w:rPr>
                      <w:sz w:val="22"/>
                      <w:szCs w:val="22"/>
                    </w:rPr>
                    <w:t>Uz 100 000 iedz.</w:t>
                  </w:r>
                </w:p>
              </w:tc>
            </w:tr>
            <w:tr w:rsidR="00E40A60" w:rsidRPr="00177CB1" w14:paraId="3D28EF39"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73BD764B" w14:textId="77777777" w:rsidR="00E40A60" w:rsidRPr="00611205" w:rsidRDefault="00E40A60" w:rsidP="00E40A60">
                  <w:pPr>
                    <w:contextualSpacing/>
                    <w:jc w:val="center"/>
                    <w:rPr>
                      <w:sz w:val="22"/>
                      <w:szCs w:val="22"/>
                    </w:rPr>
                  </w:pPr>
                  <w:r w:rsidRPr="00611205">
                    <w:rPr>
                      <w:sz w:val="22"/>
                      <w:szCs w:val="22"/>
                    </w:rPr>
                    <w:t>Jan</w:t>
                  </w:r>
                </w:p>
              </w:tc>
              <w:tc>
                <w:tcPr>
                  <w:tcW w:w="1140" w:type="dxa"/>
                  <w:tcBorders>
                    <w:top w:val="nil"/>
                    <w:left w:val="nil"/>
                    <w:bottom w:val="single" w:sz="4" w:space="0" w:color="auto"/>
                    <w:right w:val="single" w:sz="4" w:space="0" w:color="auto"/>
                  </w:tcBorders>
                  <w:vAlign w:val="bottom"/>
                  <w:hideMark/>
                </w:tcPr>
                <w:p w14:paraId="46701CDF" w14:textId="77777777" w:rsidR="00E40A60" w:rsidRPr="00611205" w:rsidRDefault="00E40A60" w:rsidP="00E40A60">
                  <w:pPr>
                    <w:contextualSpacing/>
                    <w:jc w:val="center"/>
                    <w:rPr>
                      <w:sz w:val="22"/>
                      <w:szCs w:val="22"/>
                    </w:rPr>
                  </w:pPr>
                  <w:r w:rsidRPr="00611205">
                    <w:rPr>
                      <w:sz w:val="22"/>
                      <w:szCs w:val="22"/>
                    </w:rPr>
                    <w:t>25 335</w:t>
                  </w:r>
                </w:p>
              </w:tc>
              <w:tc>
                <w:tcPr>
                  <w:tcW w:w="1138" w:type="dxa"/>
                  <w:tcBorders>
                    <w:top w:val="nil"/>
                    <w:left w:val="nil"/>
                    <w:bottom w:val="single" w:sz="4" w:space="0" w:color="auto"/>
                    <w:right w:val="single" w:sz="4" w:space="0" w:color="auto"/>
                  </w:tcBorders>
                  <w:vAlign w:val="bottom"/>
                  <w:hideMark/>
                </w:tcPr>
                <w:p w14:paraId="56107A24" w14:textId="77777777" w:rsidR="00E40A60" w:rsidRPr="00611205" w:rsidRDefault="00E40A60" w:rsidP="00E40A60">
                  <w:pPr>
                    <w:contextualSpacing/>
                    <w:jc w:val="center"/>
                    <w:rPr>
                      <w:sz w:val="22"/>
                      <w:szCs w:val="22"/>
                    </w:rPr>
                  </w:pPr>
                  <w:r w:rsidRPr="00611205">
                    <w:rPr>
                      <w:sz w:val="22"/>
                      <w:szCs w:val="22"/>
                    </w:rPr>
                    <w:t>1 328,1</w:t>
                  </w:r>
                </w:p>
              </w:tc>
              <w:tc>
                <w:tcPr>
                  <w:tcW w:w="466" w:type="dxa"/>
                  <w:gridSpan w:val="2"/>
                  <w:tcBorders>
                    <w:right w:val="single" w:sz="4" w:space="0" w:color="auto"/>
                  </w:tcBorders>
                  <w:shd w:val="clear" w:color="auto" w:fill="auto"/>
                  <w:vAlign w:val="bottom"/>
                </w:tcPr>
                <w:p w14:paraId="512A9CD4"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6ACF647A"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Jan</w:t>
                  </w:r>
                </w:p>
              </w:tc>
              <w:tc>
                <w:tcPr>
                  <w:tcW w:w="1120" w:type="dxa"/>
                  <w:tcBorders>
                    <w:top w:val="single" w:sz="4" w:space="0" w:color="auto"/>
                    <w:left w:val="single" w:sz="4" w:space="0" w:color="auto"/>
                    <w:bottom w:val="single" w:sz="4" w:space="0" w:color="auto"/>
                    <w:right w:val="single" w:sz="4" w:space="0" w:color="auto"/>
                  </w:tcBorders>
                  <w:vAlign w:val="bottom"/>
                </w:tcPr>
                <w:p w14:paraId="314E9901"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25 335</w:t>
                  </w:r>
                </w:p>
              </w:tc>
              <w:tc>
                <w:tcPr>
                  <w:tcW w:w="1120" w:type="dxa"/>
                  <w:tcBorders>
                    <w:top w:val="single" w:sz="4" w:space="0" w:color="auto"/>
                    <w:left w:val="single" w:sz="4" w:space="0" w:color="auto"/>
                    <w:bottom w:val="single" w:sz="4" w:space="0" w:color="auto"/>
                    <w:right w:val="single" w:sz="4" w:space="0" w:color="auto"/>
                  </w:tcBorders>
                  <w:vAlign w:val="bottom"/>
                </w:tcPr>
                <w:p w14:paraId="2F50786E"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1 328,1</w:t>
                  </w:r>
                </w:p>
              </w:tc>
            </w:tr>
            <w:tr w:rsidR="00E40A60" w:rsidRPr="00177CB1" w14:paraId="3B975896"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666E40AF" w14:textId="77777777" w:rsidR="00E40A60" w:rsidRPr="00611205" w:rsidRDefault="00E40A60" w:rsidP="00E40A60">
                  <w:pPr>
                    <w:contextualSpacing/>
                    <w:jc w:val="center"/>
                    <w:rPr>
                      <w:sz w:val="22"/>
                      <w:szCs w:val="22"/>
                    </w:rPr>
                  </w:pPr>
                  <w:r w:rsidRPr="00611205">
                    <w:rPr>
                      <w:sz w:val="22"/>
                      <w:szCs w:val="22"/>
                    </w:rPr>
                    <w:t>Feb</w:t>
                  </w:r>
                </w:p>
              </w:tc>
              <w:tc>
                <w:tcPr>
                  <w:tcW w:w="1140" w:type="dxa"/>
                  <w:tcBorders>
                    <w:top w:val="nil"/>
                    <w:left w:val="nil"/>
                    <w:bottom w:val="single" w:sz="4" w:space="0" w:color="auto"/>
                    <w:right w:val="single" w:sz="4" w:space="0" w:color="auto"/>
                  </w:tcBorders>
                  <w:vAlign w:val="bottom"/>
                  <w:hideMark/>
                </w:tcPr>
                <w:p w14:paraId="2EB477C1" w14:textId="77777777" w:rsidR="00E40A60" w:rsidRPr="00611205" w:rsidRDefault="00E40A60" w:rsidP="00E40A60">
                  <w:pPr>
                    <w:contextualSpacing/>
                    <w:jc w:val="center"/>
                    <w:rPr>
                      <w:sz w:val="22"/>
                      <w:szCs w:val="22"/>
                    </w:rPr>
                  </w:pPr>
                  <w:r w:rsidRPr="00611205">
                    <w:rPr>
                      <w:sz w:val="22"/>
                      <w:szCs w:val="22"/>
                    </w:rPr>
                    <w:t>19 945</w:t>
                  </w:r>
                </w:p>
              </w:tc>
              <w:tc>
                <w:tcPr>
                  <w:tcW w:w="1138" w:type="dxa"/>
                  <w:tcBorders>
                    <w:top w:val="nil"/>
                    <w:left w:val="nil"/>
                    <w:bottom w:val="single" w:sz="4" w:space="0" w:color="auto"/>
                    <w:right w:val="single" w:sz="4" w:space="0" w:color="auto"/>
                  </w:tcBorders>
                  <w:vAlign w:val="bottom"/>
                  <w:hideMark/>
                </w:tcPr>
                <w:p w14:paraId="5C62FC75" w14:textId="77777777" w:rsidR="00E40A60" w:rsidRPr="00611205" w:rsidRDefault="00E40A60" w:rsidP="00E40A60">
                  <w:pPr>
                    <w:contextualSpacing/>
                    <w:jc w:val="center"/>
                    <w:rPr>
                      <w:sz w:val="22"/>
                      <w:szCs w:val="22"/>
                    </w:rPr>
                  </w:pPr>
                  <w:r w:rsidRPr="00611205">
                    <w:rPr>
                      <w:sz w:val="22"/>
                      <w:szCs w:val="22"/>
                    </w:rPr>
                    <w:t>1 045,5</w:t>
                  </w:r>
                </w:p>
              </w:tc>
              <w:tc>
                <w:tcPr>
                  <w:tcW w:w="466" w:type="dxa"/>
                  <w:gridSpan w:val="2"/>
                  <w:tcBorders>
                    <w:right w:val="single" w:sz="4" w:space="0" w:color="auto"/>
                  </w:tcBorders>
                  <w:shd w:val="clear" w:color="auto" w:fill="auto"/>
                  <w:vAlign w:val="bottom"/>
                </w:tcPr>
                <w:p w14:paraId="5C7BEA12"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18CF9F04"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Feb</w:t>
                  </w:r>
                </w:p>
              </w:tc>
              <w:tc>
                <w:tcPr>
                  <w:tcW w:w="1120" w:type="dxa"/>
                  <w:tcBorders>
                    <w:top w:val="single" w:sz="4" w:space="0" w:color="auto"/>
                    <w:left w:val="single" w:sz="4" w:space="0" w:color="auto"/>
                    <w:bottom w:val="single" w:sz="4" w:space="0" w:color="auto"/>
                    <w:right w:val="single" w:sz="4" w:space="0" w:color="auto"/>
                  </w:tcBorders>
                  <w:vAlign w:val="bottom"/>
                </w:tcPr>
                <w:p w14:paraId="70141432"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19 945</w:t>
                  </w:r>
                </w:p>
              </w:tc>
              <w:tc>
                <w:tcPr>
                  <w:tcW w:w="1120" w:type="dxa"/>
                  <w:tcBorders>
                    <w:top w:val="single" w:sz="4" w:space="0" w:color="auto"/>
                    <w:left w:val="single" w:sz="4" w:space="0" w:color="auto"/>
                    <w:bottom w:val="single" w:sz="4" w:space="0" w:color="auto"/>
                    <w:right w:val="single" w:sz="4" w:space="0" w:color="auto"/>
                  </w:tcBorders>
                  <w:vAlign w:val="bottom"/>
                </w:tcPr>
                <w:p w14:paraId="4D57C7C3"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1 045,5</w:t>
                  </w:r>
                </w:p>
              </w:tc>
            </w:tr>
            <w:tr w:rsidR="00E40A60" w:rsidRPr="00177CB1" w14:paraId="4A18749A"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382E36AE" w14:textId="77777777" w:rsidR="00E40A60" w:rsidRPr="00611205" w:rsidRDefault="00E40A60" w:rsidP="00E40A60">
                  <w:pPr>
                    <w:contextualSpacing/>
                    <w:jc w:val="center"/>
                    <w:rPr>
                      <w:sz w:val="22"/>
                      <w:szCs w:val="22"/>
                    </w:rPr>
                  </w:pPr>
                  <w:r w:rsidRPr="00611205">
                    <w:rPr>
                      <w:sz w:val="22"/>
                      <w:szCs w:val="22"/>
                    </w:rPr>
                    <w:t>Mar</w:t>
                  </w:r>
                </w:p>
              </w:tc>
              <w:tc>
                <w:tcPr>
                  <w:tcW w:w="1140" w:type="dxa"/>
                  <w:tcBorders>
                    <w:top w:val="nil"/>
                    <w:left w:val="nil"/>
                    <w:bottom w:val="single" w:sz="4" w:space="0" w:color="auto"/>
                    <w:right w:val="single" w:sz="4" w:space="0" w:color="auto"/>
                  </w:tcBorders>
                  <w:vAlign w:val="bottom"/>
                  <w:hideMark/>
                </w:tcPr>
                <w:p w14:paraId="5FF46FED" w14:textId="77777777" w:rsidR="00E40A60" w:rsidRPr="00611205" w:rsidRDefault="00E40A60" w:rsidP="00E40A60">
                  <w:pPr>
                    <w:contextualSpacing/>
                    <w:jc w:val="center"/>
                    <w:rPr>
                      <w:sz w:val="22"/>
                      <w:szCs w:val="22"/>
                    </w:rPr>
                  </w:pPr>
                  <w:r w:rsidRPr="00611205">
                    <w:rPr>
                      <w:sz w:val="22"/>
                      <w:szCs w:val="22"/>
                    </w:rPr>
                    <w:t>16 177</w:t>
                  </w:r>
                </w:p>
              </w:tc>
              <w:tc>
                <w:tcPr>
                  <w:tcW w:w="1138" w:type="dxa"/>
                  <w:tcBorders>
                    <w:top w:val="nil"/>
                    <w:left w:val="nil"/>
                    <w:bottom w:val="single" w:sz="4" w:space="0" w:color="auto"/>
                    <w:right w:val="single" w:sz="4" w:space="0" w:color="auto"/>
                  </w:tcBorders>
                  <w:vAlign w:val="bottom"/>
                  <w:hideMark/>
                </w:tcPr>
                <w:p w14:paraId="3F76B236" w14:textId="77777777" w:rsidR="00E40A60" w:rsidRPr="00611205" w:rsidRDefault="00E40A60" w:rsidP="00E40A60">
                  <w:pPr>
                    <w:contextualSpacing/>
                    <w:jc w:val="center"/>
                    <w:rPr>
                      <w:sz w:val="22"/>
                      <w:szCs w:val="22"/>
                    </w:rPr>
                  </w:pPr>
                  <w:r w:rsidRPr="00611205">
                    <w:rPr>
                      <w:sz w:val="22"/>
                      <w:szCs w:val="22"/>
                    </w:rPr>
                    <w:t>848,0</w:t>
                  </w:r>
                </w:p>
              </w:tc>
              <w:tc>
                <w:tcPr>
                  <w:tcW w:w="466" w:type="dxa"/>
                  <w:gridSpan w:val="2"/>
                  <w:tcBorders>
                    <w:right w:val="single" w:sz="4" w:space="0" w:color="auto"/>
                  </w:tcBorders>
                  <w:shd w:val="clear" w:color="auto" w:fill="auto"/>
                  <w:vAlign w:val="bottom"/>
                </w:tcPr>
                <w:p w14:paraId="479F96A9"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5063B174"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Mar</w:t>
                  </w:r>
                </w:p>
              </w:tc>
              <w:tc>
                <w:tcPr>
                  <w:tcW w:w="1120" w:type="dxa"/>
                  <w:tcBorders>
                    <w:top w:val="single" w:sz="4" w:space="0" w:color="auto"/>
                    <w:left w:val="single" w:sz="4" w:space="0" w:color="auto"/>
                    <w:bottom w:val="single" w:sz="4" w:space="0" w:color="auto"/>
                    <w:right w:val="single" w:sz="4" w:space="0" w:color="auto"/>
                  </w:tcBorders>
                  <w:vAlign w:val="bottom"/>
                </w:tcPr>
                <w:p w14:paraId="1B9B83BD"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16 177</w:t>
                  </w:r>
                </w:p>
              </w:tc>
              <w:tc>
                <w:tcPr>
                  <w:tcW w:w="1120" w:type="dxa"/>
                  <w:tcBorders>
                    <w:top w:val="single" w:sz="4" w:space="0" w:color="auto"/>
                    <w:left w:val="single" w:sz="4" w:space="0" w:color="auto"/>
                    <w:bottom w:val="single" w:sz="4" w:space="0" w:color="auto"/>
                    <w:right w:val="single" w:sz="4" w:space="0" w:color="auto"/>
                  </w:tcBorders>
                  <w:vAlign w:val="bottom"/>
                </w:tcPr>
                <w:p w14:paraId="38199FE9"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848,0</w:t>
                  </w:r>
                </w:p>
              </w:tc>
            </w:tr>
            <w:tr w:rsidR="00E40A60" w:rsidRPr="00177CB1" w14:paraId="5C72645B"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273E1250" w14:textId="77777777" w:rsidR="00E40A60" w:rsidRPr="00611205" w:rsidRDefault="00E40A60" w:rsidP="00E40A60">
                  <w:pPr>
                    <w:contextualSpacing/>
                    <w:jc w:val="center"/>
                    <w:rPr>
                      <w:sz w:val="22"/>
                      <w:szCs w:val="22"/>
                    </w:rPr>
                  </w:pPr>
                  <w:r w:rsidRPr="00611205">
                    <w:rPr>
                      <w:sz w:val="22"/>
                      <w:szCs w:val="22"/>
                    </w:rPr>
                    <w:t>Apr</w:t>
                  </w:r>
                </w:p>
              </w:tc>
              <w:tc>
                <w:tcPr>
                  <w:tcW w:w="1140" w:type="dxa"/>
                  <w:tcBorders>
                    <w:top w:val="nil"/>
                    <w:left w:val="nil"/>
                    <w:bottom w:val="single" w:sz="4" w:space="0" w:color="auto"/>
                    <w:right w:val="single" w:sz="4" w:space="0" w:color="auto"/>
                  </w:tcBorders>
                  <w:vAlign w:val="bottom"/>
                  <w:hideMark/>
                </w:tcPr>
                <w:p w14:paraId="13513CCA" w14:textId="77777777" w:rsidR="00E40A60" w:rsidRPr="00611205" w:rsidRDefault="00E40A60" w:rsidP="00E40A60">
                  <w:pPr>
                    <w:contextualSpacing/>
                    <w:jc w:val="center"/>
                    <w:rPr>
                      <w:sz w:val="22"/>
                      <w:szCs w:val="22"/>
                    </w:rPr>
                  </w:pPr>
                  <w:r w:rsidRPr="00611205">
                    <w:rPr>
                      <w:sz w:val="22"/>
                      <w:szCs w:val="22"/>
                    </w:rPr>
                    <w:t>16 195</w:t>
                  </w:r>
                </w:p>
              </w:tc>
              <w:tc>
                <w:tcPr>
                  <w:tcW w:w="1138" w:type="dxa"/>
                  <w:tcBorders>
                    <w:top w:val="nil"/>
                    <w:left w:val="nil"/>
                    <w:bottom w:val="single" w:sz="4" w:space="0" w:color="auto"/>
                    <w:right w:val="single" w:sz="4" w:space="0" w:color="auto"/>
                  </w:tcBorders>
                  <w:vAlign w:val="bottom"/>
                  <w:hideMark/>
                </w:tcPr>
                <w:p w14:paraId="2E95CDED" w14:textId="77777777" w:rsidR="00E40A60" w:rsidRPr="00611205" w:rsidRDefault="00E40A60" w:rsidP="00E40A60">
                  <w:pPr>
                    <w:contextualSpacing/>
                    <w:jc w:val="center"/>
                    <w:rPr>
                      <w:sz w:val="22"/>
                      <w:szCs w:val="22"/>
                    </w:rPr>
                  </w:pPr>
                  <w:r w:rsidRPr="00611205">
                    <w:rPr>
                      <w:sz w:val="22"/>
                      <w:szCs w:val="22"/>
                    </w:rPr>
                    <w:t>848,9</w:t>
                  </w:r>
                </w:p>
              </w:tc>
              <w:tc>
                <w:tcPr>
                  <w:tcW w:w="466" w:type="dxa"/>
                  <w:gridSpan w:val="2"/>
                  <w:tcBorders>
                    <w:right w:val="single" w:sz="4" w:space="0" w:color="auto"/>
                  </w:tcBorders>
                  <w:shd w:val="clear" w:color="auto" w:fill="auto"/>
                  <w:vAlign w:val="bottom"/>
                </w:tcPr>
                <w:p w14:paraId="4409CDF2"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472E9661"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Apr</w:t>
                  </w:r>
                </w:p>
              </w:tc>
              <w:tc>
                <w:tcPr>
                  <w:tcW w:w="1120" w:type="dxa"/>
                  <w:tcBorders>
                    <w:top w:val="single" w:sz="4" w:space="0" w:color="auto"/>
                    <w:left w:val="single" w:sz="4" w:space="0" w:color="auto"/>
                    <w:bottom w:val="single" w:sz="4" w:space="0" w:color="auto"/>
                    <w:right w:val="single" w:sz="4" w:space="0" w:color="auto"/>
                  </w:tcBorders>
                  <w:vAlign w:val="bottom"/>
                </w:tcPr>
                <w:p w14:paraId="614BDC6E"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16 195</w:t>
                  </w:r>
                </w:p>
              </w:tc>
              <w:tc>
                <w:tcPr>
                  <w:tcW w:w="1120" w:type="dxa"/>
                  <w:tcBorders>
                    <w:top w:val="single" w:sz="4" w:space="0" w:color="auto"/>
                    <w:left w:val="single" w:sz="4" w:space="0" w:color="auto"/>
                    <w:bottom w:val="single" w:sz="4" w:space="0" w:color="auto"/>
                    <w:right w:val="single" w:sz="4" w:space="0" w:color="auto"/>
                  </w:tcBorders>
                  <w:vAlign w:val="bottom"/>
                </w:tcPr>
                <w:p w14:paraId="365455F5"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848,9</w:t>
                  </w:r>
                </w:p>
              </w:tc>
            </w:tr>
            <w:tr w:rsidR="00E40A60" w:rsidRPr="00177CB1" w14:paraId="3CD909A9"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2B80D46C" w14:textId="77777777" w:rsidR="00E40A60" w:rsidRPr="00611205" w:rsidRDefault="00E40A60" w:rsidP="00E40A60">
                  <w:pPr>
                    <w:contextualSpacing/>
                    <w:jc w:val="center"/>
                    <w:rPr>
                      <w:sz w:val="22"/>
                      <w:szCs w:val="22"/>
                    </w:rPr>
                  </w:pPr>
                  <w:r w:rsidRPr="00611205">
                    <w:rPr>
                      <w:sz w:val="22"/>
                      <w:szCs w:val="22"/>
                    </w:rPr>
                    <w:t>May</w:t>
                  </w:r>
                </w:p>
              </w:tc>
              <w:tc>
                <w:tcPr>
                  <w:tcW w:w="1140" w:type="dxa"/>
                  <w:tcBorders>
                    <w:top w:val="nil"/>
                    <w:left w:val="nil"/>
                    <w:bottom w:val="single" w:sz="4" w:space="0" w:color="auto"/>
                    <w:right w:val="single" w:sz="4" w:space="0" w:color="auto"/>
                  </w:tcBorders>
                  <w:vAlign w:val="bottom"/>
                  <w:hideMark/>
                </w:tcPr>
                <w:p w14:paraId="0861F327" w14:textId="77777777" w:rsidR="00E40A60" w:rsidRPr="00611205" w:rsidRDefault="00E40A60" w:rsidP="00E40A60">
                  <w:pPr>
                    <w:contextualSpacing/>
                    <w:jc w:val="center"/>
                    <w:rPr>
                      <w:sz w:val="22"/>
                      <w:szCs w:val="22"/>
                    </w:rPr>
                  </w:pPr>
                  <w:r w:rsidRPr="00611205">
                    <w:rPr>
                      <w:sz w:val="22"/>
                      <w:szCs w:val="22"/>
                    </w:rPr>
                    <w:t>20 430</w:t>
                  </w:r>
                </w:p>
              </w:tc>
              <w:tc>
                <w:tcPr>
                  <w:tcW w:w="1138" w:type="dxa"/>
                  <w:tcBorders>
                    <w:top w:val="nil"/>
                    <w:left w:val="nil"/>
                    <w:bottom w:val="single" w:sz="4" w:space="0" w:color="auto"/>
                    <w:right w:val="single" w:sz="4" w:space="0" w:color="auto"/>
                  </w:tcBorders>
                  <w:vAlign w:val="bottom"/>
                  <w:hideMark/>
                </w:tcPr>
                <w:p w14:paraId="30B9D052" w14:textId="77777777" w:rsidR="00E40A60" w:rsidRPr="00611205" w:rsidRDefault="00E40A60" w:rsidP="00E40A60">
                  <w:pPr>
                    <w:contextualSpacing/>
                    <w:jc w:val="center"/>
                    <w:rPr>
                      <w:sz w:val="22"/>
                      <w:szCs w:val="22"/>
                    </w:rPr>
                  </w:pPr>
                  <w:r w:rsidRPr="00611205">
                    <w:rPr>
                      <w:sz w:val="22"/>
                      <w:szCs w:val="22"/>
                    </w:rPr>
                    <w:t>1 070,9</w:t>
                  </w:r>
                </w:p>
              </w:tc>
              <w:tc>
                <w:tcPr>
                  <w:tcW w:w="466" w:type="dxa"/>
                  <w:gridSpan w:val="2"/>
                  <w:tcBorders>
                    <w:right w:val="single" w:sz="4" w:space="0" w:color="auto"/>
                  </w:tcBorders>
                  <w:shd w:val="clear" w:color="auto" w:fill="auto"/>
                  <w:vAlign w:val="bottom"/>
                </w:tcPr>
                <w:p w14:paraId="6379B99F"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4FD2EED0"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May</w:t>
                  </w:r>
                </w:p>
              </w:tc>
              <w:tc>
                <w:tcPr>
                  <w:tcW w:w="1120" w:type="dxa"/>
                  <w:tcBorders>
                    <w:top w:val="single" w:sz="4" w:space="0" w:color="auto"/>
                    <w:left w:val="single" w:sz="4" w:space="0" w:color="auto"/>
                    <w:bottom w:val="single" w:sz="4" w:space="0" w:color="auto"/>
                    <w:right w:val="single" w:sz="4" w:space="0" w:color="auto"/>
                  </w:tcBorders>
                  <w:vAlign w:val="bottom"/>
                </w:tcPr>
                <w:p w14:paraId="6A208A89"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20 430</w:t>
                  </w:r>
                </w:p>
              </w:tc>
              <w:tc>
                <w:tcPr>
                  <w:tcW w:w="1120" w:type="dxa"/>
                  <w:tcBorders>
                    <w:top w:val="single" w:sz="4" w:space="0" w:color="auto"/>
                    <w:left w:val="single" w:sz="4" w:space="0" w:color="auto"/>
                    <w:bottom w:val="single" w:sz="4" w:space="0" w:color="auto"/>
                    <w:right w:val="single" w:sz="4" w:space="0" w:color="auto"/>
                  </w:tcBorders>
                  <w:vAlign w:val="bottom"/>
                </w:tcPr>
                <w:p w14:paraId="7D6F95F6"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1 070,9</w:t>
                  </w:r>
                </w:p>
              </w:tc>
            </w:tr>
            <w:tr w:rsidR="00E40A60" w:rsidRPr="00177CB1" w14:paraId="69A11B22"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6D5465A5" w14:textId="77777777" w:rsidR="00E40A60" w:rsidRPr="00611205" w:rsidRDefault="00E40A60" w:rsidP="00E40A60">
                  <w:pPr>
                    <w:contextualSpacing/>
                    <w:jc w:val="center"/>
                    <w:rPr>
                      <w:sz w:val="22"/>
                      <w:szCs w:val="22"/>
                    </w:rPr>
                  </w:pPr>
                  <w:r w:rsidRPr="00611205">
                    <w:rPr>
                      <w:sz w:val="22"/>
                      <w:szCs w:val="22"/>
                    </w:rPr>
                    <w:t>Jun</w:t>
                  </w:r>
                </w:p>
              </w:tc>
              <w:tc>
                <w:tcPr>
                  <w:tcW w:w="1140" w:type="dxa"/>
                  <w:tcBorders>
                    <w:top w:val="nil"/>
                    <w:left w:val="nil"/>
                    <w:bottom w:val="single" w:sz="4" w:space="0" w:color="auto"/>
                    <w:right w:val="single" w:sz="4" w:space="0" w:color="auto"/>
                  </w:tcBorders>
                  <w:vAlign w:val="bottom"/>
                  <w:hideMark/>
                </w:tcPr>
                <w:p w14:paraId="59CC4F32" w14:textId="77777777" w:rsidR="00E40A60" w:rsidRPr="00611205" w:rsidRDefault="00E40A60" w:rsidP="00E40A60">
                  <w:pPr>
                    <w:contextualSpacing/>
                    <w:jc w:val="center"/>
                    <w:rPr>
                      <w:sz w:val="22"/>
                      <w:szCs w:val="22"/>
                    </w:rPr>
                  </w:pPr>
                  <w:r w:rsidRPr="00611205">
                    <w:rPr>
                      <w:sz w:val="22"/>
                      <w:szCs w:val="22"/>
                    </w:rPr>
                    <w:t>19 670</w:t>
                  </w:r>
                </w:p>
              </w:tc>
              <w:tc>
                <w:tcPr>
                  <w:tcW w:w="1138" w:type="dxa"/>
                  <w:tcBorders>
                    <w:top w:val="nil"/>
                    <w:left w:val="nil"/>
                    <w:bottom w:val="single" w:sz="4" w:space="0" w:color="auto"/>
                    <w:right w:val="single" w:sz="4" w:space="0" w:color="auto"/>
                  </w:tcBorders>
                  <w:vAlign w:val="bottom"/>
                  <w:hideMark/>
                </w:tcPr>
                <w:p w14:paraId="0E070C81" w14:textId="77777777" w:rsidR="00E40A60" w:rsidRPr="00611205" w:rsidRDefault="00E40A60" w:rsidP="00E40A60">
                  <w:pPr>
                    <w:contextualSpacing/>
                    <w:jc w:val="center"/>
                    <w:rPr>
                      <w:sz w:val="22"/>
                      <w:szCs w:val="22"/>
                    </w:rPr>
                  </w:pPr>
                  <w:r w:rsidRPr="00611205">
                    <w:rPr>
                      <w:sz w:val="22"/>
                      <w:szCs w:val="22"/>
                    </w:rPr>
                    <w:t>1 031,1</w:t>
                  </w:r>
                </w:p>
              </w:tc>
              <w:tc>
                <w:tcPr>
                  <w:tcW w:w="466" w:type="dxa"/>
                  <w:gridSpan w:val="2"/>
                  <w:tcBorders>
                    <w:right w:val="single" w:sz="4" w:space="0" w:color="auto"/>
                  </w:tcBorders>
                  <w:shd w:val="clear" w:color="auto" w:fill="auto"/>
                  <w:vAlign w:val="bottom"/>
                </w:tcPr>
                <w:p w14:paraId="3F777473"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64BB3378"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Jun</w:t>
                  </w:r>
                </w:p>
              </w:tc>
              <w:tc>
                <w:tcPr>
                  <w:tcW w:w="1120" w:type="dxa"/>
                  <w:tcBorders>
                    <w:top w:val="single" w:sz="4" w:space="0" w:color="auto"/>
                    <w:left w:val="single" w:sz="4" w:space="0" w:color="auto"/>
                    <w:bottom w:val="single" w:sz="4" w:space="0" w:color="auto"/>
                    <w:right w:val="single" w:sz="4" w:space="0" w:color="auto"/>
                  </w:tcBorders>
                  <w:vAlign w:val="bottom"/>
                </w:tcPr>
                <w:p w14:paraId="7CB27EAC"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17 150</w:t>
                  </w:r>
                </w:p>
              </w:tc>
              <w:tc>
                <w:tcPr>
                  <w:tcW w:w="1120" w:type="dxa"/>
                  <w:tcBorders>
                    <w:top w:val="single" w:sz="4" w:space="0" w:color="auto"/>
                    <w:left w:val="single" w:sz="4" w:space="0" w:color="auto"/>
                    <w:bottom w:val="single" w:sz="4" w:space="0" w:color="auto"/>
                    <w:right w:val="single" w:sz="4" w:space="0" w:color="auto"/>
                  </w:tcBorders>
                  <w:vAlign w:val="bottom"/>
                </w:tcPr>
                <w:p w14:paraId="66B284E4"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899,0</w:t>
                  </w:r>
                </w:p>
              </w:tc>
            </w:tr>
            <w:tr w:rsidR="00E40A60" w:rsidRPr="00177CB1" w14:paraId="7A042EBF"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649ACE4D" w14:textId="77777777" w:rsidR="00E40A60" w:rsidRPr="00611205" w:rsidRDefault="00E40A60" w:rsidP="00E40A60">
                  <w:pPr>
                    <w:contextualSpacing/>
                    <w:jc w:val="center"/>
                    <w:rPr>
                      <w:sz w:val="22"/>
                      <w:szCs w:val="22"/>
                    </w:rPr>
                  </w:pPr>
                  <w:r w:rsidRPr="00611205">
                    <w:rPr>
                      <w:sz w:val="22"/>
                      <w:szCs w:val="22"/>
                    </w:rPr>
                    <w:t>Jul</w:t>
                  </w:r>
                </w:p>
              </w:tc>
              <w:tc>
                <w:tcPr>
                  <w:tcW w:w="1140" w:type="dxa"/>
                  <w:tcBorders>
                    <w:top w:val="nil"/>
                    <w:left w:val="nil"/>
                    <w:bottom w:val="single" w:sz="4" w:space="0" w:color="auto"/>
                    <w:right w:val="single" w:sz="4" w:space="0" w:color="auto"/>
                  </w:tcBorders>
                  <w:vAlign w:val="bottom"/>
                  <w:hideMark/>
                </w:tcPr>
                <w:p w14:paraId="21E94FD8" w14:textId="77777777" w:rsidR="00E40A60" w:rsidRPr="00611205" w:rsidRDefault="00E40A60" w:rsidP="00E40A60">
                  <w:pPr>
                    <w:contextualSpacing/>
                    <w:jc w:val="center"/>
                    <w:rPr>
                      <w:sz w:val="22"/>
                      <w:szCs w:val="22"/>
                    </w:rPr>
                  </w:pPr>
                  <w:r w:rsidRPr="00611205">
                    <w:rPr>
                      <w:sz w:val="22"/>
                      <w:szCs w:val="22"/>
                    </w:rPr>
                    <w:t>9 850</w:t>
                  </w:r>
                </w:p>
              </w:tc>
              <w:tc>
                <w:tcPr>
                  <w:tcW w:w="1138" w:type="dxa"/>
                  <w:tcBorders>
                    <w:top w:val="nil"/>
                    <w:left w:val="nil"/>
                    <w:bottom w:val="single" w:sz="4" w:space="0" w:color="auto"/>
                    <w:right w:val="single" w:sz="4" w:space="0" w:color="auto"/>
                  </w:tcBorders>
                  <w:vAlign w:val="bottom"/>
                  <w:hideMark/>
                </w:tcPr>
                <w:p w14:paraId="0EA8CC37" w14:textId="77777777" w:rsidR="00E40A60" w:rsidRPr="00611205" w:rsidRDefault="00E40A60" w:rsidP="00E40A60">
                  <w:pPr>
                    <w:contextualSpacing/>
                    <w:jc w:val="center"/>
                    <w:rPr>
                      <w:sz w:val="22"/>
                      <w:szCs w:val="22"/>
                    </w:rPr>
                  </w:pPr>
                  <w:r w:rsidRPr="00611205">
                    <w:rPr>
                      <w:sz w:val="22"/>
                      <w:szCs w:val="22"/>
                    </w:rPr>
                    <w:t>516,3</w:t>
                  </w:r>
                </w:p>
              </w:tc>
              <w:tc>
                <w:tcPr>
                  <w:tcW w:w="466" w:type="dxa"/>
                  <w:gridSpan w:val="2"/>
                  <w:tcBorders>
                    <w:right w:val="single" w:sz="4" w:space="0" w:color="auto"/>
                  </w:tcBorders>
                  <w:shd w:val="clear" w:color="auto" w:fill="auto"/>
                  <w:vAlign w:val="bottom"/>
                </w:tcPr>
                <w:p w14:paraId="7CAF1D0A"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64F9F846"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Jul</w:t>
                  </w:r>
                </w:p>
              </w:tc>
              <w:tc>
                <w:tcPr>
                  <w:tcW w:w="1120" w:type="dxa"/>
                  <w:tcBorders>
                    <w:top w:val="single" w:sz="4" w:space="0" w:color="auto"/>
                    <w:left w:val="single" w:sz="4" w:space="0" w:color="auto"/>
                    <w:bottom w:val="single" w:sz="4" w:space="0" w:color="auto"/>
                    <w:right w:val="single" w:sz="4" w:space="0" w:color="auto"/>
                  </w:tcBorders>
                  <w:vAlign w:val="bottom"/>
                </w:tcPr>
                <w:p w14:paraId="64B68825"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13 870</w:t>
                  </w:r>
                </w:p>
              </w:tc>
              <w:tc>
                <w:tcPr>
                  <w:tcW w:w="1120" w:type="dxa"/>
                  <w:tcBorders>
                    <w:top w:val="single" w:sz="4" w:space="0" w:color="auto"/>
                    <w:left w:val="single" w:sz="4" w:space="0" w:color="auto"/>
                    <w:bottom w:val="single" w:sz="4" w:space="0" w:color="auto"/>
                    <w:right w:val="single" w:sz="4" w:space="0" w:color="auto"/>
                  </w:tcBorders>
                  <w:vAlign w:val="bottom"/>
                </w:tcPr>
                <w:p w14:paraId="4991D0CD"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727,1</w:t>
                  </w:r>
                </w:p>
              </w:tc>
            </w:tr>
            <w:tr w:rsidR="00E40A60" w:rsidRPr="00177CB1" w14:paraId="11A7BB0D"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0D825345" w14:textId="77777777" w:rsidR="00E40A60" w:rsidRPr="00611205" w:rsidRDefault="00E40A60" w:rsidP="00E40A60">
                  <w:pPr>
                    <w:contextualSpacing/>
                    <w:jc w:val="center"/>
                    <w:rPr>
                      <w:sz w:val="22"/>
                      <w:szCs w:val="22"/>
                    </w:rPr>
                  </w:pPr>
                  <w:r w:rsidRPr="00611205">
                    <w:rPr>
                      <w:sz w:val="22"/>
                      <w:szCs w:val="22"/>
                    </w:rPr>
                    <w:t>Aug</w:t>
                  </w:r>
                </w:p>
              </w:tc>
              <w:tc>
                <w:tcPr>
                  <w:tcW w:w="1140" w:type="dxa"/>
                  <w:tcBorders>
                    <w:top w:val="nil"/>
                    <w:left w:val="nil"/>
                    <w:bottom w:val="single" w:sz="4" w:space="0" w:color="auto"/>
                    <w:right w:val="single" w:sz="4" w:space="0" w:color="auto"/>
                  </w:tcBorders>
                  <w:vAlign w:val="bottom"/>
                  <w:hideMark/>
                </w:tcPr>
                <w:p w14:paraId="5BC13789" w14:textId="77777777" w:rsidR="00E40A60" w:rsidRPr="00611205" w:rsidRDefault="00E40A60" w:rsidP="00E40A60">
                  <w:pPr>
                    <w:contextualSpacing/>
                    <w:jc w:val="center"/>
                    <w:rPr>
                      <w:sz w:val="22"/>
                      <w:szCs w:val="22"/>
                    </w:rPr>
                  </w:pPr>
                  <w:r w:rsidRPr="00611205">
                    <w:rPr>
                      <w:sz w:val="22"/>
                      <w:szCs w:val="22"/>
                    </w:rPr>
                    <w:t>4 920</w:t>
                  </w:r>
                </w:p>
              </w:tc>
              <w:tc>
                <w:tcPr>
                  <w:tcW w:w="1138" w:type="dxa"/>
                  <w:tcBorders>
                    <w:top w:val="nil"/>
                    <w:left w:val="nil"/>
                    <w:bottom w:val="single" w:sz="4" w:space="0" w:color="auto"/>
                    <w:right w:val="single" w:sz="4" w:space="0" w:color="auto"/>
                  </w:tcBorders>
                  <w:vAlign w:val="bottom"/>
                  <w:hideMark/>
                </w:tcPr>
                <w:p w14:paraId="1E7C68D3" w14:textId="77777777" w:rsidR="00E40A60" w:rsidRPr="00611205" w:rsidRDefault="00E40A60" w:rsidP="00E40A60">
                  <w:pPr>
                    <w:contextualSpacing/>
                    <w:jc w:val="center"/>
                    <w:rPr>
                      <w:sz w:val="22"/>
                      <w:szCs w:val="22"/>
                    </w:rPr>
                  </w:pPr>
                  <w:r w:rsidRPr="00611205">
                    <w:rPr>
                      <w:sz w:val="22"/>
                      <w:szCs w:val="22"/>
                    </w:rPr>
                    <w:t>257,9</w:t>
                  </w:r>
                </w:p>
              </w:tc>
              <w:tc>
                <w:tcPr>
                  <w:tcW w:w="466" w:type="dxa"/>
                  <w:gridSpan w:val="2"/>
                  <w:tcBorders>
                    <w:right w:val="single" w:sz="4" w:space="0" w:color="auto"/>
                  </w:tcBorders>
                  <w:shd w:val="clear" w:color="auto" w:fill="auto"/>
                  <w:vAlign w:val="bottom"/>
                </w:tcPr>
                <w:p w14:paraId="25CE2944"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7111DB89"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Aug</w:t>
                  </w:r>
                </w:p>
              </w:tc>
              <w:tc>
                <w:tcPr>
                  <w:tcW w:w="1120" w:type="dxa"/>
                  <w:tcBorders>
                    <w:top w:val="single" w:sz="4" w:space="0" w:color="auto"/>
                    <w:left w:val="single" w:sz="4" w:space="0" w:color="auto"/>
                    <w:bottom w:val="single" w:sz="4" w:space="0" w:color="auto"/>
                    <w:right w:val="single" w:sz="4" w:space="0" w:color="auto"/>
                  </w:tcBorders>
                  <w:vAlign w:val="bottom"/>
                </w:tcPr>
                <w:p w14:paraId="551FFBB2"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10 590</w:t>
                  </w:r>
                </w:p>
              </w:tc>
              <w:tc>
                <w:tcPr>
                  <w:tcW w:w="1120" w:type="dxa"/>
                  <w:tcBorders>
                    <w:top w:val="single" w:sz="4" w:space="0" w:color="auto"/>
                    <w:left w:val="single" w:sz="4" w:space="0" w:color="auto"/>
                    <w:bottom w:val="single" w:sz="4" w:space="0" w:color="auto"/>
                    <w:right w:val="single" w:sz="4" w:space="0" w:color="auto"/>
                  </w:tcBorders>
                  <w:vAlign w:val="bottom"/>
                </w:tcPr>
                <w:p w14:paraId="4707CF47"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555,1</w:t>
                  </w:r>
                </w:p>
              </w:tc>
            </w:tr>
            <w:tr w:rsidR="00E40A60" w:rsidRPr="00177CB1" w14:paraId="464C5035"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6ABF968B" w14:textId="77777777" w:rsidR="00E40A60" w:rsidRPr="00611205" w:rsidRDefault="00E40A60" w:rsidP="00E40A60">
                  <w:pPr>
                    <w:contextualSpacing/>
                    <w:jc w:val="center"/>
                    <w:rPr>
                      <w:sz w:val="22"/>
                      <w:szCs w:val="22"/>
                    </w:rPr>
                  </w:pPr>
                  <w:r w:rsidRPr="00611205">
                    <w:rPr>
                      <w:sz w:val="22"/>
                      <w:szCs w:val="22"/>
                    </w:rPr>
                    <w:t>Sep</w:t>
                  </w:r>
                </w:p>
              </w:tc>
              <w:tc>
                <w:tcPr>
                  <w:tcW w:w="1140" w:type="dxa"/>
                  <w:tcBorders>
                    <w:top w:val="nil"/>
                    <w:left w:val="nil"/>
                    <w:bottom w:val="single" w:sz="4" w:space="0" w:color="auto"/>
                    <w:right w:val="single" w:sz="4" w:space="0" w:color="auto"/>
                  </w:tcBorders>
                  <w:vAlign w:val="bottom"/>
                  <w:hideMark/>
                </w:tcPr>
                <w:p w14:paraId="52FF54DF" w14:textId="77777777" w:rsidR="00E40A60" w:rsidRPr="00611205" w:rsidRDefault="00E40A60" w:rsidP="00E40A60">
                  <w:pPr>
                    <w:contextualSpacing/>
                    <w:jc w:val="center"/>
                    <w:rPr>
                      <w:sz w:val="22"/>
                      <w:szCs w:val="22"/>
                    </w:rPr>
                  </w:pPr>
                  <w:r w:rsidRPr="00611205">
                    <w:rPr>
                      <w:sz w:val="22"/>
                      <w:szCs w:val="22"/>
                    </w:rPr>
                    <w:t>760</w:t>
                  </w:r>
                </w:p>
              </w:tc>
              <w:tc>
                <w:tcPr>
                  <w:tcW w:w="1138" w:type="dxa"/>
                  <w:tcBorders>
                    <w:top w:val="nil"/>
                    <w:left w:val="nil"/>
                    <w:bottom w:val="single" w:sz="4" w:space="0" w:color="auto"/>
                    <w:right w:val="single" w:sz="4" w:space="0" w:color="auto"/>
                  </w:tcBorders>
                  <w:vAlign w:val="bottom"/>
                  <w:hideMark/>
                </w:tcPr>
                <w:p w14:paraId="2867CAF3" w14:textId="77777777" w:rsidR="00E40A60" w:rsidRPr="00611205" w:rsidRDefault="00E40A60" w:rsidP="00E40A60">
                  <w:pPr>
                    <w:contextualSpacing/>
                    <w:jc w:val="center"/>
                    <w:rPr>
                      <w:sz w:val="22"/>
                      <w:szCs w:val="22"/>
                    </w:rPr>
                  </w:pPr>
                  <w:r w:rsidRPr="00611205">
                    <w:rPr>
                      <w:sz w:val="22"/>
                      <w:szCs w:val="22"/>
                    </w:rPr>
                    <w:t>39,8</w:t>
                  </w:r>
                </w:p>
              </w:tc>
              <w:tc>
                <w:tcPr>
                  <w:tcW w:w="466" w:type="dxa"/>
                  <w:gridSpan w:val="2"/>
                  <w:tcBorders>
                    <w:right w:val="single" w:sz="4" w:space="0" w:color="auto"/>
                  </w:tcBorders>
                  <w:shd w:val="clear" w:color="auto" w:fill="auto"/>
                  <w:vAlign w:val="bottom"/>
                </w:tcPr>
                <w:p w14:paraId="30E1A13F"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5AF3C6FA"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Sep</w:t>
                  </w:r>
                </w:p>
              </w:tc>
              <w:tc>
                <w:tcPr>
                  <w:tcW w:w="1120" w:type="dxa"/>
                  <w:tcBorders>
                    <w:top w:val="single" w:sz="4" w:space="0" w:color="auto"/>
                    <w:left w:val="single" w:sz="4" w:space="0" w:color="auto"/>
                    <w:bottom w:val="single" w:sz="4" w:space="0" w:color="auto"/>
                    <w:right w:val="single" w:sz="4" w:space="0" w:color="auto"/>
                  </w:tcBorders>
                  <w:vAlign w:val="bottom"/>
                </w:tcPr>
                <w:p w14:paraId="55253D89"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7 320</w:t>
                  </w:r>
                </w:p>
              </w:tc>
              <w:tc>
                <w:tcPr>
                  <w:tcW w:w="1120" w:type="dxa"/>
                  <w:tcBorders>
                    <w:top w:val="single" w:sz="4" w:space="0" w:color="auto"/>
                    <w:left w:val="single" w:sz="4" w:space="0" w:color="auto"/>
                    <w:bottom w:val="single" w:sz="4" w:space="0" w:color="auto"/>
                    <w:right w:val="single" w:sz="4" w:space="0" w:color="auto"/>
                  </w:tcBorders>
                  <w:vAlign w:val="bottom"/>
                </w:tcPr>
                <w:p w14:paraId="10B68D02"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383,7</w:t>
                  </w:r>
                </w:p>
              </w:tc>
            </w:tr>
            <w:tr w:rsidR="00E40A60" w:rsidRPr="00177CB1" w14:paraId="5ABA320F"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78ADC9DB" w14:textId="77777777" w:rsidR="00E40A60" w:rsidRPr="00611205" w:rsidRDefault="00E40A60" w:rsidP="00E40A60">
                  <w:pPr>
                    <w:contextualSpacing/>
                    <w:jc w:val="center"/>
                    <w:rPr>
                      <w:sz w:val="22"/>
                      <w:szCs w:val="22"/>
                    </w:rPr>
                  </w:pPr>
                  <w:r w:rsidRPr="00611205">
                    <w:rPr>
                      <w:sz w:val="22"/>
                      <w:szCs w:val="22"/>
                    </w:rPr>
                    <w:t>Oct</w:t>
                  </w:r>
                </w:p>
              </w:tc>
              <w:tc>
                <w:tcPr>
                  <w:tcW w:w="1140" w:type="dxa"/>
                  <w:tcBorders>
                    <w:top w:val="nil"/>
                    <w:left w:val="nil"/>
                    <w:bottom w:val="single" w:sz="4" w:space="0" w:color="auto"/>
                    <w:right w:val="single" w:sz="4" w:space="0" w:color="auto"/>
                  </w:tcBorders>
                  <w:vAlign w:val="bottom"/>
                  <w:hideMark/>
                </w:tcPr>
                <w:p w14:paraId="3E25D723" w14:textId="77777777" w:rsidR="00E40A60" w:rsidRPr="00611205" w:rsidRDefault="00E40A60" w:rsidP="00E40A60">
                  <w:pPr>
                    <w:contextualSpacing/>
                    <w:jc w:val="center"/>
                    <w:rPr>
                      <w:sz w:val="22"/>
                      <w:szCs w:val="22"/>
                    </w:rPr>
                  </w:pPr>
                  <w:r w:rsidRPr="00611205">
                    <w:rPr>
                      <w:sz w:val="22"/>
                      <w:szCs w:val="22"/>
                    </w:rPr>
                    <w:t>760</w:t>
                  </w:r>
                </w:p>
              </w:tc>
              <w:tc>
                <w:tcPr>
                  <w:tcW w:w="1138" w:type="dxa"/>
                  <w:tcBorders>
                    <w:top w:val="nil"/>
                    <w:left w:val="nil"/>
                    <w:bottom w:val="single" w:sz="4" w:space="0" w:color="auto"/>
                    <w:right w:val="single" w:sz="4" w:space="0" w:color="auto"/>
                  </w:tcBorders>
                  <w:vAlign w:val="bottom"/>
                  <w:hideMark/>
                </w:tcPr>
                <w:p w14:paraId="4CBB27DD" w14:textId="77777777" w:rsidR="00E40A60" w:rsidRPr="00611205" w:rsidRDefault="00E40A60" w:rsidP="00E40A60">
                  <w:pPr>
                    <w:contextualSpacing/>
                    <w:jc w:val="center"/>
                    <w:rPr>
                      <w:sz w:val="22"/>
                      <w:szCs w:val="22"/>
                    </w:rPr>
                  </w:pPr>
                  <w:r w:rsidRPr="00611205">
                    <w:rPr>
                      <w:sz w:val="22"/>
                      <w:szCs w:val="22"/>
                    </w:rPr>
                    <w:t>39,8</w:t>
                  </w:r>
                </w:p>
              </w:tc>
              <w:tc>
                <w:tcPr>
                  <w:tcW w:w="466" w:type="dxa"/>
                  <w:gridSpan w:val="2"/>
                  <w:tcBorders>
                    <w:right w:val="single" w:sz="4" w:space="0" w:color="auto"/>
                  </w:tcBorders>
                  <w:shd w:val="clear" w:color="auto" w:fill="auto"/>
                  <w:vAlign w:val="bottom"/>
                </w:tcPr>
                <w:p w14:paraId="42F5346F"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53E9566C"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Oct</w:t>
                  </w:r>
                </w:p>
              </w:tc>
              <w:tc>
                <w:tcPr>
                  <w:tcW w:w="1120" w:type="dxa"/>
                  <w:tcBorders>
                    <w:top w:val="single" w:sz="4" w:space="0" w:color="auto"/>
                    <w:left w:val="single" w:sz="4" w:space="0" w:color="auto"/>
                    <w:bottom w:val="single" w:sz="4" w:space="0" w:color="auto"/>
                    <w:right w:val="single" w:sz="4" w:space="0" w:color="auto"/>
                  </w:tcBorders>
                  <w:vAlign w:val="bottom"/>
                </w:tcPr>
                <w:p w14:paraId="39A54DBE"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4 040</w:t>
                  </w:r>
                </w:p>
              </w:tc>
              <w:tc>
                <w:tcPr>
                  <w:tcW w:w="1120" w:type="dxa"/>
                  <w:tcBorders>
                    <w:top w:val="single" w:sz="4" w:space="0" w:color="auto"/>
                    <w:left w:val="single" w:sz="4" w:space="0" w:color="auto"/>
                    <w:bottom w:val="single" w:sz="4" w:space="0" w:color="auto"/>
                    <w:right w:val="single" w:sz="4" w:space="0" w:color="auto"/>
                  </w:tcBorders>
                  <w:vAlign w:val="bottom"/>
                </w:tcPr>
                <w:p w14:paraId="15A44A11"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211,8</w:t>
                  </w:r>
                </w:p>
              </w:tc>
            </w:tr>
            <w:tr w:rsidR="00E40A60" w:rsidRPr="00177CB1" w14:paraId="3B4CD611"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341F5905" w14:textId="77777777" w:rsidR="00E40A60" w:rsidRPr="00611205" w:rsidRDefault="00E40A60" w:rsidP="00E40A60">
                  <w:pPr>
                    <w:contextualSpacing/>
                    <w:jc w:val="center"/>
                    <w:rPr>
                      <w:sz w:val="22"/>
                      <w:szCs w:val="22"/>
                    </w:rPr>
                  </w:pPr>
                  <w:r w:rsidRPr="00611205">
                    <w:rPr>
                      <w:sz w:val="22"/>
                      <w:szCs w:val="22"/>
                    </w:rPr>
                    <w:t>Nov</w:t>
                  </w:r>
                </w:p>
              </w:tc>
              <w:tc>
                <w:tcPr>
                  <w:tcW w:w="1140" w:type="dxa"/>
                  <w:tcBorders>
                    <w:top w:val="nil"/>
                    <w:left w:val="nil"/>
                    <w:bottom w:val="single" w:sz="4" w:space="0" w:color="auto"/>
                    <w:right w:val="single" w:sz="4" w:space="0" w:color="auto"/>
                  </w:tcBorders>
                  <w:vAlign w:val="bottom"/>
                  <w:hideMark/>
                </w:tcPr>
                <w:p w14:paraId="31A6DA0D" w14:textId="77777777" w:rsidR="00E40A60" w:rsidRPr="00611205" w:rsidRDefault="00E40A60" w:rsidP="00E40A60">
                  <w:pPr>
                    <w:contextualSpacing/>
                    <w:jc w:val="center"/>
                    <w:rPr>
                      <w:sz w:val="22"/>
                      <w:szCs w:val="22"/>
                    </w:rPr>
                  </w:pPr>
                  <w:r w:rsidRPr="00611205">
                    <w:rPr>
                      <w:sz w:val="22"/>
                      <w:szCs w:val="22"/>
                    </w:rPr>
                    <w:t>760</w:t>
                  </w:r>
                </w:p>
              </w:tc>
              <w:tc>
                <w:tcPr>
                  <w:tcW w:w="1138" w:type="dxa"/>
                  <w:tcBorders>
                    <w:top w:val="nil"/>
                    <w:left w:val="nil"/>
                    <w:bottom w:val="single" w:sz="4" w:space="0" w:color="auto"/>
                    <w:right w:val="single" w:sz="4" w:space="0" w:color="auto"/>
                  </w:tcBorders>
                  <w:vAlign w:val="bottom"/>
                  <w:hideMark/>
                </w:tcPr>
                <w:p w14:paraId="6907F844" w14:textId="77777777" w:rsidR="00E40A60" w:rsidRPr="00611205" w:rsidRDefault="00E40A60" w:rsidP="00E40A60">
                  <w:pPr>
                    <w:contextualSpacing/>
                    <w:jc w:val="center"/>
                    <w:rPr>
                      <w:sz w:val="22"/>
                      <w:szCs w:val="22"/>
                    </w:rPr>
                  </w:pPr>
                  <w:r w:rsidRPr="00611205">
                    <w:rPr>
                      <w:sz w:val="22"/>
                      <w:szCs w:val="22"/>
                    </w:rPr>
                    <w:t>39,8</w:t>
                  </w:r>
                </w:p>
              </w:tc>
              <w:tc>
                <w:tcPr>
                  <w:tcW w:w="466" w:type="dxa"/>
                  <w:gridSpan w:val="2"/>
                  <w:tcBorders>
                    <w:right w:val="single" w:sz="4" w:space="0" w:color="auto"/>
                  </w:tcBorders>
                  <w:shd w:val="clear" w:color="auto" w:fill="auto"/>
                  <w:vAlign w:val="bottom"/>
                </w:tcPr>
                <w:p w14:paraId="71CC36D8"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4260FD1F"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Nov</w:t>
                  </w:r>
                </w:p>
              </w:tc>
              <w:tc>
                <w:tcPr>
                  <w:tcW w:w="1120" w:type="dxa"/>
                  <w:tcBorders>
                    <w:top w:val="single" w:sz="4" w:space="0" w:color="auto"/>
                    <w:left w:val="single" w:sz="4" w:space="0" w:color="auto"/>
                    <w:bottom w:val="single" w:sz="4" w:space="0" w:color="auto"/>
                    <w:right w:val="single" w:sz="4" w:space="0" w:color="auto"/>
                  </w:tcBorders>
                  <w:vAlign w:val="bottom"/>
                </w:tcPr>
                <w:p w14:paraId="1DDB6375"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800</w:t>
                  </w:r>
                </w:p>
              </w:tc>
              <w:tc>
                <w:tcPr>
                  <w:tcW w:w="1120" w:type="dxa"/>
                  <w:tcBorders>
                    <w:top w:val="single" w:sz="4" w:space="0" w:color="auto"/>
                    <w:left w:val="single" w:sz="4" w:space="0" w:color="auto"/>
                    <w:bottom w:val="single" w:sz="4" w:space="0" w:color="auto"/>
                    <w:right w:val="single" w:sz="4" w:space="0" w:color="auto"/>
                  </w:tcBorders>
                  <w:vAlign w:val="bottom"/>
                </w:tcPr>
                <w:p w14:paraId="04834724"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41,9</w:t>
                  </w:r>
                </w:p>
              </w:tc>
            </w:tr>
            <w:tr w:rsidR="00E40A60" w:rsidRPr="00177CB1" w14:paraId="49BE6D53" w14:textId="77777777" w:rsidTr="005A7E2D">
              <w:trPr>
                <w:gridAfter w:val="1"/>
                <w:wAfter w:w="29" w:type="dxa"/>
                <w:trHeight w:val="227"/>
              </w:trPr>
              <w:tc>
                <w:tcPr>
                  <w:tcW w:w="850" w:type="dxa"/>
                  <w:tcBorders>
                    <w:top w:val="nil"/>
                    <w:left w:val="single" w:sz="4" w:space="0" w:color="auto"/>
                    <w:bottom w:val="single" w:sz="4" w:space="0" w:color="auto"/>
                    <w:right w:val="single" w:sz="4" w:space="0" w:color="auto"/>
                  </w:tcBorders>
                  <w:vAlign w:val="bottom"/>
                  <w:hideMark/>
                </w:tcPr>
                <w:p w14:paraId="0DBD278A" w14:textId="77777777" w:rsidR="00E40A60" w:rsidRPr="00611205" w:rsidRDefault="00E40A60" w:rsidP="00E40A60">
                  <w:pPr>
                    <w:contextualSpacing/>
                    <w:jc w:val="center"/>
                    <w:rPr>
                      <w:sz w:val="22"/>
                      <w:szCs w:val="22"/>
                    </w:rPr>
                  </w:pPr>
                  <w:r w:rsidRPr="00611205">
                    <w:rPr>
                      <w:sz w:val="22"/>
                      <w:szCs w:val="22"/>
                    </w:rPr>
                    <w:t>Dec</w:t>
                  </w:r>
                </w:p>
              </w:tc>
              <w:tc>
                <w:tcPr>
                  <w:tcW w:w="1140" w:type="dxa"/>
                  <w:tcBorders>
                    <w:top w:val="nil"/>
                    <w:left w:val="nil"/>
                    <w:bottom w:val="single" w:sz="4" w:space="0" w:color="auto"/>
                    <w:right w:val="single" w:sz="4" w:space="0" w:color="auto"/>
                  </w:tcBorders>
                  <w:vAlign w:val="bottom"/>
                  <w:hideMark/>
                </w:tcPr>
                <w:p w14:paraId="2CA2990C" w14:textId="77777777" w:rsidR="00E40A60" w:rsidRPr="00611205" w:rsidRDefault="00E40A60" w:rsidP="00E40A60">
                  <w:pPr>
                    <w:contextualSpacing/>
                    <w:jc w:val="center"/>
                    <w:rPr>
                      <w:sz w:val="22"/>
                      <w:szCs w:val="22"/>
                    </w:rPr>
                  </w:pPr>
                  <w:r w:rsidRPr="00611205">
                    <w:rPr>
                      <w:sz w:val="22"/>
                      <w:szCs w:val="22"/>
                    </w:rPr>
                    <w:t>760</w:t>
                  </w:r>
                </w:p>
              </w:tc>
              <w:tc>
                <w:tcPr>
                  <w:tcW w:w="1138" w:type="dxa"/>
                  <w:tcBorders>
                    <w:top w:val="nil"/>
                    <w:left w:val="nil"/>
                    <w:bottom w:val="single" w:sz="4" w:space="0" w:color="auto"/>
                    <w:right w:val="single" w:sz="4" w:space="0" w:color="auto"/>
                  </w:tcBorders>
                  <w:vAlign w:val="bottom"/>
                  <w:hideMark/>
                </w:tcPr>
                <w:p w14:paraId="74D638DF" w14:textId="77777777" w:rsidR="00E40A60" w:rsidRPr="00611205" w:rsidRDefault="00E40A60" w:rsidP="00E40A60">
                  <w:pPr>
                    <w:contextualSpacing/>
                    <w:jc w:val="center"/>
                    <w:rPr>
                      <w:sz w:val="22"/>
                      <w:szCs w:val="22"/>
                    </w:rPr>
                  </w:pPr>
                  <w:r w:rsidRPr="00611205">
                    <w:rPr>
                      <w:sz w:val="22"/>
                      <w:szCs w:val="22"/>
                    </w:rPr>
                    <w:t>39,8</w:t>
                  </w:r>
                </w:p>
              </w:tc>
              <w:tc>
                <w:tcPr>
                  <w:tcW w:w="466" w:type="dxa"/>
                  <w:gridSpan w:val="2"/>
                  <w:tcBorders>
                    <w:right w:val="single" w:sz="4" w:space="0" w:color="auto"/>
                  </w:tcBorders>
                  <w:shd w:val="clear" w:color="auto" w:fill="auto"/>
                  <w:vAlign w:val="bottom"/>
                </w:tcPr>
                <w:p w14:paraId="5950C935" w14:textId="77777777" w:rsidR="00E40A60" w:rsidRPr="00611205" w:rsidRDefault="00E40A60" w:rsidP="00E40A60">
                  <w:pPr>
                    <w:spacing w:line="259" w:lineRule="auto"/>
                    <w:contextualSpacing/>
                    <w:jc w:val="center"/>
                    <w:rPr>
                      <w:sz w:val="22"/>
                      <w:szCs w:val="22"/>
                    </w:rPr>
                  </w:pPr>
                </w:p>
              </w:tc>
              <w:tc>
                <w:tcPr>
                  <w:tcW w:w="906" w:type="dxa"/>
                  <w:gridSpan w:val="2"/>
                  <w:tcBorders>
                    <w:top w:val="single" w:sz="4" w:space="0" w:color="auto"/>
                    <w:left w:val="single" w:sz="4" w:space="0" w:color="auto"/>
                    <w:bottom w:val="single" w:sz="4" w:space="0" w:color="auto"/>
                    <w:right w:val="single" w:sz="4" w:space="0" w:color="auto"/>
                  </w:tcBorders>
                  <w:vAlign w:val="bottom"/>
                </w:tcPr>
                <w:p w14:paraId="0B43DC62"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Dec</w:t>
                  </w:r>
                </w:p>
              </w:tc>
              <w:tc>
                <w:tcPr>
                  <w:tcW w:w="1120" w:type="dxa"/>
                  <w:tcBorders>
                    <w:top w:val="single" w:sz="4" w:space="0" w:color="auto"/>
                    <w:left w:val="single" w:sz="4" w:space="0" w:color="auto"/>
                    <w:bottom w:val="single" w:sz="4" w:space="0" w:color="auto"/>
                    <w:right w:val="single" w:sz="4" w:space="0" w:color="auto"/>
                  </w:tcBorders>
                  <w:vAlign w:val="bottom"/>
                </w:tcPr>
                <w:p w14:paraId="456A652E"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760</w:t>
                  </w:r>
                </w:p>
              </w:tc>
              <w:tc>
                <w:tcPr>
                  <w:tcW w:w="1120" w:type="dxa"/>
                  <w:tcBorders>
                    <w:top w:val="single" w:sz="4" w:space="0" w:color="auto"/>
                    <w:left w:val="single" w:sz="4" w:space="0" w:color="auto"/>
                    <w:bottom w:val="single" w:sz="4" w:space="0" w:color="auto"/>
                    <w:right w:val="single" w:sz="4" w:space="0" w:color="auto"/>
                  </w:tcBorders>
                  <w:vAlign w:val="bottom"/>
                </w:tcPr>
                <w:p w14:paraId="1DB87DCA" w14:textId="77777777" w:rsidR="00E40A60" w:rsidRPr="00611205" w:rsidRDefault="00E40A60" w:rsidP="00E40A60">
                  <w:pPr>
                    <w:spacing w:line="259" w:lineRule="auto"/>
                    <w:contextualSpacing/>
                    <w:jc w:val="center"/>
                    <w:rPr>
                      <w:rFonts w:eastAsiaTheme="minorHAnsi"/>
                      <w:sz w:val="22"/>
                      <w:szCs w:val="22"/>
                    </w:rPr>
                  </w:pPr>
                  <w:r w:rsidRPr="00611205">
                    <w:rPr>
                      <w:sz w:val="22"/>
                      <w:szCs w:val="22"/>
                    </w:rPr>
                    <w:t>39,8</w:t>
                  </w:r>
                </w:p>
              </w:tc>
            </w:tr>
          </w:tbl>
          <w:p w14:paraId="2974D2CF" w14:textId="77777777" w:rsidR="00E40A60" w:rsidRPr="00177CB1" w:rsidRDefault="00E40A60" w:rsidP="00E40A60">
            <w:pPr>
              <w:shd w:val="clear" w:color="auto" w:fill="FFFFFF"/>
              <w:textAlignment w:val="baseline"/>
              <w:rPr>
                <w:b/>
                <w:bCs/>
                <w:sz w:val="20"/>
                <w:szCs w:val="20"/>
              </w:rPr>
            </w:pPr>
            <w:r w:rsidRPr="00177CB1">
              <w:rPr>
                <w:sz w:val="20"/>
                <w:szCs w:val="20"/>
              </w:rPr>
              <w:t xml:space="preserve">   Avots:</w:t>
            </w:r>
            <w:r>
              <w:rPr>
                <w:sz w:val="20"/>
                <w:szCs w:val="20"/>
              </w:rPr>
              <w:t xml:space="preserve"> </w:t>
            </w:r>
            <w:r w:rsidRPr="00177CB1">
              <w:rPr>
                <w:sz w:val="20"/>
                <w:szCs w:val="20"/>
              </w:rPr>
              <w:t>SPKC</w:t>
            </w:r>
          </w:p>
          <w:p w14:paraId="01C817E2" w14:textId="77777777" w:rsidR="00E40A60" w:rsidRDefault="00E40A60" w:rsidP="00E40A60">
            <w:pPr>
              <w:ind w:firstLine="311"/>
              <w:jc w:val="both"/>
              <w:rPr>
                <w:sz w:val="26"/>
                <w:szCs w:val="26"/>
              </w:rPr>
            </w:pPr>
          </w:p>
          <w:p w14:paraId="477FA578" w14:textId="1A74B09D" w:rsidR="00E40A60" w:rsidRDefault="00E40A60" w:rsidP="00E40A60">
            <w:pPr>
              <w:ind w:firstLine="311"/>
              <w:jc w:val="both"/>
              <w:rPr>
                <w:b/>
                <w:bCs/>
                <w:sz w:val="26"/>
                <w:szCs w:val="26"/>
              </w:rPr>
            </w:pPr>
            <w:r w:rsidRPr="001E307E">
              <w:rPr>
                <w:sz w:val="26"/>
                <w:szCs w:val="26"/>
              </w:rPr>
              <w:t>Post</w:t>
            </w:r>
            <w:r w:rsidR="005A7E2D">
              <w:rPr>
                <w:sz w:val="26"/>
                <w:szCs w:val="26"/>
              </w:rPr>
              <w:t xml:space="preserve"> </w:t>
            </w:r>
            <w:r w:rsidRPr="001E307E">
              <w:rPr>
                <w:sz w:val="26"/>
                <w:szCs w:val="26"/>
              </w:rPr>
              <w:t xml:space="preserve">Covid rehabilitācijas pakalpojumu izmaksas tiek plānotas, paredzot, ka minētais pakalpojums tiks sniegts 10% no kopējā no stacionāra izrakstīto pacientu skaita. Šā gada </w:t>
            </w:r>
            <w:r w:rsidRPr="00AF22FF">
              <w:rPr>
                <w:b/>
                <w:bCs/>
                <w:sz w:val="26"/>
                <w:szCs w:val="26"/>
              </w:rPr>
              <w:t>janvāra - marta</w:t>
            </w:r>
            <w:r w:rsidRPr="001E307E">
              <w:rPr>
                <w:sz w:val="26"/>
                <w:szCs w:val="26"/>
              </w:rPr>
              <w:t xml:space="preserve"> mēnešos saslimušo skaits ir 61 457, stacionārā ārstējās 6 372 (10,368%) no stacionāra tika izrakstīti 6 238 pacienti (97,9% no stacionētajiem, no tiem 10% </w:t>
            </w:r>
            <w:r w:rsidRPr="001E307E">
              <w:rPr>
                <w:b/>
                <w:bCs/>
                <w:sz w:val="26"/>
                <w:szCs w:val="26"/>
              </w:rPr>
              <w:t>~ 624 pacientiem būtu nepieciešami post Covid rehabilitācijas pakalpojumu</w:t>
            </w:r>
            <w:r w:rsidRPr="001E307E">
              <w:rPr>
                <w:sz w:val="26"/>
                <w:szCs w:val="26"/>
              </w:rPr>
              <w:t xml:space="preserve">. Atbilstoši 1. un 2. tabulā atspoguļotajām Covid-19 saslimstības prognozēm, vidējais saslimušo pacientu skaits </w:t>
            </w:r>
            <w:r w:rsidRPr="00AF22FF">
              <w:rPr>
                <w:b/>
                <w:bCs/>
                <w:sz w:val="26"/>
                <w:szCs w:val="26"/>
              </w:rPr>
              <w:t>aprīļa - decembra</w:t>
            </w:r>
            <w:r w:rsidRPr="001E307E">
              <w:rPr>
                <w:sz w:val="26"/>
                <w:szCs w:val="26"/>
              </w:rPr>
              <w:t xml:space="preserve"> mēnešos atbilstoši B scenārijam  varētu sasniegt 91 155 pacientus, no kuriem stacionārā ārstēsies  9 451 (10,368%), no stacionāra tiks izrakstīti  pacienti 9 253 (97</w:t>
            </w:r>
            <w:r>
              <w:rPr>
                <w:sz w:val="26"/>
                <w:szCs w:val="26"/>
              </w:rPr>
              <w:t>,</w:t>
            </w:r>
            <w:r w:rsidRPr="001E307E">
              <w:rPr>
                <w:sz w:val="26"/>
                <w:szCs w:val="26"/>
              </w:rPr>
              <w:t xml:space="preserve">9 %) no stacionētajiem, no tiem 10%, </w:t>
            </w:r>
            <w:r w:rsidRPr="001E307E">
              <w:rPr>
                <w:b/>
                <w:bCs/>
                <w:sz w:val="26"/>
                <w:szCs w:val="26"/>
              </w:rPr>
              <w:t>~ 92</w:t>
            </w:r>
            <w:r>
              <w:rPr>
                <w:b/>
                <w:bCs/>
                <w:sz w:val="26"/>
                <w:szCs w:val="26"/>
              </w:rPr>
              <w:t>6</w:t>
            </w:r>
            <w:r w:rsidRPr="001E307E">
              <w:rPr>
                <w:b/>
                <w:bCs/>
                <w:sz w:val="26"/>
                <w:szCs w:val="26"/>
              </w:rPr>
              <w:t xml:space="preserve"> pacientiem būtu nepieciešami post Covid rehabilitācijas pakalpojumi</w:t>
            </w:r>
            <w:r w:rsidRPr="001E307E">
              <w:rPr>
                <w:sz w:val="26"/>
                <w:szCs w:val="26"/>
              </w:rPr>
              <w:t xml:space="preserve">. </w:t>
            </w:r>
            <w:r>
              <w:rPr>
                <w:sz w:val="26"/>
                <w:szCs w:val="26"/>
              </w:rPr>
              <w:t>P</w:t>
            </w:r>
            <w:r w:rsidRPr="001E307E">
              <w:rPr>
                <w:sz w:val="26"/>
                <w:szCs w:val="26"/>
              </w:rPr>
              <w:t xml:space="preserve">amatojoties uz SPKC Covid-19 saslimstības prognožu A un B scenārijiem, </w:t>
            </w:r>
            <w:r w:rsidRPr="005B7E9C">
              <w:rPr>
                <w:b/>
                <w:bCs/>
                <w:sz w:val="26"/>
                <w:szCs w:val="26"/>
              </w:rPr>
              <w:t>kopā 2021.gadā</w:t>
            </w:r>
            <w:r>
              <w:rPr>
                <w:sz w:val="26"/>
                <w:szCs w:val="26"/>
              </w:rPr>
              <w:t xml:space="preserve"> </w:t>
            </w:r>
            <w:r w:rsidRPr="001E307E">
              <w:rPr>
                <w:b/>
                <w:bCs/>
                <w:sz w:val="26"/>
                <w:szCs w:val="26"/>
              </w:rPr>
              <w:t>vidēji  būtu jāplāno ~ 1 5</w:t>
            </w:r>
            <w:r>
              <w:rPr>
                <w:b/>
                <w:bCs/>
                <w:sz w:val="26"/>
                <w:szCs w:val="26"/>
              </w:rPr>
              <w:t>50</w:t>
            </w:r>
            <w:r w:rsidRPr="001E307E">
              <w:rPr>
                <w:b/>
                <w:bCs/>
                <w:sz w:val="26"/>
                <w:szCs w:val="26"/>
              </w:rPr>
              <w:t xml:space="preserve"> šādu pacientu</w:t>
            </w:r>
            <w:r w:rsidRPr="001E307E">
              <w:rPr>
                <w:sz w:val="26"/>
                <w:szCs w:val="26"/>
              </w:rPr>
              <w:t>, ņemot vērā, ka, turpinoties vakcinācijas procesam,  prognozējama saslimstības samazināšanās (skatīt 2.</w:t>
            </w:r>
            <w:r>
              <w:rPr>
                <w:sz w:val="26"/>
                <w:szCs w:val="26"/>
              </w:rPr>
              <w:t> </w:t>
            </w:r>
            <w:r w:rsidRPr="001E307E">
              <w:rPr>
                <w:sz w:val="26"/>
                <w:szCs w:val="26"/>
              </w:rPr>
              <w:t xml:space="preserve">tabulā iekļautās saslimstības prognozējamās tendences). </w:t>
            </w:r>
            <w:r w:rsidRPr="00611205">
              <w:rPr>
                <w:b/>
                <w:bCs/>
                <w:sz w:val="26"/>
                <w:szCs w:val="26"/>
              </w:rPr>
              <w:t>No prognozētajiem 1 550 pacientiem – 40% jeb 620 stacionārā rehabilitācija, 30% jeb 465 dienas stacionārā, 30% jeb 465  ambulatori.</w:t>
            </w:r>
          </w:p>
          <w:p w14:paraId="10D2C030" w14:textId="07A17F14" w:rsidR="00E40A60" w:rsidRPr="000C2022" w:rsidRDefault="00E40A60" w:rsidP="00E40A60">
            <w:pPr>
              <w:ind w:firstLine="311"/>
              <w:jc w:val="both"/>
              <w:rPr>
                <w:sz w:val="26"/>
                <w:szCs w:val="26"/>
              </w:rPr>
            </w:pPr>
            <w:r w:rsidRPr="000C2022">
              <w:rPr>
                <w:sz w:val="26"/>
                <w:szCs w:val="26"/>
              </w:rPr>
              <w:t xml:space="preserve">Lai nodrošinātu rehabilitācijas pakalpojumus pacientiem pēc pārslimota Covid-19, </w:t>
            </w:r>
            <w:r>
              <w:rPr>
                <w:sz w:val="26"/>
                <w:szCs w:val="26"/>
              </w:rPr>
              <w:t xml:space="preserve">2021.gadā </w:t>
            </w:r>
            <w:r w:rsidRPr="000C2022">
              <w:rPr>
                <w:sz w:val="26"/>
                <w:szCs w:val="26"/>
              </w:rPr>
              <w:t xml:space="preserve">būtu nepieciešams papildu </w:t>
            </w:r>
            <w:r>
              <w:rPr>
                <w:sz w:val="26"/>
                <w:szCs w:val="26"/>
              </w:rPr>
              <w:t xml:space="preserve">valsts budžeta </w:t>
            </w:r>
            <w:r w:rsidRPr="000C2022">
              <w:rPr>
                <w:sz w:val="26"/>
                <w:szCs w:val="26"/>
              </w:rPr>
              <w:t xml:space="preserve">finansējums </w:t>
            </w:r>
            <w:r w:rsidRPr="001E28EB">
              <w:rPr>
                <w:sz w:val="26"/>
                <w:szCs w:val="26"/>
              </w:rPr>
              <w:t>1</w:t>
            </w:r>
            <w:r>
              <w:rPr>
                <w:sz w:val="26"/>
                <w:szCs w:val="26"/>
              </w:rPr>
              <w:t> </w:t>
            </w:r>
            <w:r w:rsidRPr="001E28EB">
              <w:rPr>
                <w:sz w:val="26"/>
                <w:szCs w:val="26"/>
              </w:rPr>
              <w:t>946</w:t>
            </w:r>
            <w:r>
              <w:rPr>
                <w:sz w:val="26"/>
                <w:szCs w:val="26"/>
              </w:rPr>
              <w:t> </w:t>
            </w:r>
            <w:r w:rsidRPr="001E28EB">
              <w:rPr>
                <w:sz w:val="26"/>
                <w:szCs w:val="26"/>
              </w:rPr>
              <w:t>132</w:t>
            </w:r>
            <w:r>
              <w:rPr>
                <w:sz w:val="26"/>
                <w:szCs w:val="26"/>
              </w:rPr>
              <w:t xml:space="preserve"> </w:t>
            </w:r>
            <w:r w:rsidRPr="00154D1A">
              <w:rPr>
                <w:i/>
                <w:iCs/>
                <w:sz w:val="26"/>
                <w:szCs w:val="26"/>
              </w:rPr>
              <w:t>euro</w:t>
            </w:r>
            <w:r w:rsidR="00CA7F2E">
              <w:rPr>
                <w:i/>
                <w:iCs/>
                <w:sz w:val="26"/>
                <w:szCs w:val="26"/>
              </w:rPr>
              <w:t xml:space="preserve"> </w:t>
            </w:r>
            <w:r w:rsidR="00CA7F2E" w:rsidRPr="00CA7F2E">
              <w:rPr>
                <w:sz w:val="26"/>
                <w:szCs w:val="26"/>
              </w:rPr>
              <w:t>(skat. anot</w:t>
            </w:r>
            <w:r w:rsidR="00CA7F2E">
              <w:rPr>
                <w:sz w:val="26"/>
                <w:szCs w:val="26"/>
              </w:rPr>
              <w:t>ā</w:t>
            </w:r>
            <w:r w:rsidR="00CA7F2E" w:rsidRPr="00CA7F2E">
              <w:rPr>
                <w:sz w:val="26"/>
                <w:szCs w:val="26"/>
              </w:rPr>
              <w:t>cijas pielikumu)</w:t>
            </w:r>
            <w:r w:rsidRPr="00CA7F2E">
              <w:rPr>
                <w:sz w:val="26"/>
                <w:szCs w:val="26"/>
              </w:rPr>
              <w:t>,</w:t>
            </w:r>
            <w:r>
              <w:rPr>
                <w:sz w:val="26"/>
                <w:szCs w:val="26"/>
              </w:rPr>
              <w:t xml:space="preserve"> tai skaitā,</w:t>
            </w:r>
          </w:p>
          <w:p w14:paraId="0023A55E" w14:textId="77777777" w:rsidR="00E40A60" w:rsidRPr="006B401E" w:rsidRDefault="00E40A60" w:rsidP="00E40A60">
            <w:pPr>
              <w:pStyle w:val="ListParagraph"/>
              <w:numPr>
                <w:ilvl w:val="0"/>
                <w:numId w:val="29"/>
              </w:numPr>
              <w:ind w:left="313" w:hanging="283"/>
              <w:jc w:val="both"/>
              <w:rPr>
                <w:sz w:val="26"/>
                <w:szCs w:val="26"/>
              </w:rPr>
            </w:pPr>
            <w:r w:rsidRPr="006B401E">
              <w:rPr>
                <w:sz w:val="26"/>
                <w:szCs w:val="26"/>
              </w:rPr>
              <w:t xml:space="preserve">ambulatorās rehabilitācijas nodrošināšanai 26 682 </w:t>
            </w:r>
            <w:r w:rsidRPr="006B401E">
              <w:rPr>
                <w:i/>
                <w:iCs/>
                <w:sz w:val="26"/>
                <w:szCs w:val="26"/>
              </w:rPr>
              <w:t>euro</w:t>
            </w:r>
            <w:r w:rsidRPr="006B401E">
              <w:rPr>
                <w:sz w:val="26"/>
                <w:szCs w:val="26"/>
              </w:rPr>
              <w:t xml:space="preserve"> (465  pacientiem);</w:t>
            </w:r>
          </w:p>
          <w:p w14:paraId="728BB5E7" w14:textId="77777777" w:rsidR="00E40A60" w:rsidRPr="006B401E" w:rsidRDefault="00E40A60" w:rsidP="00E40A60">
            <w:pPr>
              <w:pStyle w:val="ListParagraph"/>
              <w:numPr>
                <w:ilvl w:val="0"/>
                <w:numId w:val="29"/>
              </w:numPr>
              <w:ind w:left="313" w:hanging="283"/>
              <w:jc w:val="both"/>
              <w:rPr>
                <w:sz w:val="26"/>
                <w:szCs w:val="26"/>
              </w:rPr>
            </w:pPr>
            <w:r w:rsidRPr="006B401E">
              <w:rPr>
                <w:sz w:val="26"/>
                <w:szCs w:val="26"/>
              </w:rPr>
              <w:t xml:space="preserve">dienas stacionāra rehabilitācijas nodrošināšanai 411 251 </w:t>
            </w:r>
            <w:r w:rsidRPr="006B401E">
              <w:rPr>
                <w:i/>
                <w:iCs/>
                <w:sz w:val="26"/>
                <w:szCs w:val="26"/>
              </w:rPr>
              <w:t>euro</w:t>
            </w:r>
            <w:r w:rsidRPr="006B401E">
              <w:rPr>
                <w:sz w:val="26"/>
                <w:szCs w:val="26"/>
              </w:rPr>
              <w:t xml:space="preserve"> (465 pacientiem);</w:t>
            </w:r>
          </w:p>
          <w:p w14:paraId="74CE45F1" w14:textId="77777777" w:rsidR="00E40A60" w:rsidRPr="006B401E" w:rsidRDefault="00E40A60" w:rsidP="00E40A60">
            <w:pPr>
              <w:pStyle w:val="ListParagraph"/>
              <w:numPr>
                <w:ilvl w:val="0"/>
                <w:numId w:val="29"/>
              </w:numPr>
              <w:ind w:left="313" w:hanging="283"/>
              <w:jc w:val="both"/>
              <w:rPr>
                <w:sz w:val="26"/>
                <w:szCs w:val="26"/>
              </w:rPr>
            </w:pPr>
            <w:r w:rsidRPr="006B401E">
              <w:rPr>
                <w:sz w:val="26"/>
                <w:szCs w:val="26"/>
              </w:rPr>
              <w:t>subakūtās rehabilitācijas nodrošināšanai stacionārā</w:t>
            </w:r>
            <w:r>
              <w:rPr>
                <w:sz w:val="26"/>
                <w:szCs w:val="26"/>
              </w:rPr>
              <w:t xml:space="preserve"> </w:t>
            </w:r>
            <w:r w:rsidRPr="006B401E">
              <w:rPr>
                <w:sz w:val="26"/>
                <w:szCs w:val="26"/>
              </w:rPr>
              <w:t xml:space="preserve">1 495 012 </w:t>
            </w:r>
            <w:r w:rsidRPr="006B401E">
              <w:rPr>
                <w:i/>
                <w:iCs/>
                <w:sz w:val="26"/>
                <w:szCs w:val="26"/>
              </w:rPr>
              <w:t>euro</w:t>
            </w:r>
            <w:r w:rsidRPr="006B401E">
              <w:rPr>
                <w:sz w:val="26"/>
                <w:szCs w:val="26"/>
              </w:rPr>
              <w:t xml:space="preserve"> (620 pacientiem);</w:t>
            </w:r>
          </w:p>
          <w:p w14:paraId="285E33DA" w14:textId="77777777" w:rsidR="00E40A60" w:rsidRPr="006B401E" w:rsidRDefault="00E40A60" w:rsidP="00E40A60">
            <w:pPr>
              <w:pStyle w:val="ListParagraph"/>
              <w:numPr>
                <w:ilvl w:val="0"/>
                <w:numId w:val="29"/>
              </w:numPr>
              <w:ind w:left="313" w:hanging="283"/>
              <w:jc w:val="both"/>
              <w:rPr>
                <w:sz w:val="26"/>
                <w:szCs w:val="26"/>
              </w:rPr>
            </w:pPr>
            <w:r w:rsidRPr="006B401E">
              <w:rPr>
                <w:sz w:val="26"/>
                <w:szCs w:val="26"/>
              </w:rPr>
              <w:t xml:space="preserve">papildu skābekļa atbalstam stacionārā 13 187 </w:t>
            </w:r>
            <w:r w:rsidRPr="006B401E">
              <w:rPr>
                <w:i/>
                <w:iCs/>
                <w:sz w:val="26"/>
                <w:szCs w:val="26"/>
              </w:rPr>
              <w:t>euro</w:t>
            </w:r>
            <w:r w:rsidRPr="006B401E">
              <w:rPr>
                <w:sz w:val="26"/>
                <w:szCs w:val="26"/>
              </w:rPr>
              <w:t xml:space="preserve">. </w:t>
            </w:r>
          </w:p>
          <w:p w14:paraId="556EA592" w14:textId="77777777" w:rsidR="00E40A60" w:rsidRPr="001E307E" w:rsidRDefault="00E40A60" w:rsidP="00E40A60">
            <w:pPr>
              <w:ind w:firstLine="311"/>
              <w:jc w:val="both"/>
              <w:rPr>
                <w:sz w:val="26"/>
                <w:szCs w:val="26"/>
              </w:rPr>
            </w:pPr>
          </w:p>
          <w:p w14:paraId="4A67119D" w14:textId="1EDFDFED" w:rsidR="00E40A60" w:rsidRPr="000C2022" w:rsidRDefault="00E40A60" w:rsidP="00E40A60">
            <w:pPr>
              <w:ind w:firstLine="311"/>
              <w:jc w:val="both"/>
              <w:rPr>
                <w:sz w:val="26"/>
                <w:szCs w:val="26"/>
              </w:rPr>
            </w:pPr>
            <w:r>
              <w:rPr>
                <w:sz w:val="26"/>
                <w:szCs w:val="26"/>
              </w:rPr>
              <w:t>Gadījumā, ja finansējums medicīniskās rehabilitācijas pakalpojumu sniegšanai netiks nodrošināts pilnā apmērā, pastāv ilgstošas darbnespējas risks gan</w:t>
            </w:r>
            <w:r w:rsidRPr="000C2022">
              <w:rPr>
                <w:sz w:val="26"/>
                <w:szCs w:val="26"/>
              </w:rPr>
              <w:t xml:space="preserve"> Covid-19 pārslimojušo pacientu </w:t>
            </w:r>
            <w:r>
              <w:rPr>
                <w:sz w:val="26"/>
                <w:szCs w:val="26"/>
              </w:rPr>
              <w:t>vidū</w:t>
            </w:r>
            <w:r w:rsidR="0016477E">
              <w:rPr>
                <w:sz w:val="26"/>
                <w:szCs w:val="26"/>
              </w:rPr>
              <w:t>, gan citu pacientu grupā</w:t>
            </w:r>
            <w:r w:rsidR="00367D4C">
              <w:rPr>
                <w:sz w:val="26"/>
                <w:szCs w:val="26"/>
              </w:rPr>
              <w:t>s</w:t>
            </w:r>
            <w:r w:rsidR="0016477E">
              <w:rPr>
                <w:sz w:val="26"/>
                <w:szCs w:val="26"/>
              </w:rPr>
              <w:t xml:space="preserve">, kurām medicīniskās </w:t>
            </w:r>
            <w:r w:rsidRPr="000C2022">
              <w:rPr>
                <w:sz w:val="26"/>
                <w:szCs w:val="26"/>
              </w:rPr>
              <w:t>rehabilitācij</w:t>
            </w:r>
            <w:r w:rsidR="0016477E">
              <w:rPr>
                <w:sz w:val="26"/>
                <w:szCs w:val="26"/>
              </w:rPr>
              <w:t>as pakalpojumi ir nepieciešami, lai varētu</w:t>
            </w:r>
            <w:r w:rsidRPr="000C2022">
              <w:rPr>
                <w:sz w:val="26"/>
                <w:szCs w:val="26"/>
              </w:rPr>
              <w:t xml:space="preserve"> ātrāk atgrie</w:t>
            </w:r>
            <w:r w:rsidR="0016477E">
              <w:rPr>
                <w:sz w:val="26"/>
                <w:szCs w:val="26"/>
              </w:rPr>
              <w:t>zties</w:t>
            </w:r>
            <w:r w:rsidRPr="000C2022">
              <w:rPr>
                <w:sz w:val="26"/>
                <w:szCs w:val="26"/>
              </w:rPr>
              <w:t xml:space="preserve"> darbā un ikdienas aktivitātēs</w:t>
            </w:r>
            <w:r w:rsidR="0016477E">
              <w:rPr>
                <w:sz w:val="26"/>
                <w:szCs w:val="26"/>
              </w:rPr>
              <w:t>. Tādējādi</w:t>
            </w:r>
            <w:r w:rsidRPr="000C2022">
              <w:rPr>
                <w:sz w:val="26"/>
                <w:szCs w:val="26"/>
              </w:rPr>
              <w:t xml:space="preserve"> ir </w:t>
            </w:r>
            <w:r>
              <w:rPr>
                <w:sz w:val="26"/>
                <w:szCs w:val="26"/>
              </w:rPr>
              <w:t xml:space="preserve">nepieciešams </w:t>
            </w:r>
            <w:r w:rsidRPr="000C2022">
              <w:rPr>
                <w:sz w:val="26"/>
                <w:szCs w:val="26"/>
              </w:rPr>
              <w:t>palielināt kopējo finansējumu rehabilitācijas pakalpojumu pieejamības nodrošināšanai un/vai specifisku programmu finansēšan</w:t>
            </w:r>
            <w:r>
              <w:rPr>
                <w:sz w:val="26"/>
                <w:szCs w:val="26"/>
              </w:rPr>
              <w:t>u</w:t>
            </w:r>
            <w:r w:rsidRPr="000C2022">
              <w:rPr>
                <w:sz w:val="26"/>
                <w:szCs w:val="26"/>
              </w:rPr>
              <w:t xml:space="preserve"> ar šīs pacientu grupas prioritizēšanu. </w:t>
            </w:r>
            <w:r w:rsidR="00367D4C">
              <w:rPr>
                <w:sz w:val="26"/>
                <w:szCs w:val="26"/>
              </w:rPr>
              <w:t xml:space="preserve">Jānorāda, ka </w:t>
            </w:r>
            <w:r w:rsidR="00367D4C" w:rsidRPr="000C2022">
              <w:rPr>
                <w:sz w:val="26"/>
                <w:szCs w:val="26"/>
              </w:rPr>
              <w:t>citām pacientu grupām</w:t>
            </w:r>
            <w:r w:rsidR="00367D4C">
              <w:rPr>
                <w:sz w:val="26"/>
                <w:szCs w:val="26"/>
              </w:rPr>
              <w:t xml:space="preserve"> n</w:t>
            </w:r>
            <w:r w:rsidRPr="000C2022">
              <w:rPr>
                <w:sz w:val="26"/>
                <w:szCs w:val="26"/>
              </w:rPr>
              <w:t xml:space="preserve">epieciešamība pēc rehabilitācijas pasākumiem </w:t>
            </w:r>
            <w:r w:rsidR="0016477E">
              <w:rPr>
                <w:sz w:val="26"/>
                <w:szCs w:val="26"/>
              </w:rPr>
              <w:t>ir pat palielinājusies</w:t>
            </w:r>
            <w:r w:rsidRPr="000C2022">
              <w:rPr>
                <w:sz w:val="26"/>
                <w:szCs w:val="26"/>
              </w:rPr>
              <w:t xml:space="preserve">, </w:t>
            </w:r>
            <w:r w:rsidR="0016477E">
              <w:rPr>
                <w:sz w:val="26"/>
                <w:szCs w:val="26"/>
              </w:rPr>
              <w:t>ņemot vērā</w:t>
            </w:r>
            <w:r w:rsidRPr="000C2022">
              <w:rPr>
                <w:sz w:val="26"/>
                <w:szCs w:val="26"/>
              </w:rPr>
              <w:t xml:space="preserve"> pandēmijas dēļ ierobežot</w:t>
            </w:r>
            <w:r w:rsidR="0016477E">
              <w:rPr>
                <w:sz w:val="26"/>
                <w:szCs w:val="26"/>
              </w:rPr>
              <w:t>ā</w:t>
            </w:r>
            <w:r w:rsidRPr="000C2022">
              <w:rPr>
                <w:sz w:val="26"/>
                <w:szCs w:val="26"/>
              </w:rPr>
              <w:t>s iespējas savlaicīgi saņemt rehabilitācij</w:t>
            </w:r>
            <w:r w:rsidR="0016477E">
              <w:rPr>
                <w:sz w:val="26"/>
                <w:szCs w:val="26"/>
              </w:rPr>
              <w:t xml:space="preserve">as pakalpojumu. Vienlaikus rehabilitācijas pakalpojumi ir </w:t>
            </w:r>
            <w:r w:rsidR="00367D4C">
              <w:rPr>
                <w:sz w:val="26"/>
                <w:szCs w:val="26"/>
              </w:rPr>
              <w:t>vitāli nepieciešami</w:t>
            </w:r>
            <w:r w:rsidR="0016477E">
              <w:rPr>
                <w:sz w:val="26"/>
                <w:szCs w:val="26"/>
              </w:rPr>
              <w:t xml:space="preserve"> </w:t>
            </w:r>
            <w:r w:rsidRPr="000C2022">
              <w:rPr>
                <w:sz w:val="26"/>
                <w:szCs w:val="26"/>
              </w:rPr>
              <w:t>personām, k</w:t>
            </w:r>
            <w:r w:rsidR="0016477E">
              <w:rPr>
                <w:sz w:val="26"/>
                <w:szCs w:val="26"/>
              </w:rPr>
              <w:t>uru</w:t>
            </w:r>
            <w:r w:rsidRPr="000C2022">
              <w:rPr>
                <w:sz w:val="26"/>
                <w:szCs w:val="26"/>
              </w:rPr>
              <w:t xml:space="preserve"> </w:t>
            </w:r>
            <w:r w:rsidR="0016477E" w:rsidRPr="000C2022">
              <w:rPr>
                <w:sz w:val="26"/>
                <w:szCs w:val="26"/>
              </w:rPr>
              <w:lastRenderedPageBreak/>
              <w:t>veselības un funkcionēšanas stāvok</w:t>
            </w:r>
            <w:r w:rsidR="0016477E">
              <w:rPr>
                <w:sz w:val="26"/>
                <w:szCs w:val="26"/>
              </w:rPr>
              <w:t>lis ir</w:t>
            </w:r>
            <w:r w:rsidR="0016477E" w:rsidRPr="000C2022">
              <w:rPr>
                <w:sz w:val="26"/>
                <w:szCs w:val="26"/>
              </w:rPr>
              <w:t xml:space="preserve"> pasliktinā</w:t>
            </w:r>
            <w:r w:rsidR="0016477E">
              <w:rPr>
                <w:sz w:val="26"/>
                <w:szCs w:val="26"/>
              </w:rPr>
              <w:t>jies</w:t>
            </w:r>
            <w:r w:rsidR="0016477E" w:rsidRPr="000C2022">
              <w:rPr>
                <w:sz w:val="26"/>
                <w:szCs w:val="26"/>
              </w:rPr>
              <w:t xml:space="preserve"> </w:t>
            </w:r>
            <w:r w:rsidRPr="000C2022">
              <w:rPr>
                <w:sz w:val="26"/>
                <w:szCs w:val="26"/>
              </w:rPr>
              <w:t xml:space="preserve">pandēmijas radīto ierobežojumu dēļ </w:t>
            </w:r>
            <w:r w:rsidR="0016477E" w:rsidRPr="000C2022">
              <w:rPr>
                <w:sz w:val="26"/>
                <w:szCs w:val="26"/>
              </w:rPr>
              <w:t>mazkustīguma rezultātā</w:t>
            </w:r>
            <w:r w:rsidRPr="000C2022">
              <w:rPr>
                <w:sz w:val="26"/>
                <w:szCs w:val="26"/>
              </w:rPr>
              <w:t xml:space="preserve">. </w:t>
            </w:r>
          </w:p>
          <w:p w14:paraId="65DACD65" w14:textId="059D4397" w:rsidR="000C2022" w:rsidRPr="000C2022" w:rsidRDefault="00367D4C" w:rsidP="000C2022">
            <w:pPr>
              <w:ind w:firstLine="311"/>
              <w:jc w:val="both"/>
              <w:rPr>
                <w:sz w:val="26"/>
                <w:szCs w:val="26"/>
              </w:rPr>
            </w:pPr>
            <w:r>
              <w:rPr>
                <w:sz w:val="26"/>
                <w:szCs w:val="26"/>
              </w:rPr>
              <w:t>Vienlaikus arī</w:t>
            </w:r>
            <w:r w:rsidR="000C2022" w:rsidRPr="000C2022">
              <w:rPr>
                <w:sz w:val="26"/>
                <w:szCs w:val="26"/>
              </w:rPr>
              <w:t xml:space="preserve"> Pasaules Veselības organizācija </w:t>
            </w:r>
            <w:r>
              <w:rPr>
                <w:sz w:val="26"/>
                <w:szCs w:val="26"/>
              </w:rPr>
              <w:t>ir rekomendējusi integrēt rehabilitāciju</w:t>
            </w:r>
            <w:r w:rsidR="000C2022" w:rsidRPr="000C2022">
              <w:rPr>
                <w:sz w:val="26"/>
                <w:szCs w:val="26"/>
              </w:rPr>
              <w:t xml:space="preserve"> vispārējā </w:t>
            </w:r>
            <w:r w:rsidR="0021345D">
              <w:rPr>
                <w:sz w:val="26"/>
                <w:szCs w:val="26"/>
              </w:rPr>
              <w:t>Covid</w:t>
            </w:r>
            <w:r w:rsidR="000C2022" w:rsidRPr="000C2022">
              <w:rPr>
                <w:sz w:val="26"/>
                <w:szCs w:val="26"/>
              </w:rPr>
              <w:t>-19 pandēmijas apkarošanas plānā</w:t>
            </w:r>
            <w:r w:rsidR="00EB0A99">
              <w:rPr>
                <w:sz w:val="26"/>
                <w:szCs w:val="26"/>
              </w:rPr>
              <w:t>, r</w:t>
            </w:r>
            <w:r w:rsidR="000C2022" w:rsidRPr="000C2022">
              <w:rPr>
                <w:sz w:val="26"/>
                <w:szCs w:val="26"/>
              </w:rPr>
              <w:t xml:space="preserve">ehabilitācijas pakalpojumu plānošanā vienlīdz </w:t>
            </w:r>
            <w:r w:rsidR="00EB0A99">
              <w:rPr>
                <w:sz w:val="26"/>
                <w:szCs w:val="26"/>
              </w:rPr>
              <w:t>ņemot</w:t>
            </w:r>
            <w:r w:rsidR="000C2022" w:rsidRPr="000C2022">
              <w:rPr>
                <w:sz w:val="26"/>
                <w:szCs w:val="26"/>
              </w:rPr>
              <w:t xml:space="preserve"> vērā gan </w:t>
            </w:r>
            <w:r w:rsidR="0021345D">
              <w:rPr>
                <w:sz w:val="26"/>
                <w:szCs w:val="26"/>
              </w:rPr>
              <w:t>Covid</w:t>
            </w:r>
            <w:r w:rsidR="0021345D" w:rsidRPr="000C2022">
              <w:rPr>
                <w:sz w:val="26"/>
                <w:szCs w:val="26"/>
              </w:rPr>
              <w:t xml:space="preserve">-19 </w:t>
            </w:r>
            <w:r w:rsidR="000C2022" w:rsidRPr="000C2022">
              <w:rPr>
                <w:sz w:val="26"/>
                <w:szCs w:val="26"/>
              </w:rPr>
              <w:t>seku pacientu, gan pārējo pacientu prioritārās vajadzības</w:t>
            </w:r>
            <w:r w:rsidR="00EB0A99">
              <w:rPr>
                <w:sz w:val="26"/>
                <w:szCs w:val="26"/>
              </w:rPr>
              <w:t xml:space="preserve"> veselības un funkcionālo spēju, tai skaitā darbspēju ātrākai atjaunošanai</w:t>
            </w:r>
            <w:r w:rsidR="000C2022" w:rsidRPr="000C2022">
              <w:rPr>
                <w:sz w:val="26"/>
                <w:szCs w:val="26"/>
              </w:rPr>
              <w:t>.</w:t>
            </w:r>
          </w:p>
          <w:p w14:paraId="16069A2C" w14:textId="4B5F4538" w:rsidR="000C2022" w:rsidRPr="000C2022" w:rsidRDefault="000C2022" w:rsidP="000C2022">
            <w:pPr>
              <w:ind w:firstLine="311"/>
              <w:jc w:val="both"/>
              <w:rPr>
                <w:sz w:val="26"/>
                <w:szCs w:val="26"/>
              </w:rPr>
            </w:pPr>
            <w:r w:rsidRPr="000C2022">
              <w:rPr>
                <w:sz w:val="26"/>
                <w:szCs w:val="26"/>
              </w:rPr>
              <w:t xml:space="preserve">Pacientiem ar </w:t>
            </w:r>
            <w:r w:rsidR="0021345D">
              <w:rPr>
                <w:sz w:val="26"/>
                <w:szCs w:val="26"/>
              </w:rPr>
              <w:t>Covid</w:t>
            </w:r>
            <w:r w:rsidR="0021345D" w:rsidRPr="000C2022">
              <w:rPr>
                <w:sz w:val="26"/>
                <w:szCs w:val="26"/>
              </w:rPr>
              <w:t xml:space="preserve">-19 </w:t>
            </w:r>
            <w:r w:rsidRPr="000C2022">
              <w:rPr>
                <w:sz w:val="26"/>
                <w:szCs w:val="26"/>
              </w:rPr>
              <w:t>rehabilitācija ir nepieciešama gan akūti</w:t>
            </w:r>
            <w:r>
              <w:rPr>
                <w:sz w:val="26"/>
                <w:szCs w:val="26"/>
              </w:rPr>
              <w:t>,</w:t>
            </w:r>
            <w:r w:rsidRPr="000C2022">
              <w:rPr>
                <w:sz w:val="26"/>
                <w:szCs w:val="26"/>
              </w:rPr>
              <w:t xml:space="preserve"> gan subakūti. Akūtā rehabilitācija tiek nodrošināta stacionārās ārstēšanas laikā atkarībā no slimības klīniskās gaitas. Subakūtā rehabilitācija pēc </w:t>
            </w:r>
            <w:r w:rsidR="0021345D">
              <w:rPr>
                <w:sz w:val="26"/>
                <w:szCs w:val="26"/>
              </w:rPr>
              <w:t>Covid</w:t>
            </w:r>
            <w:r w:rsidR="0021345D" w:rsidRPr="000C2022">
              <w:rPr>
                <w:sz w:val="26"/>
                <w:szCs w:val="26"/>
              </w:rPr>
              <w:t xml:space="preserve">-19 </w:t>
            </w:r>
            <w:r w:rsidRPr="000C2022">
              <w:rPr>
                <w:sz w:val="26"/>
                <w:szCs w:val="26"/>
              </w:rPr>
              <w:t xml:space="preserve">akūtā etapa beigām tiek organizēta dažādos intensitātes līmeņos stacionārā, dienas stacionārā vai atsevišķu ambulatoru pakalpojumu veidā. </w:t>
            </w:r>
          </w:p>
          <w:p w14:paraId="165554D7" w14:textId="1841E0CE" w:rsidR="000C2022" w:rsidRPr="000C2022" w:rsidRDefault="000C2022" w:rsidP="000C2022">
            <w:pPr>
              <w:ind w:firstLine="311"/>
              <w:jc w:val="both"/>
              <w:rPr>
                <w:sz w:val="26"/>
                <w:szCs w:val="26"/>
              </w:rPr>
            </w:pPr>
            <w:r w:rsidRPr="000C2022">
              <w:rPr>
                <w:sz w:val="26"/>
                <w:szCs w:val="26"/>
              </w:rPr>
              <w:t xml:space="preserve">Pacientiem subakūtā periodā sekas pēc </w:t>
            </w:r>
            <w:r w:rsidR="0021345D">
              <w:rPr>
                <w:sz w:val="26"/>
                <w:szCs w:val="26"/>
              </w:rPr>
              <w:t>Covid</w:t>
            </w:r>
            <w:r w:rsidR="0021345D" w:rsidRPr="000C2022">
              <w:rPr>
                <w:sz w:val="26"/>
                <w:szCs w:val="26"/>
              </w:rPr>
              <w:t xml:space="preserve">-19 </w:t>
            </w:r>
            <w:r w:rsidRPr="000C2022">
              <w:rPr>
                <w:sz w:val="26"/>
                <w:szCs w:val="26"/>
              </w:rPr>
              <w:t>pārslimošanas var izpausties dažādos funkcionēšanas traucējumos atkarībā no bojātām orgānu struktūrām un funkcijām, kā arī no blakusesošo slimību fona un vispārējā veselības stāvokļa pirms infekcijas slimības.</w:t>
            </w:r>
          </w:p>
          <w:p w14:paraId="131F5E2C" w14:textId="3E9AE548" w:rsidR="000C2022" w:rsidRPr="000C2022" w:rsidRDefault="000C2022" w:rsidP="000C2022">
            <w:pPr>
              <w:ind w:firstLine="311"/>
              <w:jc w:val="both"/>
              <w:rPr>
                <w:sz w:val="26"/>
                <w:szCs w:val="26"/>
              </w:rPr>
            </w:pPr>
            <w:r w:rsidRPr="000C2022">
              <w:rPr>
                <w:sz w:val="26"/>
                <w:szCs w:val="26"/>
              </w:rPr>
              <w:t xml:space="preserve">Rehabilitācijā pēc smagi pārslimotas  </w:t>
            </w:r>
            <w:r w:rsidR="0021345D">
              <w:rPr>
                <w:sz w:val="26"/>
                <w:szCs w:val="26"/>
              </w:rPr>
              <w:t>Covid</w:t>
            </w:r>
            <w:r w:rsidR="0021345D" w:rsidRPr="000C2022">
              <w:rPr>
                <w:sz w:val="26"/>
                <w:szCs w:val="26"/>
              </w:rPr>
              <w:t xml:space="preserve">-19 </w:t>
            </w:r>
            <w:r w:rsidRPr="000C2022">
              <w:rPr>
                <w:sz w:val="26"/>
                <w:szCs w:val="26"/>
              </w:rPr>
              <w:t>infekcijas līdztekus specifiskiem traucējumiem īpaša uzmanība ir jāpievērš elpošanas mazspējai, pēc intensīvās terapijas sindromam, multiplu orgānu bojājumu izpausmēm, rīšanas traucējumiem</w:t>
            </w:r>
            <w:r w:rsidR="00CA7F2E">
              <w:rPr>
                <w:sz w:val="26"/>
                <w:szCs w:val="26"/>
              </w:rPr>
              <w:t xml:space="preserve"> </w:t>
            </w:r>
            <w:r w:rsidRPr="000C2022">
              <w:rPr>
                <w:sz w:val="26"/>
                <w:szCs w:val="26"/>
              </w:rPr>
              <w:t>un posttraumatiskā stresa sindroma izpausmēm.</w:t>
            </w:r>
          </w:p>
          <w:p w14:paraId="356C7129" w14:textId="1C34AF25" w:rsidR="000C2022" w:rsidRPr="000C2022" w:rsidRDefault="000C2022" w:rsidP="000C2022">
            <w:pPr>
              <w:ind w:firstLine="311"/>
              <w:jc w:val="both"/>
              <w:rPr>
                <w:sz w:val="26"/>
                <w:szCs w:val="26"/>
              </w:rPr>
            </w:pPr>
            <w:r w:rsidRPr="000C2022">
              <w:rPr>
                <w:sz w:val="26"/>
                <w:szCs w:val="26"/>
              </w:rPr>
              <w:t xml:space="preserve">Rehabilitācijas pasākumi pacientu ar </w:t>
            </w:r>
            <w:r w:rsidR="0021345D">
              <w:rPr>
                <w:sz w:val="26"/>
                <w:szCs w:val="26"/>
              </w:rPr>
              <w:t>Covid</w:t>
            </w:r>
            <w:r w:rsidR="0021345D" w:rsidRPr="000C2022">
              <w:rPr>
                <w:sz w:val="26"/>
                <w:szCs w:val="26"/>
              </w:rPr>
              <w:t xml:space="preserve">-19 </w:t>
            </w:r>
            <w:r w:rsidRPr="000C2022">
              <w:rPr>
                <w:sz w:val="26"/>
                <w:szCs w:val="26"/>
              </w:rPr>
              <w:t xml:space="preserve">sekām veselības stāvokļa uzlabošanai ir organizējami vispārējā kārtībā atkarībā no vairāk skarto orgānu sistēmu bojājumiem (pulmonoloģiskā, neiroloģiskā, muskuloskeletālā) un esošajiem funkcionēšanas traucējumiem vai specializētu </w:t>
            </w:r>
            <w:r w:rsidR="0021345D">
              <w:rPr>
                <w:sz w:val="26"/>
                <w:szCs w:val="26"/>
              </w:rPr>
              <w:t>Covid</w:t>
            </w:r>
            <w:r w:rsidR="0021345D" w:rsidRPr="000C2022">
              <w:rPr>
                <w:sz w:val="26"/>
                <w:szCs w:val="26"/>
              </w:rPr>
              <w:t xml:space="preserve">-19 </w:t>
            </w:r>
            <w:r w:rsidRPr="000C2022">
              <w:rPr>
                <w:sz w:val="26"/>
                <w:szCs w:val="26"/>
              </w:rPr>
              <w:t>seku rehabilitācijas programmu veidā, atbilstoši ārstniecības iestāžu profiliem un profesionālajai kapacitātei. Rehabilitācijas veidu (multidiprofesionāls/multidisciplinārs vai monoprofesionāls) un ilgumu nosaka fizikālās un rehabilitācijas medicīnas ārsts, atbilstoši individuālam rehabilitācijas plānam. Jāņem vērā, ka daļa izrakstīto pacientu varētu būt  ļoti cienījamā vecumā ar ierobežotu rehabilitācijas potenciālu arī blakusslimību dēļ. Tādēļ pacientu atlasi jāveic  fiziskās rehabilitācijas ārstam.</w:t>
            </w:r>
          </w:p>
          <w:p w14:paraId="13AE18F6" w14:textId="4427386D" w:rsidR="000C2022" w:rsidRPr="000C2022" w:rsidRDefault="000C2022" w:rsidP="000C2022">
            <w:pPr>
              <w:ind w:firstLine="311"/>
              <w:jc w:val="both"/>
              <w:rPr>
                <w:sz w:val="26"/>
                <w:szCs w:val="26"/>
              </w:rPr>
            </w:pPr>
            <w:r>
              <w:rPr>
                <w:sz w:val="26"/>
                <w:szCs w:val="26"/>
              </w:rPr>
              <w:t>P</w:t>
            </w:r>
            <w:r w:rsidRPr="000C2022">
              <w:rPr>
                <w:sz w:val="26"/>
                <w:szCs w:val="26"/>
              </w:rPr>
              <w:t>amatojoties uz  speciālistu sniegto informācijai, 40% Covid-</w:t>
            </w:r>
            <w:r w:rsidR="00020983">
              <w:rPr>
                <w:sz w:val="26"/>
                <w:szCs w:val="26"/>
              </w:rPr>
              <w:t>1</w:t>
            </w:r>
            <w:r w:rsidRPr="000C2022">
              <w:rPr>
                <w:sz w:val="26"/>
                <w:szCs w:val="26"/>
              </w:rPr>
              <w:t>9 inficēto pacientu tiek ārstēti stacionārā. Prognozējams, ka 30% Covid-19 pacientiem post</w:t>
            </w:r>
            <w:r w:rsidR="0021345D">
              <w:rPr>
                <w:sz w:val="26"/>
                <w:szCs w:val="26"/>
              </w:rPr>
              <w:t xml:space="preserve"> </w:t>
            </w:r>
            <w:r w:rsidRPr="000C2022">
              <w:rPr>
                <w:sz w:val="26"/>
                <w:szCs w:val="26"/>
              </w:rPr>
              <w:t>Covid medicīniskās rehabilitācijas pakalpojumi tiks sniegti ambulatori, savukārt 30% minēto pacientu medicīniskās rehabilitācijas pakalpojumus saņems dienas stacionārā.</w:t>
            </w:r>
          </w:p>
          <w:p w14:paraId="1AFCCF44" w14:textId="77777777" w:rsidR="000C2022" w:rsidRPr="000C2022" w:rsidRDefault="000C2022" w:rsidP="000C2022">
            <w:pPr>
              <w:ind w:firstLine="311"/>
              <w:jc w:val="both"/>
              <w:rPr>
                <w:sz w:val="26"/>
                <w:szCs w:val="26"/>
              </w:rPr>
            </w:pPr>
            <w:r w:rsidRPr="000C2022">
              <w:rPr>
                <w:sz w:val="26"/>
                <w:szCs w:val="26"/>
              </w:rPr>
              <w:t xml:space="preserve">Nepieciešamo rehabilitācijas pakalpojumu nodrošināšanas ilgums stacionārā var variēt no 10 dienām līdz pat vairākiem mēnešiem komplicētos gadījumos. </w:t>
            </w:r>
          </w:p>
          <w:p w14:paraId="6FA82CFB" w14:textId="0B10ABA1" w:rsidR="000C2022" w:rsidRPr="000C2022" w:rsidRDefault="000C2022" w:rsidP="000C2022">
            <w:pPr>
              <w:ind w:firstLine="311"/>
              <w:jc w:val="both"/>
              <w:rPr>
                <w:sz w:val="26"/>
                <w:szCs w:val="26"/>
              </w:rPr>
            </w:pPr>
            <w:r w:rsidRPr="000C2022">
              <w:rPr>
                <w:sz w:val="26"/>
                <w:szCs w:val="26"/>
              </w:rPr>
              <w:lastRenderedPageBreak/>
              <w:t xml:space="preserve">Ņemot vērā pieredzi, uzsākot specializētas </w:t>
            </w:r>
            <w:r w:rsidR="0021345D">
              <w:rPr>
                <w:sz w:val="26"/>
                <w:szCs w:val="26"/>
              </w:rPr>
              <w:t>Covid</w:t>
            </w:r>
            <w:r w:rsidR="0021345D" w:rsidRPr="000C2022">
              <w:rPr>
                <w:sz w:val="26"/>
                <w:szCs w:val="26"/>
              </w:rPr>
              <w:t xml:space="preserve">-19 </w:t>
            </w:r>
            <w:r w:rsidRPr="000C2022">
              <w:rPr>
                <w:sz w:val="26"/>
                <w:szCs w:val="26"/>
              </w:rPr>
              <w:t xml:space="preserve">seku rehabilitācijas programmas īstenošanu valsts sabiedrībā ar ierobežotu atbildību “Nacionālais rehabilitācijas centrs “Vaivari”’ (turpmāk – NRC “Vaivari”) šā gada sākumā, ir secināms, ka pakalpojumu izmaksu aprēķinu veikšana </w:t>
            </w:r>
            <w:r w:rsidR="00D366E5">
              <w:rPr>
                <w:sz w:val="26"/>
                <w:szCs w:val="26"/>
              </w:rPr>
              <w:t>būtu veicama</w:t>
            </w:r>
            <w:r w:rsidRPr="000C2022">
              <w:rPr>
                <w:sz w:val="26"/>
                <w:szCs w:val="26"/>
              </w:rPr>
              <w:t>, ņemot vērā vidējo dienu skaitu (14) subakūtās rehabilitācijas nodrošināšanai</w:t>
            </w:r>
            <w:r w:rsidR="00D366E5">
              <w:rPr>
                <w:sz w:val="26"/>
                <w:szCs w:val="26"/>
              </w:rPr>
              <w:t>, vienlaikus</w:t>
            </w:r>
            <w:r w:rsidRPr="000C2022">
              <w:rPr>
                <w:sz w:val="26"/>
                <w:szCs w:val="26"/>
              </w:rPr>
              <w:t xml:space="preserve"> ņem</w:t>
            </w:r>
            <w:r w:rsidR="00D366E5">
              <w:rPr>
                <w:sz w:val="26"/>
                <w:szCs w:val="26"/>
              </w:rPr>
              <w:t>ot</w:t>
            </w:r>
            <w:r w:rsidRPr="000C2022">
              <w:rPr>
                <w:sz w:val="26"/>
                <w:szCs w:val="26"/>
              </w:rPr>
              <w:t xml:space="preserve"> vērā, ka daļai pacientu rehabilitācijas procesā var būt nepieciešams papildu skābekļa atbalsts (stacionārs vai mobila skābekļa koncentratora veidā), tai skaitā, situācijas monitorēšanai, kā rutīnas aprīkojums, ir nepieciešams oksimetrs.</w:t>
            </w:r>
          </w:p>
          <w:p w14:paraId="48FF2CA0" w14:textId="77777777" w:rsidR="00007F16" w:rsidRDefault="000C2022" w:rsidP="000C2022">
            <w:pPr>
              <w:ind w:firstLine="311"/>
              <w:jc w:val="both"/>
              <w:rPr>
                <w:sz w:val="26"/>
                <w:szCs w:val="26"/>
              </w:rPr>
            </w:pPr>
            <w:r w:rsidRPr="000C2022">
              <w:rPr>
                <w:sz w:val="26"/>
                <w:szCs w:val="26"/>
              </w:rPr>
              <w:t xml:space="preserve"> Papildus jāņem vērā iespējamās pacienta mentālās veselības izmaiņas, jo Covid-19 izsauktā vispārējā astenizācija, kognitīvās izmaiņas, miega traucējumi, depresija, var būt par iemeslu ilgstošai darba nespējai un var ietekmēt dzīves kvalitāti ilgtermiņā. </w:t>
            </w:r>
            <w:r w:rsidR="00007F16" w:rsidRPr="000C2022">
              <w:rPr>
                <w:sz w:val="26"/>
                <w:szCs w:val="26"/>
              </w:rPr>
              <w:t xml:space="preserve">Tādējādi </w:t>
            </w:r>
            <w:r w:rsidR="00007F16">
              <w:rPr>
                <w:sz w:val="26"/>
                <w:szCs w:val="26"/>
              </w:rPr>
              <w:t xml:space="preserve">arī post Covid pacientu rehabilitācijā būtiska nozīme ir </w:t>
            </w:r>
            <w:r w:rsidR="00007F16" w:rsidRPr="000C2022">
              <w:rPr>
                <w:sz w:val="26"/>
                <w:szCs w:val="26"/>
              </w:rPr>
              <w:t xml:space="preserve">multiprofesionālas rehabilitācijas komandas </w:t>
            </w:r>
            <w:r w:rsidR="00007F16">
              <w:rPr>
                <w:sz w:val="26"/>
                <w:szCs w:val="26"/>
              </w:rPr>
              <w:t xml:space="preserve">darbam, kuras </w:t>
            </w:r>
            <w:r w:rsidR="00007F16" w:rsidRPr="000C2022">
              <w:rPr>
                <w:sz w:val="26"/>
                <w:szCs w:val="26"/>
              </w:rPr>
              <w:t xml:space="preserve">sastāvā </w:t>
            </w:r>
            <w:r w:rsidR="00007F16">
              <w:rPr>
                <w:sz w:val="26"/>
                <w:szCs w:val="26"/>
              </w:rPr>
              <w:t>ir</w:t>
            </w:r>
            <w:r w:rsidR="00007F16" w:rsidRPr="000C2022">
              <w:rPr>
                <w:sz w:val="26"/>
                <w:szCs w:val="26"/>
              </w:rPr>
              <w:t xml:space="preserve"> psihologs. </w:t>
            </w:r>
          </w:p>
          <w:p w14:paraId="25481440" w14:textId="249A280C" w:rsidR="000C2022" w:rsidRPr="000C2022" w:rsidRDefault="000C2022" w:rsidP="000C2022">
            <w:pPr>
              <w:ind w:firstLine="311"/>
              <w:jc w:val="both"/>
              <w:rPr>
                <w:sz w:val="26"/>
                <w:szCs w:val="26"/>
              </w:rPr>
            </w:pPr>
            <w:r w:rsidRPr="000C2022">
              <w:rPr>
                <w:sz w:val="26"/>
                <w:szCs w:val="26"/>
              </w:rPr>
              <w:t>Plānojot rehabilitācijas pakalpojumu organizēšanu, ir rūpīgi izvērtējams esošais rehabilitācijas potenciāls, kā arī konkrētā pacienta iepriekšējais aktivitāšu līmenis. Daļai pacientu ierobežota apjoma rehabilitāciju var plānot mājās pašaprūpes iemaņu atgūšanai, bet daļa pacientu bez rehabilitācijas potenciāla ir novirzāma</w:t>
            </w:r>
            <w:r w:rsidR="00146080">
              <w:rPr>
                <w:sz w:val="26"/>
                <w:szCs w:val="26"/>
              </w:rPr>
              <w:t xml:space="preserve"> profesionālai</w:t>
            </w:r>
            <w:r w:rsidRPr="000C2022">
              <w:rPr>
                <w:sz w:val="26"/>
                <w:szCs w:val="26"/>
              </w:rPr>
              <w:t xml:space="preserve"> aprūpei.</w:t>
            </w:r>
          </w:p>
          <w:p w14:paraId="593DAA60" w14:textId="189773C8" w:rsidR="000C2022" w:rsidRPr="000C2022" w:rsidRDefault="000C2022" w:rsidP="000C2022">
            <w:pPr>
              <w:ind w:firstLine="311"/>
              <w:jc w:val="both"/>
              <w:rPr>
                <w:sz w:val="26"/>
                <w:szCs w:val="26"/>
              </w:rPr>
            </w:pPr>
            <w:r w:rsidRPr="000C2022">
              <w:rPr>
                <w:sz w:val="26"/>
                <w:szCs w:val="26"/>
              </w:rPr>
              <w:t xml:space="preserve">Papildus jāievēro, ka, plānojot nepieciešamos finanšu resursus rehabilitācijas pakalpojumu nodrošināšanai </w:t>
            </w:r>
            <w:r w:rsidR="0021345D">
              <w:rPr>
                <w:sz w:val="26"/>
                <w:szCs w:val="26"/>
              </w:rPr>
              <w:t>Covid</w:t>
            </w:r>
            <w:r w:rsidR="0021345D" w:rsidRPr="000C2022">
              <w:rPr>
                <w:sz w:val="26"/>
                <w:szCs w:val="26"/>
              </w:rPr>
              <w:t xml:space="preserve">-19 </w:t>
            </w:r>
            <w:r w:rsidRPr="000C2022">
              <w:rPr>
                <w:sz w:val="26"/>
                <w:szCs w:val="26"/>
              </w:rPr>
              <w:t xml:space="preserve">pandēmijas laikā, īpaša uzmanība jāpievērš epidemioloģiskajai drošībai ārstniecības iestādē, tai skaitā, jānodala stacionārās un ambulatorās pacientu plūsmas, jāparedz plašākas telpas un ilgāks laiks pakalpojuma sniegšanai, kā arī jānodrošina dezinfekcija un individuālo aizsardzības līdzekļu pieejamība ārstniecības iestādēs. </w:t>
            </w:r>
          </w:p>
          <w:p w14:paraId="36D7409B" w14:textId="77777777" w:rsidR="00CA7F2E" w:rsidRDefault="00CA7F2E" w:rsidP="00495126">
            <w:pPr>
              <w:ind w:firstLine="311"/>
              <w:jc w:val="both"/>
              <w:rPr>
                <w:rFonts w:eastAsia="Calibri"/>
                <w:sz w:val="26"/>
                <w:szCs w:val="26"/>
                <w:lang w:eastAsia="en-US"/>
              </w:rPr>
            </w:pPr>
          </w:p>
          <w:p w14:paraId="49AA0077" w14:textId="73C3BA84" w:rsidR="00EB5477" w:rsidRPr="00A71967" w:rsidRDefault="00EB5477" w:rsidP="00495126">
            <w:pPr>
              <w:ind w:firstLine="311"/>
              <w:jc w:val="both"/>
              <w:rPr>
                <w:rFonts w:eastAsia="Calibri"/>
                <w:sz w:val="26"/>
                <w:szCs w:val="26"/>
                <w:lang w:eastAsia="en-US"/>
              </w:rPr>
            </w:pPr>
            <w:r w:rsidRPr="00A71967">
              <w:rPr>
                <w:rFonts w:eastAsia="Calibri"/>
                <w:sz w:val="26"/>
                <w:szCs w:val="26"/>
                <w:lang w:eastAsia="en-US"/>
              </w:rPr>
              <w:t>Publisko resursu ieguldījums valsts apmaksāto veselības aprūpes pakalpojumu nodrošināšanai tiks sniegts ievērojot Eiropas Komisijas 2011.</w:t>
            </w:r>
            <w:r w:rsidR="00845908" w:rsidRPr="00A71967">
              <w:rPr>
                <w:rFonts w:eastAsia="Calibri"/>
                <w:sz w:val="26"/>
                <w:szCs w:val="26"/>
                <w:lang w:eastAsia="en-US"/>
              </w:rPr>
              <w:t> </w:t>
            </w:r>
            <w:r w:rsidRPr="00A71967">
              <w:rPr>
                <w:rFonts w:eastAsia="Calibri"/>
                <w:sz w:val="26"/>
                <w:szCs w:val="26"/>
                <w:lang w:eastAsia="en-US"/>
              </w:rPr>
              <w:t>gada 20.</w:t>
            </w:r>
            <w:r w:rsidR="00845908" w:rsidRPr="00A71967">
              <w:rPr>
                <w:rFonts w:eastAsia="Calibri"/>
                <w:sz w:val="26"/>
                <w:szCs w:val="26"/>
                <w:lang w:eastAsia="en-US"/>
              </w:rPr>
              <w:t> </w:t>
            </w:r>
            <w:r w:rsidRPr="00A71967">
              <w:rPr>
                <w:rFonts w:eastAsia="Calibri"/>
                <w:sz w:val="26"/>
                <w:szCs w:val="26"/>
                <w:lang w:eastAsia="en-US"/>
              </w:rPr>
              <w:t>decembra lēmuma “Par Līguma par Eiropas Savienības darbību 106.</w:t>
            </w:r>
            <w:r w:rsidR="00845908" w:rsidRPr="00A71967">
              <w:rPr>
                <w:rFonts w:eastAsia="Calibri"/>
                <w:sz w:val="26"/>
                <w:szCs w:val="26"/>
                <w:lang w:eastAsia="en-US"/>
              </w:rPr>
              <w:t> </w:t>
            </w:r>
            <w:r w:rsidRPr="00A71967">
              <w:rPr>
                <w:rFonts w:eastAsia="Calibri"/>
                <w:sz w:val="26"/>
                <w:szCs w:val="26"/>
                <w:lang w:eastAsia="en-US"/>
              </w:rPr>
              <w:t>panta 2.</w:t>
            </w:r>
            <w:r w:rsidR="00845908" w:rsidRPr="00A71967">
              <w:rPr>
                <w:rFonts w:eastAsia="Calibri"/>
                <w:sz w:val="26"/>
                <w:szCs w:val="26"/>
                <w:lang w:eastAsia="en-US"/>
              </w:rPr>
              <w:t> </w:t>
            </w:r>
            <w:r w:rsidRPr="00A71967">
              <w:rPr>
                <w:rFonts w:eastAsia="Calibri"/>
                <w:sz w:val="26"/>
                <w:szCs w:val="26"/>
                <w:lang w:eastAsia="en-US"/>
              </w:rPr>
              <w:t>punkta piemērošanu valsts atbalstam attiecībā uz kompensāciju par sabiedriskajiem pakalpojumiem dažiem uzņēmumiem, kuriem uzticēts sniegt pakalpojumus ar vispārēju tautsaimniecisku nozīmi” (2012/21/ES) nosacījumus.</w:t>
            </w:r>
          </w:p>
        </w:tc>
      </w:tr>
      <w:tr w:rsidR="00C75EAE" w:rsidRPr="00A71967" w14:paraId="51C52D1F" w14:textId="77777777" w:rsidTr="00391B6A">
        <w:tc>
          <w:tcPr>
            <w:tcW w:w="568" w:type="dxa"/>
          </w:tcPr>
          <w:p w14:paraId="5B783968" w14:textId="77777777" w:rsidR="00130487" w:rsidRPr="00A71967" w:rsidRDefault="001304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lastRenderedPageBreak/>
              <w:t>3.</w:t>
            </w:r>
          </w:p>
        </w:tc>
        <w:tc>
          <w:tcPr>
            <w:tcW w:w="1559" w:type="dxa"/>
          </w:tcPr>
          <w:p w14:paraId="2E3F43DE" w14:textId="77777777" w:rsidR="00130487" w:rsidRPr="00A71967" w:rsidRDefault="00130487"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 xml:space="preserve">Projekta izstrādē iesaistītās institūcijas un publiskas personas </w:t>
            </w:r>
            <w:r w:rsidRPr="00A71967">
              <w:rPr>
                <w:rFonts w:ascii="Times New Roman" w:hAnsi="Times New Roman" w:cs="Times New Roman"/>
                <w:iCs/>
                <w:sz w:val="26"/>
                <w:szCs w:val="26"/>
                <w:lang w:eastAsia="lv-LV"/>
              </w:rPr>
              <w:lastRenderedPageBreak/>
              <w:t>kapitālsabiedrības</w:t>
            </w:r>
          </w:p>
        </w:tc>
        <w:tc>
          <w:tcPr>
            <w:tcW w:w="7087" w:type="dxa"/>
          </w:tcPr>
          <w:p w14:paraId="4C1B6381" w14:textId="6EC31321" w:rsidR="00130487" w:rsidRPr="00A71967" w:rsidRDefault="0079260F" w:rsidP="00495126">
            <w:pPr>
              <w:pStyle w:val="NoSpacing"/>
              <w:jc w:val="both"/>
              <w:rPr>
                <w:rFonts w:ascii="Times New Roman" w:hAnsi="Times New Roman" w:cs="Times New Roman"/>
                <w:sz w:val="26"/>
                <w:szCs w:val="26"/>
                <w:lang w:eastAsia="lv-LV"/>
              </w:rPr>
            </w:pPr>
            <w:r w:rsidRPr="00A71967">
              <w:rPr>
                <w:rFonts w:ascii="Times New Roman" w:hAnsi="Times New Roman" w:cs="Times New Roman"/>
                <w:sz w:val="26"/>
                <w:szCs w:val="26"/>
                <w:lang w:eastAsia="lv-LV"/>
              </w:rPr>
              <w:lastRenderedPageBreak/>
              <w:t>Veselības ministrija</w:t>
            </w:r>
          </w:p>
        </w:tc>
      </w:tr>
      <w:tr w:rsidR="00C75EAE" w:rsidRPr="00A71967" w14:paraId="3526CC2F" w14:textId="77777777" w:rsidTr="00391B6A">
        <w:tc>
          <w:tcPr>
            <w:tcW w:w="568" w:type="dxa"/>
          </w:tcPr>
          <w:p w14:paraId="1460CF43" w14:textId="77777777" w:rsidR="00130487" w:rsidRPr="00A71967" w:rsidRDefault="001304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4.</w:t>
            </w:r>
          </w:p>
        </w:tc>
        <w:tc>
          <w:tcPr>
            <w:tcW w:w="1559" w:type="dxa"/>
          </w:tcPr>
          <w:p w14:paraId="60FBFE60" w14:textId="77777777" w:rsidR="00130487" w:rsidRPr="00A71967" w:rsidRDefault="00130487"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Cita informācija</w:t>
            </w:r>
          </w:p>
        </w:tc>
        <w:tc>
          <w:tcPr>
            <w:tcW w:w="7087" w:type="dxa"/>
          </w:tcPr>
          <w:p w14:paraId="3E5A9C31" w14:textId="77777777" w:rsidR="00130487" w:rsidRPr="00A71967" w:rsidRDefault="000777EE" w:rsidP="00495126">
            <w:pPr>
              <w:pStyle w:val="NoSpacing"/>
              <w:jc w:val="both"/>
              <w:rPr>
                <w:rFonts w:ascii="Times New Roman" w:hAnsi="Times New Roman" w:cs="Times New Roman"/>
                <w:sz w:val="26"/>
                <w:szCs w:val="26"/>
                <w:lang w:eastAsia="lv-LV"/>
              </w:rPr>
            </w:pPr>
            <w:r w:rsidRPr="00A71967">
              <w:rPr>
                <w:rFonts w:ascii="Times New Roman" w:hAnsi="Times New Roman" w:cs="Times New Roman"/>
                <w:sz w:val="26"/>
                <w:szCs w:val="26"/>
                <w:lang w:eastAsia="lv-LV"/>
              </w:rPr>
              <w:t>Nav.</w:t>
            </w:r>
          </w:p>
        </w:tc>
      </w:tr>
    </w:tbl>
    <w:p w14:paraId="2C73EC62" w14:textId="77777777" w:rsidR="00EC6E12" w:rsidRPr="00A71967" w:rsidRDefault="00EC6E12" w:rsidP="00495126">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C75EAE" w:rsidRPr="00A71967" w14:paraId="1ACEB090" w14:textId="77777777" w:rsidTr="00AE7E7D">
        <w:tc>
          <w:tcPr>
            <w:tcW w:w="9214" w:type="dxa"/>
          </w:tcPr>
          <w:p w14:paraId="7640461D" w14:textId="77777777" w:rsidR="00EC6E12" w:rsidRPr="00A71967" w:rsidRDefault="00842AD1" w:rsidP="00495126">
            <w:pPr>
              <w:pStyle w:val="NoSpacing"/>
              <w:jc w:val="center"/>
              <w:rPr>
                <w:rFonts w:ascii="Times New Roman" w:hAnsi="Times New Roman" w:cs="Times New Roman"/>
                <w:b/>
                <w:sz w:val="26"/>
                <w:szCs w:val="26"/>
                <w:lang w:eastAsia="lv-LV"/>
              </w:rPr>
            </w:pPr>
            <w:r w:rsidRPr="00A71967">
              <w:rPr>
                <w:rFonts w:ascii="Times New Roman" w:hAnsi="Times New Roman" w:cs="Times New Roman"/>
                <w:b/>
                <w:iCs/>
                <w:sz w:val="26"/>
                <w:szCs w:val="26"/>
                <w:lang w:eastAsia="lv-LV"/>
              </w:rPr>
              <w:t>II. Tiesību akta projekta ietekme uz sabiedrību, tautsaimniecības attīstību un administratīvo slogu</w:t>
            </w:r>
          </w:p>
        </w:tc>
      </w:tr>
      <w:tr w:rsidR="00C75EAE" w:rsidRPr="00A71967" w14:paraId="01839082" w14:textId="77777777" w:rsidTr="00AE7E7D">
        <w:tc>
          <w:tcPr>
            <w:tcW w:w="9214" w:type="dxa"/>
          </w:tcPr>
          <w:p w14:paraId="065838B1" w14:textId="77777777" w:rsidR="00155578" w:rsidRPr="00A71967" w:rsidRDefault="00155578" w:rsidP="00495126">
            <w:pPr>
              <w:pStyle w:val="NoSpacing"/>
              <w:jc w:val="center"/>
              <w:rPr>
                <w:rFonts w:ascii="Times New Roman" w:hAnsi="Times New Roman" w:cs="Times New Roman"/>
                <w:b/>
                <w:iCs/>
                <w:sz w:val="26"/>
                <w:szCs w:val="26"/>
                <w:lang w:eastAsia="lv-LV"/>
              </w:rPr>
            </w:pPr>
            <w:r w:rsidRPr="00A71967">
              <w:rPr>
                <w:rFonts w:ascii="Times New Roman" w:hAnsi="Times New Roman" w:cs="Times New Roman"/>
                <w:sz w:val="26"/>
                <w:szCs w:val="26"/>
              </w:rPr>
              <w:t>Projekts šo jomu neskar</w:t>
            </w:r>
          </w:p>
        </w:tc>
      </w:tr>
    </w:tbl>
    <w:p w14:paraId="71292288" w14:textId="77777777" w:rsidR="0032092E" w:rsidRPr="00A71967" w:rsidRDefault="00E5323B"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 xml:space="preserve">  </w:t>
      </w:r>
    </w:p>
    <w:tbl>
      <w:tblPr>
        <w:tblStyle w:val="TableGrid1"/>
        <w:tblW w:w="9214" w:type="dxa"/>
        <w:tblInd w:w="-147" w:type="dxa"/>
        <w:tblLayout w:type="fixed"/>
        <w:tblLook w:val="04A0" w:firstRow="1" w:lastRow="0" w:firstColumn="1" w:lastColumn="0" w:noHBand="0" w:noVBand="1"/>
      </w:tblPr>
      <w:tblGrid>
        <w:gridCol w:w="1702"/>
        <w:gridCol w:w="850"/>
        <w:gridCol w:w="1268"/>
        <w:gridCol w:w="10"/>
        <w:gridCol w:w="1132"/>
        <w:gridCol w:w="1275"/>
        <w:gridCol w:w="10"/>
        <w:gridCol w:w="841"/>
        <w:gridCol w:w="993"/>
        <w:gridCol w:w="17"/>
        <w:gridCol w:w="1116"/>
      </w:tblGrid>
      <w:tr w:rsidR="00C75EAE" w:rsidRPr="00A71967" w14:paraId="7D781F37" w14:textId="77777777" w:rsidTr="000D4A3B">
        <w:tc>
          <w:tcPr>
            <w:tcW w:w="9214" w:type="dxa"/>
            <w:gridSpan w:val="11"/>
          </w:tcPr>
          <w:p w14:paraId="521EAA4D" w14:textId="77777777" w:rsidR="0032092E" w:rsidRPr="00A71967" w:rsidRDefault="0032092E" w:rsidP="00495126">
            <w:pPr>
              <w:pStyle w:val="NoSpacing"/>
              <w:jc w:val="center"/>
              <w:rPr>
                <w:rFonts w:ascii="Times New Roman" w:hAnsi="Times New Roman" w:cs="Times New Roman"/>
                <w:b/>
                <w:iCs/>
                <w:sz w:val="24"/>
                <w:szCs w:val="24"/>
                <w:lang w:eastAsia="lv-LV"/>
              </w:rPr>
            </w:pPr>
            <w:r w:rsidRPr="00A71967">
              <w:rPr>
                <w:rFonts w:ascii="Times New Roman" w:hAnsi="Times New Roman" w:cs="Times New Roman"/>
                <w:b/>
                <w:iCs/>
                <w:sz w:val="24"/>
                <w:szCs w:val="24"/>
                <w:lang w:eastAsia="lv-LV"/>
              </w:rPr>
              <w:t>III. Tiesību akta projekta ietekme uz valsts budžetu un pašvaldību budžetiem</w:t>
            </w:r>
          </w:p>
        </w:tc>
      </w:tr>
      <w:tr w:rsidR="00C75EAE" w:rsidRPr="00A71967" w14:paraId="1DE4A8F9" w14:textId="77777777" w:rsidTr="000D4A3B">
        <w:tc>
          <w:tcPr>
            <w:tcW w:w="1702" w:type="dxa"/>
            <w:vMerge w:val="restart"/>
          </w:tcPr>
          <w:p w14:paraId="0452799E"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Rādītāji</w:t>
            </w:r>
          </w:p>
        </w:tc>
        <w:tc>
          <w:tcPr>
            <w:tcW w:w="2128" w:type="dxa"/>
            <w:gridSpan w:val="3"/>
            <w:vMerge w:val="restart"/>
          </w:tcPr>
          <w:p w14:paraId="6B1066F5" w14:textId="01350576"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202</w:t>
            </w:r>
            <w:r w:rsidR="00F10753" w:rsidRPr="00A71967">
              <w:rPr>
                <w:rFonts w:ascii="Times New Roman" w:hAnsi="Times New Roman" w:cs="Times New Roman"/>
                <w:iCs/>
                <w:sz w:val="24"/>
                <w:szCs w:val="24"/>
                <w:lang w:eastAsia="lv-LV"/>
              </w:rPr>
              <w:t>1</w:t>
            </w:r>
            <w:r w:rsidRPr="00A71967">
              <w:rPr>
                <w:rFonts w:ascii="Times New Roman" w:hAnsi="Times New Roman" w:cs="Times New Roman"/>
                <w:iCs/>
                <w:sz w:val="24"/>
                <w:szCs w:val="24"/>
                <w:lang w:eastAsia="lv-LV"/>
              </w:rPr>
              <w:t>. gads</w:t>
            </w:r>
          </w:p>
        </w:tc>
        <w:tc>
          <w:tcPr>
            <w:tcW w:w="5384" w:type="dxa"/>
            <w:gridSpan w:val="7"/>
          </w:tcPr>
          <w:p w14:paraId="6F4AA68F"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Turpmākie trīs gadi (</w:t>
            </w:r>
            <w:r w:rsidRPr="00A71967">
              <w:rPr>
                <w:rFonts w:ascii="Times New Roman" w:hAnsi="Times New Roman" w:cs="Times New Roman"/>
                <w:i/>
                <w:iCs/>
                <w:sz w:val="24"/>
                <w:szCs w:val="24"/>
                <w:lang w:eastAsia="lv-LV"/>
              </w:rPr>
              <w:t>euro</w:t>
            </w:r>
            <w:r w:rsidRPr="00A71967">
              <w:rPr>
                <w:rFonts w:ascii="Times New Roman" w:hAnsi="Times New Roman" w:cs="Times New Roman"/>
                <w:iCs/>
                <w:sz w:val="24"/>
                <w:szCs w:val="24"/>
                <w:lang w:eastAsia="lv-LV"/>
              </w:rPr>
              <w:t>)</w:t>
            </w:r>
          </w:p>
        </w:tc>
      </w:tr>
      <w:tr w:rsidR="00C75EAE" w:rsidRPr="00A71967" w14:paraId="77F2336B" w14:textId="77777777" w:rsidTr="000D4A3B">
        <w:tc>
          <w:tcPr>
            <w:tcW w:w="1702" w:type="dxa"/>
            <w:vMerge/>
          </w:tcPr>
          <w:p w14:paraId="68331705" w14:textId="77777777" w:rsidR="0032092E" w:rsidRPr="00A71967" w:rsidRDefault="0032092E" w:rsidP="00495126">
            <w:pPr>
              <w:pStyle w:val="NoSpacing"/>
              <w:rPr>
                <w:rFonts w:ascii="Times New Roman" w:hAnsi="Times New Roman" w:cs="Times New Roman"/>
                <w:iCs/>
                <w:sz w:val="24"/>
                <w:szCs w:val="24"/>
                <w:lang w:eastAsia="lv-LV"/>
              </w:rPr>
            </w:pPr>
          </w:p>
        </w:tc>
        <w:tc>
          <w:tcPr>
            <w:tcW w:w="2128" w:type="dxa"/>
            <w:gridSpan w:val="3"/>
            <w:vMerge/>
          </w:tcPr>
          <w:p w14:paraId="0B070E5C" w14:textId="77777777" w:rsidR="0032092E" w:rsidRPr="00A71967" w:rsidRDefault="0032092E" w:rsidP="00495126">
            <w:pPr>
              <w:pStyle w:val="NoSpacing"/>
              <w:rPr>
                <w:rFonts w:ascii="Times New Roman" w:hAnsi="Times New Roman" w:cs="Times New Roman"/>
                <w:iCs/>
                <w:sz w:val="24"/>
                <w:szCs w:val="24"/>
                <w:lang w:eastAsia="lv-LV"/>
              </w:rPr>
            </w:pPr>
          </w:p>
        </w:tc>
        <w:tc>
          <w:tcPr>
            <w:tcW w:w="2417" w:type="dxa"/>
            <w:gridSpan w:val="3"/>
          </w:tcPr>
          <w:p w14:paraId="28BE9659" w14:textId="4C65CD18"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202</w:t>
            </w:r>
            <w:r w:rsidR="00F10753" w:rsidRPr="00A71967">
              <w:rPr>
                <w:rFonts w:ascii="Times New Roman" w:hAnsi="Times New Roman" w:cs="Times New Roman"/>
                <w:iCs/>
                <w:sz w:val="24"/>
                <w:szCs w:val="24"/>
                <w:lang w:eastAsia="lv-LV"/>
              </w:rPr>
              <w:t>2</w:t>
            </w:r>
            <w:r w:rsidRPr="00A71967">
              <w:rPr>
                <w:rFonts w:ascii="Times New Roman" w:hAnsi="Times New Roman" w:cs="Times New Roman"/>
                <w:iCs/>
                <w:sz w:val="24"/>
                <w:szCs w:val="24"/>
                <w:lang w:eastAsia="lv-LV"/>
              </w:rPr>
              <w:t>. gads</w:t>
            </w:r>
          </w:p>
        </w:tc>
        <w:tc>
          <w:tcPr>
            <w:tcW w:w="1851" w:type="dxa"/>
            <w:gridSpan w:val="3"/>
          </w:tcPr>
          <w:p w14:paraId="329A8D47" w14:textId="7AA483B8"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202</w:t>
            </w:r>
            <w:r w:rsidR="00F10753" w:rsidRPr="00A71967">
              <w:rPr>
                <w:rFonts w:ascii="Times New Roman" w:hAnsi="Times New Roman" w:cs="Times New Roman"/>
                <w:iCs/>
                <w:sz w:val="24"/>
                <w:szCs w:val="24"/>
                <w:lang w:eastAsia="lv-LV"/>
              </w:rPr>
              <w:t>3</w:t>
            </w:r>
            <w:r w:rsidRPr="00A71967">
              <w:rPr>
                <w:rFonts w:ascii="Times New Roman" w:hAnsi="Times New Roman" w:cs="Times New Roman"/>
                <w:iCs/>
                <w:sz w:val="24"/>
                <w:szCs w:val="24"/>
                <w:lang w:eastAsia="lv-LV"/>
              </w:rPr>
              <w:t>. gads</w:t>
            </w:r>
          </w:p>
        </w:tc>
        <w:tc>
          <w:tcPr>
            <w:tcW w:w="1116" w:type="dxa"/>
          </w:tcPr>
          <w:p w14:paraId="6E2AB86E" w14:textId="7AD8521A"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20</w:t>
            </w:r>
            <w:r w:rsidR="00F10753" w:rsidRPr="00A71967">
              <w:rPr>
                <w:rFonts w:ascii="Times New Roman" w:hAnsi="Times New Roman" w:cs="Times New Roman"/>
                <w:iCs/>
                <w:sz w:val="24"/>
                <w:szCs w:val="24"/>
                <w:lang w:eastAsia="lv-LV"/>
              </w:rPr>
              <w:t>24</w:t>
            </w:r>
            <w:r w:rsidRPr="00A71967">
              <w:rPr>
                <w:rFonts w:ascii="Times New Roman" w:hAnsi="Times New Roman" w:cs="Times New Roman"/>
                <w:iCs/>
                <w:sz w:val="24"/>
                <w:szCs w:val="24"/>
                <w:lang w:eastAsia="lv-LV"/>
              </w:rPr>
              <w:t>. gads</w:t>
            </w:r>
          </w:p>
        </w:tc>
      </w:tr>
      <w:tr w:rsidR="00C75EAE" w:rsidRPr="00A71967" w14:paraId="7FFE7B87" w14:textId="77777777" w:rsidTr="000D4A3B">
        <w:tc>
          <w:tcPr>
            <w:tcW w:w="1702" w:type="dxa"/>
            <w:vMerge/>
          </w:tcPr>
          <w:p w14:paraId="21AB7999" w14:textId="77777777" w:rsidR="0032092E" w:rsidRPr="00A71967" w:rsidRDefault="0032092E" w:rsidP="00495126">
            <w:pPr>
              <w:pStyle w:val="NoSpacing"/>
              <w:rPr>
                <w:rFonts w:ascii="Times New Roman" w:hAnsi="Times New Roman" w:cs="Times New Roman"/>
                <w:iCs/>
                <w:sz w:val="24"/>
                <w:szCs w:val="24"/>
                <w:lang w:eastAsia="lv-LV"/>
              </w:rPr>
            </w:pPr>
          </w:p>
        </w:tc>
        <w:tc>
          <w:tcPr>
            <w:tcW w:w="850" w:type="dxa"/>
          </w:tcPr>
          <w:p w14:paraId="4A64A172"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saskaņā ar valsts budžetu kārtējam gadam</w:t>
            </w:r>
          </w:p>
        </w:tc>
        <w:tc>
          <w:tcPr>
            <w:tcW w:w="1268" w:type="dxa"/>
          </w:tcPr>
          <w:p w14:paraId="11927B77"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izmaiņas kārtējā gadā, salīdzinot ar valsts budžetu kārtējam gadam</w:t>
            </w:r>
          </w:p>
        </w:tc>
        <w:tc>
          <w:tcPr>
            <w:tcW w:w="1142" w:type="dxa"/>
            <w:gridSpan w:val="2"/>
          </w:tcPr>
          <w:p w14:paraId="3B975108"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saskaņā ar vidēja termiņa budžeta ietvaru</w:t>
            </w:r>
          </w:p>
        </w:tc>
        <w:tc>
          <w:tcPr>
            <w:tcW w:w="1275" w:type="dxa"/>
          </w:tcPr>
          <w:p w14:paraId="75B2BA07" w14:textId="4137E2BF" w:rsidR="0032092E" w:rsidRPr="00A71967" w:rsidRDefault="0032092E" w:rsidP="003B6838">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izmaiņas, salīdzinot ar vidēja termiņa budžeta ietvaru 202</w:t>
            </w:r>
            <w:r w:rsidR="00F53F86" w:rsidRPr="00A71967">
              <w:rPr>
                <w:rFonts w:ascii="Times New Roman" w:hAnsi="Times New Roman" w:cs="Times New Roman"/>
                <w:iCs/>
                <w:sz w:val="24"/>
                <w:szCs w:val="24"/>
                <w:lang w:eastAsia="lv-LV"/>
              </w:rPr>
              <w:t>2</w:t>
            </w:r>
            <w:r w:rsidRPr="00A71967">
              <w:rPr>
                <w:rFonts w:ascii="Times New Roman" w:hAnsi="Times New Roman" w:cs="Times New Roman"/>
                <w:iCs/>
                <w:sz w:val="24"/>
                <w:szCs w:val="24"/>
                <w:lang w:eastAsia="lv-LV"/>
              </w:rPr>
              <w:t>. gadam</w:t>
            </w:r>
          </w:p>
        </w:tc>
        <w:tc>
          <w:tcPr>
            <w:tcW w:w="851" w:type="dxa"/>
            <w:gridSpan w:val="2"/>
          </w:tcPr>
          <w:p w14:paraId="75986F43" w14:textId="77777777" w:rsidR="00AE6BD9"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saskaņā ar vidēja termiņa budžet</w:t>
            </w:r>
          </w:p>
          <w:p w14:paraId="64979EAB" w14:textId="5235D0CF"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a ietvaru</w:t>
            </w:r>
          </w:p>
        </w:tc>
        <w:tc>
          <w:tcPr>
            <w:tcW w:w="993" w:type="dxa"/>
          </w:tcPr>
          <w:p w14:paraId="27AEF757"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izmai-</w:t>
            </w:r>
          </w:p>
          <w:p w14:paraId="7E5389B0"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ņas, salīdzi-</w:t>
            </w:r>
          </w:p>
          <w:p w14:paraId="65D610E8" w14:textId="22C5C60C"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not ar vidēja termiņa budžeta ietvaru 202</w:t>
            </w:r>
            <w:r w:rsidR="00F53F86" w:rsidRPr="00A71967">
              <w:rPr>
                <w:rFonts w:ascii="Times New Roman" w:hAnsi="Times New Roman" w:cs="Times New Roman"/>
                <w:iCs/>
                <w:sz w:val="24"/>
                <w:szCs w:val="24"/>
                <w:lang w:eastAsia="lv-LV"/>
              </w:rPr>
              <w:t>3</w:t>
            </w:r>
            <w:r w:rsidRPr="00A71967">
              <w:rPr>
                <w:rFonts w:ascii="Times New Roman" w:hAnsi="Times New Roman" w:cs="Times New Roman"/>
                <w:iCs/>
                <w:sz w:val="24"/>
                <w:szCs w:val="24"/>
                <w:lang w:eastAsia="lv-LV"/>
              </w:rPr>
              <w:t>. gadam</w:t>
            </w:r>
          </w:p>
        </w:tc>
        <w:tc>
          <w:tcPr>
            <w:tcW w:w="1133" w:type="dxa"/>
            <w:gridSpan w:val="2"/>
          </w:tcPr>
          <w:p w14:paraId="60538ABE" w14:textId="1B9A9E7D"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izmaiņas, salīdzino</w:t>
            </w:r>
            <w:r w:rsidR="00E5230B" w:rsidRPr="00A71967">
              <w:rPr>
                <w:rFonts w:ascii="Times New Roman" w:hAnsi="Times New Roman" w:cs="Times New Roman"/>
                <w:iCs/>
                <w:sz w:val="24"/>
                <w:szCs w:val="24"/>
                <w:lang w:eastAsia="lv-LV"/>
              </w:rPr>
              <w:t>t</w:t>
            </w:r>
            <w:r w:rsidRPr="00A71967">
              <w:rPr>
                <w:rFonts w:ascii="Times New Roman" w:hAnsi="Times New Roman" w:cs="Times New Roman"/>
                <w:iCs/>
                <w:sz w:val="24"/>
                <w:szCs w:val="24"/>
                <w:lang w:eastAsia="lv-LV"/>
              </w:rPr>
              <w:t xml:space="preserve"> ar vidēja termiņa budžeta ietvaru 202</w:t>
            </w:r>
            <w:r w:rsidR="001D6E26" w:rsidRPr="00A71967">
              <w:rPr>
                <w:rFonts w:ascii="Times New Roman" w:hAnsi="Times New Roman" w:cs="Times New Roman"/>
                <w:iCs/>
                <w:sz w:val="24"/>
                <w:szCs w:val="24"/>
                <w:lang w:eastAsia="lv-LV"/>
              </w:rPr>
              <w:t>3</w:t>
            </w:r>
            <w:r w:rsidRPr="00A71967">
              <w:rPr>
                <w:rFonts w:ascii="Times New Roman" w:hAnsi="Times New Roman" w:cs="Times New Roman"/>
                <w:iCs/>
                <w:sz w:val="24"/>
                <w:szCs w:val="24"/>
                <w:lang w:eastAsia="lv-LV"/>
              </w:rPr>
              <w:t>. gadam</w:t>
            </w:r>
          </w:p>
        </w:tc>
      </w:tr>
      <w:tr w:rsidR="00C75EAE" w:rsidRPr="00A71967" w14:paraId="5DACF149" w14:textId="77777777" w:rsidTr="000D4A3B">
        <w:tc>
          <w:tcPr>
            <w:tcW w:w="1702" w:type="dxa"/>
            <w:vAlign w:val="center"/>
          </w:tcPr>
          <w:p w14:paraId="60D5E872"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1</w:t>
            </w:r>
          </w:p>
        </w:tc>
        <w:tc>
          <w:tcPr>
            <w:tcW w:w="850" w:type="dxa"/>
            <w:vAlign w:val="center"/>
          </w:tcPr>
          <w:p w14:paraId="094347BE"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w:t>
            </w:r>
          </w:p>
        </w:tc>
        <w:tc>
          <w:tcPr>
            <w:tcW w:w="1268" w:type="dxa"/>
            <w:vAlign w:val="center"/>
          </w:tcPr>
          <w:p w14:paraId="7523EDD5"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3</w:t>
            </w:r>
          </w:p>
        </w:tc>
        <w:tc>
          <w:tcPr>
            <w:tcW w:w="1142" w:type="dxa"/>
            <w:gridSpan w:val="2"/>
            <w:vAlign w:val="center"/>
          </w:tcPr>
          <w:p w14:paraId="7E67EBDA"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4</w:t>
            </w:r>
          </w:p>
        </w:tc>
        <w:tc>
          <w:tcPr>
            <w:tcW w:w="1275" w:type="dxa"/>
            <w:vAlign w:val="center"/>
          </w:tcPr>
          <w:p w14:paraId="73D0048D"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5</w:t>
            </w:r>
          </w:p>
        </w:tc>
        <w:tc>
          <w:tcPr>
            <w:tcW w:w="851" w:type="dxa"/>
            <w:gridSpan w:val="2"/>
            <w:vAlign w:val="center"/>
          </w:tcPr>
          <w:p w14:paraId="0E4B86E4"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6</w:t>
            </w:r>
          </w:p>
        </w:tc>
        <w:tc>
          <w:tcPr>
            <w:tcW w:w="993" w:type="dxa"/>
            <w:vAlign w:val="center"/>
          </w:tcPr>
          <w:p w14:paraId="0282A170"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7</w:t>
            </w:r>
          </w:p>
        </w:tc>
        <w:tc>
          <w:tcPr>
            <w:tcW w:w="1133" w:type="dxa"/>
            <w:gridSpan w:val="2"/>
            <w:vAlign w:val="center"/>
          </w:tcPr>
          <w:p w14:paraId="6877F989" w14:textId="77777777" w:rsidR="0032092E" w:rsidRPr="00A71967" w:rsidRDefault="0032092E"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8</w:t>
            </w:r>
          </w:p>
        </w:tc>
      </w:tr>
      <w:tr w:rsidR="00C75EAE" w:rsidRPr="00A71967" w14:paraId="09B3AC08" w14:textId="77777777" w:rsidTr="000D4A3B">
        <w:tc>
          <w:tcPr>
            <w:tcW w:w="1702" w:type="dxa"/>
            <w:vAlign w:val="center"/>
          </w:tcPr>
          <w:p w14:paraId="4EB1594E"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1. Budžeta ieņēmumi</w:t>
            </w:r>
          </w:p>
        </w:tc>
        <w:tc>
          <w:tcPr>
            <w:tcW w:w="850" w:type="dxa"/>
            <w:vAlign w:val="center"/>
          </w:tcPr>
          <w:p w14:paraId="04BBF2BC"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vAlign w:val="center"/>
          </w:tcPr>
          <w:p w14:paraId="395BD144"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1277F5AC"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1F188467"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0A9C30BF"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2506D43F"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12094BF5"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22335CE7" w14:textId="77777777" w:rsidTr="000D4A3B">
        <w:tc>
          <w:tcPr>
            <w:tcW w:w="1702" w:type="dxa"/>
            <w:vAlign w:val="center"/>
          </w:tcPr>
          <w:p w14:paraId="4CDB60F5"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1.1. valsts pamatbudžets, tai skaitā ieņēmumi no maksas pakalpojumiem un citi pašu ieņēmumi</w:t>
            </w:r>
          </w:p>
        </w:tc>
        <w:tc>
          <w:tcPr>
            <w:tcW w:w="850" w:type="dxa"/>
            <w:vAlign w:val="center"/>
          </w:tcPr>
          <w:p w14:paraId="17237DBC"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vAlign w:val="center"/>
          </w:tcPr>
          <w:p w14:paraId="479B49E5"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2B6EC3AA"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535512B2"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01BB0A83"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7F8F00E1"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2C21A7E9"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2019B837" w14:textId="77777777" w:rsidTr="000D4A3B">
        <w:tc>
          <w:tcPr>
            <w:tcW w:w="1702" w:type="dxa"/>
            <w:vAlign w:val="center"/>
          </w:tcPr>
          <w:p w14:paraId="277FD9CB"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1.2. valsts speciālais budžets</w:t>
            </w:r>
          </w:p>
        </w:tc>
        <w:tc>
          <w:tcPr>
            <w:tcW w:w="850" w:type="dxa"/>
            <w:vAlign w:val="center"/>
          </w:tcPr>
          <w:p w14:paraId="6ED30C59"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vAlign w:val="center"/>
          </w:tcPr>
          <w:p w14:paraId="318D96BD"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1FDC936C"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6C106A00"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4CBF850D"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6A6011B9"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0294C36C"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20E4786E" w14:textId="77777777" w:rsidTr="000D4A3B">
        <w:tc>
          <w:tcPr>
            <w:tcW w:w="1702" w:type="dxa"/>
            <w:vAlign w:val="center"/>
          </w:tcPr>
          <w:p w14:paraId="15BCCF61"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1.3. pašvaldību budžets</w:t>
            </w:r>
          </w:p>
        </w:tc>
        <w:tc>
          <w:tcPr>
            <w:tcW w:w="850" w:type="dxa"/>
            <w:vAlign w:val="center"/>
          </w:tcPr>
          <w:p w14:paraId="076C8BF7"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vAlign w:val="center"/>
          </w:tcPr>
          <w:p w14:paraId="6A424065"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0AAD4F57"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35C97E9E"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0E0B4E37"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62C44D26"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1FD09B59"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CE56A86" w14:textId="77777777" w:rsidTr="000D4A3B">
        <w:tc>
          <w:tcPr>
            <w:tcW w:w="1702" w:type="dxa"/>
            <w:vAlign w:val="center"/>
          </w:tcPr>
          <w:p w14:paraId="77ECD84B" w14:textId="77777777" w:rsidR="0032092E" w:rsidRPr="00A71967" w:rsidRDefault="0032092E" w:rsidP="00495126">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 Budžeta izdevumi</w:t>
            </w:r>
          </w:p>
        </w:tc>
        <w:tc>
          <w:tcPr>
            <w:tcW w:w="850" w:type="dxa"/>
          </w:tcPr>
          <w:p w14:paraId="5432A843" w14:textId="77777777" w:rsidR="0032092E" w:rsidRPr="00A71967" w:rsidRDefault="0032092E" w:rsidP="00495126">
            <w:pPr>
              <w:rPr>
                <w:sz w:val="22"/>
                <w:szCs w:val="22"/>
              </w:rPr>
            </w:pPr>
            <w:r w:rsidRPr="00A71967">
              <w:rPr>
                <w:iCs/>
                <w:sz w:val="22"/>
                <w:szCs w:val="22"/>
              </w:rPr>
              <w:t>0</w:t>
            </w:r>
          </w:p>
        </w:tc>
        <w:tc>
          <w:tcPr>
            <w:tcW w:w="1268" w:type="dxa"/>
            <w:shd w:val="clear" w:color="auto" w:fill="auto"/>
            <w:vAlign w:val="center"/>
          </w:tcPr>
          <w:p w14:paraId="366DE549" w14:textId="7D3E6B40" w:rsidR="0032092E" w:rsidRPr="00F47C8A" w:rsidRDefault="00CD6128" w:rsidP="00F47C8A">
            <w:pPr>
              <w:rPr>
                <w:sz w:val="22"/>
                <w:szCs w:val="22"/>
                <w:lang w:eastAsia="en-US"/>
              </w:rPr>
            </w:pPr>
            <w:r w:rsidRPr="00CD6128">
              <w:rPr>
                <w:sz w:val="22"/>
                <w:szCs w:val="22"/>
              </w:rPr>
              <w:t>1 946 132</w:t>
            </w:r>
          </w:p>
        </w:tc>
        <w:tc>
          <w:tcPr>
            <w:tcW w:w="1142" w:type="dxa"/>
            <w:gridSpan w:val="2"/>
            <w:vAlign w:val="center"/>
          </w:tcPr>
          <w:p w14:paraId="3101FE48" w14:textId="5770F789" w:rsidR="0032092E" w:rsidRPr="00F47C8A" w:rsidRDefault="00A5301C" w:rsidP="00495126">
            <w:pPr>
              <w:pStyle w:val="NoSpacing"/>
              <w:rPr>
                <w:rFonts w:ascii="Times New Roman" w:hAnsi="Times New Roman" w:cs="Times New Roman"/>
                <w:iCs/>
                <w:lang w:eastAsia="lv-LV"/>
              </w:rPr>
            </w:pPr>
            <w:r w:rsidRPr="00F47C8A">
              <w:rPr>
                <w:rFonts w:ascii="Times New Roman" w:hAnsi="Times New Roman" w:cs="Times New Roman"/>
                <w:iCs/>
                <w:lang w:eastAsia="lv-LV"/>
              </w:rPr>
              <w:t>0</w:t>
            </w:r>
          </w:p>
        </w:tc>
        <w:tc>
          <w:tcPr>
            <w:tcW w:w="1275" w:type="dxa"/>
            <w:vAlign w:val="center"/>
          </w:tcPr>
          <w:p w14:paraId="3484E50D" w14:textId="1A545B6E" w:rsidR="0032092E" w:rsidRPr="00F47C8A" w:rsidRDefault="001E2E0D" w:rsidP="00F47C8A">
            <w:pPr>
              <w:rPr>
                <w:iCs/>
                <w:sz w:val="22"/>
                <w:szCs w:val="22"/>
              </w:rPr>
            </w:pPr>
            <w:r w:rsidRPr="00A71967">
              <w:rPr>
                <w:iCs/>
              </w:rPr>
              <w:t>0</w:t>
            </w:r>
          </w:p>
        </w:tc>
        <w:tc>
          <w:tcPr>
            <w:tcW w:w="851" w:type="dxa"/>
            <w:gridSpan w:val="2"/>
            <w:vAlign w:val="center"/>
          </w:tcPr>
          <w:p w14:paraId="6953F5D8"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550B3C4E"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2B155833" w14:textId="77777777" w:rsidR="0032092E" w:rsidRPr="00A71967" w:rsidRDefault="0032092E" w:rsidP="00495126">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4152BD76" w14:textId="77777777" w:rsidTr="000D4A3B">
        <w:tc>
          <w:tcPr>
            <w:tcW w:w="1702" w:type="dxa"/>
            <w:vAlign w:val="center"/>
          </w:tcPr>
          <w:p w14:paraId="38349A41" w14:textId="77777777" w:rsidR="008E4B6C" w:rsidRPr="00A71967" w:rsidRDefault="008E4B6C" w:rsidP="008E4B6C">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2.1. valsts pamatbudžets</w:t>
            </w:r>
          </w:p>
        </w:tc>
        <w:tc>
          <w:tcPr>
            <w:tcW w:w="850" w:type="dxa"/>
          </w:tcPr>
          <w:p w14:paraId="550E87F4" w14:textId="77777777" w:rsidR="008E4B6C" w:rsidRPr="00A71967" w:rsidRDefault="008E4B6C" w:rsidP="008E4B6C">
            <w:pPr>
              <w:rPr>
                <w:sz w:val="22"/>
                <w:szCs w:val="22"/>
              </w:rPr>
            </w:pPr>
            <w:r w:rsidRPr="00A71967">
              <w:rPr>
                <w:iCs/>
                <w:sz w:val="22"/>
                <w:szCs w:val="22"/>
              </w:rPr>
              <w:t>0</w:t>
            </w:r>
          </w:p>
        </w:tc>
        <w:tc>
          <w:tcPr>
            <w:tcW w:w="1268" w:type="dxa"/>
            <w:shd w:val="clear" w:color="auto" w:fill="auto"/>
            <w:vAlign w:val="center"/>
          </w:tcPr>
          <w:p w14:paraId="29827B67" w14:textId="117E2FBD" w:rsidR="008E4B6C" w:rsidRPr="00A71967" w:rsidRDefault="00CD6128" w:rsidP="008E4B6C">
            <w:pPr>
              <w:pStyle w:val="NoSpacing"/>
              <w:rPr>
                <w:rFonts w:ascii="Times New Roman" w:hAnsi="Times New Roman" w:cs="Times New Roman"/>
                <w:iCs/>
                <w:lang w:eastAsia="lv-LV"/>
              </w:rPr>
            </w:pPr>
            <w:r w:rsidRPr="00CD6128">
              <w:rPr>
                <w:rFonts w:ascii="Times New Roman" w:hAnsi="Times New Roman" w:cs="Times New Roman"/>
                <w:iCs/>
              </w:rPr>
              <w:t>1 946 132</w:t>
            </w:r>
          </w:p>
        </w:tc>
        <w:tc>
          <w:tcPr>
            <w:tcW w:w="1142" w:type="dxa"/>
            <w:gridSpan w:val="2"/>
            <w:vAlign w:val="center"/>
          </w:tcPr>
          <w:p w14:paraId="0DC4D724" w14:textId="458B923E" w:rsidR="008E4B6C" w:rsidRPr="00A71967" w:rsidRDefault="00A5301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537E46CF" w14:textId="21BD5021" w:rsidR="008E4B6C" w:rsidRPr="00A71967" w:rsidRDefault="001E2E0D"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2E6F5F06"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019D2B45"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0591B17D"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290AD26C" w14:textId="77777777" w:rsidTr="000D4A3B">
        <w:tc>
          <w:tcPr>
            <w:tcW w:w="1702" w:type="dxa"/>
            <w:vAlign w:val="center"/>
          </w:tcPr>
          <w:p w14:paraId="1E3B2DEC"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2.2. valsts speciālais budžets</w:t>
            </w:r>
          </w:p>
        </w:tc>
        <w:tc>
          <w:tcPr>
            <w:tcW w:w="850" w:type="dxa"/>
            <w:vAlign w:val="center"/>
          </w:tcPr>
          <w:p w14:paraId="5F5D66FD"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1D44D0DA"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740D05F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32AB05F0"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660F91FD"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7E6093E3"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5A166AC4"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169D05C9" w14:textId="77777777" w:rsidTr="000D4A3B">
        <w:tc>
          <w:tcPr>
            <w:tcW w:w="1702" w:type="dxa"/>
            <w:vAlign w:val="center"/>
          </w:tcPr>
          <w:p w14:paraId="1F373E52"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2.3. pašvaldību budžets</w:t>
            </w:r>
          </w:p>
        </w:tc>
        <w:tc>
          <w:tcPr>
            <w:tcW w:w="850" w:type="dxa"/>
            <w:vAlign w:val="center"/>
          </w:tcPr>
          <w:p w14:paraId="255E9566"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38963A14"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763EEACD"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66C2BCFF"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57D96CA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4B2A6A0F"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3533930C"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D14FB83" w14:textId="77777777" w:rsidTr="000D4A3B">
        <w:tc>
          <w:tcPr>
            <w:tcW w:w="1702" w:type="dxa"/>
            <w:vAlign w:val="center"/>
          </w:tcPr>
          <w:p w14:paraId="20F39C01" w14:textId="77777777" w:rsidR="008E4B6C" w:rsidRPr="00A71967" w:rsidRDefault="008E4B6C" w:rsidP="008E4B6C">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3. Finansiālā ietekme</w:t>
            </w:r>
          </w:p>
        </w:tc>
        <w:tc>
          <w:tcPr>
            <w:tcW w:w="850" w:type="dxa"/>
            <w:vAlign w:val="center"/>
          </w:tcPr>
          <w:p w14:paraId="3CB49DBE"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78145185" w14:textId="27694CB8"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rPr>
              <w:t>-</w:t>
            </w:r>
            <w:r w:rsidR="00CD6128" w:rsidRPr="00CD6128">
              <w:rPr>
                <w:rFonts w:ascii="Times New Roman" w:hAnsi="Times New Roman" w:cs="Times New Roman"/>
                <w:iCs/>
              </w:rPr>
              <w:t>1 946 132</w:t>
            </w:r>
          </w:p>
        </w:tc>
        <w:tc>
          <w:tcPr>
            <w:tcW w:w="1142" w:type="dxa"/>
            <w:gridSpan w:val="2"/>
            <w:vAlign w:val="center"/>
          </w:tcPr>
          <w:p w14:paraId="3E8850CE" w14:textId="50EB7FCA" w:rsidR="008E4B6C" w:rsidRPr="00A71967" w:rsidRDefault="00A5301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0E90C17C" w14:textId="05FC1B51" w:rsidR="008E4B6C" w:rsidRPr="00A71967" w:rsidRDefault="001E2E0D"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625B72EF"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69552033"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01C13B85"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43006226" w14:textId="77777777" w:rsidTr="000D4A3B">
        <w:tc>
          <w:tcPr>
            <w:tcW w:w="1702" w:type="dxa"/>
            <w:vAlign w:val="center"/>
          </w:tcPr>
          <w:p w14:paraId="5901B226" w14:textId="77777777" w:rsidR="008E4B6C" w:rsidRPr="00A71967" w:rsidRDefault="008E4B6C" w:rsidP="008E4B6C">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lastRenderedPageBreak/>
              <w:t>3.1. valsts pamatbudžets</w:t>
            </w:r>
          </w:p>
        </w:tc>
        <w:tc>
          <w:tcPr>
            <w:tcW w:w="850" w:type="dxa"/>
            <w:vAlign w:val="center"/>
          </w:tcPr>
          <w:p w14:paraId="311C3964"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22D28626" w14:textId="1EEA2D54"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rPr>
              <w:t>-</w:t>
            </w:r>
            <w:r w:rsidR="00CD6128" w:rsidRPr="00CD6128">
              <w:rPr>
                <w:rFonts w:ascii="Times New Roman" w:hAnsi="Times New Roman" w:cs="Times New Roman"/>
                <w:iCs/>
              </w:rPr>
              <w:t>1 946 132</w:t>
            </w:r>
          </w:p>
        </w:tc>
        <w:tc>
          <w:tcPr>
            <w:tcW w:w="1142" w:type="dxa"/>
            <w:gridSpan w:val="2"/>
            <w:vAlign w:val="center"/>
          </w:tcPr>
          <w:p w14:paraId="01712AF6" w14:textId="08E92087" w:rsidR="008E4B6C" w:rsidRPr="00A71967" w:rsidRDefault="00A5301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6D89D9F5" w14:textId="1BCAD5BB" w:rsidR="008E4B6C" w:rsidRPr="00A71967" w:rsidRDefault="001E2E0D"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5C7B8DDB"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0AFDE7B3"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49AE6909" w14:textId="77777777" w:rsidR="008E4B6C" w:rsidRPr="00A71967" w:rsidRDefault="008E4B6C" w:rsidP="008E4B6C">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22C2031" w14:textId="77777777" w:rsidTr="000D4A3B">
        <w:tc>
          <w:tcPr>
            <w:tcW w:w="1702" w:type="dxa"/>
            <w:vAlign w:val="center"/>
          </w:tcPr>
          <w:p w14:paraId="00C22A85"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3.2. speciālais budžets</w:t>
            </w:r>
          </w:p>
        </w:tc>
        <w:tc>
          <w:tcPr>
            <w:tcW w:w="850" w:type="dxa"/>
            <w:vAlign w:val="center"/>
          </w:tcPr>
          <w:p w14:paraId="33E5D435"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130ACF52"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20C04882"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0BAA588B"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211375E5"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029EA687"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1B673A16"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F75FB12" w14:textId="77777777" w:rsidTr="000D4A3B">
        <w:tc>
          <w:tcPr>
            <w:tcW w:w="1702" w:type="dxa"/>
            <w:vAlign w:val="center"/>
          </w:tcPr>
          <w:p w14:paraId="51DBE7DB"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3.3. pašvaldību budžets</w:t>
            </w:r>
          </w:p>
        </w:tc>
        <w:tc>
          <w:tcPr>
            <w:tcW w:w="850" w:type="dxa"/>
            <w:vAlign w:val="center"/>
          </w:tcPr>
          <w:p w14:paraId="7C5A9BDD"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68" w:type="dxa"/>
            <w:shd w:val="clear" w:color="auto" w:fill="auto"/>
            <w:vAlign w:val="center"/>
          </w:tcPr>
          <w:p w14:paraId="3B1A6F4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Align w:val="center"/>
          </w:tcPr>
          <w:p w14:paraId="002C230F"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38499A44"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7AAFF5CC"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4B758C31"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77902204"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1658FC69" w14:textId="77777777" w:rsidTr="000D4A3B">
        <w:tc>
          <w:tcPr>
            <w:tcW w:w="1702" w:type="dxa"/>
            <w:vAlign w:val="center"/>
          </w:tcPr>
          <w:p w14:paraId="1C2DD90D" w14:textId="77777777" w:rsidR="003B6838" w:rsidRPr="00A71967" w:rsidRDefault="003B6838" w:rsidP="003B6838">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4. Finanšu līdzekļi papildu izdevumu finansēšanai (kompensējošu izdevumu samazinājumu norāda ar "+" zīmi)</w:t>
            </w:r>
          </w:p>
        </w:tc>
        <w:tc>
          <w:tcPr>
            <w:tcW w:w="850" w:type="dxa"/>
            <w:vAlign w:val="center"/>
          </w:tcPr>
          <w:p w14:paraId="25EC96C6" w14:textId="77777777" w:rsidR="003B6838" w:rsidRPr="00A71967" w:rsidRDefault="003B6838"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X</w:t>
            </w:r>
          </w:p>
        </w:tc>
        <w:tc>
          <w:tcPr>
            <w:tcW w:w="1268" w:type="dxa"/>
            <w:shd w:val="clear" w:color="auto" w:fill="auto"/>
            <w:vAlign w:val="center"/>
          </w:tcPr>
          <w:p w14:paraId="0060F59D" w14:textId="038DC7E5" w:rsidR="003B6838" w:rsidRPr="00A71967" w:rsidRDefault="00CD6128" w:rsidP="003B6838">
            <w:pPr>
              <w:pStyle w:val="NoSpacing"/>
              <w:rPr>
                <w:rFonts w:ascii="Times New Roman" w:hAnsi="Times New Roman" w:cs="Times New Roman"/>
                <w:iCs/>
                <w:lang w:eastAsia="lv-LV"/>
              </w:rPr>
            </w:pPr>
            <w:r w:rsidRPr="00CD6128">
              <w:rPr>
                <w:rFonts w:ascii="Times New Roman" w:hAnsi="Times New Roman" w:cs="Times New Roman"/>
                <w:iCs/>
              </w:rPr>
              <w:t>1 946 132</w:t>
            </w:r>
          </w:p>
        </w:tc>
        <w:tc>
          <w:tcPr>
            <w:tcW w:w="1142" w:type="dxa"/>
            <w:gridSpan w:val="2"/>
            <w:vAlign w:val="center"/>
          </w:tcPr>
          <w:p w14:paraId="22BB26AF" w14:textId="6FA82D9C" w:rsidR="003B6838" w:rsidRPr="00A71967" w:rsidRDefault="003B6838"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00C7C638" w14:textId="00AC4226" w:rsidR="003B6838" w:rsidRPr="00A71967" w:rsidRDefault="001E2E0D"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Align w:val="center"/>
          </w:tcPr>
          <w:p w14:paraId="0B0C0E84" w14:textId="77777777" w:rsidR="003B6838" w:rsidRPr="00A71967" w:rsidRDefault="003B6838"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68958BF5" w14:textId="77777777" w:rsidR="003B6838" w:rsidRPr="00A71967" w:rsidRDefault="003B6838"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4C272F93" w14:textId="77777777" w:rsidR="003B6838" w:rsidRPr="00A71967" w:rsidRDefault="003B6838" w:rsidP="003B6838">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D7ADA63" w14:textId="77777777" w:rsidTr="000D4A3B">
        <w:tc>
          <w:tcPr>
            <w:tcW w:w="1702" w:type="dxa"/>
            <w:vAlign w:val="center"/>
          </w:tcPr>
          <w:p w14:paraId="6ED81219"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5. Precizēta finansiālā ietekme</w:t>
            </w:r>
          </w:p>
        </w:tc>
        <w:tc>
          <w:tcPr>
            <w:tcW w:w="850" w:type="dxa"/>
            <w:vMerge w:val="restart"/>
            <w:vAlign w:val="center"/>
          </w:tcPr>
          <w:p w14:paraId="723B2DA2"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X</w:t>
            </w:r>
          </w:p>
        </w:tc>
        <w:tc>
          <w:tcPr>
            <w:tcW w:w="1268" w:type="dxa"/>
            <w:vAlign w:val="center"/>
          </w:tcPr>
          <w:p w14:paraId="63529710"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Merge w:val="restart"/>
            <w:vAlign w:val="center"/>
          </w:tcPr>
          <w:p w14:paraId="727A1A5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275" w:type="dxa"/>
            <w:vAlign w:val="center"/>
          </w:tcPr>
          <w:p w14:paraId="5151CADB"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Merge w:val="restart"/>
            <w:vAlign w:val="center"/>
          </w:tcPr>
          <w:p w14:paraId="49E01D95"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993" w:type="dxa"/>
            <w:vAlign w:val="center"/>
          </w:tcPr>
          <w:p w14:paraId="35DBB7CB"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4926B858"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2C66189C" w14:textId="77777777" w:rsidTr="000D4A3B">
        <w:tc>
          <w:tcPr>
            <w:tcW w:w="1702" w:type="dxa"/>
            <w:vAlign w:val="center"/>
          </w:tcPr>
          <w:p w14:paraId="1D1900AD"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5.1. valsts pamatbudžets</w:t>
            </w:r>
          </w:p>
        </w:tc>
        <w:tc>
          <w:tcPr>
            <w:tcW w:w="850" w:type="dxa"/>
            <w:vMerge/>
            <w:vAlign w:val="center"/>
          </w:tcPr>
          <w:p w14:paraId="633BB84C" w14:textId="77777777" w:rsidR="00677F85" w:rsidRPr="00A71967" w:rsidRDefault="00677F85" w:rsidP="00677F85">
            <w:pPr>
              <w:pStyle w:val="NoSpacing"/>
              <w:rPr>
                <w:rFonts w:ascii="Times New Roman" w:hAnsi="Times New Roman" w:cs="Times New Roman"/>
                <w:iCs/>
                <w:lang w:eastAsia="lv-LV"/>
              </w:rPr>
            </w:pPr>
          </w:p>
        </w:tc>
        <w:tc>
          <w:tcPr>
            <w:tcW w:w="1268" w:type="dxa"/>
            <w:vAlign w:val="center"/>
          </w:tcPr>
          <w:p w14:paraId="051A3872"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Merge/>
            <w:vAlign w:val="center"/>
          </w:tcPr>
          <w:p w14:paraId="59F4120E" w14:textId="77777777" w:rsidR="00677F85" w:rsidRPr="00A71967" w:rsidRDefault="00677F85" w:rsidP="00677F85">
            <w:pPr>
              <w:pStyle w:val="NoSpacing"/>
              <w:rPr>
                <w:rFonts w:ascii="Times New Roman" w:hAnsi="Times New Roman" w:cs="Times New Roman"/>
                <w:iCs/>
                <w:lang w:eastAsia="lv-LV"/>
              </w:rPr>
            </w:pPr>
          </w:p>
        </w:tc>
        <w:tc>
          <w:tcPr>
            <w:tcW w:w="1275" w:type="dxa"/>
            <w:vAlign w:val="center"/>
          </w:tcPr>
          <w:p w14:paraId="0365761C"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Merge/>
            <w:vAlign w:val="center"/>
          </w:tcPr>
          <w:p w14:paraId="6670CD89" w14:textId="77777777" w:rsidR="00677F85" w:rsidRPr="00A71967" w:rsidRDefault="00677F85" w:rsidP="00677F85">
            <w:pPr>
              <w:pStyle w:val="NoSpacing"/>
              <w:rPr>
                <w:rFonts w:ascii="Times New Roman" w:hAnsi="Times New Roman" w:cs="Times New Roman"/>
                <w:iCs/>
                <w:lang w:eastAsia="lv-LV"/>
              </w:rPr>
            </w:pPr>
          </w:p>
        </w:tc>
        <w:tc>
          <w:tcPr>
            <w:tcW w:w="993" w:type="dxa"/>
            <w:vAlign w:val="center"/>
          </w:tcPr>
          <w:p w14:paraId="1089F7E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17F851C8"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483E75EE" w14:textId="77777777" w:rsidTr="000D4A3B">
        <w:tc>
          <w:tcPr>
            <w:tcW w:w="1702" w:type="dxa"/>
            <w:vAlign w:val="center"/>
          </w:tcPr>
          <w:p w14:paraId="63CADFED"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5.2. speciālais budžets</w:t>
            </w:r>
          </w:p>
        </w:tc>
        <w:tc>
          <w:tcPr>
            <w:tcW w:w="850" w:type="dxa"/>
            <w:vMerge/>
            <w:vAlign w:val="center"/>
          </w:tcPr>
          <w:p w14:paraId="78FD7D55" w14:textId="77777777" w:rsidR="00677F85" w:rsidRPr="00A71967" w:rsidRDefault="00677F85" w:rsidP="00677F85">
            <w:pPr>
              <w:pStyle w:val="NoSpacing"/>
              <w:rPr>
                <w:rFonts w:ascii="Times New Roman" w:hAnsi="Times New Roman" w:cs="Times New Roman"/>
                <w:iCs/>
                <w:lang w:eastAsia="lv-LV"/>
              </w:rPr>
            </w:pPr>
          </w:p>
        </w:tc>
        <w:tc>
          <w:tcPr>
            <w:tcW w:w="1268" w:type="dxa"/>
            <w:vAlign w:val="center"/>
          </w:tcPr>
          <w:p w14:paraId="2FBE17D9"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Merge/>
            <w:vAlign w:val="center"/>
          </w:tcPr>
          <w:p w14:paraId="2AA59DF3" w14:textId="77777777" w:rsidR="00677F85" w:rsidRPr="00A71967" w:rsidRDefault="00677F85" w:rsidP="00677F85">
            <w:pPr>
              <w:pStyle w:val="NoSpacing"/>
              <w:rPr>
                <w:rFonts w:ascii="Times New Roman" w:hAnsi="Times New Roman" w:cs="Times New Roman"/>
                <w:iCs/>
                <w:lang w:eastAsia="lv-LV"/>
              </w:rPr>
            </w:pPr>
          </w:p>
        </w:tc>
        <w:tc>
          <w:tcPr>
            <w:tcW w:w="1275" w:type="dxa"/>
            <w:vAlign w:val="center"/>
          </w:tcPr>
          <w:p w14:paraId="2EA93D02"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Merge/>
            <w:vAlign w:val="center"/>
          </w:tcPr>
          <w:p w14:paraId="2D964560" w14:textId="77777777" w:rsidR="00677F85" w:rsidRPr="00A71967" w:rsidRDefault="00677F85" w:rsidP="00677F85">
            <w:pPr>
              <w:pStyle w:val="NoSpacing"/>
              <w:rPr>
                <w:rFonts w:ascii="Times New Roman" w:hAnsi="Times New Roman" w:cs="Times New Roman"/>
                <w:iCs/>
                <w:lang w:eastAsia="lv-LV"/>
              </w:rPr>
            </w:pPr>
          </w:p>
        </w:tc>
        <w:tc>
          <w:tcPr>
            <w:tcW w:w="993" w:type="dxa"/>
            <w:vAlign w:val="center"/>
          </w:tcPr>
          <w:p w14:paraId="78F050EF"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vAlign w:val="center"/>
          </w:tcPr>
          <w:p w14:paraId="365DD198"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r w:rsidR="00C75EAE" w:rsidRPr="00A71967" w14:paraId="69B9B2AD" w14:textId="77777777" w:rsidTr="000D4A3B">
        <w:tc>
          <w:tcPr>
            <w:tcW w:w="1702" w:type="dxa"/>
            <w:tcBorders>
              <w:bottom w:val="nil"/>
            </w:tcBorders>
            <w:vAlign w:val="center"/>
          </w:tcPr>
          <w:p w14:paraId="1F3F10C4" w14:textId="77777777" w:rsidR="00677F85" w:rsidRPr="00A71967" w:rsidRDefault="00677F85" w:rsidP="00677F85">
            <w:pPr>
              <w:pStyle w:val="NoSpacing"/>
              <w:jc w:val="both"/>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5.3. pašvaldību budžets</w:t>
            </w:r>
          </w:p>
        </w:tc>
        <w:tc>
          <w:tcPr>
            <w:tcW w:w="850" w:type="dxa"/>
            <w:vMerge/>
            <w:tcBorders>
              <w:bottom w:val="nil"/>
            </w:tcBorders>
            <w:vAlign w:val="center"/>
          </w:tcPr>
          <w:p w14:paraId="5172F8DB" w14:textId="77777777" w:rsidR="00677F85" w:rsidRPr="00A71967" w:rsidRDefault="00677F85" w:rsidP="00677F85">
            <w:pPr>
              <w:pStyle w:val="NoSpacing"/>
              <w:rPr>
                <w:rFonts w:ascii="Times New Roman" w:hAnsi="Times New Roman" w:cs="Times New Roman"/>
                <w:iCs/>
                <w:lang w:eastAsia="lv-LV"/>
              </w:rPr>
            </w:pPr>
          </w:p>
        </w:tc>
        <w:tc>
          <w:tcPr>
            <w:tcW w:w="1268" w:type="dxa"/>
            <w:tcBorders>
              <w:bottom w:val="nil"/>
            </w:tcBorders>
            <w:vAlign w:val="center"/>
          </w:tcPr>
          <w:p w14:paraId="42C1D89A"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42" w:type="dxa"/>
            <w:gridSpan w:val="2"/>
            <w:vMerge/>
            <w:tcBorders>
              <w:bottom w:val="nil"/>
            </w:tcBorders>
            <w:vAlign w:val="center"/>
          </w:tcPr>
          <w:p w14:paraId="219F6D21" w14:textId="77777777" w:rsidR="00677F85" w:rsidRPr="00A71967" w:rsidRDefault="00677F85" w:rsidP="00677F85">
            <w:pPr>
              <w:pStyle w:val="NoSpacing"/>
              <w:rPr>
                <w:rFonts w:ascii="Times New Roman" w:hAnsi="Times New Roman" w:cs="Times New Roman"/>
                <w:iCs/>
                <w:lang w:eastAsia="lv-LV"/>
              </w:rPr>
            </w:pPr>
          </w:p>
        </w:tc>
        <w:tc>
          <w:tcPr>
            <w:tcW w:w="1275" w:type="dxa"/>
            <w:tcBorders>
              <w:bottom w:val="nil"/>
            </w:tcBorders>
            <w:vAlign w:val="center"/>
          </w:tcPr>
          <w:p w14:paraId="7C2A5504"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851" w:type="dxa"/>
            <w:gridSpan w:val="2"/>
            <w:vMerge/>
            <w:tcBorders>
              <w:bottom w:val="nil"/>
            </w:tcBorders>
            <w:vAlign w:val="center"/>
          </w:tcPr>
          <w:p w14:paraId="7F0C65F9" w14:textId="77777777" w:rsidR="00677F85" w:rsidRPr="00A71967" w:rsidRDefault="00677F85" w:rsidP="00677F85">
            <w:pPr>
              <w:pStyle w:val="NoSpacing"/>
              <w:rPr>
                <w:rFonts w:ascii="Times New Roman" w:hAnsi="Times New Roman" w:cs="Times New Roman"/>
                <w:iCs/>
                <w:lang w:eastAsia="lv-LV"/>
              </w:rPr>
            </w:pPr>
          </w:p>
        </w:tc>
        <w:tc>
          <w:tcPr>
            <w:tcW w:w="993" w:type="dxa"/>
            <w:tcBorders>
              <w:bottom w:val="nil"/>
            </w:tcBorders>
            <w:vAlign w:val="center"/>
          </w:tcPr>
          <w:p w14:paraId="19B0F47A"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c>
          <w:tcPr>
            <w:tcW w:w="1133" w:type="dxa"/>
            <w:gridSpan w:val="2"/>
            <w:tcBorders>
              <w:bottom w:val="nil"/>
            </w:tcBorders>
            <w:vAlign w:val="center"/>
          </w:tcPr>
          <w:p w14:paraId="349F98E7" w14:textId="77777777" w:rsidR="00677F85" w:rsidRPr="00A71967" w:rsidRDefault="00677F85" w:rsidP="00677F85">
            <w:pPr>
              <w:pStyle w:val="NoSpacing"/>
              <w:rPr>
                <w:rFonts w:ascii="Times New Roman" w:hAnsi="Times New Roman" w:cs="Times New Roman"/>
                <w:iCs/>
                <w:lang w:eastAsia="lv-LV"/>
              </w:rPr>
            </w:pPr>
            <w:r w:rsidRPr="00A71967">
              <w:rPr>
                <w:rFonts w:ascii="Times New Roman" w:hAnsi="Times New Roman" w:cs="Times New Roman"/>
                <w:iCs/>
                <w:lang w:eastAsia="lv-LV"/>
              </w:rPr>
              <w:t>0</w:t>
            </w:r>
          </w:p>
        </w:tc>
      </w:tr>
    </w:tbl>
    <w:tbl>
      <w:tblPr>
        <w:tblStyle w:val="TableGrid"/>
        <w:tblW w:w="9214" w:type="dxa"/>
        <w:tblInd w:w="-147" w:type="dxa"/>
        <w:tblLayout w:type="fixed"/>
        <w:tblLook w:val="04A0" w:firstRow="1" w:lastRow="0" w:firstColumn="1" w:lastColumn="0" w:noHBand="0" w:noVBand="1"/>
      </w:tblPr>
      <w:tblGrid>
        <w:gridCol w:w="1702"/>
        <w:gridCol w:w="7512"/>
      </w:tblGrid>
      <w:tr w:rsidR="00C75EAE" w:rsidRPr="00A71967" w14:paraId="2694532E" w14:textId="77777777" w:rsidTr="0032092E">
        <w:tc>
          <w:tcPr>
            <w:tcW w:w="1702" w:type="dxa"/>
            <w:tcBorders>
              <w:top w:val="single" w:sz="4" w:space="0" w:color="auto"/>
              <w:left w:val="single" w:sz="4" w:space="0" w:color="auto"/>
              <w:bottom w:val="single" w:sz="4" w:space="0" w:color="auto"/>
              <w:right w:val="single" w:sz="4" w:space="0" w:color="auto"/>
            </w:tcBorders>
            <w:vAlign w:val="center"/>
          </w:tcPr>
          <w:p w14:paraId="53F5A714" w14:textId="77777777" w:rsidR="000F20DA" w:rsidRPr="00A71967" w:rsidRDefault="000F20DA"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tcPr>
          <w:p w14:paraId="7EEBF258" w14:textId="304894A6" w:rsidR="005B762F" w:rsidRPr="00A71967" w:rsidRDefault="00D15446" w:rsidP="00495126">
            <w:pPr>
              <w:ind w:firstLine="321"/>
              <w:jc w:val="both"/>
              <w:rPr>
                <w:iCs/>
                <w:sz w:val="26"/>
                <w:szCs w:val="26"/>
              </w:rPr>
            </w:pPr>
            <w:r w:rsidRPr="00A71967">
              <w:rPr>
                <w:sz w:val="26"/>
                <w:szCs w:val="26"/>
              </w:rPr>
              <w:t xml:space="preserve">Kopā, lai nodrošinātu rīkojuma projektā minēto pasākumu īstenošanu Veselības ministrijai (Nacionālajam veselības dienestam) nepieciešams papildus finansējums </w:t>
            </w:r>
            <w:r w:rsidR="00893B9E">
              <w:rPr>
                <w:sz w:val="26"/>
                <w:szCs w:val="26"/>
              </w:rPr>
              <w:t xml:space="preserve">ne vairāk kā </w:t>
            </w:r>
            <w:r w:rsidR="00CD6128" w:rsidRPr="00CD6128">
              <w:rPr>
                <w:iCs/>
                <w:sz w:val="26"/>
                <w:szCs w:val="26"/>
              </w:rPr>
              <w:t>1</w:t>
            </w:r>
            <w:r w:rsidR="00CD6128">
              <w:rPr>
                <w:iCs/>
                <w:sz w:val="26"/>
                <w:szCs w:val="26"/>
              </w:rPr>
              <w:t> </w:t>
            </w:r>
            <w:r w:rsidR="00CD6128" w:rsidRPr="00CD6128">
              <w:rPr>
                <w:iCs/>
                <w:sz w:val="26"/>
                <w:szCs w:val="26"/>
              </w:rPr>
              <w:t>946</w:t>
            </w:r>
            <w:r w:rsidR="00CD6128">
              <w:rPr>
                <w:iCs/>
                <w:sz w:val="26"/>
                <w:szCs w:val="26"/>
              </w:rPr>
              <w:t> </w:t>
            </w:r>
            <w:r w:rsidR="00CD6128" w:rsidRPr="00CD6128">
              <w:rPr>
                <w:iCs/>
                <w:sz w:val="26"/>
                <w:szCs w:val="26"/>
              </w:rPr>
              <w:t xml:space="preserve">132 </w:t>
            </w:r>
            <w:r w:rsidR="00CD6128" w:rsidRPr="00CD6128">
              <w:rPr>
                <w:i/>
                <w:sz w:val="26"/>
                <w:szCs w:val="26"/>
              </w:rPr>
              <w:t>euro</w:t>
            </w:r>
            <w:r w:rsidR="00CD6128">
              <w:rPr>
                <w:i/>
                <w:sz w:val="26"/>
                <w:szCs w:val="26"/>
              </w:rPr>
              <w:t>.</w:t>
            </w:r>
            <w:r w:rsidR="00CD6128" w:rsidRPr="00CD6128">
              <w:rPr>
                <w:iCs/>
                <w:sz w:val="26"/>
                <w:szCs w:val="26"/>
              </w:rPr>
              <w:t xml:space="preserve"> </w:t>
            </w:r>
            <w:r w:rsidR="005B762F" w:rsidRPr="00CD6128">
              <w:rPr>
                <w:iCs/>
                <w:sz w:val="26"/>
                <w:szCs w:val="26"/>
              </w:rPr>
              <w:t>Detalizēti aprēķini ir pievienoti anotācijas pielikumā.</w:t>
            </w:r>
          </w:p>
          <w:p w14:paraId="536682EC" w14:textId="77777777" w:rsidR="005B762F" w:rsidRPr="00A71967" w:rsidRDefault="005B762F" w:rsidP="00495126">
            <w:pPr>
              <w:ind w:firstLine="459"/>
              <w:jc w:val="both"/>
              <w:rPr>
                <w:iCs/>
                <w:sz w:val="26"/>
                <w:szCs w:val="26"/>
              </w:rPr>
            </w:pPr>
          </w:p>
          <w:p w14:paraId="4167E924" w14:textId="19EA828E" w:rsidR="007D1A16" w:rsidRPr="00A71967" w:rsidRDefault="000619E4" w:rsidP="00495126">
            <w:pPr>
              <w:ind w:firstLine="317"/>
              <w:jc w:val="both"/>
              <w:rPr>
                <w:iCs/>
                <w:sz w:val="26"/>
                <w:szCs w:val="26"/>
              </w:rPr>
            </w:pPr>
            <w:r w:rsidRPr="00A71967">
              <w:rPr>
                <w:iCs/>
                <w:sz w:val="26"/>
                <w:szCs w:val="26"/>
              </w:rPr>
              <w:t>Rīkojuma projekt</w:t>
            </w:r>
            <w:r w:rsidR="00E00F5F" w:rsidRPr="00A71967">
              <w:rPr>
                <w:iCs/>
                <w:sz w:val="26"/>
                <w:szCs w:val="26"/>
              </w:rPr>
              <w:t>a 1.punkts</w:t>
            </w:r>
            <w:r w:rsidRPr="00A71967">
              <w:rPr>
                <w:iCs/>
                <w:sz w:val="26"/>
                <w:szCs w:val="26"/>
              </w:rPr>
              <w:t xml:space="preserve"> paredz </w:t>
            </w:r>
            <w:r w:rsidR="007D1A16" w:rsidRPr="00A71967">
              <w:rPr>
                <w:iCs/>
                <w:sz w:val="26"/>
                <w:szCs w:val="26"/>
              </w:rPr>
              <w:t xml:space="preserve">Finanšu ministrijai no valsts budžeta programmas 02.00.00 “Līdzekļi neparedzētiem gadījumiem” piešķirt finansējumu ne vairāk </w:t>
            </w:r>
            <w:r w:rsidR="00B8779E" w:rsidRPr="00A71967">
              <w:rPr>
                <w:iCs/>
                <w:sz w:val="26"/>
                <w:szCs w:val="26"/>
              </w:rPr>
              <w:t xml:space="preserve">kā </w:t>
            </w:r>
            <w:r w:rsidR="00CD6128" w:rsidRPr="00CD6128">
              <w:rPr>
                <w:iCs/>
                <w:sz w:val="26"/>
                <w:szCs w:val="26"/>
              </w:rPr>
              <w:t>1</w:t>
            </w:r>
            <w:r w:rsidR="00CD6128">
              <w:rPr>
                <w:iCs/>
                <w:sz w:val="26"/>
                <w:szCs w:val="26"/>
              </w:rPr>
              <w:t> </w:t>
            </w:r>
            <w:r w:rsidR="00CD6128" w:rsidRPr="00CD6128">
              <w:rPr>
                <w:iCs/>
                <w:sz w:val="26"/>
                <w:szCs w:val="26"/>
              </w:rPr>
              <w:t>946</w:t>
            </w:r>
            <w:r w:rsidR="00CD6128">
              <w:rPr>
                <w:iCs/>
                <w:sz w:val="26"/>
                <w:szCs w:val="26"/>
              </w:rPr>
              <w:t> </w:t>
            </w:r>
            <w:r w:rsidR="00CD6128" w:rsidRPr="00CD6128">
              <w:rPr>
                <w:iCs/>
                <w:sz w:val="26"/>
                <w:szCs w:val="26"/>
              </w:rPr>
              <w:t>13</w:t>
            </w:r>
            <w:r w:rsidR="00B416C8">
              <w:rPr>
                <w:iCs/>
                <w:sz w:val="26"/>
                <w:szCs w:val="26"/>
              </w:rPr>
              <w:t>2</w:t>
            </w:r>
            <w:r w:rsidR="00CD6128">
              <w:rPr>
                <w:iCs/>
                <w:sz w:val="26"/>
                <w:szCs w:val="26"/>
              </w:rPr>
              <w:t xml:space="preserve"> </w:t>
            </w:r>
            <w:r w:rsidR="00B8779E" w:rsidRPr="00CD6128">
              <w:rPr>
                <w:i/>
                <w:sz w:val="26"/>
                <w:szCs w:val="26"/>
              </w:rPr>
              <w:t>euro</w:t>
            </w:r>
            <w:r w:rsidR="00B8779E" w:rsidRPr="00A71967">
              <w:rPr>
                <w:iCs/>
                <w:sz w:val="26"/>
                <w:szCs w:val="26"/>
              </w:rPr>
              <w:t xml:space="preserve"> apmērā Veselības ministrijai (Nacionālajam veselības dienestam)</w:t>
            </w:r>
            <w:r w:rsidR="00376A8D">
              <w:rPr>
                <w:iCs/>
                <w:sz w:val="26"/>
                <w:szCs w:val="26"/>
              </w:rPr>
              <w:t xml:space="preserve"> l</w:t>
            </w:r>
            <w:r w:rsidR="00376A8D" w:rsidRPr="00376A8D">
              <w:rPr>
                <w:iCs/>
                <w:sz w:val="26"/>
                <w:szCs w:val="26"/>
              </w:rPr>
              <w:t>ai nodrošinātu rehabilitācijas pakalpojumus pacientiem pēc pārslimota Covid-19</w:t>
            </w:r>
            <w:r w:rsidR="00376A8D">
              <w:rPr>
                <w:iCs/>
                <w:sz w:val="26"/>
                <w:szCs w:val="26"/>
              </w:rPr>
              <w:t xml:space="preserve"> (skat. anotācijas pielikumu)</w:t>
            </w:r>
            <w:r w:rsidR="00B8779E" w:rsidRPr="00A71967">
              <w:rPr>
                <w:iCs/>
                <w:sz w:val="26"/>
                <w:szCs w:val="26"/>
              </w:rPr>
              <w:t>, tai skaitā:</w:t>
            </w:r>
          </w:p>
          <w:p w14:paraId="7049A220" w14:textId="565A861F" w:rsidR="009B6B5A" w:rsidRPr="00206208" w:rsidRDefault="00F47C8A" w:rsidP="009B6B5A">
            <w:pPr>
              <w:ind w:firstLine="317"/>
              <w:jc w:val="both"/>
              <w:rPr>
                <w:iCs/>
                <w:sz w:val="26"/>
                <w:szCs w:val="26"/>
              </w:rPr>
            </w:pPr>
            <w:r w:rsidRPr="00206208">
              <w:rPr>
                <w:iCs/>
                <w:sz w:val="26"/>
                <w:szCs w:val="26"/>
              </w:rPr>
              <w:t>1</w:t>
            </w:r>
            <w:r w:rsidR="009B6B5A" w:rsidRPr="00206208">
              <w:rPr>
                <w:iCs/>
                <w:sz w:val="26"/>
                <w:szCs w:val="26"/>
              </w:rPr>
              <w:t>.</w:t>
            </w:r>
            <w:r w:rsidR="001A37F8" w:rsidRPr="00206208">
              <w:rPr>
                <w:iCs/>
                <w:sz w:val="26"/>
                <w:szCs w:val="26"/>
              </w:rPr>
              <w:t>1.</w:t>
            </w:r>
            <w:r w:rsidR="00524E7C" w:rsidRPr="00206208">
              <w:rPr>
                <w:iCs/>
                <w:sz w:val="26"/>
                <w:szCs w:val="26"/>
              </w:rPr>
              <w:t> </w:t>
            </w:r>
            <w:r w:rsidR="00376A8D" w:rsidRPr="00206208">
              <w:rPr>
                <w:iCs/>
                <w:sz w:val="26"/>
                <w:szCs w:val="26"/>
              </w:rPr>
              <w:t>ambulatorās rehabilitācijas nodrošināšanai</w:t>
            </w:r>
            <w:r w:rsidR="00376A8D" w:rsidRPr="00206208">
              <w:rPr>
                <w:i/>
                <w:sz w:val="26"/>
                <w:szCs w:val="26"/>
              </w:rPr>
              <w:t xml:space="preserve"> </w:t>
            </w:r>
            <w:r w:rsidR="009B6B5A" w:rsidRPr="00206208">
              <w:rPr>
                <w:iCs/>
                <w:sz w:val="26"/>
                <w:szCs w:val="26"/>
              </w:rPr>
              <w:t xml:space="preserve">– </w:t>
            </w:r>
            <w:r w:rsidR="00893B9E" w:rsidRPr="00206208">
              <w:rPr>
                <w:iCs/>
                <w:sz w:val="26"/>
                <w:szCs w:val="26"/>
              </w:rPr>
              <w:t xml:space="preserve">ne vairāk kā </w:t>
            </w:r>
            <w:r w:rsidR="00376A8D" w:rsidRPr="00206208">
              <w:rPr>
                <w:iCs/>
                <w:sz w:val="26"/>
                <w:szCs w:val="26"/>
              </w:rPr>
              <w:t xml:space="preserve">26 682 </w:t>
            </w:r>
            <w:r w:rsidR="009B6B5A" w:rsidRPr="00206208">
              <w:rPr>
                <w:i/>
                <w:sz w:val="26"/>
                <w:szCs w:val="26"/>
              </w:rPr>
              <w:t>euro</w:t>
            </w:r>
            <w:r w:rsidR="009B6B5A" w:rsidRPr="00206208">
              <w:rPr>
                <w:iCs/>
                <w:sz w:val="26"/>
                <w:szCs w:val="26"/>
              </w:rPr>
              <w:t>;</w:t>
            </w:r>
          </w:p>
          <w:p w14:paraId="53DD980A" w14:textId="28690C09" w:rsidR="009B6B5A" w:rsidRPr="00206208" w:rsidRDefault="001A37F8" w:rsidP="009B6B5A">
            <w:pPr>
              <w:ind w:firstLine="317"/>
              <w:jc w:val="both"/>
              <w:rPr>
                <w:iCs/>
                <w:sz w:val="26"/>
                <w:szCs w:val="26"/>
              </w:rPr>
            </w:pPr>
            <w:r w:rsidRPr="00206208">
              <w:rPr>
                <w:iCs/>
                <w:sz w:val="26"/>
                <w:szCs w:val="26"/>
              </w:rPr>
              <w:t>1.</w:t>
            </w:r>
            <w:r w:rsidR="00F47C8A" w:rsidRPr="00206208">
              <w:rPr>
                <w:iCs/>
                <w:sz w:val="26"/>
                <w:szCs w:val="26"/>
              </w:rPr>
              <w:t>2</w:t>
            </w:r>
            <w:r w:rsidR="009B6B5A" w:rsidRPr="00206208">
              <w:rPr>
                <w:iCs/>
                <w:sz w:val="26"/>
                <w:szCs w:val="26"/>
              </w:rPr>
              <w:t>.</w:t>
            </w:r>
            <w:r w:rsidR="00524E7C" w:rsidRPr="00206208">
              <w:rPr>
                <w:iCs/>
                <w:sz w:val="26"/>
                <w:szCs w:val="26"/>
              </w:rPr>
              <w:t> </w:t>
            </w:r>
            <w:r w:rsidR="00376A8D" w:rsidRPr="00206208">
              <w:rPr>
                <w:iCs/>
                <w:sz w:val="26"/>
                <w:szCs w:val="26"/>
              </w:rPr>
              <w:t>dienas</w:t>
            </w:r>
            <w:r w:rsidR="00376A8D" w:rsidRPr="00206208">
              <w:rPr>
                <w:sz w:val="26"/>
                <w:szCs w:val="26"/>
              </w:rPr>
              <w:t xml:space="preserve"> stacionāra rehabilitācijas nodrošināšanai</w:t>
            </w:r>
            <w:r w:rsidR="002C602C" w:rsidRPr="00206208">
              <w:rPr>
                <w:sz w:val="26"/>
                <w:szCs w:val="26"/>
              </w:rPr>
              <w:t xml:space="preserve"> – ne vairāk kā</w:t>
            </w:r>
            <w:r w:rsidR="00376A8D" w:rsidRPr="00206208">
              <w:rPr>
                <w:sz w:val="26"/>
                <w:szCs w:val="26"/>
              </w:rPr>
              <w:t xml:space="preserve"> </w:t>
            </w:r>
            <w:r w:rsidR="002C602C" w:rsidRPr="00206208">
              <w:rPr>
                <w:sz w:val="26"/>
                <w:szCs w:val="26"/>
              </w:rPr>
              <w:t>411 251</w:t>
            </w:r>
            <w:r w:rsidR="00B8779E" w:rsidRPr="00206208">
              <w:rPr>
                <w:iCs/>
                <w:sz w:val="26"/>
                <w:szCs w:val="26"/>
              </w:rPr>
              <w:t xml:space="preserve"> </w:t>
            </w:r>
            <w:r w:rsidR="009B6B5A" w:rsidRPr="00206208">
              <w:rPr>
                <w:i/>
                <w:sz w:val="26"/>
                <w:szCs w:val="26"/>
              </w:rPr>
              <w:t>euro</w:t>
            </w:r>
            <w:r w:rsidR="002C602C" w:rsidRPr="00206208">
              <w:rPr>
                <w:iCs/>
                <w:sz w:val="26"/>
                <w:szCs w:val="26"/>
              </w:rPr>
              <w:t>;</w:t>
            </w:r>
          </w:p>
          <w:p w14:paraId="203FDD25" w14:textId="7171A960" w:rsidR="00C01D9B" w:rsidRDefault="001A37F8" w:rsidP="00495126">
            <w:pPr>
              <w:ind w:firstLine="317"/>
              <w:jc w:val="both"/>
              <w:rPr>
                <w:iCs/>
                <w:sz w:val="26"/>
                <w:szCs w:val="26"/>
              </w:rPr>
            </w:pPr>
            <w:r w:rsidRPr="00206208">
              <w:rPr>
                <w:iCs/>
                <w:sz w:val="26"/>
                <w:szCs w:val="26"/>
              </w:rPr>
              <w:t>1.</w:t>
            </w:r>
            <w:r w:rsidR="002C602C" w:rsidRPr="00206208">
              <w:rPr>
                <w:iCs/>
                <w:sz w:val="26"/>
                <w:szCs w:val="26"/>
              </w:rPr>
              <w:t>3. </w:t>
            </w:r>
            <w:r w:rsidR="00C01D9B" w:rsidRPr="00206208">
              <w:rPr>
                <w:iCs/>
                <w:sz w:val="26"/>
                <w:szCs w:val="26"/>
              </w:rPr>
              <w:t>subakūtās rehabilitācijas nodrošināšanai stacionārā, tai skaita, papildu skābekļa atbalstam – ne vairāk kā 1</w:t>
            </w:r>
            <w:r w:rsidR="00206208">
              <w:rPr>
                <w:iCs/>
                <w:sz w:val="26"/>
                <w:szCs w:val="26"/>
              </w:rPr>
              <w:t> </w:t>
            </w:r>
            <w:r w:rsidR="00C01D9B" w:rsidRPr="00206208">
              <w:rPr>
                <w:iCs/>
                <w:sz w:val="26"/>
                <w:szCs w:val="26"/>
              </w:rPr>
              <w:t>508</w:t>
            </w:r>
            <w:r w:rsidR="00206208">
              <w:rPr>
                <w:iCs/>
                <w:sz w:val="26"/>
                <w:szCs w:val="26"/>
              </w:rPr>
              <w:t> </w:t>
            </w:r>
            <w:r w:rsidR="00C01D9B" w:rsidRPr="00206208">
              <w:rPr>
                <w:iCs/>
                <w:sz w:val="26"/>
                <w:szCs w:val="26"/>
              </w:rPr>
              <w:t xml:space="preserve">199 </w:t>
            </w:r>
            <w:r w:rsidR="00C01D9B" w:rsidRPr="00206208">
              <w:rPr>
                <w:i/>
                <w:sz w:val="26"/>
                <w:szCs w:val="26"/>
              </w:rPr>
              <w:t>euro</w:t>
            </w:r>
            <w:r w:rsidR="00C01D9B" w:rsidRPr="00206208">
              <w:rPr>
                <w:iCs/>
                <w:sz w:val="26"/>
                <w:szCs w:val="26"/>
              </w:rPr>
              <w:t>.</w:t>
            </w:r>
          </w:p>
          <w:p w14:paraId="4F408FFD" w14:textId="52C9BC0B" w:rsidR="0023169C" w:rsidRPr="00A71967" w:rsidRDefault="00E00F5F" w:rsidP="00495126">
            <w:pPr>
              <w:ind w:firstLine="317"/>
              <w:jc w:val="both"/>
              <w:rPr>
                <w:iCs/>
                <w:sz w:val="26"/>
                <w:szCs w:val="26"/>
              </w:rPr>
            </w:pPr>
            <w:r w:rsidRPr="00A71967">
              <w:rPr>
                <w:iCs/>
                <w:sz w:val="26"/>
                <w:szCs w:val="26"/>
              </w:rPr>
              <w:t>Veselības ministrija normatīvajos aktos noteiktajā kārtībā sagatavos un iesniegs Finanšu ministrijā pieprasījumu par šā rīkojuma 1. punktā minēto līdzekļu piešķiršanu no valsts budžeta programmas 02.00.00 “Līdzekļi neparedzētiem gadījumiem”</w:t>
            </w:r>
            <w:r w:rsidR="007D1A16" w:rsidRPr="00A71967">
              <w:rPr>
                <w:iCs/>
                <w:sz w:val="26"/>
                <w:szCs w:val="26"/>
              </w:rPr>
              <w:t xml:space="preserve"> atbilstoši faktiski nepieciešamajam apmēram.</w:t>
            </w:r>
          </w:p>
          <w:p w14:paraId="21A08829" w14:textId="35106381" w:rsidR="004149B9" w:rsidRPr="00A71967" w:rsidRDefault="00461A2E" w:rsidP="00495126">
            <w:pPr>
              <w:ind w:firstLine="315"/>
              <w:jc w:val="both"/>
              <w:rPr>
                <w:sz w:val="26"/>
                <w:szCs w:val="26"/>
                <w:shd w:val="clear" w:color="auto" w:fill="FFFFFF"/>
              </w:rPr>
            </w:pPr>
            <w:r w:rsidRPr="00A71967">
              <w:rPr>
                <w:iCs/>
                <w:sz w:val="26"/>
                <w:szCs w:val="26"/>
              </w:rPr>
              <w:t>Finanšu ministr</w:t>
            </w:r>
            <w:r w:rsidR="006A5969" w:rsidRPr="00A71967">
              <w:rPr>
                <w:iCs/>
                <w:sz w:val="26"/>
                <w:szCs w:val="26"/>
              </w:rPr>
              <w:t>s</w:t>
            </w:r>
            <w:r w:rsidRPr="00A71967">
              <w:rPr>
                <w:iCs/>
                <w:sz w:val="26"/>
                <w:szCs w:val="26"/>
              </w:rPr>
              <w:t xml:space="preserve"> normatīvajos aktos noteiktajā kārtībā informē</w:t>
            </w:r>
            <w:r w:rsidR="006A5969" w:rsidRPr="00A71967">
              <w:rPr>
                <w:iCs/>
                <w:sz w:val="26"/>
                <w:szCs w:val="26"/>
              </w:rPr>
              <w:t>s</w:t>
            </w:r>
            <w:r w:rsidRPr="00A71967">
              <w:rPr>
                <w:iCs/>
                <w:sz w:val="26"/>
                <w:szCs w:val="26"/>
              </w:rPr>
              <w:t xml:space="preserve"> Saeimas Budžeta un finanšu (nodokļu) komisiju par šā rīkojuma 1. punktā</w:t>
            </w:r>
            <w:r w:rsidR="00E00F5F" w:rsidRPr="00A71967">
              <w:rPr>
                <w:iCs/>
                <w:sz w:val="26"/>
                <w:szCs w:val="26"/>
              </w:rPr>
              <w:t xml:space="preserve"> </w:t>
            </w:r>
            <w:r w:rsidRPr="00A71967">
              <w:rPr>
                <w:iCs/>
                <w:sz w:val="26"/>
                <w:szCs w:val="26"/>
              </w:rPr>
              <w:t xml:space="preserve">minētajām apropriācijas izmaiņām un, ja Saeimas Budžeta </w:t>
            </w:r>
            <w:r w:rsidRPr="00A71967">
              <w:rPr>
                <w:iCs/>
                <w:sz w:val="26"/>
                <w:szCs w:val="26"/>
              </w:rPr>
              <w:lastRenderedPageBreak/>
              <w:t>un finanšu (nodokļu) komisija piecu darbdienu laikā no attiecīgās informācijas saņemšanas dienas n</w:t>
            </w:r>
            <w:r w:rsidR="006A5969" w:rsidRPr="00A71967">
              <w:rPr>
                <w:iCs/>
                <w:sz w:val="26"/>
                <w:szCs w:val="26"/>
              </w:rPr>
              <w:t>ebūs</w:t>
            </w:r>
            <w:r w:rsidRPr="00A71967">
              <w:rPr>
                <w:iCs/>
                <w:sz w:val="26"/>
                <w:szCs w:val="26"/>
              </w:rPr>
              <w:t xml:space="preserve"> iebildusi pret apropriācijas izmaiņām, veik</w:t>
            </w:r>
            <w:r w:rsidR="006A5969" w:rsidRPr="00A71967">
              <w:rPr>
                <w:iCs/>
                <w:sz w:val="26"/>
                <w:szCs w:val="26"/>
              </w:rPr>
              <w:t>s</w:t>
            </w:r>
            <w:r w:rsidRPr="00A71967">
              <w:rPr>
                <w:iCs/>
                <w:sz w:val="26"/>
                <w:szCs w:val="26"/>
              </w:rPr>
              <w:t xml:space="preserve"> apropriācijas izmaiņas.</w:t>
            </w:r>
          </w:p>
        </w:tc>
      </w:tr>
      <w:tr w:rsidR="00C75EAE" w:rsidRPr="00A71967" w14:paraId="277C585A" w14:textId="77777777" w:rsidTr="0032092E">
        <w:tc>
          <w:tcPr>
            <w:tcW w:w="1702" w:type="dxa"/>
            <w:tcBorders>
              <w:top w:val="nil"/>
            </w:tcBorders>
            <w:vAlign w:val="center"/>
          </w:tcPr>
          <w:p w14:paraId="2347CDBA" w14:textId="77777777" w:rsidR="000F20DA" w:rsidRPr="00A71967" w:rsidRDefault="000F20DA"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6.1. detalizēts ieņēmumu aprēķins</w:t>
            </w:r>
          </w:p>
        </w:tc>
        <w:tc>
          <w:tcPr>
            <w:tcW w:w="7512" w:type="dxa"/>
            <w:vMerge/>
            <w:tcBorders>
              <w:top w:val="nil"/>
            </w:tcBorders>
            <w:shd w:val="clear" w:color="auto" w:fill="auto"/>
            <w:vAlign w:val="center"/>
          </w:tcPr>
          <w:p w14:paraId="14AC0D06" w14:textId="77777777" w:rsidR="000F20DA" w:rsidRPr="00A71967" w:rsidRDefault="000F20DA" w:rsidP="00495126">
            <w:pPr>
              <w:pStyle w:val="NoSpacing"/>
              <w:rPr>
                <w:rFonts w:ascii="Times New Roman" w:hAnsi="Times New Roman" w:cs="Times New Roman"/>
                <w:iCs/>
                <w:sz w:val="24"/>
                <w:szCs w:val="24"/>
                <w:lang w:eastAsia="lv-LV"/>
              </w:rPr>
            </w:pPr>
          </w:p>
        </w:tc>
      </w:tr>
      <w:tr w:rsidR="00C75EAE" w:rsidRPr="00A71967" w14:paraId="374DE84B" w14:textId="77777777" w:rsidTr="00F34AD5">
        <w:tc>
          <w:tcPr>
            <w:tcW w:w="1702" w:type="dxa"/>
            <w:vAlign w:val="center"/>
          </w:tcPr>
          <w:p w14:paraId="68563EDF" w14:textId="77777777" w:rsidR="000F20DA" w:rsidRPr="00A71967" w:rsidRDefault="000F20DA"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6.2. detalizēts izdevumu aprēķins</w:t>
            </w:r>
          </w:p>
        </w:tc>
        <w:tc>
          <w:tcPr>
            <w:tcW w:w="7512" w:type="dxa"/>
            <w:vMerge/>
            <w:shd w:val="clear" w:color="auto" w:fill="auto"/>
            <w:vAlign w:val="center"/>
          </w:tcPr>
          <w:p w14:paraId="4FB6EA78" w14:textId="77777777" w:rsidR="000F20DA" w:rsidRPr="00A71967" w:rsidRDefault="000F20DA" w:rsidP="00495126">
            <w:pPr>
              <w:pStyle w:val="NoSpacing"/>
              <w:rPr>
                <w:rFonts w:ascii="Times New Roman" w:hAnsi="Times New Roman" w:cs="Times New Roman"/>
                <w:iCs/>
                <w:sz w:val="24"/>
                <w:szCs w:val="24"/>
                <w:lang w:eastAsia="lv-LV"/>
              </w:rPr>
            </w:pPr>
          </w:p>
        </w:tc>
      </w:tr>
      <w:tr w:rsidR="00C75EAE" w:rsidRPr="00A71967" w14:paraId="6590A663" w14:textId="77777777" w:rsidTr="00F34AD5">
        <w:tc>
          <w:tcPr>
            <w:tcW w:w="1702" w:type="dxa"/>
            <w:vAlign w:val="center"/>
          </w:tcPr>
          <w:p w14:paraId="42D551E6" w14:textId="77777777" w:rsidR="000F20DA" w:rsidRPr="00A71967" w:rsidRDefault="000F20DA"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7. Amata vietu skaita izmaiņas</w:t>
            </w:r>
          </w:p>
        </w:tc>
        <w:tc>
          <w:tcPr>
            <w:tcW w:w="7512" w:type="dxa"/>
            <w:vAlign w:val="center"/>
          </w:tcPr>
          <w:p w14:paraId="0CB3B76E" w14:textId="77777777" w:rsidR="000F20DA" w:rsidRPr="00A71967" w:rsidRDefault="000F20DA" w:rsidP="00495126">
            <w:pPr>
              <w:pStyle w:val="NoSpacing"/>
              <w:rPr>
                <w:rFonts w:ascii="Times New Roman" w:hAnsi="Times New Roman" w:cs="Times New Roman"/>
                <w:iCs/>
                <w:sz w:val="26"/>
                <w:szCs w:val="26"/>
                <w:lang w:eastAsia="lv-LV"/>
              </w:rPr>
            </w:pPr>
            <w:r w:rsidRPr="00A71967">
              <w:rPr>
                <w:rFonts w:ascii="Times New Roman" w:hAnsi="Times New Roman" w:cs="Times New Roman"/>
                <w:sz w:val="26"/>
                <w:szCs w:val="26"/>
              </w:rPr>
              <w:t>Projekts šo jomu neskar.</w:t>
            </w:r>
          </w:p>
        </w:tc>
      </w:tr>
      <w:tr w:rsidR="00C75EAE" w:rsidRPr="00A71967" w14:paraId="5F5F24E9" w14:textId="77777777" w:rsidTr="00F34AD5">
        <w:tc>
          <w:tcPr>
            <w:tcW w:w="1702" w:type="dxa"/>
            <w:vAlign w:val="center"/>
          </w:tcPr>
          <w:p w14:paraId="794C2357" w14:textId="77777777" w:rsidR="000F20DA" w:rsidRPr="00A71967" w:rsidRDefault="000F20DA"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8. Cita informācija</w:t>
            </w:r>
          </w:p>
        </w:tc>
        <w:tc>
          <w:tcPr>
            <w:tcW w:w="7512" w:type="dxa"/>
            <w:vAlign w:val="center"/>
          </w:tcPr>
          <w:p w14:paraId="78F4B8B6" w14:textId="17A87443" w:rsidR="003E1B33" w:rsidRPr="00A71967" w:rsidRDefault="00EB5C24" w:rsidP="00495126">
            <w:pPr>
              <w:pStyle w:val="NoSpacing"/>
              <w:ind w:firstLine="321"/>
              <w:jc w:val="both"/>
              <w:rPr>
                <w:rFonts w:ascii="Times New Roman" w:hAnsi="Times New Roman" w:cs="Times New Roman"/>
                <w:sz w:val="26"/>
                <w:szCs w:val="26"/>
              </w:rPr>
            </w:pPr>
            <w:r w:rsidRPr="00A71967">
              <w:rPr>
                <w:rFonts w:ascii="Times New Roman" w:hAnsi="Times New Roman" w:cs="Times New Roman"/>
                <w:sz w:val="26"/>
                <w:szCs w:val="26"/>
              </w:rPr>
              <w:t xml:space="preserve">Izdevumi </w:t>
            </w:r>
            <w:r w:rsidR="00135C76" w:rsidRPr="00A71967">
              <w:rPr>
                <w:rFonts w:ascii="Times New Roman" w:hAnsi="Times New Roman" w:cs="Times New Roman"/>
                <w:sz w:val="26"/>
                <w:szCs w:val="26"/>
              </w:rPr>
              <w:t>2021.gadā</w:t>
            </w:r>
            <w:r w:rsidR="00C75EAE" w:rsidRPr="00A71967">
              <w:rPr>
                <w:rFonts w:ascii="Times New Roman" w:hAnsi="Times New Roman" w:cs="Times New Roman"/>
                <w:sz w:val="26"/>
                <w:szCs w:val="26"/>
              </w:rPr>
              <w:t xml:space="preserve"> </w:t>
            </w:r>
            <w:r w:rsidRPr="00A71967">
              <w:rPr>
                <w:rFonts w:ascii="Times New Roman" w:hAnsi="Times New Roman" w:cs="Times New Roman"/>
                <w:sz w:val="26"/>
                <w:szCs w:val="26"/>
              </w:rPr>
              <w:t xml:space="preserve">tiks veikti Veselības ministrijas budžeta programmas 99.00.00 “Līdzekļu neparedzētiem gadījumiem izlietojums” ietvaros, līdzekļus pārdalot no valsts budžeta programmas 02.00.00 “Līdzekļi neparedzētiem gadījumiem”. </w:t>
            </w:r>
            <w:r w:rsidR="009B2E7E" w:rsidRPr="00A71967">
              <w:rPr>
                <w:rFonts w:ascii="Times New Roman" w:hAnsi="Times New Roman" w:cs="Times New Roman"/>
                <w:sz w:val="26"/>
                <w:szCs w:val="26"/>
              </w:rPr>
              <w:t xml:space="preserve"> </w:t>
            </w:r>
          </w:p>
        </w:tc>
      </w:tr>
    </w:tbl>
    <w:p w14:paraId="6017F627" w14:textId="77777777" w:rsidR="00E5323B" w:rsidRPr="00A71967" w:rsidRDefault="00E5323B" w:rsidP="00495126">
      <w:pPr>
        <w:pStyle w:val="NoSpacing"/>
        <w:rPr>
          <w:rFonts w:ascii="Times New Roman" w:hAnsi="Times New Roman" w:cs="Times New Roman"/>
          <w:iCs/>
          <w:sz w:val="24"/>
          <w:szCs w:val="24"/>
          <w:lang w:eastAsia="lv-LV"/>
        </w:rPr>
      </w:pPr>
    </w:p>
    <w:p w14:paraId="124B2B82" w14:textId="77777777" w:rsidR="004F4293" w:rsidRPr="00A71967" w:rsidRDefault="004F4293" w:rsidP="00495126">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C75EAE" w:rsidRPr="00A71967" w14:paraId="30056652" w14:textId="77777777" w:rsidTr="00AE7E7D">
        <w:tc>
          <w:tcPr>
            <w:tcW w:w="9214" w:type="dxa"/>
          </w:tcPr>
          <w:p w14:paraId="68D0DEEF" w14:textId="77777777" w:rsidR="007F6F87" w:rsidRPr="00A71967" w:rsidRDefault="007F6F87" w:rsidP="00495126">
            <w:pPr>
              <w:pStyle w:val="NoSpacing"/>
              <w:jc w:val="center"/>
              <w:rPr>
                <w:rFonts w:ascii="Times New Roman" w:hAnsi="Times New Roman" w:cs="Times New Roman"/>
                <w:b/>
                <w:sz w:val="26"/>
                <w:szCs w:val="26"/>
                <w:lang w:eastAsia="lv-LV"/>
              </w:rPr>
            </w:pPr>
            <w:r w:rsidRPr="00A71967">
              <w:rPr>
                <w:rFonts w:ascii="Times New Roman" w:hAnsi="Times New Roman" w:cs="Times New Roman"/>
                <w:b/>
                <w:iCs/>
                <w:sz w:val="26"/>
                <w:szCs w:val="26"/>
                <w:lang w:eastAsia="lv-LV"/>
              </w:rPr>
              <w:t>IV. Tiesību akta projekta ietekme uz spēkā esošo tiesību normu sistēmu</w:t>
            </w:r>
          </w:p>
        </w:tc>
      </w:tr>
      <w:tr w:rsidR="00C75EAE" w:rsidRPr="00A71967" w14:paraId="74E1EEC0" w14:textId="77777777" w:rsidTr="00AE7E7D">
        <w:tc>
          <w:tcPr>
            <w:tcW w:w="9214" w:type="dxa"/>
          </w:tcPr>
          <w:p w14:paraId="5A33160E" w14:textId="77777777" w:rsidR="007F6F87" w:rsidRPr="00A71967" w:rsidRDefault="007F6F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Projekts šo jomu neskar</w:t>
            </w:r>
            <w:r w:rsidR="007272A8" w:rsidRPr="00A71967">
              <w:rPr>
                <w:rFonts w:ascii="Times New Roman" w:hAnsi="Times New Roman" w:cs="Times New Roman"/>
                <w:sz w:val="26"/>
                <w:szCs w:val="26"/>
                <w:lang w:eastAsia="lv-LV"/>
              </w:rPr>
              <w:t>.</w:t>
            </w:r>
          </w:p>
        </w:tc>
      </w:tr>
    </w:tbl>
    <w:p w14:paraId="1A912986" w14:textId="77777777" w:rsidR="007F6F87" w:rsidRPr="00A71967" w:rsidRDefault="007F6F87" w:rsidP="00495126">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C75EAE" w:rsidRPr="00A71967" w14:paraId="7284E237" w14:textId="77777777" w:rsidTr="00AE7E7D">
        <w:tc>
          <w:tcPr>
            <w:tcW w:w="9214" w:type="dxa"/>
          </w:tcPr>
          <w:p w14:paraId="4DF2B133" w14:textId="77777777" w:rsidR="007F6F87" w:rsidRPr="00A71967" w:rsidRDefault="007F6F87" w:rsidP="00495126">
            <w:pPr>
              <w:pStyle w:val="NoSpacing"/>
              <w:jc w:val="center"/>
              <w:rPr>
                <w:rFonts w:ascii="Times New Roman" w:hAnsi="Times New Roman" w:cs="Times New Roman"/>
                <w:b/>
                <w:sz w:val="26"/>
                <w:szCs w:val="26"/>
                <w:lang w:eastAsia="lv-LV"/>
              </w:rPr>
            </w:pPr>
            <w:r w:rsidRPr="00A71967">
              <w:rPr>
                <w:rFonts w:ascii="Times New Roman" w:hAnsi="Times New Roman" w:cs="Times New Roman"/>
                <w:b/>
                <w:iCs/>
                <w:sz w:val="26"/>
                <w:szCs w:val="26"/>
                <w:lang w:eastAsia="lv-LV"/>
              </w:rPr>
              <w:t>V. Tiesību akta projekta atbilstība Latvijas Republikas starptautiskajām saistībām</w:t>
            </w:r>
          </w:p>
        </w:tc>
      </w:tr>
      <w:tr w:rsidR="00C75EAE" w:rsidRPr="00A71967" w14:paraId="3D42C868" w14:textId="77777777" w:rsidTr="00AE7E7D">
        <w:tc>
          <w:tcPr>
            <w:tcW w:w="9214" w:type="dxa"/>
          </w:tcPr>
          <w:p w14:paraId="6EE75F60" w14:textId="77777777" w:rsidR="007F6F87" w:rsidRPr="00A71967" w:rsidRDefault="007F6F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Projekts šo jomu neskar</w:t>
            </w:r>
            <w:r w:rsidR="007272A8" w:rsidRPr="00A71967">
              <w:rPr>
                <w:rFonts w:ascii="Times New Roman" w:hAnsi="Times New Roman" w:cs="Times New Roman"/>
                <w:sz w:val="26"/>
                <w:szCs w:val="26"/>
                <w:lang w:eastAsia="lv-LV"/>
              </w:rPr>
              <w:t>.</w:t>
            </w:r>
          </w:p>
        </w:tc>
      </w:tr>
    </w:tbl>
    <w:p w14:paraId="460F123A" w14:textId="77777777" w:rsidR="007F6F87" w:rsidRPr="00A71967" w:rsidRDefault="007F6F87" w:rsidP="00495126">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C75EAE" w:rsidRPr="00A71967" w14:paraId="32F1B396" w14:textId="77777777" w:rsidTr="00AE7E7D">
        <w:tc>
          <w:tcPr>
            <w:tcW w:w="9214" w:type="dxa"/>
          </w:tcPr>
          <w:p w14:paraId="4B3B09BF" w14:textId="77777777" w:rsidR="007F6F87" w:rsidRPr="00A71967" w:rsidRDefault="007F6F87" w:rsidP="00495126">
            <w:pPr>
              <w:pStyle w:val="NoSpacing"/>
              <w:jc w:val="center"/>
              <w:rPr>
                <w:rFonts w:ascii="Times New Roman" w:hAnsi="Times New Roman" w:cs="Times New Roman"/>
                <w:b/>
                <w:sz w:val="26"/>
                <w:szCs w:val="26"/>
                <w:lang w:eastAsia="lv-LV"/>
              </w:rPr>
            </w:pPr>
            <w:r w:rsidRPr="00A71967">
              <w:rPr>
                <w:rFonts w:ascii="Times New Roman" w:hAnsi="Times New Roman" w:cs="Times New Roman"/>
                <w:b/>
                <w:iCs/>
                <w:sz w:val="26"/>
                <w:szCs w:val="26"/>
                <w:lang w:eastAsia="lv-LV"/>
              </w:rPr>
              <w:t>VI. Sabiedrības līdzdalība un komunikācijas aktivitātes</w:t>
            </w:r>
          </w:p>
        </w:tc>
      </w:tr>
      <w:tr w:rsidR="00C75EAE" w:rsidRPr="00A71967" w14:paraId="334AFDF1" w14:textId="77777777" w:rsidTr="00AE7E7D">
        <w:tc>
          <w:tcPr>
            <w:tcW w:w="9214" w:type="dxa"/>
          </w:tcPr>
          <w:p w14:paraId="7D835B1A" w14:textId="77777777" w:rsidR="007F6F87" w:rsidRPr="00A71967" w:rsidRDefault="007F6F87"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Projekts šo jomu neskar</w:t>
            </w:r>
            <w:r w:rsidR="007272A8" w:rsidRPr="00A71967">
              <w:rPr>
                <w:rFonts w:ascii="Times New Roman" w:hAnsi="Times New Roman" w:cs="Times New Roman"/>
                <w:sz w:val="26"/>
                <w:szCs w:val="26"/>
                <w:lang w:eastAsia="lv-LV"/>
              </w:rPr>
              <w:t>.</w:t>
            </w:r>
          </w:p>
        </w:tc>
      </w:tr>
    </w:tbl>
    <w:p w14:paraId="5EFCC603" w14:textId="77777777" w:rsidR="007F6F87" w:rsidRPr="00A71967" w:rsidRDefault="00E5323B"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 </w:t>
      </w:r>
    </w:p>
    <w:tbl>
      <w:tblPr>
        <w:tblStyle w:val="TableGrid"/>
        <w:tblW w:w="9214" w:type="dxa"/>
        <w:tblInd w:w="-147" w:type="dxa"/>
        <w:tblLook w:val="04A0" w:firstRow="1" w:lastRow="0" w:firstColumn="1" w:lastColumn="0" w:noHBand="0" w:noVBand="1"/>
      </w:tblPr>
      <w:tblGrid>
        <w:gridCol w:w="568"/>
        <w:gridCol w:w="3260"/>
        <w:gridCol w:w="5386"/>
      </w:tblGrid>
      <w:tr w:rsidR="00C75EAE" w:rsidRPr="00A71967" w14:paraId="59D4F5E0" w14:textId="77777777" w:rsidTr="00AE7E7D">
        <w:tc>
          <w:tcPr>
            <w:tcW w:w="9214" w:type="dxa"/>
            <w:gridSpan w:val="3"/>
          </w:tcPr>
          <w:p w14:paraId="22455B86" w14:textId="77777777" w:rsidR="007F6F87" w:rsidRPr="00A71967" w:rsidRDefault="007F6F87" w:rsidP="00495126">
            <w:pPr>
              <w:pStyle w:val="NoSpacing"/>
              <w:jc w:val="center"/>
              <w:rPr>
                <w:rFonts w:ascii="Times New Roman" w:hAnsi="Times New Roman" w:cs="Times New Roman"/>
                <w:b/>
                <w:sz w:val="26"/>
                <w:szCs w:val="26"/>
                <w:lang w:eastAsia="lv-LV"/>
              </w:rPr>
            </w:pPr>
            <w:r w:rsidRPr="00A71967">
              <w:rPr>
                <w:rFonts w:ascii="Times New Roman" w:hAnsi="Times New Roman" w:cs="Times New Roman"/>
                <w:b/>
                <w:iCs/>
                <w:sz w:val="26"/>
                <w:szCs w:val="26"/>
                <w:lang w:eastAsia="lv-LV"/>
              </w:rPr>
              <w:t>VII. Tiesību akta projekta izpildes nodrošināšana un tās ietekme uz institūcijām</w:t>
            </w:r>
          </w:p>
        </w:tc>
      </w:tr>
      <w:tr w:rsidR="00C75EAE" w:rsidRPr="00A71967" w14:paraId="7041FBCA" w14:textId="77777777" w:rsidTr="00AE7E7D">
        <w:tc>
          <w:tcPr>
            <w:tcW w:w="568" w:type="dxa"/>
          </w:tcPr>
          <w:p w14:paraId="59E9762E" w14:textId="77777777" w:rsidR="0049601C" w:rsidRPr="00A71967" w:rsidRDefault="0049601C"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1.</w:t>
            </w:r>
          </w:p>
        </w:tc>
        <w:tc>
          <w:tcPr>
            <w:tcW w:w="3260" w:type="dxa"/>
          </w:tcPr>
          <w:p w14:paraId="6C679A73" w14:textId="77777777" w:rsidR="0049601C" w:rsidRPr="00A71967" w:rsidRDefault="0049601C"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Projekta izpildē iesaistītās institūcijas</w:t>
            </w:r>
          </w:p>
        </w:tc>
        <w:tc>
          <w:tcPr>
            <w:tcW w:w="5386" w:type="dxa"/>
          </w:tcPr>
          <w:p w14:paraId="5D9D2284" w14:textId="09DCF05C" w:rsidR="0049601C" w:rsidRPr="00A71967" w:rsidRDefault="0056229B" w:rsidP="00495126">
            <w:pPr>
              <w:jc w:val="both"/>
              <w:rPr>
                <w:sz w:val="26"/>
                <w:szCs w:val="26"/>
              </w:rPr>
            </w:pPr>
            <w:r w:rsidRPr="00A71967">
              <w:rPr>
                <w:sz w:val="26"/>
                <w:szCs w:val="26"/>
              </w:rPr>
              <w:t>Veselības ministrija</w:t>
            </w:r>
            <w:r w:rsidR="00302363" w:rsidRPr="00A71967">
              <w:rPr>
                <w:sz w:val="26"/>
                <w:szCs w:val="26"/>
              </w:rPr>
              <w:t>.</w:t>
            </w:r>
            <w:r w:rsidR="00174EFB" w:rsidRPr="00A71967">
              <w:rPr>
                <w:sz w:val="26"/>
                <w:szCs w:val="26"/>
              </w:rPr>
              <w:t xml:space="preserve"> </w:t>
            </w:r>
          </w:p>
        </w:tc>
      </w:tr>
      <w:tr w:rsidR="00C75EAE" w:rsidRPr="00A71967" w14:paraId="15EE6036" w14:textId="77777777" w:rsidTr="00AE7E7D">
        <w:tc>
          <w:tcPr>
            <w:tcW w:w="568" w:type="dxa"/>
          </w:tcPr>
          <w:p w14:paraId="2E656C6B" w14:textId="77777777" w:rsidR="0049601C" w:rsidRPr="00A71967" w:rsidRDefault="0049601C"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2.</w:t>
            </w:r>
          </w:p>
        </w:tc>
        <w:tc>
          <w:tcPr>
            <w:tcW w:w="3260" w:type="dxa"/>
          </w:tcPr>
          <w:p w14:paraId="03FD1E6A" w14:textId="77777777" w:rsidR="0049601C" w:rsidRPr="00A71967" w:rsidRDefault="0049601C" w:rsidP="00495126">
            <w:pPr>
              <w:pStyle w:val="NoSpacing"/>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Projekta izpildes ietekme uz pārvaldes funkcijām un institucionālo struktūru.</w:t>
            </w:r>
            <w:r w:rsidRPr="00A71967">
              <w:rPr>
                <w:rFonts w:ascii="Times New Roman" w:hAnsi="Times New Roman" w:cs="Times New Roman"/>
                <w:iCs/>
                <w:sz w:val="26"/>
                <w:szCs w:val="26"/>
                <w:lang w:eastAsia="lv-LV"/>
              </w:rPr>
              <w:br/>
              <w:t>Jaunu institūciju izveide, esošu institūciju likvidācija vai reorganizācija, to ietekme uz institūcijas cilvēkresursiem</w:t>
            </w:r>
          </w:p>
        </w:tc>
        <w:tc>
          <w:tcPr>
            <w:tcW w:w="5386" w:type="dxa"/>
          </w:tcPr>
          <w:p w14:paraId="20847E4F" w14:textId="77777777" w:rsidR="0049601C" w:rsidRPr="00A71967" w:rsidRDefault="0049601C" w:rsidP="00495126">
            <w:pPr>
              <w:rPr>
                <w:sz w:val="26"/>
                <w:szCs w:val="26"/>
              </w:rPr>
            </w:pPr>
            <w:r w:rsidRPr="00A71967">
              <w:rPr>
                <w:sz w:val="26"/>
                <w:szCs w:val="26"/>
              </w:rPr>
              <w:t>Projekts šo jomu neskar.</w:t>
            </w:r>
          </w:p>
        </w:tc>
      </w:tr>
      <w:tr w:rsidR="00C75EAE" w:rsidRPr="00A71967" w14:paraId="48BCC746" w14:textId="77777777" w:rsidTr="00AE7E7D">
        <w:tc>
          <w:tcPr>
            <w:tcW w:w="568" w:type="dxa"/>
          </w:tcPr>
          <w:p w14:paraId="74EDC457" w14:textId="77777777" w:rsidR="0049601C" w:rsidRPr="00A71967" w:rsidRDefault="0049601C" w:rsidP="00495126">
            <w:pPr>
              <w:pStyle w:val="NoSpacing"/>
              <w:jc w:val="center"/>
              <w:rPr>
                <w:rFonts w:ascii="Times New Roman" w:hAnsi="Times New Roman" w:cs="Times New Roman"/>
                <w:sz w:val="26"/>
                <w:szCs w:val="26"/>
                <w:lang w:eastAsia="lv-LV"/>
              </w:rPr>
            </w:pPr>
            <w:r w:rsidRPr="00A71967">
              <w:rPr>
                <w:rFonts w:ascii="Times New Roman" w:hAnsi="Times New Roman" w:cs="Times New Roman"/>
                <w:sz w:val="26"/>
                <w:szCs w:val="26"/>
                <w:lang w:eastAsia="lv-LV"/>
              </w:rPr>
              <w:t>3.</w:t>
            </w:r>
          </w:p>
        </w:tc>
        <w:tc>
          <w:tcPr>
            <w:tcW w:w="3260" w:type="dxa"/>
          </w:tcPr>
          <w:p w14:paraId="60923DCE" w14:textId="77777777" w:rsidR="0049601C" w:rsidRPr="00A71967" w:rsidRDefault="0049601C" w:rsidP="00495126">
            <w:pPr>
              <w:pStyle w:val="NoSpacing"/>
              <w:jc w:val="both"/>
              <w:rPr>
                <w:rFonts w:ascii="Times New Roman" w:hAnsi="Times New Roman" w:cs="Times New Roman"/>
                <w:iCs/>
                <w:sz w:val="26"/>
                <w:szCs w:val="26"/>
                <w:lang w:eastAsia="lv-LV"/>
              </w:rPr>
            </w:pPr>
            <w:r w:rsidRPr="00A71967">
              <w:rPr>
                <w:rFonts w:ascii="Times New Roman" w:hAnsi="Times New Roman" w:cs="Times New Roman"/>
                <w:iCs/>
                <w:sz w:val="26"/>
                <w:szCs w:val="26"/>
                <w:lang w:eastAsia="lv-LV"/>
              </w:rPr>
              <w:t>Cita informācija</w:t>
            </w:r>
          </w:p>
        </w:tc>
        <w:tc>
          <w:tcPr>
            <w:tcW w:w="5386" w:type="dxa"/>
          </w:tcPr>
          <w:p w14:paraId="6559FFF2" w14:textId="77777777" w:rsidR="0049601C" w:rsidRPr="00A71967" w:rsidRDefault="0049601C" w:rsidP="00495126">
            <w:pPr>
              <w:pStyle w:val="NoSpacing"/>
              <w:rPr>
                <w:rFonts w:ascii="Times New Roman" w:hAnsi="Times New Roman" w:cs="Times New Roman"/>
                <w:sz w:val="26"/>
                <w:szCs w:val="26"/>
                <w:lang w:eastAsia="lv-LV"/>
              </w:rPr>
            </w:pPr>
            <w:r w:rsidRPr="00A71967">
              <w:rPr>
                <w:rFonts w:ascii="Times New Roman" w:hAnsi="Times New Roman" w:cs="Times New Roman"/>
                <w:sz w:val="26"/>
                <w:szCs w:val="26"/>
                <w:lang w:eastAsia="lv-LV"/>
              </w:rPr>
              <w:t>Nav</w:t>
            </w:r>
          </w:p>
        </w:tc>
      </w:tr>
    </w:tbl>
    <w:p w14:paraId="0204E857" w14:textId="2325114B" w:rsidR="007C66F3" w:rsidRPr="00A71967" w:rsidRDefault="00E5323B" w:rsidP="00495126">
      <w:pPr>
        <w:pStyle w:val="NoSpacing"/>
        <w:rPr>
          <w:rFonts w:ascii="Times New Roman" w:hAnsi="Times New Roman" w:cs="Times New Roman"/>
          <w:iCs/>
          <w:sz w:val="24"/>
          <w:szCs w:val="24"/>
          <w:lang w:eastAsia="lv-LV"/>
        </w:rPr>
      </w:pPr>
      <w:r w:rsidRPr="00A71967">
        <w:rPr>
          <w:rFonts w:ascii="Times New Roman" w:hAnsi="Times New Roman" w:cs="Times New Roman"/>
          <w:iCs/>
          <w:sz w:val="24"/>
          <w:szCs w:val="24"/>
          <w:lang w:eastAsia="lv-LV"/>
        </w:rPr>
        <w:t xml:space="preserve"> </w:t>
      </w:r>
    </w:p>
    <w:p w14:paraId="713569BC" w14:textId="77777777" w:rsidR="008E3F08" w:rsidRPr="00A71967" w:rsidRDefault="008E3F08" w:rsidP="00495126">
      <w:pPr>
        <w:pStyle w:val="NoSpacing"/>
      </w:pPr>
    </w:p>
    <w:p w14:paraId="5B435DE5" w14:textId="356281B7" w:rsidR="005348A9" w:rsidRPr="00A71967" w:rsidRDefault="005348A9" w:rsidP="00495126">
      <w:pPr>
        <w:pStyle w:val="NormalWeb"/>
        <w:spacing w:before="0" w:beforeAutospacing="0" w:after="0" w:afterAutospacing="0"/>
        <w:rPr>
          <w:sz w:val="28"/>
          <w:szCs w:val="28"/>
        </w:rPr>
      </w:pPr>
      <w:r w:rsidRPr="00A71967">
        <w:rPr>
          <w:sz w:val="28"/>
          <w:szCs w:val="28"/>
        </w:rPr>
        <w:t xml:space="preserve"> Veselības ministr</w:t>
      </w:r>
      <w:r w:rsidR="00942695" w:rsidRPr="00A71967">
        <w:rPr>
          <w:sz w:val="28"/>
          <w:szCs w:val="28"/>
        </w:rPr>
        <w:t>s</w:t>
      </w:r>
      <w:r w:rsidR="000B6A50" w:rsidRPr="00A71967">
        <w:rPr>
          <w:sz w:val="28"/>
          <w:szCs w:val="28"/>
        </w:rPr>
        <w:t xml:space="preserve">                                                   </w:t>
      </w:r>
      <w:r w:rsidRPr="00A71967">
        <w:rPr>
          <w:sz w:val="28"/>
          <w:szCs w:val="28"/>
        </w:rPr>
        <w:t>       </w:t>
      </w:r>
      <w:r w:rsidRPr="00A71967">
        <w:rPr>
          <w:rFonts w:eastAsia="Calibri"/>
          <w:noProof/>
          <w:sz w:val="20"/>
          <w:szCs w:val="20"/>
          <w:lang w:eastAsia="en-US"/>
        </w:rPr>
        <w:t xml:space="preserve">                     </w:t>
      </w:r>
      <w:r w:rsidR="000D0855" w:rsidRPr="00A71967">
        <w:rPr>
          <w:sz w:val="28"/>
          <w:szCs w:val="28"/>
        </w:rPr>
        <w:t>D.</w:t>
      </w:r>
      <w:r w:rsidR="002D60B5" w:rsidRPr="00A71967">
        <w:rPr>
          <w:sz w:val="28"/>
          <w:szCs w:val="28"/>
        </w:rPr>
        <w:t xml:space="preserve"> </w:t>
      </w:r>
      <w:r w:rsidR="000D0855" w:rsidRPr="00A71967">
        <w:rPr>
          <w:sz w:val="28"/>
          <w:szCs w:val="28"/>
        </w:rPr>
        <w:t>Pavļuts</w:t>
      </w:r>
    </w:p>
    <w:p w14:paraId="42760903" w14:textId="77777777" w:rsidR="00DF461F" w:rsidRPr="00A71967" w:rsidRDefault="00DF461F" w:rsidP="00495126">
      <w:pPr>
        <w:ind w:right="-765"/>
        <w:rPr>
          <w:rFonts w:eastAsia="Calibri"/>
          <w:sz w:val="28"/>
          <w:szCs w:val="28"/>
        </w:rPr>
      </w:pPr>
    </w:p>
    <w:p w14:paraId="4544845E" w14:textId="296A396A" w:rsidR="00155578" w:rsidRPr="00A71967" w:rsidRDefault="005348A9" w:rsidP="00495126">
      <w:pPr>
        <w:pStyle w:val="NormalWeb"/>
        <w:spacing w:before="0" w:beforeAutospacing="0" w:after="0" w:afterAutospacing="0"/>
        <w:rPr>
          <w:sz w:val="20"/>
          <w:szCs w:val="20"/>
        </w:rPr>
      </w:pPr>
      <w:r w:rsidRPr="00A71967">
        <w:rPr>
          <w:rFonts w:eastAsia="Calibri"/>
          <w:sz w:val="28"/>
          <w:szCs w:val="28"/>
        </w:rPr>
        <w:t xml:space="preserve"> </w:t>
      </w:r>
      <w:r w:rsidR="00DF461F" w:rsidRPr="00A71967">
        <w:rPr>
          <w:rFonts w:eastAsia="Calibri"/>
          <w:sz w:val="28"/>
          <w:szCs w:val="28"/>
        </w:rPr>
        <w:t>Vīza: Valsts sekretār</w:t>
      </w:r>
      <w:r w:rsidR="000B6A50" w:rsidRPr="00A71967">
        <w:rPr>
          <w:rFonts w:eastAsia="Calibri"/>
          <w:sz w:val="28"/>
          <w:szCs w:val="28"/>
        </w:rPr>
        <w:t xml:space="preserve">e </w:t>
      </w:r>
      <w:r w:rsidR="00DF461F" w:rsidRPr="00A71967">
        <w:rPr>
          <w:rFonts w:eastAsia="Calibri"/>
          <w:sz w:val="28"/>
          <w:szCs w:val="28"/>
        </w:rPr>
        <w:tab/>
      </w:r>
      <w:r w:rsidR="00DF461F" w:rsidRPr="00A71967">
        <w:rPr>
          <w:rFonts w:eastAsia="Calibri"/>
          <w:sz w:val="28"/>
          <w:szCs w:val="28"/>
        </w:rPr>
        <w:tab/>
      </w:r>
      <w:r w:rsidR="00DF461F" w:rsidRPr="00A71967">
        <w:rPr>
          <w:rFonts w:eastAsia="Calibri"/>
          <w:sz w:val="28"/>
          <w:szCs w:val="28"/>
        </w:rPr>
        <w:tab/>
      </w:r>
      <w:r w:rsidR="000B6A50" w:rsidRPr="00A71967">
        <w:rPr>
          <w:rFonts w:eastAsia="Calibri"/>
          <w:sz w:val="28"/>
          <w:szCs w:val="28"/>
        </w:rPr>
        <w:t xml:space="preserve">                  </w:t>
      </w:r>
      <w:r w:rsidR="00585E5D" w:rsidRPr="00A71967">
        <w:rPr>
          <w:rFonts w:eastAsia="Calibri"/>
          <w:sz w:val="28"/>
          <w:szCs w:val="28"/>
        </w:rPr>
        <w:t xml:space="preserve">     </w:t>
      </w:r>
      <w:r w:rsidR="000B6A50" w:rsidRPr="00A71967">
        <w:rPr>
          <w:rFonts w:eastAsia="Calibri"/>
          <w:sz w:val="28"/>
          <w:szCs w:val="28"/>
        </w:rPr>
        <w:t xml:space="preserve"> </w:t>
      </w:r>
      <w:r w:rsidR="00922A74">
        <w:rPr>
          <w:rFonts w:eastAsia="Calibri"/>
          <w:sz w:val="28"/>
          <w:szCs w:val="28"/>
        </w:rPr>
        <w:tab/>
      </w:r>
      <w:r w:rsidR="00922A74">
        <w:rPr>
          <w:rFonts w:eastAsia="Calibri"/>
          <w:sz w:val="28"/>
          <w:szCs w:val="28"/>
        </w:rPr>
        <w:tab/>
        <w:t>I.</w:t>
      </w:r>
      <w:r w:rsidR="00206208">
        <w:rPr>
          <w:rFonts w:eastAsia="Calibri"/>
          <w:sz w:val="28"/>
          <w:szCs w:val="28"/>
        </w:rPr>
        <w:t> </w:t>
      </w:r>
      <w:r w:rsidR="00922A74">
        <w:rPr>
          <w:rFonts w:eastAsia="Calibri"/>
          <w:sz w:val="28"/>
          <w:szCs w:val="28"/>
        </w:rPr>
        <w:t>Dreika</w:t>
      </w:r>
    </w:p>
    <w:p w14:paraId="7096E08A" w14:textId="77777777" w:rsidR="00155578" w:rsidRPr="00A71967" w:rsidRDefault="00155578" w:rsidP="00495126">
      <w:pPr>
        <w:pStyle w:val="NormalWeb"/>
        <w:spacing w:before="0" w:beforeAutospacing="0" w:after="0" w:afterAutospacing="0"/>
        <w:rPr>
          <w:sz w:val="20"/>
          <w:szCs w:val="20"/>
        </w:rPr>
      </w:pPr>
    </w:p>
    <w:p w14:paraId="6730F887" w14:textId="64D6D951" w:rsidR="00B6729B" w:rsidRPr="00A71967" w:rsidRDefault="00B6729B" w:rsidP="00495126">
      <w:pPr>
        <w:pStyle w:val="NormalWeb"/>
        <w:spacing w:before="0" w:beforeAutospacing="0" w:after="0" w:afterAutospacing="0"/>
      </w:pPr>
    </w:p>
    <w:p w14:paraId="215BE6B9" w14:textId="77777777" w:rsidR="004D10AD" w:rsidRPr="00A71967" w:rsidRDefault="004D10AD" w:rsidP="00495126">
      <w:pPr>
        <w:pStyle w:val="NormalWeb"/>
        <w:spacing w:before="0" w:beforeAutospacing="0" w:after="0" w:afterAutospacing="0"/>
      </w:pPr>
    </w:p>
    <w:p w14:paraId="16B0645B" w14:textId="6D8281D0" w:rsidR="007C0E31" w:rsidRPr="00A71967" w:rsidRDefault="007C0E31" w:rsidP="00495126">
      <w:pPr>
        <w:keepNext/>
        <w:keepLines/>
        <w:widowControl w:val="0"/>
        <w:suppressAutoHyphens/>
        <w:rPr>
          <w:lang w:eastAsia="en-US"/>
        </w:rPr>
      </w:pPr>
      <w:r w:rsidRPr="00A71967">
        <w:rPr>
          <w:lang w:eastAsia="en-US"/>
        </w:rPr>
        <w:t>Batare 67876042</w:t>
      </w:r>
    </w:p>
    <w:p w14:paraId="1910CC89" w14:textId="7FB026E8" w:rsidR="00D465B3" w:rsidRDefault="00CF13F6" w:rsidP="00495126">
      <w:pPr>
        <w:keepNext/>
        <w:keepLines/>
        <w:widowControl w:val="0"/>
        <w:suppressAutoHyphens/>
      </w:pPr>
      <w:hyperlink r:id="rId7" w:history="1">
        <w:r w:rsidR="00E34EFF" w:rsidRPr="000F27E3">
          <w:rPr>
            <w:rStyle w:val="Hyperlink"/>
          </w:rPr>
          <w:t>svetlana.batare@vm.gov.lv</w:t>
        </w:r>
      </w:hyperlink>
    </w:p>
    <w:p w14:paraId="6C3F9975" w14:textId="23D17EC8" w:rsidR="00E34EFF" w:rsidRDefault="00E34EFF" w:rsidP="00495126">
      <w:pPr>
        <w:keepNext/>
        <w:keepLines/>
        <w:widowControl w:val="0"/>
        <w:suppressAutoHyphens/>
      </w:pPr>
    </w:p>
    <w:p w14:paraId="36F972BB" w14:textId="687D2848" w:rsidR="00E34EFF" w:rsidRDefault="00E34EFF" w:rsidP="00495126">
      <w:pPr>
        <w:keepNext/>
        <w:keepLines/>
        <w:widowControl w:val="0"/>
        <w:suppressAutoHyphens/>
        <w:rPr>
          <w:lang w:val="en-GB"/>
        </w:rPr>
      </w:pPr>
      <w:r w:rsidRPr="00E34EFF">
        <w:rPr>
          <w:lang w:val="en-GB"/>
        </w:rPr>
        <w:t>Korņenkova</w:t>
      </w:r>
      <w:r>
        <w:rPr>
          <w:lang w:val="en-GB"/>
        </w:rPr>
        <w:t xml:space="preserve"> </w:t>
      </w:r>
      <w:r w:rsidRPr="00E34EFF">
        <w:rPr>
          <w:lang w:val="en-GB"/>
        </w:rPr>
        <w:t>67876098</w:t>
      </w:r>
    </w:p>
    <w:p w14:paraId="7418EABE" w14:textId="1EABEFBF" w:rsidR="00E34EFF" w:rsidRPr="00C75EAE" w:rsidRDefault="00CF13F6" w:rsidP="00495126">
      <w:pPr>
        <w:keepNext/>
        <w:keepLines/>
        <w:widowControl w:val="0"/>
        <w:suppressAutoHyphens/>
        <w:rPr>
          <w:lang w:val="en-GB"/>
        </w:rPr>
      </w:pPr>
      <w:hyperlink r:id="rId8" w:history="1">
        <w:r w:rsidR="00E34EFF">
          <w:rPr>
            <w:rStyle w:val="Hyperlink"/>
            <w:rFonts w:ascii="RobustaTLPro-Regular" w:hAnsi="RobustaTLPro-Regular"/>
            <w:sz w:val="23"/>
            <w:szCs w:val="23"/>
            <w:shd w:val="clear" w:color="auto" w:fill="FFFFFF"/>
          </w:rPr>
          <w:t>viktorija.kornenkova@vm.gov.lv</w:t>
        </w:r>
      </w:hyperlink>
    </w:p>
    <w:sectPr w:rsidR="00E34EFF" w:rsidRPr="00C75EAE" w:rsidSect="007C0E31">
      <w:headerReference w:type="default" r:id="rId9"/>
      <w:footerReference w:type="default" r:id="rId10"/>
      <w:footerReference w:type="first" r:id="rId11"/>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46CE" w14:textId="77777777" w:rsidR="00871321" w:rsidRDefault="00871321" w:rsidP="00894C55">
      <w:r>
        <w:separator/>
      </w:r>
    </w:p>
  </w:endnote>
  <w:endnote w:type="continuationSeparator" w:id="0">
    <w:p w14:paraId="744A981B" w14:textId="77777777" w:rsidR="00871321" w:rsidRDefault="0087132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13E2" w14:textId="768F2B71" w:rsidR="004149B9" w:rsidRPr="00CF13F6" w:rsidRDefault="00CF13F6" w:rsidP="00CF13F6">
    <w:pPr>
      <w:pStyle w:val="Footer"/>
    </w:pPr>
    <w:r w:rsidRPr="00CF13F6">
      <w:rPr>
        <w:rFonts w:ascii="Times New Roman" w:hAnsi="Times New Roman" w:cs="Times New Roman"/>
        <w:sz w:val="20"/>
        <w:szCs w:val="20"/>
      </w:rPr>
      <w:t>VManot_260521_LNG_rehab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D704" w14:textId="5F33CC40" w:rsidR="004149B9" w:rsidRPr="00CF13F6" w:rsidRDefault="00CF13F6" w:rsidP="00CF13F6">
    <w:pPr>
      <w:pStyle w:val="Footer"/>
    </w:pPr>
    <w:r w:rsidRPr="00CF13F6">
      <w:rPr>
        <w:rFonts w:ascii="Times New Roman" w:hAnsi="Times New Roman" w:cs="Times New Roman"/>
        <w:sz w:val="20"/>
        <w:szCs w:val="20"/>
      </w:rPr>
      <w:t>VManot_260521_LNG_rehab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B280" w14:textId="77777777" w:rsidR="00871321" w:rsidRDefault="00871321" w:rsidP="00894C55">
      <w:r>
        <w:separator/>
      </w:r>
    </w:p>
  </w:footnote>
  <w:footnote w:type="continuationSeparator" w:id="0">
    <w:p w14:paraId="7733DB94" w14:textId="77777777" w:rsidR="00871321" w:rsidRDefault="0087132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268139"/>
      <w:docPartObj>
        <w:docPartGallery w:val="Page Numbers (Top of Page)"/>
        <w:docPartUnique/>
      </w:docPartObj>
    </w:sdtPr>
    <w:sdtEndPr>
      <w:rPr>
        <w:rFonts w:ascii="Times New Roman" w:hAnsi="Times New Roman" w:cs="Times New Roman"/>
        <w:noProof/>
        <w:sz w:val="24"/>
        <w:szCs w:val="20"/>
      </w:rPr>
    </w:sdtEndPr>
    <w:sdtContent>
      <w:p w14:paraId="2180A327" w14:textId="27470562" w:rsidR="004149B9" w:rsidRDefault="004149B9">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p w14:paraId="7A596F40" w14:textId="481CB431" w:rsidR="004149B9" w:rsidRPr="00C25B49" w:rsidRDefault="00CF13F6">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72A"/>
    <w:multiLevelType w:val="multilevel"/>
    <w:tmpl w:val="97868480"/>
    <w:lvl w:ilvl="0">
      <w:start w:val="5"/>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 w15:restartNumberingAfterBreak="0">
    <w:nsid w:val="06BD296E"/>
    <w:multiLevelType w:val="multilevel"/>
    <w:tmpl w:val="46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F7D6C"/>
    <w:multiLevelType w:val="hybridMultilevel"/>
    <w:tmpl w:val="1B784E9C"/>
    <w:lvl w:ilvl="0" w:tplc="2954FD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96622D"/>
    <w:multiLevelType w:val="hybridMultilevel"/>
    <w:tmpl w:val="8C66B376"/>
    <w:lvl w:ilvl="0" w:tplc="91A293AA">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66251"/>
    <w:multiLevelType w:val="hybridMultilevel"/>
    <w:tmpl w:val="013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0F37"/>
    <w:multiLevelType w:val="hybridMultilevel"/>
    <w:tmpl w:val="FE0E0B18"/>
    <w:lvl w:ilvl="0" w:tplc="0426000F">
      <w:start w:val="1"/>
      <w:numFmt w:val="decimal"/>
      <w:lvlText w:val="%1."/>
      <w:lvlJc w:val="left"/>
      <w:pPr>
        <w:ind w:left="1440" w:hanging="360"/>
      </w:pPr>
    </w:lvl>
    <w:lvl w:ilvl="1" w:tplc="0B143BF6">
      <w:start w:val="3"/>
      <w:numFmt w:val="decimal"/>
      <w:lvlText w:val="%2.1"/>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28B2052"/>
    <w:multiLevelType w:val="multilevel"/>
    <w:tmpl w:val="62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407"/>
    <w:multiLevelType w:val="hybridMultilevel"/>
    <w:tmpl w:val="651A072E"/>
    <w:lvl w:ilvl="0" w:tplc="FBF21948">
      <w:start w:val="2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A929FA"/>
    <w:multiLevelType w:val="hybridMultilevel"/>
    <w:tmpl w:val="51522146"/>
    <w:lvl w:ilvl="0" w:tplc="FBF21948">
      <w:start w:val="216"/>
      <w:numFmt w:val="bullet"/>
      <w:lvlText w:val="-"/>
      <w:lvlJc w:val="left"/>
      <w:pPr>
        <w:ind w:left="1456" w:hanging="360"/>
      </w:pPr>
      <w:rPr>
        <w:rFonts w:ascii="Times New Roman" w:eastAsiaTheme="minorHAnsi" w:hAnsi="Times New Roman" w:cs="Times New Roman"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9" w15:restartNumberingAfterBreak="0">
    <w:nsid w:val="21903E5B"/>
    <w:multiLevelType w:val="multilevel"/>
    <w:tmpl w:val="44D068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1" w15:restartNumberingAfterBreak="0">
    <w:nsid w:val="3FA02AFE"/>
    <w:multiLevelType w:val="hybridMultilevel"/>
    <w:tmpl w:val="18327FD8"/>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2" w15:restartNumberingAfterBreak="0">
    <w:nsid w:val="48D901D2"/>
    <w:multiLevelType w:val="hybridMultilevel"/>
    <w:tmpl w:val="06C6135C"/>
    <w:lvl w:ilvl="0" w:tplc="04260001">
      <w:start w:val="1"/>
      <w:numFmt w:val="bullet"/>
      <w:lvlText w:val=""/>
      <w:lvlJc w:val="left"/>
      <w:pPr>
        <w:ind w:left="1466" w:hanging="360"/>
      </w:pPr>
      <w:rPr>
        <w:rFonts w:ascii="Symbol" w:hAnsi="Symbol" w:hint="default"/>
      </w:rPr>
    </w:lvl>
    <w:lvl w:ilvl="1" w:tplc="04260003" w:tentative="1">
      <w:start w:val="1"/>
      <w:numFmt w:val="bullet"/>
      <w:lvlText w:val="o"/>
      <w:lvlJc w:val="left"/>
      <w:pPr>
        <w:ind w:left="2186" w:hanging="360"/>
      </w:pPr>
      <w:rPr>
        <w:rFonts w:ascii="Courier New" w:hAnsi="Courier New" w:cs="Courier New" w:hint="default"/>
      </w:rPr>
    </w:lvl>
    <w:lvl w:ilvl="2" w:tplc="04260005" w:tentative="1">
      <w:start w:val="1"/>
      <w:numFmt w:val="bullet"/>
      <w:lvlText w:val=""/>
      <w:lvlJc w:val="left"/>
      <w:pPr>
        <w:ind w:left="2906" w:hanging="360"/>
      </w:pPr>
      <w:rPr>
        <w:rFonts w:ascii="Wingdings" w:hAnsi="Wingdings" w:hint="default"/>
      </w:rPr>
    </w:lvl>
    <w:lvl w:ilvl="3" w:tplc="04260001" w:tentative="1">
      <w:start w:val="1"/>
      <w:numFmt w:val="bullet"/>
      <w:lvlText w:val=""/>
      <w:lvlJc w:val="left"/>
      <w:pPr>
        <w:ind w:left="3626" w:hanging="360"/>
      </w:pPr>
      <w:rPr>
        <w:rFonts w:ascii="Symbol" w:hAnsi="Symbol" w:hint="default"/>
      </w:rPr>
    </w:lvl>
    <w:lvl w:ilvl="4" w:tplc="04260003" w:tentative="1">
      <w:start w:val="1"/>
      <w:numFmt w:val="bullet"/>
      <w:lvlText w:val="o"/>
      <w:lvlJc w:val="left"/>
      <w:pPr>
        <w:ind w:left="4346" w:hanging="360"/>
      </w:pPr>
      <w:rPr>
        <w:rFonts w:ascii="Courier New" w:hAnsi="Courier New" w:cs="Courier New" w:hint="default"/>
      </w:rPr>
    </w:lvl>
    <w:lvl w:ilvl="5" w:tplc="04260005" w:tentative="1">
      <w:start w:val="1"/>
      <w:numFmt w:val="bullet"/>
      <w:lvlText w:val=""/>
      <w:lvlJc w:val="left"/>
      <w:pPr>
        <w:ind w:left="5066" w:hanging="360"/>
      </w:pPr>
      <w:rPr>
        <w:rFonts w:ascii="Wingdings" w:hAnsi="Wingdings" w:hint="default"/>
      </w:rPr>
    </w:lvl>
    <w:lvl w:ilvl="6" w:tplc="04260001" w:tentative="1">
      <w:start w:val="1"/>
      <w:numFmt w:val="bullet"/>
      <w:lvlText w:val=""/>
      <w:lvlJc w:val="left"/>
      <w:pPr>
        <w:ind w:left="5786" w:hanging="360"/>
      </w:pPr>
      <w:rPr>
        <w:rFonts w:ascii="Symbol" w:hAnsi="Symbol" w:hint="default"/>
      </w:rPr>
    </w:lvl>
    <w:lvl w:ilvl="7" w:tplc="04260003" w:tentative="1">
      <w:start w:val="1"/>
      <w:numFmt w:val="bullet"/>
      <w:lvlText w:val="o"/>
      <w:lvlJc w:val="left"/>
      <w:pPr>
        <w:ind w:left="6506" w:hanging="360"/>
      </w:pPr>
      <w:rPr>
        <w:rFonts w:ascii="Courier New" w:hAnsi="Courier New" w:cs="Courier New" w:hint="default"/>
      </w:rPr>
    </w:lvl>
    <w:lvl w:ilvl="8" w:tplc="04260005" w:tentative="1">
      <w:start w:val="1"/>
      <w:numFmt w:val="bullet"/>
      <w:lvlText w:val=""/>
      <w:lvlJc w:val="left"/>
      <w:pPr>
        <w:ind w:left="7226" w:hanging="360"/>
      </w:pPr>
      <w:rPr>
        <w:rFonts w:ascii="Wingdings" w:hAnsi="Wingdings" w:hint="default"/>
      </w:rPr>
    </w:lvl>
  </w:abstractNum>
  <w:abstractNum w:abstractNumId="13" w15:restartNumberingAfterBreak="0">
    <w:nsid w:val="48F1053A"/>
    <w:multiLevelType w:val="hybridMultilevel"/>
    <w:tmpl w:val="4DA2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059B8"/>
    <w:multiLevelType w:val="hybridMultilevel"/>
    <w:tmpl w:val="1F382096"/>
    <w:lvl w:ilvl="0" w:tplc="DF28C1AA">
      <w:start w:val="28"/>
      <w:numFmt w:val="bullet"/>
      <w:lvlText w:val=""/>
      <w:lvlJc w:val="left"/>
      <w:pPr>
        <w:ind w:left="1106" w:hanging="360"/>
      </w:pPr>
      <w:rPr>
        <w:rFonts w:ascii="Symbol" w:eastAsia="Times New Roman" w:hAnsi="Symbol"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4BB40FB4"/>
    <w:multiLevelType w:val="hybridMultilevel"/>
    <w:tmpl w:val="5A909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671EB4"/>
    <w:multiLevelType w:val="hybridMultilevel"/>
    <w:tmpl w:val="47804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CB0099"/>
    <w:multiLevelType w:val="multilevel"/>
    <w:tmpl w:val="0EC6200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C178D"/>
    <w:multiLevelType w:val="hybridMultilevel"/>
    <w:tmpl w:val="6BCE6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6160FC"/>
    <w:multiLevelType w:val="hybridMultilevel"/>
    <w:tmpl w:val="DF6A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1A2BF1"/>
    <w:multiLevelType w:val="hybridMultilevel"/>
    <w:tmpl w:val="0076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895D69"/>
    <w:multiLevelType w:val="hybridMultilevel"/>
    <w:tmpl w:val="7CF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02472"/>
    <w:multiLevelType w:val="hybridMultilevel"/>
    <w:tmpl w:val="D8EC97F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4" w15:restartNumberingAfterBreak="0">
    <w:nsid w:val="644037D9"/>
    <w:multiLevelType w:val="multilevel"/>
    <w:tmpl w:val="38849D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3E7902"/>
    <w:multiLevelType w:val="hybridMultilevel"/>
    <w:tmpl w:val="008A18C6"/>
    <w:lvl w:ilvl="0" w:tplc="22965B1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81338F1"/>
    <w:multiLevelType w:val="hybridMultilevel"/>
    <w:tmpl w:val="608EBF78"/>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8" w15:restartNumberingAfterBreak="0">
    <w:nsid w:val="7D092286"/>
    <w:multiLevelType w:val="hybridMultilevel"/>
    <w:tmpl w:val="9DFC4CAC"/>
    <w:lvl w:ilvl="0" w:tplc="94E22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6"/>
  </w:num>
  <w:num w:numId="3">
    <w:abstractNumId w:val="10"/>
  </w:num>
  <w:num w:numId="4">
    <w:abstractNumId w:val="15"/>
  </w:num>
  <w:num w:numId="5">
    <w:abstractNumId w:val="18"/>
  </w:num>
  <w:num w:numId="6">
    <w:abstractNumId w:val="16"/>
  </w:num>
  <w:num w:numId="7">
    <w:abstractNumId w:val="19"/>
  </w:num>
  <w:num w:numId="8">
    <w:abstractNumId w:val="4"/>
  </w:num>
  <w:num w:numId="9">
    <w:abstractNumId w:val="21"/>
  </w:num>
  <w:num w:numId="10">
    <w:abstractNumId w:val="6"/>
  </w:num>
  <w:num w:numId="11">
    <w:abstractNumId w:val="1"/>
  </w:num>
  <w:num w:numId="12">
    <w:abstractNumId w:val="0"/>
  </w:num>
  <w:num w:numId="13">
    <w:abstractNumId w:val="12"/>
  </w:num>
  <w:num w:numId="14">
    <w:abstractNumId w:val="25"/>
  </w:num>
  <w:num w:numId="15">
    <w:abstractNumId w:val="3"/>
  </w:num>
  <w:num w:numId="16">
    <w:abstractNumId w:val="14"/>
  </w:num>
  <w:num w:numId="17">
    <w:abstractNumId w:val="7"/>
  </w:num>
  <w:num w:numId="18">
    <w:abstractNumId w:val="8"/>
  </w:num>
  <w:num w:numId="19">
    <w:abstractNumId w:val="23"/>
  </w:num>
  <w:num w:numId="20">
    <w:abstractNumId w:val="11"/>
  </w:num>
  <w:num w:numId="21">
    <w:abstractNumId w:val="13"/>
  </w:num>
  <w:num w:numId="22">
    <w:abstractNumId w:val="17"/>
  </w:num>
  <w:num w:numId="23">
    <w:abstractNumId w:val="9"/>
  </w:num>
  <w:num w:numId="24">
    <w:abstractNumId w:val="24"/>
  </w:num>
  <w:num w:numId="25">
    <w:abstractNumId w:val="5"/>
  </w:num>
  <w:num w:numId="26">
    <w:abstractNumId w:val="22"/>
  </w:num>
  <w:num w:numId="27">
    <w:abstractNumId w:val="28"/>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07F16"/>
    <w:rsid w:val="00010C24"/>
    <w:rsid w:val="00016D46"/>
    <w:rsid w:val="00020983"/>
    <w:rsid w:val="00020BF5"/>
    <w:rsid w:val="00026195"/>
    <w:rsid w:val="00027250"/>
    <w:rsid w:val="00037715"/>
    <w:rsid w:val="00037CA6"/>
    <w:rsid w:val="00040117"/>
    <w:rsid w:val="0004022B"/>
    <w:rsid w:val="0004158F"/>
    <w:rsid w:val="00042E00"/>
    <w:rsid w:val="00045611"/>
    <w:rsid w:val="0004636A"/>
    <w:rsid w:val="000471E7"/>
    <w:rsid w:val="00051EE3"/>
    <w:rsid w:val="0005393B"/>
    <w:rsid w:val="000572C5"/>
    <w:rsid w:val="000619E4"/>
    <w:rsid w:val="0006374D"/>
    <w:rsid w:val="00067472"/>
    <w:rsid w:val="000703BC"/>
    <w:rsid w:val="000714CF"/>
    <w:rsid w:val="000777EE"/>
    <w:rsid w:val="00080F64"/>
    <w:rsid w:val="0008249D"/>
    <w:rsid w:val="00085435"/>
    <w:rsid w:val="000866F0"/>
    <w:rsid w:val="00093336"/>
    <w:rsid w:val="00093FD3"/>
    <w:rsid w:val="00095A42"/>
    <w:rsid w:val="00097DFC"/>
    <w:rsid w:val="000A0E51"/>
    <w:rsid w:val="000A25B1"/>
    <w:rsid w:val="000A2EE1"/>
    <w:rsid w:val="000A362E"/>
    <w:rsid w:val="000A490C"/>
    <w:rsid w:val="000B6A50"/>
    <w:rsid w:val="000C2022"/>
    <w:rsid w:val="000D0855"/>
    <w:rsid w:val="000D37D0"/>
    <w:rsid w:val="000D4A3B"/>
    <w:rsid w:val="000D693C"/>
    <w:rsid w:val="000D6FF2"/>
    <w:rsid w:val="000E0663"/>
    <w:rsid w:val="000F20DA"/>
    <w:rsid w:val="000F363E"/>
    <w:rsid w:val="000F4B5E"/>
    <w:rsid w:val="000F7DB1"/>
    <w:rsid w:val="00102E4F"/>
    <w:rsid w:val="00110626"/>
    <w:rsid w:val="00112C6B"/>
    <w:rsid w:val="001159A4"/>
    <w:rsid w:val="001161E5"/>
    <w:rsid w:val="00116220"/>
    <w:rsid w:val="00120E7D"/>
    <w:rsid w:val="00122FD0"/>
    <w:rsid w:val="00130487"/>
    <w:rsid w:val="0013053C"/>
    <w:rsid w:val="00130C98"/>
    <w:rsid w:val="00135C76"/>
    <w:rsid w:val="00140644"/>
    <w:rsid w:val="00140A5B"/>
    <w:rsid w:val="00142625"/>
    <w:rsid w:val="001444CA"/>
    <w:rsid w:val="001447EF"/>
    <w:rsid w:val="00146080"/>
    <w:rsid w:val="00152501"/>
    <w:rsid w:val="001525D7"/>
    <w:rsid w:val="00154A6D"/>
    <w:rsid w:val="00154D1A"/>
    <w:rsid w:val="00154FB3"/>
    <w:rsid w:val="00155578"/>
    <w:rsid w:val="001576D2"/>
    <w:rsid w:val="00157D37"/>
    <w:rsid w:val="001618B7"/>
    <w:rsid w:val="0016477E"/>
    <w:rsid w:val="001659C1"/>
    <w:rsid w:val="001712A8"/>
    <w:rsid w:val="001719DA"/>
    <w:rsid w:val="00171AFD"/>
    <w:rsid w:val="00174EFB"/>
    <w:rsid w:val="00176F5F"/>
    <w:rsid w:val="00177CB1"/>
    <w:rsid w:val="001801FE"/>
    <w:rsid w:val="00180F15"/>
    <w:rsid w:val="001822D8"/>
    <w:rsid w:val="001831C9"/>
    <w:rsid w:val="0018564A"/>
    <w:rsid w:val="00185C20"/>
    <w:rsid w:val="00187ADF"/>
    <w:rsid w:val="00187B96"/>
    <w:rsid w:val="0019039D"/>
    <w:rsid w:val="00190E70"/>
    <w:rsid w:val="001A37F8"/>
    <w:rsid w:val="001B0A05"/>
    <w:rsid w:val="001B168E"/>
    <w:rsid w:val="001B4BD4"/>
    <w:rsid w:val="001B6A8B"/>
    <w:rsid w:val="001B6C59"/>
    <w:rsid w:val="001C056F"/>
    <w:rsid w:val="001C28C1"/>
    <w:rsid w:val="001C2B53"/>
    <w:rsid w:val="001C768D"/>
    <w:rsid w:val="001D66EB"/>
    <w:rsid w:val="001D6E26"/>
    <w:rsid w:val="001E28EB"/>
    <w:rsid w:val="001E2E0D"/>
    <w:rsid w:val="001E307E"/>
    <w:rsid w:val="001E3C24"/>
    <w:rsid w:val="001E425C"/>
    <w:rsid w:val="001E7774"/>
    <w:rsid w:val="001E799E"/>
    <w:rsid w:val="001E7EAF"/>
    <w:rsid w:val="001F0FF3"/>
    <w:rsid w:val="00200D79"/>
    <w:rsid w:val="00204A39"/>
    <w:rsid w:val="00206208"/>
    <w:rsid w:val="0020674D"/>
    <w:rsid w:val="0020707B"/>
    <w:rsid w:val="00210ECE"/>
    <w:rsid w:val="0021345D"/>
    <w:rsid w:val="002139CC"/>
    <w:rsid w:val="00214708"/>
    <w:rsid w:val="00216A2C"/>
    <w:rsid w:val="00220852"/>
    <w:rsid w:val="0022174E"/>
    <w:rsid w:val="00222582"/>
    <w:rsid w:val="0023169C"/>
    <w:rsid w:val="002329F0"/>
    <w:rsid w:val="00237381"/>
    <w:rsid w:val="002374C3"/>
    <w:rsid w:val="00242FA1"/>
    <w:rsid w:val="002432B2"/>
    <w:rsid w:val="00243426"/>
    <w:rsid w:val="0024409F"/>
    <w:rsid w:val="00244D98"/>
    <w:rsid w:val="002515DF"/>
    <w:rsid w:val="002549F5"/>
    <w:rsid w:val="00255B8F"/>
    <w:rsid w:val="00257CCE"/>
    <w:rsid w:val="00264DD8"/>
    <w:rsid w:val="00270726"/>
    <w:rsid w:val="00274FBE"/>
    <w:rsid w:val="0027542F"/>
    <w:rsid w:val="00277637"/>
    <w:rsid w:val="002822EA"/>
    <w:rsid w:val="00282312"/>
    <w:rsid w:val="00293A2E"/>
    <w:rsid w:val="00296A3D"/>
    <w:rsid w:val="002A3A1E"/>
    <w:rsid w:val="002A4C95"/>
    <w:rsid w:val="002A64C6"/>
    <w:rsid w:val="002B03C0"/>
    <w:rsid w:val="002B6DA3"/>
    <w:rsid w:val="002B758F"/>
    <w:rsid w:val="002C3465"/>
    <w:rsid w:val="002C602C"/>
    <w:rsid w:val="002D0F1B"/>
    <w:rsid w:val="002D11BE"/>
    <w:rsid w:val="002D1E95"/>
    <w:rsid w:val="002D36AE"/>
    <w:rsid w:val="002D60B5"/>
    <w:rsid w:val="002D674D"/>
    <w:rsid w:val="002E07D8"/>
    <w:rsid w:val="002E1C05"/>
    <w:rsid w:val="002E233A"/>
    <w:rsid w:val="002E259F"/>
    <w:rsid w:val="002E454A"/>
    <w:rsid w:val="002F0AB1"/>
    <w:rsid w:val="003009C2"/>
    <w:rsid w:val="00301A58"/>
    <w:rsid w:val="00301EFB"/>
    <w:rsid w:val="00302033"/>
    <w:rsid w:val="00302363"/>
    <w:rsid w:val="00307F04"/>
    <w:rsid w:val="00311B33"/>
    <w:rsid w:val="00312442"/>
    <w:rsid w:val="0031401C"/>
    <w:rsid w:val="00314DD8"/>
    <w:rsid w:val="003158D4"/>
    <w:rsid w:val="00315D32"/>
    <w:rsid w:val="0032092E"/>
    <w:rsid w:val="00320CB4"/>
    <w:rsid w:val="003243B6"/>
    <w:rsid w:val="003268AD"/>
    <w:rsid w:val="0032795C"/>
    <w:rsid w:val="00334A81"/>
    <w:rsid w:val="00341D70"/>
    <w:rsid w:val="003421D7"/>
    <w:rsid w:val="0034520C"/>
    <w:rsid w:val="00354A61"/>
    <w:rsid w:val="00355F77"/>
    <w:rsid w:val="00361916"/>
    <w:rsid w:val="00362961"/>
    <w:rsid w:val="00362B0F"/>
    <w:rsid w:val="00363C1D"/>
    <w:rsid w:val="00366568"/>
    <w:rsid w:val="00367D4C"/>
    <w:rsid w:val="00372F86"/>
    <w:rsid w:val="00373C8C"/>
    <w:rsid w:val="00376A8D"/>
    <w:rsid w:val="00376F1F"/>
    <w:rsid w:val="00382A96"/>
    <w:rsid w:val="003872F2"/>
    <w:rsid w:val="003903BF"/>
    <w:rsid w:val="00391B6A"/>
    <w:rsid w:val="00396655"/>
    <w:rsid w:val="0039690D"/>
    <w:rsid w:val="00396F8F"/>
    <w:rsid w:val="003A669B"/>
    <w:rsid w:val="003B0BF9"/>
    <w:rsid w:val="003B3322"/>
    <w:rsid w:val="003B6838"/>
    <w:rsid w:val="003D3821"/>
    <w:rsid w:val="003D54A7"/>
    <w:rsid w:val="003D76DB"/>
    <w:rsid w:val="003E0791"/>
    <w:rsid w:val="003E1B33"/>
    <w:rsid w:val="003E30C6"/>
    <w:rsid w:val="003E510F"/>
    <w:rsid w:val="003F28AC"/>
    <w:rsid w:val="003F4F4E"/>
    <w:rsid w:val="003F75AB"/>
    <w:rsid w:val="004149B9"/>
    <w:rsid w:val="00416B53"/>
    <w:rsid w:val="0042127E"/>
    <w:rsid w:val="00421D50"/>
    <w:rsid w:val="00424A5C"/>
    <w:rsid w:val="0042581C"/>
    <w:rsid w:val="00426543"/>
    <w:rsid w:val="0043126B"/>
    <w:rsid w:val="00432D46"/>
    <w:rsid w:val="00434B97"/>
    <w:rsid w:val="004411A4"/>
    <w:rsid w:val="0044245F"/>
    <w:rsid w:val="00443CED"/>
    <w:rsid w:val="004454FE"/>
    <w:rsid w:val="004535CF"/>
    <w:rsid w:val="00456551"/>
    <w:rsid w:val="0045671D"/>
    <w:rsid w:val="00456E40"/>
    <w:rsid w:val="004576DF"/>
    <w:rsid w:val="00461A2E"/>
    <w:rsid w:val="00462CFD"/>
    <w:rsid w:val="00464FC1"/>
    <w:rsid w:val="00470866"/>
    <w:rsid w:val="00471F27"/>
    <w:rsid w:val="004727BE"/>
    <w:rsid w:val="0047309D"/>
    <w:rsid w:val="00473352"/>
    <w:rsid w:val="004801FD"/>
    <w:rsid w:val="0048185F"/>
    <w:rsid w:val="004845A8"/>
    <w:rsid w:val="0048545C"/>
    <w:rsid w:val="004865D7"/>
    <w:rsid w:val="00491E36"/>
    <w:rsid w:val="00493891"/>
    <w:rsid w:val="00495126"/>
    <w:rsid w:val="00496017"/>
    <w:rsid w:val="0049601C"/>
    <w:rsid w:val="004A705E"/>
    <w:rsid w:val="004B06CD"/>
    <w:rsid w:val="004B5A63"/>
    <w:rsid w:val="004B79B5"/>
    <w:rsid w:val="004C043C"/>
    <w:rsid w:val="004C1D1F"/>
    <w:rsid w:val="004C4C0D"/>
    <w:rsid w:val="004C4F57"/>
    <w:rsid w:val="004C7CC0"/>
    <w:rsid w:val="004D10AD"/>
    <w:rsid w:val="004E1BA2"/>
    <w:rsid w:val="004E29AE"/>
    <w:rsid w:val="004E35A2"/>
    <w:rsid w:val="004F19D2"/>
    <w:rsid w:val="004F4293"/>
    <w:rsid w:val="004F5F60"/>
    <w:rsid w:val="00500842"/>
    <w:rsid w:val="0050178F"/>
    <w:rsid w:val="00501FF0"/>
    <w:rsid w:val="00502D57"/>
    <w:rsid w:val="0050532F"/>
    <w:rsid w:val="00512CBF"/>
    <w:rsid w:val="00514298"/>
    <w:rsid w:val="00515DB5"/>
    <w:rsid w:val="00515E48"/>
    <w:rsid w:val="00517F02"/>
    <w:rsid w:val="00524E7C"/>
    <w:rsid w:val="005348A9"/>
    <w:rsid w:val="0053686B"/>
    <w:rsid w:val="00537146"/>
    <w:rsid w:val="0053756E"/>
    <w:rsid w:val="00540D95"/>
    <w:rsid w:val="005434DE"/>
    <w:rsid w:val="0054599F"/>
    <w:rsid w:val="00545EB7"/>
    <w:rsid w:val="00547AF5"/>
    <w:rsid w:val="00554875"/>
    <w:rsid w:val="0056229B"/>
    <w:rsid w:val="005660EE"/>
    <w:rsid w:val="0056696D"/>
    <w:rsid w:val="00582863"/>
    <w:rsid w:val="00582ED0"/>
    <w:rsid w:val="005847E1"/>
    <w:rsid w:val="00584C43"/>
    <w:rsid w:val="005856D9"/>
    <w:rsid w:val="00585E5D"/>
    <w:rsid w:val="00590754"/>
    <w:rsid w:val="0059142E"/>
    <w:rsid w:val="00594A23"/>
    <w:rsid w:val="005A3CD1"/>
    <w:rsid w:val="005A7E2D"/>
    <w:rsid w:val="005A7E80"/>
    <w:rsid w:val="005B164B"/>
    <w:rsid w:val="005B36E3"/>
    <w:rsid w:val="005B71ED"/>
    <w:rsid w:val="005B762F"/>
    <w:rsid w:val="005B7704"/>
    <w:rsid w:val="005B7E9C"/>
    <w:rsid w:val="005C403B"/>
    <w:rsid w:val="005C6A8E"/>
    <w:rsid w:val="005D0320"/>
    <w:rsid w:val="005D173E"/>
    <w:rsid w:val="005D224A"/>
    <w:rsid w:val="005E3C71"/>
    <w:rsid w:val="005F265C"/>
    <w:rsid w:val="005F346B"/>
    <w:rsid w:val="005F7BA4"/>
    <w:rsid w:val="00600E2F"/>
    <w:rsid w:val="00602BB0"/>
    <w:rsid w:val="006032BD"/>
    <w:rsid w:val="00603690"/>
    <w:rsid w:val="006039A9"/>
    <w:rsid w:val="00604F38"/>
    <w:rsid w:val="00605743"/>
    <w:rsid w:val="006108B2"/>
    <w:rsid w:val="00610C37"/>
    <w:rsid w:val="00611205"/>
    <w:rsid w:val="0061240B"/>
    <w:rsid w:val="006174CC"/>
    <w:rsid w:val="00617724"/>
    <w:rsid w:val="00620793"/>
    <w:rsid w:val="00623F8D"/>
    <w:rsid w:val="006335C0"/>
    <w:rsid w:val="0063496B"/>
    <w:rsid w:val="0064127B"/>
    <w:rsid w:val="00645EF1"/>
    <w:rsid w:val="00646244"/>
    <w:rsid w:val="0064653C"/>
    <w:rsid w:val="006474B0"/>
    <w:rsid w:val="00647B3D"/>
    <w:rsid w:val="00654C92"/>
    <w:rsid w:val="00655F2C"/>
    <w:rsid w:val="0066140A"/>
    <w:rsid w:val="0066235E"/>
    <w:rsid w:val="006655BF"/>
    <w:rsid w:val="00672F26"/>
    <w:rsid w:val="00677F85"/>
    <w:rsid w:val="00681C7D"/>
    <w:rsid w:val="00681F74"/>
    <w:rsid w:val="00682D49"/>
    <w:rsid w:val="006936E5"/>
    <w:rsid w:val="0069582D"/>
    <w:rsid w:val="006A0557"/>
    <w:rsid w:val="006A1867"/>
    <w:rsid w:val="006A31D0"/>
    <w:rsid w:val="006A5969"/>
    <w:rsid w:val="006A72A3"/>
    <w:rsid w:val="006B221B"/>
    <w:rsid w:val="006B2D3A"/>
    <w:rsid w:val="006B3441"/>
    <w:rsid w:val="006B3D1F"/>
    <w:rsid w:val="006B401E"/>
    <w:rsid w:val="006C668E"/>
    <w:rsid w:val="006C6E91"/>
    <w:rsid w:val="006D292C"/>
    <w:rsid w:val="006D2F32"/>
    <w:rsid w:val="006E1081"/>
    <w:rsid w:val="006E1415"/>
    <w:rsid w:val="006E32A9"/>
    <w:rsid w:val="006E71F7"/>
    <w:rsid w:val="006F03CB"/>
    <w:rsid w:val="006F50DB"/>
    <w:rsid w:val="006F50DD"/>
    <w:rsid w:val="006F5A70"/>
    <w:rsid w:val="006F5D7D"/>
    <w:rsid w:val="006F672E"/>
    <w:rsid w:val="007011EF"/>
    <w:rsid w:val="00710AE8"/>
    <w:rsid w:val="00710C61"/>
    <w:rsid w:val="0071422D"/>
    <w:rsid w:val="00714AB3"/>
    <w:rsid w:val="00720585"/>
    <w:rsid w:val="0072168C"/>
    <w:rsid w:val="007272A8"/>
    <w:rsid w:val="00727C8F"/>
    <w:rsid w:val="007317BF"/>
    <w:rsid w:val="00732F6C"/>
    <w:rsid w:val="007330EC"/>
    <w:rsid w:val="007357C6"/>
    <w:rsid w:val="00736C5D"/>
    <w:rsid w:val="00737252"/>
    <w:rsid w:val="00740063"/>
    <w:rsid w:val="00746020"/>
    <w:rsid w:val="0075003C"/>
    <w:rsid w:val="007503A8"/>
    <w:rsid w:val="00756D59"/>
    <w:rsid w:val="007606BC"/>
    <w:rsid w:val="007606BD"/>
    <w:rsid w:val="0076222C"/>
    <w:rsid w:val="007635DB"/>
    <w:rsid w:val="007652F7"/>
    <w:rsid w:val="007667A8"/>
    <w:rsid w:val="00772D6A"/>
    <w:rsid w:val="00773AF6"/>
    <w:rsid w:val="00773EC6"/>
    <w:rsid w:val="0077517E"/>
    <w:rsid w:val="00781317"/>
    <w:rsid w:val="00785233"/>
    <w:rsid w:val="007858DF"/>
    <w:rsid w:val="00792389"/>
    <w:rsid w:val="0079260F"/>
    <w:rsid w:val="00792CF6"/>
    <w:rsid w:val="00795F71"/>
    <w:rsid w:val="007A417F"/>
    <w:rsid w:val="007A54FC"/>
    <w:rsid w:val="007B07F4"/>
    <w:rsid w:val="007B1712"/>
    <w:rsid w:val="007B3999"/>
    <w:rsid w:val="007B4AFF"/>
    <w:rsid w:val="007B7D5F"/>
    <w:rsid w:val="007C0E31"/>
    <w:rsid w:val="007C66F3"/>
    <w:rsid w:val="007D1A16"/>
    <w:rsid w:val="007D49C0"/>
    <w:rsid w:val="007D6D57"/>
    <w:rsid w:val="007E21B1"/>
    <w:rsid w:val="007E21B5"/>
    <w:rsid w:val="007E3BCE"/>
    <w:rsid w:val="007E4945"/>
    <w:rsid w:val="007E5B65"/>
    <w:rsid w:val="007E5F7A"/>
    <w:rsid w:val="007E73AB"/>
    <w:rsid w:val="007F2EF9"/>
    <w:rsid w:val="007F3C94"/>
    <w:rsid w:val="007F5A51"/>
    <w:rsid w:val="007F5DCC"/>
    <w:rsid w:val="007F60D1"/>
    <w:rsid w:val="007F6EE5"/>
    <w:rsid w:val="007F6F87"/>
    <w:rsid w:val="008031AB"/>
    <w:rsid w:val="00803F7C"/>
    <w:rsid w:val="00811BDA"/>
    <w:rsid w:val="00813ACE"/>
    <w:rsid w:val="00816C11"/>
    <w:rsid w:val="00816C9C"/>
    <w:rsid w:val="00822F63"/>
    <w:rsid w:val="0082389E"/>
    <w:rsid w:val="00825702"/>
    <w:rsid w:val="00830461"/>
    <w:rsid w:val="008353A8"/>
    <w:rsid w:val="00835DE9"/>
    <w:rsid w:val="008424A5"/>
    <w:rsid w:val="00842AD1"/>
    <w:rsid w:val="00844B46"/>
    <w:rsid w:val="008451DD"/>
    <w:rsid w:val="00845908"/>
    <w:rsid w:val="00847476"/>
    <w:rsid w:val="0085416F"/>
    <w:rsid w:val="00862735"/>
    <w:rsid w:val="00863D49"/>
    <w:rsid w:val="00864439"/>
    <w:rsid w:val="00866FDB"/>
    <w:rsid w:val="00871321"/>
    <w:rsid w:val="00873B9A"/>
    <w:rsid w:val="00874F1B"/>
    <w:rsid w:val="00876C2D"/>
    <w:rsid w:val="008807D8"/>
    <w:rsid w:val="00880841"/>
    <w:rsid w:val="008839DE"/>
    <w:rsid w:val="00887085"/>
    <w:rsid w:val="00893770"/>
    <w:rsid w:val="00893B9E"/>
    <w:rsid w:val="00893C18"/>
    <w:rsid w:val="00894C55"/>
    <w:rsid w:val="00895977"/>
    <w:rsid w:val="008A42C5"/>
    <w:rsid w:val="008B0462"/>
    <w:rsid w:val="008B37B7"/>
    <w:rsid w:val="008C1794"/>
    <w:rsid w:val="008C37AF"/>
    <w:rsid w:val="008C4398"/>
    <w:rsid w:val="008D6253"/>
    <w:rsid w:val="008D6605"/>
    <w:rsid w:val="008E0204"/>
    <w:rsid w:val="008E0DC2"/>
    <w:rsid w:val="008E10DD"/>
    <w:rsid w:val="008E14AD"/>
    <w:rsid w:val="008E1FCF"/>
    <w:rsid w:val="008E3F08"/>
    <w:rsid w:val="008E4B6C"/>
    <w:rsid w:val="008E4FC3"/>
    <w:rsid w:val="008F1ACD"/>
    <w:rsid w:val="008F2600"/>
    <w:rsid w:val="008F79C4"/>
    <w:rsid w:val="00901F82"/>
    <w:rsid w:val="009036FA"/>
    <w:rsid w:val="00905F9E"/>
    <w:rsid w:val="00911BEB"/>
    <w:rsid w:val="00914845"/>
    <w:rsid w:val="0091543B"/>
    <w:rsid w:val="00916857"/>
    <w:rsid w:val="00920CFD"/>
    <w:rsid w:val="00921789"/>
    <w:rsid w:val="00922A74"/>
    <w:rsid w:val="00922E9E"/>
    <w:rsid w:val="00923570"/>
    <w:rsid w:val="00924764"/>
    <w:rsid w:val="00932D2E"/>
    <w:rsid w:val="00934066"/>
    <w:rsid w:val="009362B4"/>
    <w:rsid w:val="0094015A"/>
    <w:rsid w:val="00941D66"/>
    <w:rsid w:val="00942695"/>
    <w:rsid w:val="00946B2E"/>
    <w:rsid w:val="0095052F"/>
    <w:rsid w:val="00953898"/>
    <w:rsid w:val="009547D2"/>
    <w:rsid w:val="00960086"/>
    <w:rsid w:val="00971971"/>
    <w:rsid w:val="009737C2"/>
    <w:rsid w:val="00980758"/>
    <w:rsid w:val="00980FB4"/>
    <w:rsid w:val="009836E3"/>
    <w:rsid w:val="00990974"/>
    <w:rsid w:val="00991680"/>
    <w:rsid w:val="0099264F"/>
    <w:rsid w:val="00994BAB"/>
    <w:rsid w:val="00995A7F"/>
    <w:rsid w:val="00995CB5"/>
    <w:rsid w:val="00996890"/>
    <w:rsid w:val="00997DE4"/>
    <w:rsid w:val="009A2654"/>
    <w:rsid w:val="009B07FA"/>
    <w:rsid w:val="009B2E7E"/>
    <w:rsid w:val="009B425C"/>
    <w:rsid w:val="009B5648"/>
    <w:rsid w:val="009B61EE"/>
    <w:rsid w:val="009B6B5A"/>
    <w:rsid w:val="009C1B15"/>
    <w:rsid w:val="009C4A2F"/>
    <w:rsid w:val="009C4C10"/>
    <w:rsid w:val="009C5923"/>
    <w:rsid w:val="009C6CD1"/>
    <w:rsid w:val="009E3C36"/>
    <w:rsid w:val="009E70AA"/>
    <w:rsid w:val="009F0AA7"/>
    <w:rsid w:val="009F25E7"/>
    <w:rsid w:val="009F26CB"/>
    <w:rsid w:val="009F6BA5"/>
    <w:rsid w:val="009F7759"/>
    <w:rsid w:val="00A00F88"/>
    <w:rsid w:val="00A10FC3"/>
    <w:rsid w:val="00A13488"/>
    <w:rsid w:val="00A20126"/>
    <w:rsid w:val="00A22407"/>
    <w:rsid w:val="00A40296"/>
    <w:rsid w:val="00A4592E"/>
    <w:rsid w:val="00A52304"/>
    <w:rsid w:val="00A5301C"/>
    <w:rsid w:val="00A53400"/>
    <w:rsid w:val="00A55FFE"/>
    <w:rsid w:val="00A605F4"/>
    <w:rsid w:val="00A6073E"/>
    <w:rsid w:val="00A642A9"/>
    <w:rsid w:val="00A7173C"/>
    <w:rsid w:val="00A71967"/>
    <w:rsid w:val="00A74897"/>
    <w:rsid w:val="00A772AD"/>
    <w:rsid w:val="00A80134"/>
    <w:rsid w:val="00A80B35"/>
    <w:rsid w:val="00A840ED"/>
    <w:rsid w:val="00A859C9"/>
    <w:rsid w:val="00A935DA"/>
    <w:rsid w:val="00A973AC"/>
    <w:rsid w:val="00AA0994"/>
    <w:rsid w:val="00AA0E8E"/>
    <w:rsid w:val="00AA17B1"/>
    <w:rsid w:val="00AA29E9"/>
    <w:rsid w:val="00AA3C55"/>
    <w:rsid w:val="00AA4209"/>
    <w:rsid w:val="00AA5BF6"/>
    <w:rsid w:val="00AA6075"/>
    <w:rsid w:val="00AB3386"/>
    <w:rsid w:val="00AB3B98"/>
    <w:rsid w:val="00AC10A7"/>
    <w:rsid w:val="00AC6919"/>
    <w:rsid w:val="00AC72B8"/>
    <w:rsid w:val="00AC73EC"/>
    <w:rsid w:val="00AE545F"/>
    <w:rsid w:val="00AE5567"/>
    <w:rsid w:val="00AE6BD9"/>
    <w:rsid w:val="00AE7E7D"/>
    <w:rsid w:val="00AF1239"/>
    <w:rsid w:val="00AF22FF"/>
    <w:rsid w:val="00AF25DB"/>
    <w:rsid w:val="00AF56A3"/>
    <w:rsid w:val="00B02DDC"/>
    <w:rsid w:val="00B02FFF"/>
    <w:rsid w:val="00B12556"/>
    <w:rsid w:val="00B14F56"/>
    <w:rsid w:val="00B16480"/>
    <w:rsid w:val="00B20987"/>
    <w:rsid w:val="00B2165C"/>
    <w:rsid w:val="00B21E2E"/>
    <w:rsid w:val="00B24C87"/>
    <w:rsid w:val="00B36406"/>
    <w:rsid w:val="00B416C8"/>
    <w:rsid w:val="00B45D75"/>
    <w:rsid w:val="00B47A30"/>
    <w:rsid w:val="00B57E70"/>
    <w:rsid w:val="00B6729B"/>
    <w:rsid w:val="00B67377"/>
    <w:rsid w:val="00B70F96"/>
    <w:rsid w:val="00B7190B"/>
    <w:rsid w:val="00B73354"/>
    <w:rsid w:val="00B7432F"/>
    <w:rsid w:val="00B7558C"/>
    <w:rsid w:val="00B86BC3"/>
    <w:rsid w:val="00B86ED9"/>
    <w:rsid w:val="00B87199"/>
    <w:rsid w:val="00B8779E"/>
    <w:rsid w:val="00BA174B"/>
    <w:rsid w:val="00BA20AA"/>
    <w:rsid w:val="00BA7DA4"/>
    <w:rsid w:val="00BA7F5E"/>
    <w:rsid w:val="00BB5AC1"/>
    <w:rsid w:val="00BC09A3"/>
    <w:rsid w:val="00BC1002"/>
    <w:rsid w:val="00BC119F"/>
    <w:rsid w:val="00BC1939"/>
    <w:rsid w:val="00BC5377"/>
    <w:rsid w:val="00BC5587"/>
    <w:rsid w:val="00BD14B5"/>
    <w:rsid w:val="00BD4425"/>
    <w:rsid w:val="00BD5AF3"/>
    <w:rsid w:val="00BD7F5E"/>
    <w:rsid w:val="00BE73AA"/>
    <w:rsid w:val="00BE73F3"/>
    <w:rsid w:val="00BF1AA8"/>
    <w:rsid w:val="00BF2344"/>
    <w:rsid w:val="00C00470"/>
    <w:rsid w:val="00C01D9B"/>
    <w:rsid w:val="00C01F13"/>
    <w:rsid w:val="00C10270"/>
    <w:rsid w:val="00C1780E"/>
    <w:rsid w:val="00C24DA1"/>
    <w:rsid w:val="00C25B49"/>
    <w:rsid w:val="00C30F18"/>
    <w:rsid w:val="00C332B7"/>
    <w:rsid w:val="00C348FC"/>
    <w:rsid w:val="00C35970"/>
    <w:rsid w:val="00C42475"/>
    <w:rsid w:val="00C45C2B"/>
    <w:rsid w:val="00C470FC"/>
    <w:rsid w:val="00C47C2D"/>
    <w:rsid w:val="00C57547"/>
    <w:rsid w:val="00C6089E"/>
    <w:rsid w:val="00C750C7"/>
    <w:rsid w:val="00C75EAE"/>
    <w:rsid w:val="00C76B23"/>
    <w:rsid w:val="00C83131"/>
    <w:rsid w:val="00C8678C"/>
    <w:rsid w:val="00C92F42"/>
    <w:rsid w:val="00C94EBD"/>
    <w:rsid w:val="00CA3D9B"/>
    <w:rsid w:val="00CA7F2E"/>
    <w:rsid w:val="00CB0786"/>
    <w:rsid w:val="00CB4B48"/>
    <w:rsid w:val="00CC0982"/>
    <w:rsid w:val="00CC0D2D"/>
    <w:rsid w:val="00CC0E67"/>
    <w:rsid w:val="00CC25C8"/>
    <w:rsid w:val="00CC3D23"/>
    <w:rsid w:val="00CC4749"/>
    <w:rsid w:val="00CD0ECF"/>
    <w:rsid w:val="00CD2CA9"/>
    <w:rsid w:val="00CD6128"/>
    <w:rsid w:val="00CE0B31"/>
    <w:rsid w:val="00CE34E7"/>
    <w:rsid w:val="00CE3967"/>
    <w:rsid w:val="00CE5214"/>
    <w:rsid w:val="00CE5657"/>
    <w:rsid w:val="00CE5F51"/>
    <w:rsid w:val="00CF13F6"/>
    <w:rsid w:val="00CF3C03"/>
    <w:rsid w:val="00D02526"/>
    <w:rsid w:val="00D10285"/>
    <w:rsid w:val="00D104DA"/>
    <w:rsid w:val="00D129B2"/>
    <w:rsid w:val="00D133F8"/>
    <w:rsid w:val="00D14A3E"/>
    <w:rsid w:val="00D15446"/>
    <w:rsid w:val="00D15AAD"/>
    <w:rsid w:val="00D22281"/>
    <w:rsid w:val="00D22CB4"/>
    <w:rsid w:val="00D23375"/>
    <w:rsid w:val="00D24501"/>
    <w:rsid w:val="00D25150"/>
    <w:rsid w:val="00D269A2"/>
    <w:rsid w:val="00D27878"/>
    <w:rsid w:val="00D30CE3"/>
    <w:rsid w:val="00D366E5"/>
    <w:rsid w:val="00D378C2"/>
    <w:rsid w:val="00D44678"/>
    <w:rsid w:val="00D465B3"/>
    <w:rsid w:val="00D47D56"/>
    <w:rsid w:val="00D54154"/>
    <w:rsid w:val="00D61FBD"/>
    <w:rsid w:val="00D62A5E"/>
    <w:rsid w:val="00D63503"/>
    <w:rsid w:val="00D64E49"/>
    <w:rsid w:val="00D74EB0"/>
    <w:rsid w:val="00D751DC"/>
    <w:rsid w:val="00D8278E"/>
    <w:rsid w:val="00D9578C"/>
    <w:rsid w:val="00DA09E1"/>
    <w:rsid w:val="00DA31CE"/>
    <w:rsid w:val="00DA3653"/>
    <w:rsid w:val="00DA54D3"/>
    <w:rsid w:val="00DA6113"/>
    <w:rsid w:val="00DA7A21"/>
    <w:rsid w:val="00DB004F"/>
    <w:rsid w:val="00DB0226"/>
    <w:rsid w:val="00DB2AD3"/>
    <w:rsid w:val="00DB6BAD"/>
    <w:rsid w:val="00DC2DAF"/>
    <w:rsid w:val="00DC2E9D"/>
    <w:rsid w:val="00DC4305"/>
    <w:rsid w:val="00DC51C1"/>
    <w:rsid w:val="00DD0024"/>
    <w:rsid w:val="00DD1E23"/>
    <w:rsid w:val="00DD588D"/>
    <w:rsid w:val="00DD5D64"/>
    <w:rsid w:val="00DE07F2"/>
    <w:rsid w:val="00DF0BA5"/>
    <w:rsid w:val="00DF256F"/>
    <w:rsid w:val="00DF461F"/>
    <w:rsid w:val="00DF5C95"/>
    <w:rsid w:val="00DF68F8"/>
    <w:rsid w:val="00DF776E"/>
    <w:rsid w:val="00E00F5F"/>
    <w:rsid w:val="00E01657"/>
    <w:rsid w:val="00E1175C"/>
    <w:rsid w:val="00E11B4C"/>
    <w:rsid w:val="00E14E1B"/>
    <w:rsid w:val="00E166A9"/>
    <w:rsid w:val="00E16FEF"/>
    <w:rsid w:val="00E30B4A"/>
    <w:rsid w:val="00E32710"/>
    <w:rsid w:val="00E32F1A"/>
    <w:rsid w:val="00E33502"/>
    <w:rsid w:val="00E34EFF"/>
    <w:rsid w:val="00E361EA"/>
    <w:rsid w:val="00E3716B"/>
    <w:rsid w:val="00E40A60"/>
    <w:rsid w:val="00E413A7"/>
    <w:rsid w:val="00E5071E"/>
    <w:rsid w:val="00E5230B"/>
    <w:rsid w:val="00E5323B"/>
    <w:rsid w:val="00E55BB9"/>
    <w:rsid w:val="00E569D2"/>
    <w:rsid w:val="00E56A7A"/>
    <w:rsid w:val="00E5764B"/>
    <w:rsid w:val="00E72E3D"/>
    <w:rsid w:val="00E75BD5"/>
    <w:rsid w:val="00E809A9"/>
    <w:rsid w:val="00E82F1E"/>
    <w:rsid w:val="00E85C03"/>
    <w:rsid w:val="00E86DE9"/>
    <w:rsid w:val="00E8749E"/>
    <w:rsid w:val="00E90C01"/>
    <w:rsid w:val="00E91834"/>
    <w:rsid w:val="00E94227"/>
    <w:rsid w:val="00EA0908"/>
    <w:rsid w:val="00EA122E"/>
    <w:rsid w:val="00EA2BB3"/>
    <w:rsid w:val="00EA3646"/>
    <w:rsid w:val="00EA39C2"/>
    <w:rsid w:val="00EA3D75"/>
    <w:rsid w:val="00EA486E"/>
    <w:rsid w:val="00EA667A"/>
    <w:rsid w:val="00EB0335"/>
    <w:rsid w:val="00EB0A99"/>
    <w:rsid w:val="00EB0ADB"/>
    <w:rsid w:val="00EB322C"/>
    <w:rsid w:val="00EB3AFC"/>
    <w:rsid w:val="00EB5477"/>
    <w:rsid w:val="00EB5C24"/>
    <w:rsid w:val="00EB6441"/>
    <w:rsid w:val="00EC0551"/>
    <w:rsid w:val="00EC1A5E"/>
    <w:rsid w:val="00EC3DF7"/>
    <w:rsid w:val="00EC4BB8"/>
    <w:rsid w:val="00EC6E12"/>
    <w:rsid w:val="00EC766A"/>
    <w:rsid w:val="00ED081B"/>
    <w:rsid w:val="00ED0F16"/>
    <w:rsid w:val="00ED1E89"/>
    <w:rsid w:val="00ED2D8E"/>
    <w:rsid w:val="00ED33F8"/>
    <w:rsid w:val="00ED3E28"/>
    <w:rsid w:val="00ED42E5"/>
    <w:rsid w:val="00ED793C"/>
    <w:rsid w:val="00EE1885"/>
    <w:rsid w:val="00EE2F62"/>
    <w:rsid w:val="00EE3644"/>
    <w:rsid w:val="00EE5F8A"/>
    <w:rsid w:val="00EE66A3"/>
    <w:rsid w:val="00EE6EEF"/>
    <w:rsid w:val="00EF3D2C"/>
    <w:rsid w:val="00EF4468"/>
    <w:rsid w:val="00EF453D"/>
    <w:rsid w:val="00EF7D54"/>
    <w:rsid w:val="00F018D2"/>
    <w:rsid w:val="00F01E73"/>
    <w:rsid w:val="00F02629"/>
    <w:rsid w:val="00F04795"/>
    <w:rsid w:val="00F0563D"/>
    <w:rsid w:val="00F10753"/>
    <w:rsid w:val="00F12B15"/>
    <w:rsid w:val="00F16354"/>
    <w:rsid w:val="00F208CD"/>
    <w:rsid w:val="00F20FCF"/>
    <w:rsid w:val="00F219B7"/>
    <w:rsid w:val="00F22934"/>
    <w:rsid w:val="00F31B9E"/>
    <w:rsid w:val="00F32E10"/>
    <w:rsid w:val="00F34AD5"/>
    <w:rsid w:val="00F35602"/>
    <w:rsid w:val="00F40818"/>
    <w:rsid w:val="00F422BC"/>
    <w:rsid w:val="00F4273F"/>
    <w:rsid w:val="00F4713B"/>
    <w:rsid w:val="00F47478"/>
    <w:rsid w:val="00F47C8A"/>
    <w:rsid w:val="00F5216B"/>
    <w:rsid w:val="00F52BB2"/>
    <w:rsid w:val="00F53F86"/>
    <w:rsid w:val="00F57AAA"/>
    <w:rsid w:val="00F57B0C"/>
    <w:rsid w:val="00F61BBE"/>
    <w:rsid w:val="00F63810"/>
    <w:rsid w:val="00F778A7"/>
    <w:rsid w:val="00F77F67"/>
    <w:rsid w:val="00F82318"/>
    <w:rsid w:val="00F83ADA"/>
    <w:rsid w:val="00F83C56"/>
    <w:rsid w:val="00F87F20"/>
    <w:rsid w:val="00F94769"/>
    <w:rsid w:val="00F94B06"/>
    <w:rsid w:val="00F95F34"/>
    <w:rsid w:val="00F965A6"/>
    <w:rsid w:val="00FA15A7"/>
    <w:rsid w:val="00FA15F5"/>
    <w:rsid w:val="00FA3509"/>
    <w:rsid w:val="00FB0834"/>
    <w:rsid w:val="00FB254A"/>
    <w:rsid w:val="00FB2886"/>
    <w:rsid w:val="00FB3FCC"/>
    <w:rsid w:val="00FB562B"/>
    <w:rsid w:val="00FB5F1E"/>
    <w:rsid w:val="00FB77FF"/>
    <w:rsid w:val="00FC2788"/>
    <w:rsid w:val="00FC3FDB"/>
    <w:rsid w:val="00FC4087"/>
    <w:rsid w:val="00FC4F6C"/>
    <w:rsid w:val="00FC7E54"/>
    <w:rsid w:val="00FD0466"/>
    <w:rsid w:val="00FD130C"/>
    <w:rsid w:val="00FD1FE8"/>
    <w:rsid w:val="00FD4C93"/>
    <w:rsid w:val="00FE3A44"/>
    <w:rsid w:val="00FE456F"/>
    <w:rsid w:val="00FF2DF9"/>
    <w:rsid w:val="00FF5C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5B5A73"/>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xmsonormal">
    <w:name w:val="x_msonormal"/>
    <w:basedOn w:val="Normal"/>
    <w:rsid w:val="00B87199"/>
    <w:pPr>
      <w:spacing w:before="100" w:beforeAutospacing="1" w:after="100" w:afterAutospacing="1"/>
    </w:pPr>
  </w:style>
  <w:style w:type="character" w:customStyle="1" w:styleId="UnresolvedMention1">
    <w:name w:val="Unresolved Mention1"/>
    <w:basedOn w:val="DefaultParagraphFont"/>
    <w:uiPriority w:val="99"/>
    <w:semiHidden/>
    <w:unhideWhenUsed/>
    <w:rsid w:val="0056229B"/>
    <w:rPr>
      <w:color w:val="605E5C"/>
      <w:shd w:val="clear" w:color="auto" w:fill="E1DFDD"/>
    </w:rPr>
  </w:style>
  <w:style w:type="character" w:styleId="CommentReference">
    <w:name w:val="annotation reference"/>
    <w:basedOn w:val="DefaultParagraphFont"/>
    <w:uiPriority w:val="99"/>
    <w:semiHidden/>
    <w:unhideWhenUsed/>
    <w:rsid w:val="00A4592E"/>
    <w:rPr>
      <w:sz w:val="16"/>
      <w:szCs w:val="16"/>
    </w:rPr>
  </w:style>
  <w:style w:type="paragraph" w:styleId="CommentText">
    <w:name w:val="annotation text"/>
    <w:basedOn w:val="Normal"/>
    <w:link w:val="CommentTextChar"/>
    <w:uiPriority w:val="99"/>
    <w:unhideWhenUsed/>
    <w:rsid w:val="00A4592E"/>
    <w:rPr>
      <w:sz w:val="20"/>
      <w:szCs w:val="20"/>
    </w:rPr>
  </w:style>
  <w:style w:type="character" w:customStyle="1" w:styleId="CommentTextChar">
    <w:name w:val="Comment Text Char"/>
    <w:basedOn w:val="DefaultParagraphFont"/>
    <w:link w:val="CommentText"/>
    <w:uiPriority w:val="99"/>
    <w:rsid w:val="00A459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92E"/>
    <w:rPr>
      <w:b/>
      <w:bCs/>
    </w:rPr>
  </w:style>
  <w:style w:type="character" w:customStyle="1" w:styleId="CommentSubjectChar">
    <w:name w:val="Comment Subject Char"/>
    <w:basedOn w:val="CommentTextChar"/>
    <w:link w:val="CommentSubject"/>
    <w:uiPriority w:val="99"/>
    <w:semiHidden/>
    <w:rsid w:val="00A4592E"/>
    <w:rPr>
      <w:rFonts w:ascii="Times New Roman" w:eastAsia="Times New Roman" w:hAnsi="Times New Roman" w:cs="Times New Roman"/>
      <w:b/>
      <w:bCs/>
      <w:sz w:val="20"/>
      <w:szCs w:val="20"/>
      <w:lang w:eastAsia="lv-LV"/>
    </w:rPr>
  </w:style>
  <w:style w:type="paragraph" w:customStyle="1" w:styleId="tv213">
    <w:name w:val="tv213"/>
    <w:basedOn w:val="Normal"/>
    <w:rsid w:val="002F0AB1"/>
    <w:pPr>
      <w:spacing w:before="100" w:beforeAutospacing="1" w:after="100" w:afterAutospacing="1"/>
    </w:pPr>
  </w:style>
  <w:style w:type="paragraph" w:customStyle="1" w:styleId="pamattekststabul">
    <w:name w:val="pamattekststabul"/>
    <w:basedOn w:val="Normal"/>
    <w:rsid w:val="00C45C2B"/>
    <w:pPr>
      <w:spacing w:before="100" w:beforeAutospacing="1" w:after="100" w:afterAutospacing="1"/>
    </w:pPr>
    <w:rPr>
      <w:lang w:val="en-US" w:eastAsia="en-US"/>
    </w:rPr>
  </w:style>
  <w:style w:type="table" w:customStyle="1" w:styleId="TableGrid1">
    <w:name w:val="Table Grid1"/>
    <w:basedOn w:val="TableNormal"/>
    <w:next w:val="TableGrid"/>
    <w:uiPriority w:val="59"/>
    <w:rsid w:val="0032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914845"/>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914845"/>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914845"/>
    <w:rPr>
      <w:vertAlign w:val="superscript"/>
    </w:rPr>
  </w:style>
  <w:style w:type="paragraph" w:customStyle="1" w:styleId="CharCharCharChar">
    <w:name w:val="Char Char Char Char"/>
    <w:aliases w:val="Char2"/>
    <w:basedOn w:val="Normal"/>
    <w:next w:val="Normal"/>
    <w:link w:val="FootnoteReference"/>
    <w:uiPriority w:val="99"/>
    <w:rsid w:val="00914845"/>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FD130C"/>
    <w:rPr>
      <w:sz w:val="20"/>
      <w:szCs w:val="20"/>
    </w:rPr>
  </w:style>
  <w:style w:type="character" w:customStyle="1" w:styleId="EndnoteTextChar">
    <w:name w:val="Endnote Text Char"/>
    <w:basedOn w:val="DefaultParagraphFont"/>
    <w:link w:val="EndnoteText"/>
    <w:uiPriority w:val="99"/>
    <w:semiHidden/>
    <w:rsid w:val="00FD130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D130C"/>
    <w:rPr>
      <w:vertAlign w:val="superscript"/>
    </w:rPr>
  </w:style>
  <w:style w:type="character" w:styleId="UnresolvedMention">
    <w:name w:val="Unresolved Mention"/>
    <w:basedOn w:val="DefaultParagraphFont"/>
    <w:uiPriority w:val="99"/>
    <w:semiHidden/>
    <w:unhideWhenUsed/>
    <w:rsid w:val="00E34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80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4676926">
      <w:bodyDiv w:val="1"/>
      <w:marLeft w:val="0"/>
      <w:marRight w:val="0"/>
      <w:marTop w:val="0"/>
      <w:marBottom w:val="0"/>
      <w:divBdr>
        <w:top w:val="none" w:sz="0" w:space="0" w:color="auto"/>
        <w:left w:val="none" w:sz="0" w:space="0" w:color="auto"/>
        <w:bottom w:val="none" w:sz="0" w:space="0" w:color="auto"/>
        <w:right w:val="none" w:sz="0" w:space="0" w:color="auto"/>
      </w:divBdr>
    </w:div>
    <w:div w:id="410666705">
      <w:bodyDiv w:val="1"/>
      <w:marLeft w:val="0"/>
      <w:marRight w:val="0"/>
      <w:marTop w:val="0"/>
      <w:marBottom w:val="0"/>
      <w:divBdr>
        <w:top w:val="none" w:sz="0" w:space="0" w:color="auto"/>
        <w:left w:val="none" w:sz="0" w:space="0" w:color="auto"/>
        <w:bottom w:val="none" w:sz="0" w:space="0" w:color="auto"/>
        <w:right w:val="none" w:sz="0" w:space="0" w:color="auto"/>
      </w:divBdr>
      <w:divsChild>
        <w:div w:id="1908152169">
          <w:marLeft w:val="0"/>
          <w:marRight w:val="0"/>
          <w:marTop w:val="0"/>
          <w:marBottom w:val="0"/>
          <w:divBdr>
            <w:top w:val="none" w:sz="0" w:space="0" w:color="auto"/>
            <w:left w:val="none" w:sz="0" w:space="0" w:color="auto"/>
            <w:bottom w:val="none" w:sz="0" w:space="0" w:color="auto"/>
            <w:right w:val="none" w:sz="0" w:space="0" w:color="auto"/>
          </w:divBdr>
          <w:divsChild>
            <w:div w:id="1298875089">
              <w:marLeft w:val="0"/>
              <w:marRight w:val="0"/>
              <w:marTop w:val="0"/>
              <w:marBottom w:val="0"/>
              <w:divBdr>
                <w:top w:val="none" w:sz="0" w:space="0" w:color="auto"/>
                <w:left w:val="none" w:sz="0" w:space="0" w:color="auto"/>
                <w:bottom w:val="none" w:sz="0" w:space="0" w:color="auto"/>
                <w:right w:val="none" w:sz="0" w:space="0" w:color="auto"/>
              </w:divBdr>
              <w:divsChild>
                <w:div w:id="1216893272">
                  <w:marLeft w:val="0"/>
                  <w:marRight w:val="0"/>
                  <w:marTop w:val="0"/>
                  <w:marBottom w:val="0"/>
                  <w:divBdr>
                    <w:top w:val="none" w:sz="0" w:space="0" w:color="auto"/>
                    <w:left w:val="none" w:sz="0" w:space="0" w:color="auto"/>
                    <w:bottom w:val="none" w:sz="0" w:space="0" w:color="auto"/>
                    <w:right w:val="none" w:sz="0" w:space="0" w:color="auto"/>
                  </w:divBdr>
                  <w:divsChild>
                    <w:div w:id="1277758403">
                      <w:marLeft w:val="0"/>
                      <w:marRight w:val="0"/>
                      <w:marTop w:val="0"/>
                      <w:marBottom w:val="0"/>
                      <w:divBdr>
                        <w:top w:val="none" w:sz="0" w:space="0" w:color="auto"/>
                        <w:left w:val="none" w:sz="0" w:space="0" w:color="auto"/>
                        <w:bottom w:val="none" w:sz="0" w:space="0" w:color="auto"/>
                        <w:right w:val="none" w:sz="0" w:space="0" w:color="auto"/>
                      </w:divBdr>
                      <w:divsChild>
                        <w:div w:id="138228255">
                          <w:marLeft w:val="0"/>
                          <w:marRight w:val="0"/>
                          <w:marTop w:val="0"/>
                          <w:marBottom w:val="0"/>
                          <w:divBdr>
                            <w:top w:val="none" w:sz="0" w:space="0" w:color="auto"/>
                            <w:left w:val="none" w:sz="0" w:space="0" w:color="auto"/>
                            <w:bottom w:val="none" w:sz="0" w:space="0" w:color="auto"/>
                            <w:right w:val="none" w:sz="0" w:space="0" w:color="auto"/>
                          </w:divBdr>
                          <w:divsChild>
                            <w:div w:id="1760953430">
                              <w:marLeft w:val="0"/>
                              <w:marRight w:val="0"/>
                              <w:marTop w:val="0"/>
                              <w:marBottom w:val="0"/>
                              <w:divBdr>
                                <w:top w:val="none" w:sz="0" w:space="0" w:color="auto"/>
                                <w:left w:val="none" w:sz="0" w:space="0" w:color="auto"/>
                                <w:bottom w:val="none" w:sz="0" w:space="0" w:color="auto"/>
                                <w:right w:val="none" w:sz="0" w:space="0" w:color="auto"/>
                              </w:divBdr>
                              <w:divsChild>
                                <w:div w:id="362289017">
                                  <w:marLeft w:val="0"/>
                                  <w:marRight w:val="0"/>
                                  <w:marTop w:val="0"/>
                                  <w:marBottom w:val="0"/>
                                  <w:divBdr>
                                    <w:top w:val="none" w:sz="0" w:space="0" w:color="auto"/>
                                    <w:left w:val="none" w:sz="0" w:space="0" w:color="auto"/>
                                    <w:bottom w:val="none" w:sz="0" w:space="0" w:color="auto"/>
                                    <w:right w:val="none" w:sz="0" w:space="0" w:color="auto"/>
                                  </w:divBdr>
                                  <w:divsChild>
                                    <w:div w:id="1662194860">
                                      <w:marLeft w:val="0"/>
                                      <w:marRight w:val="0"/>
                                      <w:marTop w:val="0"/>
                                      <w:marBottom w:val="0"/>
                                      <w:divBdr>
                                        <w:top w:val="none" w:sz="0" w:space="0" w:color="auto"/>
                                        <w:left w:val="none" w:sz="0" w:space="0" w:color="auto"/>
                                        <w:bottom w:val="none" w:sz="0" w:space="0" w:color="auto"/>
                                        <w:right w:val="none" w:sz="0" w:space="0" w:color="auto"/>
                                      </w:divBdr>
                                    </w:div>
                                    <w:div w:id="354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048">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sChild>
                                    <w:div w:id="1636132373">
                                      <w:marLeft w:val="0"/>
                                      <w:marRight w:val="0"/>
                                      <w:marTop w:val="0"/>
                                      <w:marBottom w:val="0"/>
                                      <w:divBdr>
                                        <w:top w:val="none" w:sz="0" w:space="0" w:color="auto"/>
                                        <w:left w:val="none" w:sz="0" w:space="0" w:color="auto"/>
                                        <w:bottom w:val="none" w:sz="0" w:space="0" w:color="auto"/>
                                        <w:right w:val="none" w:sz="0" w:space="0" w:color="auto"/>
                                      </w:divBdr>
                                    </w:div>
                                    <w:div w:id="1390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72724">
      <w:bodyDiv w:val="1"/>
      <w:marLeft w:val="0"/>
      <w:marRight w:val="0"/>
      <w:marTop w:val="0"/>
      <w:marBottom w:val="0"/>
      <w:divBdr>
        <w:top w:val="none" w:sz="0" w:space="0" w:color="auto"/>
        <w:left w:val="none" w:sz="0" w:space="0" w:color="auto"/>
        <w:bottom w:val="none" w:sz="0" w:space="0" w:color="auto"/>
        <w:right w:val="none" w:sz="0" w:space="0" w:color="auto"/>
      </w:divBdr>
    </w:div>
    <w:div w:id="610282772">
      <w:bodyDiv w:val="1"/>
      <w:marLeft w:val="0"/>
      <w:marRight w:val="0"/>
      <w:marTop w:val="0"/>
      <w:marBottom w:val="0"/>
      <w:divBdr>
        <w:top w:val="none" w:sz="0" w:space="0" w:color="auto"/>
        <w:left w:val="none" w:sz="0" w:space="0" w:color="auto"/>
        <w:bottom w:val="none" w:sz="0" w:space="0" w:color="auto"/>
        <w:right w:val="none" w:sz="0" w:space="0" w:color="auto"/>
      </w:divBdr>
    </w:div>
    <w:div w:id="699546978">
      <w:bodyDiv w:val="1"/>
      <w:marLeft w:val="0"/>
      <w:marRight w:val="0"/>
      <w:marTop w:val="0"/>
      <w:marBottom w:val="0"/>
      <w:divBdr>
        <w:top w:val="none" w:sz="0" w:space="0" w:color="auto"/>
        <w:left w:val="none" w:sz="0" w:space="0" w:color="auto"/>
        <w:bottom w:val="none" w:sz="0" w:space="0" w:color="auto"/>
        <w:right w:val="none" w:sz="0" w:space="0" w:color="auto"/>
      </w:divBdr>
      <w:divsChild>
        <w:div w:id="1316452448">
          <w:marLeft w:val="0"/>
          <w:marRight w:val="0"/>
          <w:marTop w:val="0"/>
          <w:marBottom w:val="0"/>
          <w:divBdr>
            <w:top w:val="none" w:sz="0" w:space="0" w:color="auto"/>
            <w:left w:val="none" w:sz="0" w:space="0" w:color="auto"/>
            <w:bottom w:val="none" w:sz="0" w:space="0" w:color="auto"/>
            <w:right w:val="none" w:sz="0" w:space="0" w:color="auto"/>
          </w:divBdr>
          <w:divsChild>
            <w:div w:id="544492838">
              <w:marLeft w:val="0"/>
              <w:marRight w:val="0"/>
              <w:marTop w:val="0"/>
              <w:marBottom w:val="0"/>
              <w:divBdr>
                <w:top w:val="none" w:sz="0" w:space="0" w:color="auto"/>
                <w:left w:val="none" w:sz="0" w:space="0" w:color="auto"/>
                <w:bottom w:val="none" w:sz="0" w:space="0" w:color="auto"/>
                <w:right w:val="none" w:sz="0" w:space="0" w:color="auto"/>
              </w:divBdr>
              <w:divsChild>
                <w:div w:id="2105683188">
                  <w:marLeft w:val="0"/>
                  <w:marRight w:val="0"/>
                  <w:marTop w:val="0"/>
                  <w:marBottom w:val="0"/>
                  <w:divBdr>
                    <w:top w:val="none" w:sz="0" w:space="0" w:color="auto"/>
                    <w:left w:val="none" w:sz="0" w:space="0" w:color="auto"/>
                    <w:bottom w:val="none" w:sz="0" w:space="0" w:color="auto"/>
                    <w:right w:val="none" w:sz="0" w:space="0" w:color="auto"/>
                  </w:divBdr>
                  <w:divsChild>
                    <w:div w:id="1952011727">
                      <w:marLeft w:val="0"/>
                      <w:marRight w:val="0"/>
                      <w:marTop w:val="0"/>
                      <w:marBottom w:val="0"/>
                      <w:divBdr>
                        <w:top w:val="none" w:sz="0" w:space="0" w:color="auto"/>
                        <w:left w:val="none" w:sz="0" w:space="0" w:color="auto"/>
                        <w:bottom w:val="none" w:sz="0" w:space="0" w:color="auto"/>
                        <w:right w:val="none" w:sz="0" w:space="0" w:color="auto"/>
                      </w:divBdr>
                      <w:divsChild>
                        <w:div w:id="1783185387">
                          <w:marLeft w:val="0"/>
                          <w:marRight w:val="0"/>
                          <w:marTop w:val="0"/>
                          <w:marBottom w:val="0"/>
                          <w:divBdr>
                            <w:top w:val="none" w:sz="0" w:space="0" w:color="auto"/>
                            <w:left w:val="none" w:sz="0" w:space="0" w:color="auto"/>
                            <w:bottom w:val="none" w:sz="0" w:space="0" w:color="auto"/>
                            <w:right w:val="none" w:sz="0" w:space="0" w:color="auto"/>
                          </w:divBdr>
                          <w:divsChild>
                            <w:div w:id="2055960532">
                              <w:marLeft w:val="0"/>
                              <w:marRight w:val="0"/>
                              <w:marTop w:val="0"/>
                              <w:marBottom w:val="0"/>
                              <w:divBdr>
                                <w:top w:val="none" w:sz="0" w:space="0" w:color="auto"/>
                                <w:left w:val="none" w:sz="0" w:space="0" w:color="auto"/>
                                <w:bottom w:val="none" w:sz="0" w:space="0" w:color="auto"/>
                                <w:right w:val="none" w:sz="0" w:space="0" w:color="auto"/>
                              </w:divBdr>
                              <w:divsChild>
                                <w:div w:id="1381243506">
                                  <w:marLeft w:val="0"/>
                                  <w:marRight w:val="0"/>
                                  <w:marTop w:val="0"/>
                                  <w:marBottom w:val="0"/>
                                  <w:divBdr>
                                    <w:top w:val="none" w:sz="0" w:space="0" w:color="auto"/>
                                    <w:left w:val="none" w:sz="0" w:space="0" w:color="auto"/>
                                    <w:bottom w:val="none" w:sz="0" w:space="0" w:color="auto"/>
                                    <w:right w:val="none" w:sz="0" w:space="0" w:color="auto"/>
                                  </w:divBdr>
                                  <w:divsChild>
                                    <w:div w:id="1350254058">
                                      <w:marLeft w:val="0"/>
                                      <w:marRight w:val="0"/>
                                      <w:marTop w:val="0"/>
                                      <w:marBottom w:val="0"/>
                                      <w:divBdr>
                                        <w:top w:val="none" w:sz="0" w:space="0" w:color="auto"/>
                                        <w:left w:val="none" w:sz="0" w:space="0" w:color="auto"/>
                                        <w:bottom w:val="none" w:sz="0" w:space="0" w:color="auto"/>
                                        <w:right w:val="none" w:sz="0" w:space="0" w:color="auto"/>
                                      </w:divBdr>
                                    </w:div>
                                    <w:div w:id="1112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923">
                              <w:marLeft w:val="0"/>
                              <w:marRight w:val="0"/>
                              <w:marTop w:val="0"/>
                              <w:marBottom w:val="0"/>
                              <w:divBdr>
                                <w:top w:val="none" w:sz="0" w:space="0" w:color="auto"/>
                                <w:left w:val="none" w:sz="0" w:space="0" w:color="auto"/>
                                <w:bottom w:val="none" w:sz="0" w:space="0" w:color="auto"/>
                                <w:right w:val="none" w:sz="0" w:space="0" w:color="auto"/>
                              </w:divBdr>
                              <w:divsChild>
                                <w:div w:id="1964848261">
                                  <w:marLeft w:val="0"/>
                                  <w:marRight w:val="0"/>
                                  <w:marTop w:val="0"/>
                                  <w:marBottom w:val="0"/>
                                  <w:divBdr>
                                    <w:top w:val="none" w:sz="0" w:space="0" w:color="auto"/>
                                    <w:left w:val="none" w:sz="0" w:space="0" w:color="auto"/>
                                    <w:bottom w:val="none" w:sz="0" w:space="0" w:color="auto"/>
                                    <w:right w:val="none" w:sz="0" w:space="0" w:color="auto"/>
                                  </w:divBdr>
                                  <w:divsChild>
                                    <w:div w:id="1017318095">
                                      <w:marLeft w:val="0"/>
                                      <w:marRight w:val="0"/>
                                      <w:marTop w:val="0"/>
                                      <w:marBottom w:val="0"/>
                                      <w:divBdr>
                                        <w:top w:val="none" w:sz="0" w:space="0" w:color="auto"/>
                                        <w:left w:val="none" w:sz="0" w:space="0" w:color="auto"/>
                                        <w:bottom w:val="none" w:sz="0" w:space="0" w:color="auto"/>
                                        <w:right w:val="none" w:sz="0" w:space="0" w:color="auto"/>
                                      </w:divBdr>
                                    </w:div>
                                    <w:div w:id="60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3055">
      <w:bodyDiv w:val="1"/>
      <w:marLeft w:val="0"/>
      <w:marRight w:val="0"/>
      <w:marTop w:val="0"/>
      <w:marBottom w:val="0"/>
      <w:divBdr>
        <w:top w:val="none" w:sz="0" w:space="0" w:color="auto"/>
        <w:left w:val="none" w:sz="0" w:space="0" w:color="auto"/>
        <w:bottom w:val="none" w:sz="0" w:space="0" w:color="auto"/>
        <w:right w:val="none" w:sz="0" w:space="0" w:color="auto"/>
      </w:divBdr>
    </w:div>
    <w:div w:id="760835856">
      <w:bodyDiv w:val="1"/>
      <w:marLeft w:val="0"/>
      <w:marRight w:val="0"/>
      <w:marTop w:val="0"/>
      <w:marBottom w:val="0"/>
      <w:divBdr>
        <w:top w:val="none" w:sz="0" w:space="0" w:color="auto"/>
        <w:left w:val="none" w:sz="0" w:space="0" w:color="auto"/>
        <w:bottom w:val="none" w:sz="0" w:space="0" w:color="auto"/>
        <w:right w:val="none" w:sz="0" w:space="0" w:color="auto"/>
      </w:divBdr>
    </w:div>
    <w:div w:id="967005706">
      <w:bodyDiv w:val="1"/>
      <w:marLeft w:val="0"/>
      <w:marRight w:val="0"/>
      <w:marTop w:val="0"/>
      <w:marBottom w:val="0"/>
      <w:divBdr>
        <w:top w:val="none" w:sz="0" w:space="0" w:color="auto"/>
        <w:left w:val="none" w:sz="0" w:space="0" w:color="auto"/>
        <w:bottom w:val="none" w:sz="0" w:space="0" w:color="auto"/>
        <w:right w:val="none" w:sz="0" w:space="0" w:color="auto"/>
      </w:divBdr>
    </w:div>
    <w:div w:id="98782414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41311910">
      <w:bodyDiv w:val="1"/>
      <w:marLeft w:val="0"/>
      <w:marRight w:val="0"/>
      <w:marTop w:val="0"/>
      <w:marBottom w:val="0"/>
      <w:divBdr>
        <w:top w:val="none" w:sz="0" w:space="0" w:color="auto"/>
        <w:left w:val="none" w:sz="0" w:space="0" w:color="auto"/>
        <w:bottom w:val="none" w:sz="0" w:space="0" w:color="auto"/>
        <w:right w:val="none" w:sz="0" w:space="0" w:color="auto"/>
      </w:divBdr>
    </w:div>
    <w:div w:id="125817541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938800">
      <w:bodyDiv w:val="1"/>
      <w:marLeft w:val="0"/>
      <w:marRight w:val="0"/>
      <w:marTop w:val="0"/>
      <w:marBottom w:val="0"/>
      <w:divBdr>
        <w:top w:val="none" w:sz="0" w:space="0" w:color="auto"/>
        <w:left w:val="none" w:sz="0" w:space="0" w:color="auto"/>
        <w:bottom w:val="none" w:sz="0" w:space="0" w:color="auto"/>
        <w:right w:val="none" w:sz="0" w:space="0" w:color="auto"/>
      </w:divBdr>
    </w:div>
    <w:div w:id="1581139798">
      <w:bodyDiv w:val="1"/>
      <w:marLeft w:val="0"/>
      <w:marRight w:val="0"/>
      <w:marTop w:val="0"/>
      <w:marBottom w:val="0"/>
      <w:divBdr>
        <w:top w:val="none" w:sz="0" w:space="0" w:color="auto"/>
        <w:left w:val="none" w:sz="0" w:space="0" w:color="auto"/>
        <w:bottom w:val="none" w:sz="0" w:space="0" w:color="auto"/>
        <w:right w:val="none" w:sz="0" w:space="0" w:color="auto"/>
      </w:divBdr>
    </w:div>
    <w:div w:id="1746947762">
      <w:bodyDiv w:val="1"/>
      <w:marLeft w:val="0"/>
      <w:marRight w:val="0"/>
      <w:marTop w:val="0"/>
      <w:marBottom w:val="0"/>
      <w:divBdr>
        <w:top w:val="none" w:sz="0" w:space="0" w:color="auto"/>
        <w:left w:val="none" w:sz="0" w:space="0" w:color="auto"/>
        <w:bottom w:val="none" w:sz="0" w:space="0" w:color="auto"/>
        <w:right w:val="none" w:sz="0" w:space="0" w:color="auto"/>
      </w:divBdr>
    </w:div>
    <w:div w:id="1845241706">
      <w:bodyDiv w:val="1"/>
      <w:marLeft w:val="0"/>
      <w:marRight w:val="0"/>
      <w:marTop w:val="0"/>
      <w:marBottom w:val="0"/>
      <w:divBdr>
        <w:top w:val="none" w:sz="0" w:space="0" w:color="auto"/>
        <w:left w:val="none" w:sz="0" w:space="0" w:color="auto"/>
        <w:bottom w:val="none" w:sz="0" w:space="0" w:color="auto"/>
        <w:right w:val="none" w:sz="0" w:space="0" w:color="auto"/>
      </w:divBdr>
    </w:div>
    <w:div w:id="2043819841">
      <w:bodyDiv w:val="1"/>
      <w:marLeft w:val="0"/>
      <w:marRight w:val="0"/>
      <w:marTop w:val="0"/>
      <w:marBottom w:val="0"/>
      <w:divBdr>
        <w:top w:val="none" w:sz="0" w:space="0" w:color="auto"/>
        <w:left w:val="none" w:sz="0" w:space="0" w:color="auto"/>
        <w:bottom w:val="none" w:sz="0" w:space="0" w:color="auto"/>
        <w:right w:val="none" w:sz="0" w:space="0" w:color="auto"/>
      </w:divBdr>
    </w:div>
    <w:div w:id="2141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tlana.batar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10555</Words>
  <Characters>6017</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Zaiga Šulca</cp:lastModifiedBy>
  <cp:revision>7</cp:revision>
  <cp:lastPrinted>2019-05-14T10:30:00Z</cp:lastPrinted>
  <dcterms:created xsi:type="dcterms:W3CDTF">2021-05-19T13:24:00Z</dcterms:created>
  <dcterms:modified xsi:type="dcterms:W3CDTF">2021-05-26T07:14:00Z</dcterms:modified>
</cp:coreProperties>
</file>