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EDF5" w14:textId="0FCD90D9" w:rsidR="00894C55" w:rsidRPr="00EB3DFF" w:rsidRDefault="00A834F4" w:rsidP="00EB3DFF">
      <w:pPr>
        <w:shd w:val="clear" w:color="auto" w:fill="FFFFFF"/>
        <w:jc w:val="center"/>
        <w:rPr>
          <w:color w:val="000000" w:themeColor="text1"/>
          <w:lang w:eastAsia="lv-LV"/>
        </w:rPr>
      </w:pPr>
      <w:r w:rsidRPr="00A834F4">
        <w:rPr>
          <w:b/>
          <w:bCs/>
          <w:sz w:val="28"/>
          <w:lang w:eastAsia="lv-LV"/>
        </w:rPr>
        <w:t>Ministru kabineta noteikumu projekta “Noteikumi par īpaš</w:t>
      </w:r>
      <w:r w:rsidR="00F0113C">
        <w:rPr>
          <w:b/>
          <w:bCs/>
          <w:sz w:val="28"/>
          <w:lang w:eastAsia="lv-LV"/>
        </w:rPr>
        <w:t>ās</w:t>
      </w:r>
      <w:r w:rsidRPr="00A834F4">
        <w:rPr>
          <w:b/>
          <w:bCs/>
          <w:sz w:val="28"/>
          <w:lang w:eastAsia="lv-LV"/>
        </w:rPr>
        <w:t xml:space="preserve"> veterinār</w:t>
      </w:r>
      <w:r w:rsidR="00F0113C">
        <w:rPr>
          <w:b/>
          <w:bCs/>
          <w:sz w:val="28"/>
          <w:lang w:eastAsia="lv-LV"/>
        </w:rPr>
        <w:t>ās</w:t>
      </w:r>
      <w:r w:rsidRPr="00A834F4">
        <w:rPr>
          <w:b/>
          <w:bCs/>
          <w:sz w:val="28"/>
          <w:lang w:eastAsia="lv-LV"/>
        </w:rPr>
        <w:t xml:space="preserve"> recept</w:t>
      </w:r>
      <w:r w:rsidR="00F0113C">
        <w:rPr>
          <w:b/>
          <w:bCs/>
          <w:sz w:val="28"/>
          <w:lang w:eastAsia="lv-LV"/>
        </w:rPr>
        <w:t>es apriti</w:t>
      </w:r>
      <w:r w:rsidRPr="00A834F4">
        <w:rPr>
          <w:b/>
          <w:bCs/>
          <w:sz w:val="28"/>
          <w:lang w:eastAsia="lv-LV"/>
        </w:rPr>
        <w:t xml:space="preserve">” </w:t>
      </w:r>
      <w:r w:rsidR="00894C55" w:rsidRPr="00394379">
        <w:rPr>
          <w:b/>
          <w:bCs/>
          <w:sz w:val="28"/>
          <w:lang w:eastAsia="lv-LV"/>
        </w:rPr>
        <w:t>sākotnējās ietekmes novērtējuma ziņojums (anotācija)</w:t>
      </w:r>
    </w:p>
    <w:p w14:paraId="359D95C3" w14:textId="77777777" w:rsidR="00E5323B" w:rsidRPr="00394379" w:rsidRDefault="00E5323B" w:rsidP="00894C55">
      <w:pPr>
        <w:shd w:val="clear" w:color="auto" w:fill="FFFFFF"/>
        <w:jc w:val="center"/>
        <w:rPr>
          <w:b/>
          <w:bCs/>
          <w:sz w:val="28"/>
          <w:lang w:eastAsia="lv-LV"/>
        </w:rPr>
      </w:pPr>
    </w:p>
    <w:tbl>
      <w:tblPr>
        <w:tblStyle w:val="Reatabula"/>
        <w:tblW w:w="5000" w:type="pct"/>
        <w:tblLook w:val="04A0" w:firstRow="1" w:lastRow="0" w:firstColumn="1" w:lastColumn="0" w:noHBand="0" w:noVBand="1"/>
      </w:tblPr>
      <w:tblGrid>
        <w:gridCol w:w="3624"/>
        <w:gridCol w:w="5437"/>
      </w:tblGrid>
      <w:tr w:rsidR="008153E8" w:rsidRPr="00394379" w14:paraId="537484C5" w14:textId="77777777" w:rsidTr="008153E8">
        <w:tc>
          <w:tcPr>
            <w:tcW w:w="0" w:type="auto"/>
            <w:gridSpan w:val="2"/>
            <w:hideMark/>
          </w:tcPr>
          <w:p w14:paraId="798737CC" w14:textId="77777777" w:rsidR="00655F2C" w:rsidRPr="00394379" w:rsidRDefault="00E5323B" w:rsidP="00E5323B">
            <w:pPr>
              <w:rPr>
                <w:b/>
                <w:bCs/>
                <w:iCs/>
                <w:lang w:eastAsia="lv-LV"/>
              </w:rPr>
            </w:pPr>
            <w:r w:rsidRPr="00394379">
              <w:rPr>
                <w:b/>
                <w:bCs/>
                <w:iCs/>
                <w:lang w:eastAsia="lv-LV"/>
              </w:rPr>
              <w:t>Tiesību akta projekta anotācijas kopsavilkums</w:t>
            </w:r>
          </w:p>
        </w:tc>
      </w:tr>
      <w:tr w:rsidR="008153E8" w:rsidRPr="00394379" w14:paraId="351530F0" w14:textId="77777777" w:rsidTr="008153E8">
        <w:tc>
          <w:tcPr>
            <w:tcW w:w="1980" w:type="pct"/>
            <w:hideMark/>
          </w:tcPr>
          <w:p w14:paraId="3816568E" w14:textId="77777777" w:rsidR="00E5323B" w:rsidRPr="00394379" w:rsidRDefault="00E5323B" w:rsidP="00E5323B">
            <w:pPr>
              <w:rPr>
                <w:iCs/>
                <w:lang w:eastAsia="lv-LV"/>
              </w:rPr>
            </w:pPr>
            <w:r w:rsidRPr="00394379">
              <w:rPr>
                <w:iCs/>
                <w:lang w:eastAsia="lv-LV"/>
              </w:rPr>
              <w:t>Mērķis, risinājums un projekta spēkā stāšanās laiks (500 zīmes bez atstarpēm)</w:t>
            </w:r>
          </w:p>
        </w:tc>
        <w:tc>
          <w:tcPr>
            <w:tcW w:w="2971" w:type="pct"/>
            <w:hideMark/>
          </w:tcPr>
          <w:p w14:paraId="6F927398" w14:textId="509BC86D" w:rsidR="00997F2A" w:rsidRDefault="00D563DC" w:rsidP="008153E8">
            <w:pPr>
              <w:shd w:val="clear" w:color="auto" w:fill="FFFFFF"/>
              <w:jc w:val="both"/>
            </w:pPr>
            <w:r w:rsidRPr="00394379">
              <w:t>Ministru kabineta noteikumu projekts “</w:t>
            </w:r>
            <w:r w:rsidRPr="00394379">
              <w:rPr>
                <w:bCs/>
                <w:lang w:eastAsia="lv-LV"/>
              </w:rPr>
              <w:t xml:space="preserve">Noteikumi par </w:t>
            </w:r>
            <w:r w:rsidR="00EF2648">
              <w:rPr>
                <w:bCs/>
                <w:lang w:eastAsia="lv-LV"/>
              </w:rPr>
              <w:t>īpaš</w:t>
            </w:r>
            <w:r w:rsidR="00137E99">
              <w:rPr>
                <w:bCs/>
                <w:lang w:eastAsia="lv-LV"/>
              </w:rPr>
              <w:t>ās</w:t>
            </w:r>
            <w:r w:rsidR="00EF2648">
              <w:rPr>
                <w:bCs/>
                <w:lang w:eastAsia="lv-LV"/>
              </w:rPr>
              <w:t xml:space="preserve"> veterinār</w:t>
            </w:r>
            <w:r w:rsidR="00137E99">
              <w:rPr>
                <w:bCs/>
                <w:lang w:eastAsia="lv-LV"/>
              </w:rPr>
              <w:t>ās</w:t>
            </w:r>
            <w:r w:rsidR="00EF2648">
              <w:rPr>
                <w:bCs/>
                <w:lang w:eastAsia="lv-LV"/>
              </w:rPr>
              <w:t xml:space="preserve"> recept</w:t>
            </w:r>
            <w:r w:rsidR="00137E99">
              <w:rPr>
                <w:bCs/>
                <w:lang w:eastAsia="lv-LV"/>
              </w:rPr>
              <w:t>es apriti</w:t>
            </w:r>
            <w:r w:rsidRPr="00394379">
              <w:t xml:space="preserve">” (turpmāk – noteikumu projekts) </w:t>
            </w:r>
            <w:r w:rsidR="00005758">
              <w:t>sagatavots</w:t>
            </w:r>
            <w:r w:rsidR="00731E0F">
              <w:t xml:space="preserve">, lai </w:t>
            </w:r>
            <w:r w:rsidR="009D0617">
              <w:t>noteikt</w:t>
            </w:r>
            <w:r w:rsidR="00731E0F">
              <w:t>u</w:t>
            </w:r>
            <w:r w:rsidR="008A5AE4">
              <w:t xml:space="preserve"> </w:t>
            </w:r>
            <w:r w:rsidR="009D0617">
              <w:t>skaidrākas un nepārprotamas prasības un kārtību</w:t>
            </w:r>
            <w:r w:rsidR="001A7414">
              <w:t xml:space="preserve"> </w:t>
            </w:r>
            <w:r w:rsidR="001C6825" w:rsidRPr="001C6825">
              <w:t xml:space="preserve">īpašās veterinārās receptes </w:t>
            </w:r>
            <w:r w:rsidR="008A5AE4">
              <w:t xml:space="preserve">un tās veidlapas </w:t>
            </w:r>
            <w:r w:rsidR="001C6825" w:rsidRPr="001C6825">
              <w:t>aprit</w:t>
            </w:r>
            <w:r w:rsidR="009D0617">
              <w:t>ei</w:t>
            </w:r>
            <w:r w:rsidR="008A5AE4">
              <w:t>, kā arī precizēt</w:t>
            </w:r>
            <w:r w:rsidR="00731E0F">
              <w:t>u</w:t>
            </w:r>
            <w:r w:rsidR="008A5AE4">
              <w:t xml:space="preserve"> īpašās veterinārās receptes veidlapas formu (paraugu).</w:t>
            </w:r>
          </w:p>
          <w:p w14:paraId="4C034905" w14:textId="4CE3EC58" w:rsidR="00E5323B" w:rsidRPr="00394379" w:rsidRDefault="00FA0EF9" w:rsidP="00FA0EF9">
            <w:pPr>
              <w:shd w:val="clear" w:color="auto" w:fill="FFFFFF"/>
              <w:jc w:val="both"/>
              <w:rPr>
                <w:sz w:val="28"/>
                <w:szCs w:val="28"/>
                <w:lang w:eastAsia="lv-LV"/>
              </w:rPr>
            </w:pPr>
            <w:r>
              <w:t xml:space="preserve">Noteikumu projekts stāsies spēkā </w:t>
            </w:r>
            <w:r w:rsidR="00597BAE">
              <w:t xml:space="preserve">nākamajā dienā </w:t>
            </w:r>
            <w:r>
              <w:rPr>
                <w:bCs/>
              </w:rPr>
              <w:t xml:space="preserve">pēc tā publicēšanas oficiālajā izdevumā </w:t>
            </w:r>
            <w:r w:rsidR="00096982">
              <w:rPr>
                <w:bCs/>
              </w:rPr>
              <w:t>“</w:t>
            </w:r>
            <w:r>
              <w:rPr>
                <w:bCs/>
              </w:rPr>
              <w:t>Latvijas Vēstnesis”</w:t>
            </w:r>
            <w:r>
              <w:t>.</w:t>
            </w:r>
          </w:p>
        </w:tc>
      </w:tr>
    </w:tbl>
    <w:p w14:paraId="09034527" w14:textId="47695C69" w:rsidR="00E5323B" w:rsidRPr="00394379" w:rsidRDefault="00E5323B" w:rsidP="00E5323B">
      <w:pPr>
        <w:rPr>
          <w:iCs/>
          <w:color w:val="414142"/>
          <w:lang w:eastAsia="lv-LV"/>
        </w:rPr>
      </w:pPr>
      <w:r w:rsidRPr="00394379">
        <w:rPr>
          <w:iCs/>
          <w:color w:val="414142"/>
          <w:lang w:eastAsia="lv-LV"/>
        </w:rPr>
        <w:t> </w:t>
      </w:r>
    </w:p>
    <w:tbl>
      <w:tblPr>
        <w:tblStyle w:val="Reatabula"/>
        <w:tblpPr w:leftFromText="180" w:rightFromText="180" w:vertAnchor="text" w:tblpY="1"/>
        <w:tblOverlap w:val="never"/>
        <w:tblW w:w="5000" w:type="pct"/>
        <w:tblLook w:val="04A0" w:firstRow="1" w:lastRow="0" w:firstColumn="1" w:lastColumn="0" w:noHBand="0" w:noVBand="1"/>
      </w:tblPr>
      <w:tblGrid>
        <w:gridCol w:w="543"/>
        <w:gridCol w:w="3081"/>
        <w:gridCol w:w="5437"/>
      </w:tblGrid>
      <w:tr w:rsidR="00E5323B" w:rsidRPr="00394379" w14:paraId="28BE865C" w14:textId="77777777" w:rsidTr="00EB3DFF">
        <w:tc>
          <w:tcPr>
            <w:tcW w:w="0" w:type="auto"/>
            <w:gridSpan w:val="3"/>
            <w:hideMark/>
          </w:tcPr>
          <w:p w14:paraId="5D80941A" w14:textId="77777777" w:rsidR="00655F2C" w:rsidRPr="00212ECB" w:rsidRDefault="00E5323B" w:rsidP="00EB3DFF">
            <w:pPr>
              <w:jc w:val="center"/>
              <w:rPr>
                <w:b/>
                <w:bCs/>
                <w:iCs/>
                <w:lang w:eastAsia="lv-LV"/>
              </w:rPr>
            </w:pPr>
            <w:r w:rsidRPr="00212ECB">
              <w:rPr>
                <w:b/>
                <w:bCs/>
                <w:iCs/>
                <w:lang w:eastAsia="lv-LV"/>
              </w:rPr>
              <w:t>I. Tiesību akta projekta izstrādes nepieciešamība</w:t>
            </w:r>
          </w:p>
        </w:tc>
      </w:tr>
      <w:tr w:rsidR="00E5323B" w:rsidRPr="00394379" w14:paraId="571738E1" w14:textId="77777777" w:rsidTr="00EB3DFF">
        <w:tc>
          <w:tcPr>
            <w:tcW w:w="300" w:type="pct"/>
            <w:hideMark/>
          </w:tcPr>
          <w:p w14:paraId="303533E4" w14:textId="77777777" w:rsidR="00655F2C" w:rsidRPr="00394379" w:rsidRDefault="00E5323B" w:rsidP="00EB3DFF">
            <w:pPr>
              <w:rPr>
                <w:iCs/>
                <w:color w:val="414142"/>
                <w:lang w:eastAsia="lv-LV"/>
              </w:rPr>
            </w:pPr>
            <w:r w:rsidRPr="00394379">
              <w:rPr>
                <w:iCs/>
                <w:color w:val="414142"/>
                <w:lang w:eastAsia="lv-LV"/>
              </w:rPr>
              <w:t>1.</w:t>
            </w:r>
          </w:p>
        </w:tc>
        <w:tc>
          <w:tcPr>
            <w:tcW w:w="1700" w:type="pct"/>
            <w:hideMark/>
          </w:tcPr>
          <w:p w14:paraId="04147BB6" w14:textId="77777777" w:rsidR="00E5323B" w:rsidRPr="00394379" w:rsidRDefault="00E5323B" w:rsidP="00EB3DFF">
            <w:pPr>
              <w:rPr>
                <w:iCs/>
                <w:color w:val="414142"/>
                <w:lang w:eastAsia="lv-LV"/>
              </w:rPr>
            </w:pPr>
            <w:r w:rsidRPr="00394379">
              <w:rPr>
                <w:iCs/>
                <w:color w:val="414142"/>
                <w:lang w:eastAsia="lv-LV"/>
              </w:rPr>
              <w:t>Pamatojums</w:t>
            </w:r>
          </w:p>
        </w:tc>
        <w:tc>
          <w:tcPr>
            <w:tcW w:w="3000" w:type="pct"/>
            <w:hideMark/>
          </w:tcPr>
          <w:p w14:paraId="20DAAC57" w14:textId="1B29729D" w:rsidR="00427887" w:rsidRPr="00212ECB" w:rsidRDefault="00427887" w:rsidP="00EB3DFF">
            <w:pPr>
              <w:jc w:val="both"/>
              <w:rPr>
                <w:iCs/>
                <w:lang w:eastAsia="lv-LV"/>
              </w:rPr>
            </w:pPr>
            <w:r w:rsidRPr="00212ECB">
              <w:rPr>
                <w:iCs/>
                <w:lang w:eastAsia="lv-LV"/>
              </w:rPr>
              <w:t>1. Narkotisko un psihotropo</w:t>
            </w:r>
            <w:r w:rsidR="00322E59">
              <w:rPr>
                <w:iCs/>
                <w:lang w:eastAsia="lv-LV"/>
              </w:rPr>
              <w:t xml:space="preserve"> vielu un zāļu</w:t>
            </w:r>
            <w:r w:rsidRPr="00212ECB">
              <w:rPr>
                <w:iCs/>
                <w:lang w:eastAsia="lv-LV"/>
              </w:rPr>
              <w:t>, kā arī prekursoru likumīgās aprites likuma 3</w:t>
            </w:r>
            <w:r w:rsidR="00282925">
              <w:rPr>
                <w:iCs/>
                <w:lang w:eastAsia="lv-LV"/>
              </w:rPr>
              <w:t>6</w:t>
            </w:r>
            <w:r w:rsidR="0010047F" w:rsidRPr="001348C8">
              <w:rPr>
                <w:iCs/>
                <w:lang w:eastAsia="lv-LV"/>
              </w:rPr>
              <w:t>.</w:t>
            </w:r>
            <w:r w:rsidRPr="00212ECB">
              <w:rPr>
                <w:iCs/>
                <w:lang w:eastAsia="lv-LV"/>
              </w:rPr>
              <w:t xml:space="preserve"> pant</w:t>
            </w:r>
            <w:r w:rsidR="00282925">
              <w:rPr>
                <w:iCs/>
                <w:lang w:eastAsia="lv-LV"/>
              </w:rPr>
              <w:t>a treš</w:t>
            </w:r>
            <w:r w:rsidR="00E05664">
              <w:rPr>
                <w:iCs/>
                <w:lang w:eastAsia="lv-LV"/>
              </w:rPr>
              <w:t>ā</w:t>
            </w:r>
            <w:r w:rsidR="00282925">
              <w:rPr>
                <w:iCs/>
                <w:lang w:eastAsia="lv-LV"/>
              </w:rPr>
              <w:t xml:space="preserve"> </w:t>
            </w:r>
            <w:r w:rsidR="00282925" w:rsidRPr="003E3B63">
              <w:rPr>
                <w:iCs/>
                <w:lang w:eastAsia="lv-LV"/>
              </w:rPr>
              <w:t>daļ</w:t>
            </w:r>
            <w:r w:rsidR="00E05664" w:rsidRPr="003E3B63">
              <w:rPr>
                <w:iCs/>
                <w:lang w:eastAsia="lv-LV"/>
              </w:rPr>
              <w:t>a</w:t>
            </w:r>
            <w:r w:rsidR="002776B1" w:rsidRPr="003E3B63">
              <w:rPr>
                <w:iCs/>
                <w:lang w:eastAsia="lv-LV"/>
              </w:rPr>
              <w:t xml:space="preserve"> </w:t>
            </w:r>
            <w:r w:rsidR="002776B1" w:rsidRPr="0040283D">
              <w:rPr>
                <w:iCs/>
                <w:lang w:eastAsia="lv-LV"/>
              </w:rPr>
              <w:t>(</w:t>
            </w:r>
            <w:r w:rsidR="001348C8" w:rsidRPr="0040283D">
              <w:rPr>
                <w:iCs/>
                <w:lang w:eastAsia="lv-LV"/>
              </w:rPr>
              <w:t>l</w:t>
            </w:r>
            <w:r w:rsidR="002776B1" w:rsidRPr="0040283D">
              <w:rPr>
                <w:iCs/>
                <w:lang w:eastAsia="lv-LV"/>
              </w:rPr>
              <w:t>ikum</w:t>
            </w:r>
            <w:r w:rsidR="001348C8" w:rsidRPr="0040283D">
              <w:rPr>
                <w:iCs/>
                <w:lang w:eastAsia="lv-LV"/>
              </w:rPr>
              <w:t>s</w:t>
            </w:r>
            <w:r w:rsidR="002776B1" w:rsidRPr="0040283D">
              <w:rPr>
                <w:iCs/>
                <w:lang w:eastAsia="lv-LV"/>
              </w:rPr>
              <w:t xml:space="preserve"> “</w:t>
            </w:r>
            <w:r w:rsidR="002776B1" w:rsidRPr="0040283D">
              <w:t>Grozījumi Narkotisko un psihotropo vielu un zāļu, kā arī prekursoru likumīgās aprites likum</w:t>
            </w:r>
            <w:r w:rsidR="001C6825" w:rsidRPr="0040283D">
              <w:t>ā</w:t>
            </w:r>
            <w:r w:rsidR="002776B1" w:rsidRPr="0040283D">
              <w:t>”</w:t>
            </w:r>
            <w:r w:rsidR="00383220" w:rsidRPr="0040283D">
              <w:t xml:space="preserve"> Saeim</w:t>
            </w:r>
            <w:r w:rsidR="00A968CC">
              <w:t>ā pieņemts 2021. gada 29. aprīlī</w:t>
            </w:r>
            <w:r w:rsidR="002776B1" w:rsidRPr="0040283D">
              <w:t>)</w:t>
            </w:r>
            <w:r w:rsidR="001348C8" w:rsidRPr="0040283D">
              <w:t>.</w:t>
            </w:r>
          </w:p>
          <w:p w14:paraId="0858F0B6" w14:textId="45FEAC6F" w:rsidR="00E5323B" w:rsidRPr="0010047F" w:rsidRDefault="00427887" w:rsidP="00DF7B53">
            <w:pPr>
              <w:jc w:val="both"/>
              <w:rPr>
                <w:rFonts w:asciiTheme="minorHAnsi" w:eastAsiaTheme="minorHAnsi" w:hAnsiTheme="minorHAnsi" w:cstheme="minorBidi"/>
                <w:sz w:val="22"/>
                <w:szCs w:val="22"/>
              </w:rPr>
            </w:pPr>
            <w:r w:rsidRPr="00212ECB">
              <w:rPr>
                <w:iCs/>
                <w:lang w:eastAsia="lv-LV"/>
              </w:rPr>
              <w:t>2.</w:t>
            </w:r>
            <w:r w:rsidR="009544F8">
              <w:rPr>
                <w:iCs/>
                <w:lang w:eastAsia="lv-LV"/>
              </w:rPr>
              <w:t xml:space="preserve"> </w:t>
            </w:r>
            <w:r w:rsidR="007C6D34" w:rsidRPr="00212ECB">
              <w:rPr>
                <w:iCs/>
                <w:lang w:eastAsia="lv-LV"/>
              </w:rPr>
              <w:t>Zemkopības ministrijas iniciatīva</w:t>
            </w:r>
            <w:r w:rsidR="00AC3D68">
              <w:rPr>
                <w:iCs/>
                <w:lang w:eastAsia="lv-LV"/>
              </w:rPr>
              <w:t>.</w:t>
            </w:r>
            <w:r w:rsidR="00CF3F48" w:rsidRPr="00212ECB">
              <w:rPr>
                <w:iCs/>
                <w:lang w:eastAsia="lv-LV"/>
              </w:rPr>
              <w:t xml:space="preserve"> </w:t>
            </w:r>
          </w:p>
        </w:tc>
      </w:tr>
      <w:tr w:rsidR="00E5323B" w:rsidRPr="00394379" w14:paraId="3B9862F7" w14:textId="77777777" w:rsidTr="00EB3DFF">
        <w:tc>
          <w:tcPr>
            <w:tcW w:w="300" w:type="pct"/>
            <w:hideMark/>
          </w:tcPr>
          <w:p w14:paraId="30EDE382" w14:textId="77777777" w:rsidR="00655F2C" w:rsidRPr="00394379" w:rsidRDefault="00E5323B" w:rsidP="00EB3DFF">
            <w:pPr>
              <w:rPr>
                <w:iCs/>
                <w:color w:val="414142"/>
                <w:lang w:eastAsia="lv-LV"/>
              </w:rPr>
            </w:pPr>
            <w:r w:rsidRPr="00394379">
              <w:rPr>
                <w:iCs/>
                <w:color w:val="414142"/>
                <w:lang w:eastAsia="lv-LV"/>
              </w:rPr>
              <w:t>2.</w:t>
            </w:r>
          </w:p>
        </w:tc>
        <w:tc>
          <w:tcPr>
            <w:tcW w:w="1700" w:type="pct"/>
            <w:hideMark/>
          </w:tcPr>
          <w:p w14:paraId="2FAD8F0E" w14:textId="358F94F3" w:rsidR="00EB3DFF" w:rsidRPr="00EB3DFF" w:rsidRDefault="00E5323B" w:rsidP="00A834F4">
            <w:pPr>
              <w:rPr>
                <w:lang w:eastAsia="lv-LV"/>
              </w:rPr>
            </w:pPr>
            <w:r w:rsidRPr="00394379">
              <w:rPr>
                <w:iCs/>
                <w:color w:val="000000" w:themeColor="text1"/>
                <w:lang w:eastAsia="lv-LV"/>
              </w:rPr>
              <w:t xml:space="preserve">Pašreizējā situācija un problēmas, kuru risināšanai tiesību akta projekts izstrādāts, </w:t>
            </w:r>
            <w:r w:rsidRPr="00A834F4">
              <w:rPr>
                <w:iCs/>
                <w:lang w:eastAsia="lv-LV"/>
              </w:rPr>
              <w:t>tiesiskā regulējuma mērķis un būtīb</w:t>
            </w:r>
            <w:r w:rsidR="001723E0">
              <w:rPr>
                <w:iCs/>
                <w:lang w:eastAsia="lv-LV"/>
              </w:rPr>
              <w:t>a</w:t>
            </w:r>
          </w:p>
        </w:tc>
        <w:tc>
          <w:tcPr>
            <w:tcW w:w="3000" w:type="pct"/>
            <w:hideMark/>
          </w:tcPr>
          <w:p w14:paraId="4E43F679" w14:textId="22604ABA" w:rsidR="00282925" w:rsidRPr="0040283D" w:rsidRDefault="00AC3D68" w:rsidP="00EB3DFF">
            <w:pPr>
              <w:jc w:val="both"/>
            </w:pPr>
            <w:r>
              <w:rPr>
                <w:color w:val="000000" w:themeColor="text1"/>
              </w:rPr>
              <w:t xml:space="preserve">Patlaban ir spēkā </w:t>
            </w:r>
            <w:r w:rsidR="00A458F0" w:rsidRPr="00394379">
              <w:rPr>
                <w:color w:val="000000" w:themeColor="text1"/>
              </w:rPr>
              <w:t>Ministru kabineta 20</w:t>
            </w:r>
            <w:r w:rsidR="009544F8">
              <w:rPr>
                <w:color w:val="000000" w:themeColor="text1"/>
              </w:rPr>
              <w:t>10</w:t>
            </w:r>
            <w:r w:rsidR="00A458F0" w:rsidRPr="00394379">
              <w:rPr>
                <w:color w:val="000000" w:themeColor="text1"/>
              </w:rPr>
              <w:t>.</w:t>
            </w:r>
            <w:r w:rsidR="00096982">
              <w:rPr>
                <w:color w:val="000000" w:themeColor="text1"/>
              </w:rPr>
              <w:t> </w:t>
            </w:r>
            <w:r w:rsidR="00A458F0" w:rsidRPr="00394379">
              <w:rPr>
                <w:color w:val="000000" w:themeColor="text1"/>
              </w:rPr>
              <w:t>gada 1</w:t>
            </w:r>
            <w:r w:rsidR="009544F8">
              <w:rPr>
                <w:color w:val="000000" w:themeColor="text1"/>
              </w:rPr>
              <w:t>0</w:t>
            </w:r>
            <w:r w:rsidR="00A458F0" w:rsidRPr="00394379">
              <w:rPr>
                <w:color w:val="000000" w:themeColor="text1"/>
              </w:rPr>
              <w:t>.</w:t>
            </w:r>
            <w:r w:rsidR="00096982">
              <w:rPr>
                <w:color w:val="000000" w:themeColor="text1"/>
              </w:rPr>
              <w:t> </w:t>
            </w:r>
            <w:r w:rsidR="009544F8">
              <w:rPr>
                <w:color w:val="000000" w:themeColor="text1"/>
              </w:rPr>
              <w:t>augusta</w:t>
            </w:r>
            <w:r w:rsidR="00A458F0" w:rsidRPr="00394379">
              <w:rPr>
                <w:color w:val="000000" w:themeColor="text1"/>
              </w:rPr>
              <w:t xml:space="preserve"> noteikum</w:t>
            </w:r>
            <w:r w:rsidR="007C3810">
              <w:rPr>
                <w:color w:val="000000" w:themeColor="text1"/>
              </w:rPr>
              <w:t>i</w:t>
            </w:r>
            <w:r w:rsidR="00A458F0" w:rsidRPr="00394379">
              <w:rPr>
                <w:color w:val="000000" w:themeColor="text1"/>
              </w:rPr>
              <w:t xml:space="preserve"> Nr.</w:t>
            </w:r>
            <w:r w:rsidR="00096982">
              <w:rPr>
                <w:color w:val="000000" w:themeColor="text1"/>
              </w:rPr>
              <w:t xml:space="preserve"> </w:t>
            </w:r>
            <w:r w:rsidR="009544F8">
              <w:rPr>
                <w:color w:val="000000" w:themeColor="text1"/>
              </w:rPr>
              <w:t>757</w:t>
            </w:r>
            <w:r w:rsidR="00A458F0" w:rsidRPr="00394379">
              <w:rPr>
                <w:color w:val="000000" w:themeColor="text1"/>
              </w:rPr>
              <w:t xml:space="preserve"> </w:t>
            </w:r>
            <w:r w:rsidR="00096982">
              <w:rPr>
                <w:color w:val="000000" w:themeColor="text1"/>
              </w:rPr>
              <w:t>“</w:t>
            </w:r>
            <w:r w:rsidR="009544F8">
              <w:rPr>
                <w:color w:val="000000" w:themeColor="text1"/>
              </w:rPr>
              <w:t xml:space="preserve">Īpašās veterinārās receptes izrakstīšanas un uzglabāšanas kārtība” </w:t>
            </w:r>
            <w:r w:rsidR="00A458F0" w:rsidRPr="00394379">
              <w:rPr>
                <w:color w:val="000000" w:themeColor="text1"/>
              </w:rPr>
              <w:t>(turpmāk – noteikumi Nr.</w:t>
            </w:r>
            <w:r w:rsidR="00096982">
              <w:rPr>
                <w:color w:val="000000" w:themeColor="text1"/>
              </w:rPr>
              <w:t> </w:t>
            </w:r>
            <w:r w:rsidR="009544F8">
              <w:rPr>
                <w:color w:val="000000" w:themeColor="text1"/>
              </w:rPr>
              <w:t>757</w:t>
            </w:r>
            <w:r w:rsidR="00A458F0" w:rsidRPr="00394379">
              <w:rPr>
                <w:color w:val="000000" w:themeColor="text1"/>
              </w:rPr>
              <w:t>)</w:t>
            </w:r>
            <w:r>
              <w:rPr>
                <w:color w:val="000000" w:themeColor="text1"/>
              </w:rPr>
              <w:t>,</w:t>
            </w:r>
            <w:r w:rsidR="00282925">
              <w:rPr>
                <w:color w:val="000000"/>
              </w:rPr>
              <w:t xml:space="preserve"> </w:t>
            </w:r>
            <w:r w:rsidR="00282925" w:rsidRPr="00B355AD">
              <w:t>k</w:t>
            </w:r>
            <w:r w:rsidR="00731E0F">
              <w:t>uros</w:t>
            </w:r>
            <w:r w:rsidR="00282925" w:rsidRPr="00B355AD">
              <w:t xml:space="preserve"> </w:t>
            </w:r>
            <w:r w:rsidR="00295ED1">
              <w:t>no</w:t>
            </w:r>
            <w:r w:rsidR="00731E0F">
              <w:t>teikta</w:t>
            </w:r>
            <w:r w:rsidR="00F4516F">
              <w:t xml:space="preserve"> kārtīb</w:t>
            </w:r>
            <w:r w:rsidR="00731E0F">
              <w:t>a</w:t>
            </w:r>
            <w:r w:rsidR="00F4516F">
              <w:t>, kādā izraksta un uzglabā</w:t>
            </w:r>
            <w:r w:rsidR="00096982">
              <w:t xml:space="preserve"> </w:t>
            </w:r>
            <w:r w:rsidR="00D0038F" w:rsidRPr="00362255">
              <w:t>īpaš</w:t>
            </w:r>
            <w:r w:rsidR="00F4516F" w:rsidRPr="00362255">
              <w:t>ās</w:t>
            </w:r>
            <w:r w:rsidR="00D0038F" w:rsidRPr="00362255">
              <w:t xml:space="preserve"> veterinār</w:t>
            </w:r>
            <w:r w:rsidR="00F4516F" w:rsidRPr="00362255">
              <w:t>ās</w:t>
            </w:r>
            <w:r w:rsidR="00D0038F" w:rsidRPr="00362255">
              <w:t xml:space="preserve"> </w:t>
            </w:r>
            <w:r w:rsidR="00282925" w:rsidRPr="00362255">
              <w:t>recep</w:t>
            </w:r>
            <w:r w:rsidR="00F4516F" w:rsidRPr="00362255">
              <w:t xml:space="preserve">tes </w:t>
            </w:r>
            <w:r w:rsidR="00D0038F" w:rsidRPr="00362255">
              <w:t>(turpmāk – īpašā recepte)</w:t>
            </w:r>
            <w:r w:rsidR="00282925" w:rsidRPr="00362255">
              <w:t xml:space="preserve"> </w:t>
            </w:r>
            <w:r w:rsidR="00444860" w:rsidRPr="00362255">
              <w:rPr>
                <w:shd w:val="clear" w:color="auto" w:fill="FFFFFF"/>
              </w:rPr>
              <w:t xml:space="preserve">Latvijā kontrolējamo narkotisko vielu, psihotropo vielu un prekursoru II un III </w:t>
            </w:r>
            <w:r w:rsidR="00444860" w:rsidRPr="0040283D">
              <w:rPr>
                <w:shd w:val="clear" w:color="auto" w:fill="FFFFFF"/>
              </w:rPr>
              <w:t>sarakstā iekļautajām zālēm un vielām</w:t>
            </w:r>
            <w:r w:rsidR="00295ED1" w:rsidRPr="0040283D">
              <w:t>.</w:t>
            </w:r>
          </w:p>
          <w:p w14:paraId="35BB3DDF" w14:textId="1E2856F9" w:rsidR="00DC355C" w:rsidRPr="00D36A3D" w:rsidRDefault="00A43B46" w:rsidP="00EB3DFF">
            <w:pPr>
              <w:jc w:val="both"/>
              <w:rPr>
                <w:color w:val="000000" w:themeColor="text1"/>
              </w:rPr>
            </w:pPr>
            <w:r w:rsidRPr="0040283D">
              <w:rPr>
                <w:color w:val="000000" w:themeColor="text1"/>
              </w:rPr>
              <w:t xml:space="preserve">Noteikumu projekts </w:t>
            </w:r>
            <w:r w:rsidR="00731E0F">
              <w:rPr>
                <w:color w:val="000000" w:themeColor="text1"/>
              </w:rPr>
              <w:t>sagatavots,</w:t>
            </w:r>
            <w:r w:rsidR="00731E0F" w:rsidRPr="0040283D">
              <w:rPr>
                <w:color w:val="000000" w:themeColor="text1"/>
              </w:rPr>
              <w:t xml:space="preserve"> </w:t>
            </w:r>
            <w:r w:rsidR="009506E2" w:rsidRPr="0040283D">
              <w:t xml:space="preserve">pamatojoties uz </w:t>
            </w:r>
            <w:r w:rsidR="00A968CC">
              <w:t xml:space="preserve"> </w:t>
            </w:r>
            <w:r w:rsidR="00A968CC" w:rsidRPr="00A968CC">
              <w:t xml:space="preserve">Narkotisko un psihotropo vielu un zāļu, kā arī prekursoru likumīgās aprites likuma </w:t>
            </w:r>
            <w:r w:rsidR="00CE3AB8">
              <w:t xml:space="preserve">grozošo likumu, kas pieņemts </w:t>
            </w:r>
            <w:r w:rsidR="009506E2" w:rsidRPr="0040283D">
              <w:t xml:space="preserve">2021. gada </w:t>
            </w:r>
            <w:r w:rsidR="00A968CC">
              <w:t>29</w:t>
            </w:r>
            <w:r w:rsidR="009506E2" w:rsidRPr="0040283D">
              <w:t xml:space="preserve">. </w:t>
            </w:r>
            <w:r w:rsidR="00A968CC">
              <w:t>aprīlī</w:t>
            </w:r>
            <w:r w:rsidR="00CE3AB8">
              <w:t xml:space="preserve"> un stājās spēkā 2021. gada 1. jūnijā </w:t>
            </w:r>
            <w:r w:rsidR="00AA36E5" w:rsidRPr="0040283D">
              <w:rPr>
                <w:color w:val="000000" w:themeColor="text1"/>
              </w:rPr>
              <w:t xml:space="preserve">(turpmāk </w:t>
            </w:r>
            <w:r w:rsidR="00731E0F">
              <w:rPr>
                <w:color w:val="000000" w:themeColor="text1"/>
              </w:rPr>
              <w:t>–</w:t>
            </w:r>
            <w:r w:rsidR="00AA36E5" w:rsidRPr="0040283D">
              <w:rPr>
                <w:color w:val="000000" w:themeColor="text1"/>
              </w:rPr>
              <w:t xml:space="preserve"> likums)</w:t>
            </w:r>
            <w:r w:rsidR="00CE3AB8">
              <w:t>.</w:t>
            </w:r>
            <w:r w:rsidR="007B6895" w:rsidRPr="0040283D">
              <w:rPr>
                <w:color w:val="000000" w:themeColor="text1"/>
              </w:rPr>
              <w:t xml:space="preserve"> </w:t>
            </w:r>
            <w:r w:rsidR="00CE3AB8">
              <w:rPr>
                <w:color w:val="000000" w:themeColor="text1"/>
              </w:rPr>
              <w:t>L</w:t>
            </w:r>
            <w:r w:rsidR="00F32D16">
              <w:rPr>
                <w:color w:val="000000" w:themeColor="text1"/>
              </w:rPr>
              <w:t>ikuma 36.</w:t>
            </w:r>
            <w:r w:rsidR="00731E0F">
              <w:rPr>
                <w:color w:val="000000" w:themeColor="text1"/>
              </w:rPr>
              <w:t> </w:t>
            </w:r>
            <w:r w:rsidR="00F32D16">
              <w:rPr>
                <w:color w:val="000000" w:themeColor="text1"/>
              </w:rPr>
              <w:t>pant</w:t>
            </w:r>
            <w:r w:rsidR="00CE3AB8">
              <w:rPr>
                <w:color w:val="000000" w:themeColor="text1"/>
              </w:rPr>
              <w:t>s</w:t>
            </w:r>
            <w:r w:rsidR="00F32D16">
              <w:rPr>
                <w:color w:val="000000" w:themeColor="text1"/>
              </w:rPr>
              <w:t xml:space="preserve"> </w:t>
            </w:r>
            <w:r w:rsidR="00CE3AB8">
              <w:rPr>
                <w:color w:val="000000" w:themeColor="text1"/>
              </w:rPr>
              <w:t xml:space="preserve">ir papildināts </w:t>
            </w:r>
            <w:r w:rsidR="00F32D16">
              <w:rPr>
                <w:color w:val="000000" w:themeColor="text1"/>
              </w:rPr>
              <w:t>ar jaunu trešo daļu, kas paredz</w:t>
            </w:r>
            <w:r w:rsidR="00DC355C">
              <w:rPr>
                <w:color w:val="000000" w:themeColor="text1"/>
              </w:rPr>
              <w:t xml:space="preserve"> to, ka d</w:t>
            </w:r>
            <w:r w:rsidR="00DC355C" w:rsidRPr="00DC355C">
              <w:rPr>
                <w:color w:val="000000" w:themeColor="text1"/>
              </w:rPr>
              <w:t>zīvnieku īpašnieks vai turētājs II un III sarakstā iekļautās vielas un zāles var saņemt, uzrādot praktizējoša veterinārārsta izrakstītu īpašo veterināro recepti</w:t>
            </w:r>
            <w:r w:rsidR="00D36A3D">
              <w:rPr>
                <w:color w:val="000000" w:themeColor="text1"/>
              </w:rPr>
              <w:t>, k</w:t>
            </w:r>
            <w:r w:rsidR="00DC355C">
              <w:rPr>
                <w:color w:val="000000" w:themeColor="text1"/>
              </w:rPr>
              <w:t>ā arī pilnvaro</w:t>
            </w:r>
            <w:r w:rsidR="00DC355C" w:rsidRPr="00DC355C">
              <w:rPr>
                <w:color w:val="000000" w:themeColor="text1"/>
              </w:rPr>
              <w:t xml:space="preserve"> Ministru kabinet</w:t>
            </w:r>
            <w:r w:rsidR="00DC355C">
              <w:rPr>
                <w:color w:val="000000" w:themeColor="text1"/>
              </w:rPr>
              <w:t>u izdot n</w:t>
            </w:r>
            <w:r w:rsidR="00DC355C" w:rsidRPr="00DC355C">
              <w:rPr>
                <w:color w:val="000000" w:themeColor="text1"/>
              </w:rPr>
              <w:t xml:space="preserve">oteikumus par īpašās veterinārās receptes apriti un </w:t>
            </w:r>
            <w:r w:rsidR="00FC60B3">
              <w:rPr>
                <w:color w:val="000000" w:themeColor="text1"/>
              </w:rPr>
              <w:t xml:space="preserve">noteikt </w:t>
            </w:r>
            <w:r w:rsidR="002D67EE">
              <w:rPr>
                <w:color w:val="000000" w:themeColor="text1"/>
              </w:rPr>
              <w:t xml:space="preserve">tās </w:t>
            </w:r>
            <w:r w:rsidR="00DC355C" w:rsidRPr="00DC355C">
              <w:rPr>
                <w:color w:val="000000" w:themeColor="text1"/>
              </w:rPr>
              <w:t>veidlapas paraugu</w:t>
            </w:r>
            <w:r w:rsidR="00DC355C">
              <w:rPr>
                <w:color w:val="000000" w:themeColor="text1"/>
              </w:rPr>
              <w:t>. S</w:t>
            </w:r>
            <w:r w:rsidR="00022113">
              <w:rPr>
                <w:color w:val="000000" w:themeColor="text1"/>
              </w:rPr>
              <w:t>askaņā ar</w:t>
            </w:r>
            <w:r w:rsidR="00F32D16">
              <w:rPr>
                <w:color w:val="000000" w:themeColor="text1"/>
              </w:rPr>
              <w:t xml:space="preserve"> </w:t>
            </w:r>
            <w:r w:rsidR="00DC355C">
              <w:rPr>
                <w:color w:val="000000" w:themeColor="text1"/>
              </w:rPr>
              <w:t>jauno pilnvarojumu</w:t>
            </w:r>
            <w:r w:rsidR="00F32D16">
              <w:rPr>
                <w:color w:val="000000" w:themeColor="text1"/>
              </w:rPr>
              <w:t xml:space="preserve"> </w:t>
            </w:r>
            <w:r w:rsidR="007B6895" w:rsidRPr="00394379">
              <w:rPr>
                <w:color w:val="000000" w:themeColor="text1"/>
              </w:rPr>
              <w:t xml:space="preserve">ir </w:t>
            </w:r>
            <w:r w:rsidR="007B6895">
              <w:rPr>
                <w:color w:val="000000" w:themeColor="text1"/>
              </w:rPr>
              <w:t>sagatavot</w:t>
            </w:r>
            <w:r w:rsidR="00560AF4">
              <w:rPr>
                <w:color w:val="000000" w:themeColor="text1"/>
              </w:rPr>
              <w:t>s</w:t>
            </w:r>
            <w:r w:rsidR="007B6895">
              <w:rPr>
                <w:color w:val="000000" w:themeColor="text1"/>
              </w:rPr>
              <w:t xml:space="preserve"> </w:t>
            </w:r>
            <w:r w:rsidR="007B6895" w:rsidRPr="0040283D">
              <w:rPr>
                <w:color w:val="000000" w:themeColor="text1"/>
              </w:rPr>
              <w:t>jaun</w:t>
            </w:r>
            <w:r w:rsidR="00147A38" w:rsidRPr="0040283D">
              <w:rPr>
                <w:color w:val="000000" w:themeColor="text1"/>
              </w:rPr>
              <w:t>s</w:t>
            </w:r>
            <w:r w:rsidR="007B6895" w:rsidRPr="0040283D">
              <w:rPr>
                <w:color w:val="000000" w:themeColor="text1"/>
              </w:rPr>
              <w:t xml:space="preserve"> noteikumu </w:t>
            </w:r>
            <w:r w:rsidR="00147A38" w:rsidRPr="0040283D">
              <w:rPr>
                <w:color w:val="000000" w:themeColor="text1"/>
              </w:rPr>
              <w:t>projekts</w:t>
            </w:r>
            <w:r w:rsidR="00F32D16" w:rsidRPr="0040283D">
              <w:rPr>
                <w:color w:val="000000" w:themeColor="text1"/>
              </w:rPr>
              <w:t>, kuram</w:t>
            </w:r>
            <w:r w:rsidR="007B6895" w:rsidRPr="0040283D">
              <w:rPr>
                <w:color w:val="000000" w:themeColor="text1"/>
              </w:rPr>
              <w:t xml:space="preserve"> </w:t>
            </w:r>
            <w:r w:rsidR="009D0617" w:rsidRPr="0040283D">
              <w:rPr>
                <w:color w:val="000000" w:themeColor="text1"/>
              </w:rPr>
              <w:t>s</w:t>
            </w:r>
            <w:r w:rsidR="007B6895" w:rsidRPr="0040283D">
              <w:rPr>
                <w:color w:val="000000" w:themeColor="text1"/>
              </w:rPr>
              <w:t>tājoties spēkā noteikumi Nr. 757 zaudēs spēku.</w:t>
            </w:r>
            <w:r w:rsidR="009D0617" w:rsidRPr="0040283D">
              <w:rPr>
                <w:color w:val="000000" w:themeColor="text1"/>
              </w:rPr>
              <w:t xml:space="preserve"> </w:t>
            </w:r>
            <w:r w:rsidR="009506E2" w:rsidRPr="0040283D">
              <w:rPr>
                <w:color w:val="000000" w:themeColor="text1"/>
              </w:rPr>
              <w:t>Likum</w:t>
            </w:r>
            <w:r w:rsidR="00FC60B3">
              <w:rPr>
                <w:color w:val="000000" w:themeColor="text1"/>
              </w:rPr>
              <w:t>a pārejas noteikumu 6. punktā noteikts</w:t>
            </w:r>
            <w:r w:rsidR="009D0617" w:rsidRPr="0040283D">
              <w:rPr>
                <w:color w:val="000000" w:themeColor="text1"/>
              </w:rPr>
              <w:t xml:space="preserve">, ka </w:t>
            </w:r>
            <w:r w:rsidR="00FC60B3" w:rsidRPr="0040283D">
              <w:rPr>
                <w:color w:val="000000" w:themeColor="text1"/>
              </w:rPr>
              <w:t xml:space="preserve"> Ministru</w:t>
            </w:r>
            <w:r w:rsidR="00FC60B3" w:rsidRPr="00D36A3D">
              <w:rPr>
                <w:color w:val="000000" w:themeColor="text1"/>
              </w:rPr>
              <w:t xml:space="preserve"> kabinet</w:t>
            </w:r>
            <w:r w:rsidR="00FC60B3">
              <w:rPr>
                <w:color w:val="000000" w:themeColor="text1"/>
              </w:rPr>
              <w:t>s</w:t>
            </w:r>
            <w:r w:rsidR="00FC60B3" w:rsidRPr="009778E4">
              <w:rPr>
                <w:color w:val="000000" w:themeColor="text1"/>
              </w:rPr>
              <w:t xml:space="preserve"> </w:t>
            </w:r>
            <w:r w:rsidR="009D0617" w:rsidRPr="0040283D">
              <w:rPr>
                <w:color w:val="000000" w:themeColor="text1"/>
              </w:rPr>
              <w:t xml:space="preserve">līdz </w:t>
            </w:r>
            <w:r w:rsidR="00FC60B3">
              <w:rPr>
                <w:color w:val="000000" w:themeColor="text1"/>
              </w:rPr>
              <w:t xml:space="preserve">2021. gada </w:t>
            </w:r>
            <w:r w:rsidR="009D0617" w:rsidRPr="0040283D">
              <w:rPr>
                <w:color w:val="000000" w:themeColor="text1"/>
              </w:rPr>
              <w:t>1.</w:t>
            </w:r>
            <w:r w:rsidR="00F257CB">
              <w:rPr>
                <w:color w:val="000000" w:themeColor="text1"/>
              </w:rPr>
              <w:t xml:space="preserve"> </w:t>
            </w:r>
            <w:r w:rsidR="009D0617" w:rsidRPr="0040283D">
              <w:rPr>
                <w:color w:val="000000" w:themeColor="text1"/>
              </w:rPr>
              <w:t>jūlijam iz</w:t>
            </w:r>
            <w:r w:rsidR="00FC60B3">
              <w:rPr>
                <w:color w:val="000000" w:themeColor="text1"/>
              </w:rPr>
              <w:t>dod</w:t>
            </w:r>
            <w:r w:rsidR="009D0617" w:rsidRPr="0040283D">
              <w:rPr>
                <w:color w:val="000000" w:themeColor="text1"/>
              </w:rPr>
              <w:t xml:space="preserve"> </w:t>
            </w:r>
            <w:r w:rsidR="009D0617" w:rsidRPr="009778E4">
              <w:rPr>
                <w:color w:val="000000" w:themeColor="text1"/>
              </w:rPr>
              <w:t>noteikum</w:t>
            </w:r>
            <w:r w:rsidR="00FC60B3">
              <w:rPr>
                <w:color w:val="000000" w:themeColor="text1"/>
              </w:rPr>
              <w:t>us</w:t>
            </w:r>
            <w:r w:rsidR="009D0617" w:rsidRPr="009778E4">
              <w:rPr>
                <w:color w:val="000000" w:themeColor="text1"/>
              </w:rPr>
              <w:t xml:space="preserve"> par īpaš</w:t>
            </w:r>
            <w:r w:rsidR="00DB52DE">
              <w:rPr>
                <w:color w:val="000000" w:themeColor="text1"/>
              </w:rPr>
              <w:t>ās</w:t>
            </w:r>
            <w:r w:rsidR="009D0617" w:rsidRPr="009778E4">
              <w:rPr>
                <w:color w:val="000000" w:themeColor="text1"/>
              </w:rPr>
              <w:t xml:space="preserve"> veterinār</w:t>
            </w:r>
            <w:r w:rsidR="00DB52DE">
              <w:rPr>
                <w:color w:val="000000" w:themeColor="text1"/>
              </w:rPr>
              <w:t>ās</w:t>
            </w:r>
            <w:r w:rsidR="009D0617" w:rsidRPr="009778E4">
              <w:rPr>
                <w:color w:val="000000" w:themeColor="text1"/>
              </w:rPr>
              <w:t xml:space="preserve"> recep</w:t>
            </w:r>
            <w:r w:rsidR="00DB52DE">
              <w:rPr>
                <w:color w:val="000000" w:themeColor="text1"/>
              </w:rPr>
              <w:t>tes</w:t>
            </w:r>
            <w:r w:rsidR="009D0617" w:rsidRPr="009778E4">
              <w:rPr>
                <w:color w:val="000000" w:themeColor="text1"/>
              </w:rPr>
              <w:t xml:space="preserve"> apriti un</w:t>
            </w:r>
            <w:r w:rsidR="00F257CB">
              <w:rPr>
                <w:color w:val="000000" w:themeColor="text1"/>
              </w:rPr>
              <w:t xml:space="preserve"> veidlapas paraugu.</w:t>
            </w:r>
            <w:r w:rsidR="009D0617" w:rsidRPr="009778E4">
              <w:rPr>
                <w:color w:val="000000" w:themeColor="text1"/>
              </w:rPr>
              <w:t xml:space="preserve"> </w:t>
            </w:r>
            <w:r w:rsidR="00F257CB">
              <w:rPr>
                <w:color w:val="000000" w:themeColor="text1"/>
              </w:rPr>
              <w:t>L</w:t>
            </w:r>
            <w:r w:rsidR="009D0617" w:rsidRPr="009778E4">
              <w:rPr>
                <w:color w:val="000000" w:themeColor="text1"/>
              </w:rPr>
              <w:t>īdz</w:t>
            </w:r>
            <w:r w:rsidR="00F257CB" w:rsidRPr="00F257CB">
              <w:rPr>
                <w:color w:val="000000" w:themeColor="text1"/>
              </w:rPr>
              <w:t xml:space="preserve"> attiecīgo Ministru kabineta noteikumu spēkā stāšanās dienai, bet ne ilgāk kā līdz 2021. gada 30. jūnijam </w:t>
            </w:r>
            <w:r w:rsidR="00731E0F">
              <w:rPr>
                <w:color w:val="000000" w:themeColor="text1"/>
              </w:rPr>
              <w:t xml:space="preserve">ir </w:t>
            </w:r>
            <w:r w:rsidR="00F257CB" w:rsidRPr="00F257CB">
              <w:rPr>
                <w:color w:val="000000" w:themeColor="text1"/>
              </w:rPr>
              <w:t xml:space="preserve">piemērojami </w:t>
            </w:r>
            <w:r w:rsidR="00F257CB" w:rsidRPr="008E201D">
              <w:rPr>
                <w:color w:val="000000" w:themeColor="text1"/>
              </w:rPr>
              <w:t>noteikumi Nr.757</w:t>
            </w:r>
            <w:r w:rsidR="00F257CB" w:rsidRPr="00F257CB">
              <w:rPr>
                <w:color w:val="000000" w:themeColor="text1"/>
              </w:rPr>
              <w:t>, ciktāl tie nav pretrunā ar šo likumu</w:t>
            </w:r>
            <w:r w:rsidR="009778E4" w:rsidRPr="008E201D">
              <w:rPr>
                <w:color w:val="000000" w:themeColor="text1"/>
              </w:rPr>
              <w:t>.</w:t>
            </w:r>
          </w:p>
          <w:p w14:paraId="087A9D57" w14:textId="0C9D448F" w:rsidR="00A72018" w:rsidRPr="00DF7B53" w:rsidRDefault="00507A47" w:rsidP="00EB3DFF">
            <w:pPr>
              <w:jc w:val="both"/>
              <w:rPr>
                <w:shd w:val="clear" w:color="auto" w:fill="FFFFFF"/>
              </w:rPr>
            </w:pPr>
            <w:bookmarkStart w:id="0" w:name="_Hlk66174242"/>
            <w:r w:rsidRPr="00D36A3D">
              <w:lastRenderedPageBreak/>
              <w:t xml:space="preserve">Noteikumu projekts </w:t>
            </w:r>
            <w:r w:rsidR="00096982" w:rsidRPr="00D36A3D">
              <w:t>sagatavots</w:t>
            </w:r>
            <w:r w:rsidR="00731E0F">
              <w:t>, lai</w:t>
            </w:r>
            <w:r w:rsidR="001E3327" w:rsidRPr="00D36A3D">
              <w:t xml:space="preserve"> </w:t>
            </w:r>
            <w:r w:rsidR="00A72018" w:rsidRPr="00A72018">
              <w:t>noteikt</w:t>
            </w:r>
            <w:r w:rsidR="00731E0F">
              <w:t>u</w:t>
            </w:r>
            <w:r w:rsidR="001E3327">
              <w:t xml:space="preserve"> un precizēt</w:t>
            </w:r>
            <w:r w:rsidR="00731E0F">
              <w:t>u</w:t>
            </w:r>
            <w:r w:rsidR="00A72018" w:rsidRPr="00A72018">
              <w:t xml:space="preserve"> īpašās veterinārās receptes a</w:t>
            </w:r>
            <w:r w:rsidR="00A72018">
              <w:t>p</w:t>
            </w:r>
            <w:r w:rsidR="00A72018" w:rsidRPr="00A72018">
              <w:t>riti,</w:t>
            </w:r>
            <w:r w:rsidRPr="007B6895">
              <w:t xml:space="preserve"> precizēt</w:t>
            </w:r>
            <w:r w:rsidR="00731E0F">
              <w:t>u</w:t>
            </w:r>
            <w:r w:rsidRPr="007B6895">
              <w:t xml:space="preserve"> un pilnveidot</w:t>
            </w:r>
            <w:r w:rsidR="00731E0F">
              <w:t>u</w:t>
            </w:r>
            <w:r w:rsidRPr="007B6895">
              <w:t xml:space="preserve"> </w:t>
            </w:r>
            <w:r w:rsidR="00282925" w:rsidRPr="007B6895">
              <w:rPr>
                <w:shd w:val="clear" w:color="auto" w:fill="FFFFFF"/>
              </w:rPr>
              <w:t>prasības un kārtību, kādā izsniedz, uzglabā, uzskaita un iznīcina īpašās veterinārās receptes veidlapas, prasības un kārtību, kādā izraksta, uzglabā, uzskaita un iznīcina</w:t>
            </w:r>
            <w:r w:rsidR="00282925" w:rsidRPr="007B6895">
              <w:rPr>
                <w:color w:val="212121"/>
                <w:shd w:val="clear" w:color="auto" w:fill="FFFFFF"/>
              </w:rPr>
              <w:t xml:space="preserve"> </w:t>
            </w:r>
            <w:r w:rsidR="003E1345">
              <w:rPr>
                <w:color w:val="212121"/>
                <w:shd w:val="clear" w:color="auto" w:fill="FFFFFF"/>
              </w:rPr>
              <w:t xml:space="preserve">īpašo </w:t>
            </w:r>
            <w:r w:rsidR="00282925" w:rsidRPr="007B6895">
              <w:rPr>
                <w:color w:val="212121"/>
                <w:shd w:val="clear" w:color="auto" w:fill="FFFFFF"/>
              </w:rPr>
              <w:t xml:space="preserve">recepti, </w:t>
            </w:r>
            <w:r w:rsidR="00282925" w:rsidRPr="00DF7B53">
              <w:rPr>
                <w:shd w:val="clear" w:color="auto" w:fill="FFFFFF"/>
              </w:rPr>
              <w:t>kā arī prasības īpašās veterinārās receptes veidlapas formai.</w:t>
            </w:r>
            <w:r w:rsidRPr="00DF7B53">
              <w:rPr>
                <w:shd w:val="clear" w:color="auto" w:fill="FFFFFF"/>
              </w:rPr>
              <w:t xml:space="preserve"> </w:t>
            </w:r>
          </w:p>
          <w:p w14:paraId="78219878" w14:textId="702E345D" w:rsidR="00D0038F" w:rsidRPr="00C945BF" w:rsidRDefault="00507A47" w:rsidP="00EB3DFF">
            <w:pPr>
              <w:jc w:val="both"/>
              <w:rPr>
                <w:iCs/>
                <w:lang w:eastAsia="lv-LV"/>
              </w:rPr>
            </w:pPr>
            <w:r w:rsidRPr="007B6895">
              <w:rPr>
                <w:color w:val="212121"/>
                <w:shd w:val="clear" w:color="auto" w:fill="FFFFFF"/>
              </w:rPr>
              <w:t xml:space="preserve">Tāpat tiks nodrošināta </w:t>
            </w:r>
            <w:r w:rsidR="00282925" w:rsidRPr="007B6895">
              <w:rPr>
                <w:iCs/>
                <w:lang w:eastAsia="lv-LV"/>
              </w:rPr>
              <w:t>precīza un vienota terminoloģija</w:t>
            </w:r>
            <w:r w:rsidR="00DB52DE">
              <w:rPr>
                <w:iCs/>
                <w:lang w:eastAsia="lv-LV"/>
              </w:rPr>
              <w:t>, kas saskaņota ar</w:t>
            </w:r>
            <w:r w:rsidRPr="007B6895">
              <w:rPr>
                <w:iCs/>
                <w:lang w:eastAsia="lv-LV"/>
              </w:rPr>
              <w:t xml:space="preserve"> Veterinārmedicīnas likum</w:t>
            </w:r>
            <w:r w:rsidR="009778E4">
              <w:rPr>
                <w:iCs/>
                <w:lang w:eastAsia="lv-LV"/>
              </w:rPr>
              <w:t>a</w:t>
            </w:r>
            <w:r w:rsidR="00211129">
              <w:rPr>
                <w:iCs/>
                <w:lang w:eastAsia="lv-LV"/>
              </w:rPr>
              <w:t xml:space="preserve"> </w:t>
            </w:r>
            <w:r w:rsidR="00A72018">
              <w:rPr>
                <w:iCs/>
                <w:lang w:eastAsia="lv-LV"/>
              </w:rPr>
              <w:t xml:space="preserve">un </w:t>
            </w:r>
            <w:r w:rsidR="00A72018" w:rsidRPr="00A72018">
              <w:rPr>
                <w:iCs/>
                <w:lang w:eastAsia="lv-LV"/>
              </w:rPr>
              <w:t>Narkotisko un psihotropo vielu un zāļu</w:t>
            </w:r>
            <w:r w:rsidR="00A72018" w:rsidRPr="00C945BF">
              <w:rPr>
                <w:iCs/>
                <w:lang w:eastAsia="lv-LV"/>
              </w:rPr>
              <w:t>, kā arī prekursoru likumīgās aprites likum</w:t>
            </w:r>
            <w:r w:rsidR="00096982" w:rsidRPr="00C945BF">
              <w:rPr>
                <w:iCs/>
                <w:lang w:eastAsia="lv-LV"/>
              </w:rPr>
              <w:t>a</w:t>
            </w:r>
            <w:r w:rsidR="00A72018" w:rsidRPr="00C945BF">
              <w:rPr>
                <w:iCs/>
                <w:lang w:eastAsia="lv-LV"/>
              </w:rPr>
              <w:t xml:space="preserve"> </w:t>
            </w:r>
            <w:r w:rsidR="00211129" w:rsidRPr="00C945BF">
              <w:rPr>
                <w:iCs/>
                <w:lang w:eastAsia="lv-LV"/>
              </w:rPr>
              <w:t>terminoloģij</w:t>
            </w:r>
            <w:r w:rsidR="00DB52DE" w:rsidRPr="00C945BF">
              <w:rPr>
                <w:iCs/>
                <w:lang w:eastAsia="lv-LV"/>
              </w:rPr>
              <w:t>u</w:t>
            </w:r>
            <w:r w:rsidRPr="00C945BF">
              <w:rPr>
                <w:iCs/>
                <w:lang w:eastAsia="lv-LV"/>
              </w:rPr>
              <w:t>.</w:t>
            </w:r>
          </w:p>
          <w:p w14:paraId="7876E66A" w14:textId="254C213A" w:rsidR="005D4B01" w:rsidRPr="00394379" w:rsidRDefault="005D4B01" w:rsidP="00EB3DFF">
            <w:pPr>
              <w:jc w:val="both"/>
              <w:rPr>
                <w:iCs/>
                <w:color w:val="000000" w:themeColor="text1"/>
                <w:lang w:eastAsia="lv-LV"/>
              </w:rPr>
            </w:pPr>
          </w:p>
          <w:bookmarkEnd w:id="0"/>
          <w:p w14:paraId="093708D6" w14:textId="3A914DD1" w:rsidR="00DE2E5E" w:rsidRPr="00394379" w:rsidRDefault="00DE2E5E" w:rsidP="00EB3DFF">
            <w:pPr>
              <w:pStyle w:val="Default"/>
              <w:jc w:val="both"/>
              <w:rPr>
                <w:rFonts w:ascii="Times New Roman" w:eastAsia="Calibri" w:hAnsi="Times New Roman" w:cs="Times New Roman"/>
                <w:color w:val="auto"/>
              </w:rPr>
            </w:pPr>
            <w:r w:rsidRPr="00B870C4">
              <w:rPr>
                <w:rFonts w:ascii="Times New Roman" w:eastAsia="Calibri" w:hAnsi="Times New Roman" w:cs="Times New Roman"/>
                <w:color w:val="auto"/>
              </w:rPr>
              <w:t>Noteikumu projekt</w:t>
            </w:r>
            <w:r>
              <w:rPr>
                <w:rFonts w:ascii="Times New Roman" w:eastAsia="Calibri" w:hAnsi="Times New Roman" w:cs="Times New Roman"/>
                <w:color w:val="auto"/>
              </w:rPr>
              <w:t>ā</w:t>
            </w:r>
            <w:r w:rsidRPr="00B870C4">
              <w:rPr>
                <w:rFonts w:ascii="Times New Roman" w:eastAsia="Calibri" w:hAnsi="Times New Roman" w:cs="Times New Roman"/>
                <w:color w:val="auto"/>
              </w:rPr>
              <w:t xml:space="preserve"> </w:t>
            </w:r>
            <w:r>
              <w:rPr>
                <w:rFonts w:ascii="Times New Roman" w:eastAsia="Calibri" w:hAnsi="Times New Roman" w:cs="Times New Roman"/>
                <w:color w:val="auto"/>
              </w:rPr>
              <w:t xml:space="preserve">pēc būtības ir </w:t>
            </w:r>
            <w:r w:rsidRPr="00B870C4">
              <w:rPr>
                <w:rFonts w:ascii="Times New Roman" w:eastAsia="Calibri" w:hAnsi="Times New Roman" w:cs="Times New Roman"/>
                <w:color w:val="auto"/>
              </w:rPr>
              <w:t>pārņem</w:t>
            </w:r>
            <w:r>
              <w:rPr>
                <w:rFonts w:ascii="Times New Roman" w:eastAsia="Calibri" w:hAnsi="Times New Roman" w:cs="Times New Roman"/>
                <w:color w:val="auto"/>
              </w:rPr>
              <w:t>tas</w:t>
            </w:r>
            <w:r w:rsidRPr="00B870C4">
              <w:rPr>
                <w:rFonts w:ascii="Times New Roman" w:eastAsia="Calibri" w:hAnsi="Times New Roman" w:cs="Times New Roman"/>
                <w:color w:val="auto"/>
              </w:rPr>
              <w:t xml:space="preserve"> noteikumos Nr.</w:t>
            </w:r>
            <w:r w:rsidR="00096982">
              <w:rPr>
                <w:rFonts w:ascii="Times New Roman" w:eastAsia="Calibri" w:hAnsi="Times New Roman" w:cs="Times New Roman"/>
                <w:color w:val="auto"/>
              </w:rPr>
              <w:t xml:space="preserve"> </w:t>
            </w:r>
            <w:r w:rsidR="00877CA1">
              <w:rPr>
                <w:rFonts w:ascii="Times New Roman" w:eastAsia="Calibri" w:hAnsi="Times New Roman" w:cs="Times New Roman"/>
                <w:color w:val="auto"/>
              </w:rPr>
              <w:t>757</w:t>
            </w:r>
            <w:r w:rsidRPr="00B870C4">
              <w:rPr>
                <w:rFonts w:ascii="Times New Roman" w:eastAsia="Calibri" w:hAnsi="Times New Roman" w:cs="Times New Roman"/>
                <w:color w:val="auto"/>
              </w:rPr>
              <w:t xml:space="preserve"> </w:t>
            </w:r>
            <w:r>
              <w:rPr>
                <w:rFonts w:ascii="Times New Roman" w:eastAsia="Calibri" w:hAnsi="Times New Roman" w:cs="Times New Roman"/>
                <w:color w:val="auto"/>
              </w:rPr>
              <w:t>noteiktās</w:t>
            </w:r>
            <w:r w:rsidRPr="00F94A7C">
              <w:rPr>
                <w:rFonts w:ascii="Times New Roman" w:eastAsia="Calibri" w:hAnsi="Times New Roman" w:cs="Times New Roman"/>
                <w:color w:val="auto"/>
              </w:rPr>
              <w:t xml:space="preserve"> prasības un kārtīb</w:t>
            </w:r>
            <w:r>
              <w:rPr>
                <w:rFonts w:ascii="Times New Roman" w:eastAsia="Calibri" w:hAnsi="Times New Roman" w:cs="Times New Roman"/>
                <w:color w:val="auto"/>
              </w:rPr>
              <w:t>a</w:t>
            </w:r>
            <w:r w:rsidRPr="00B870C4">
              <w:rPr>
                <w:rFonts w:ascii="Times New Roman" w:eastAsia="Calibri" w:hAnsi="Times New Roman" w:cs="Times New Roman"/>
                <w:color w:val="auto"/>
              </w:rPr>
              <w:t>, kā arī</w:t>
            </w:r>
            <w:r>
              <w:rPr>
                <w:rFonts w:ascii="Times New Roman" w:eastAsia="Calibri" w:hAnsi="Times New Roman" w:cs="Times New Roman"/>
                <w:color w:val="auto"/>
              </w:rPr>
              <w:t xml:space="preserve"> </w:t>
            </w:r>
            <w:r w:rsidR="0060256F">
              <w:rPr>
                <w:rFonts w:ascii="Times New Roman" w:eastAsia="Calibri" w:hAnsi="Times New Roman" w:cs="Times New Roman"/>
                <w:color w:val="auto"/>
              </w:rPr>
              <w:t>pilnveidots regulējums, lai:</w:t>
            </w:r>
          </w:p>
          <w:p w14:paraId="02294560" w14:textId="6CCAA924" w:rsidR="00B30CB4" w:rsidRDefault="001514DF" w:rsidP="00EB3DFF">
            <w:pPr>
              <w:jc w:val="both"/>
              <w:rPr>
                <w:iCs/>
                <w:lang w:eastAsia="lv-LV"/>
              </w:rPr>
            </w:pPr>
            <w:r>
              <w:rPr>
                <w:color w:val="000000" w:themeColor="text1"/>
              </w:rPr>
              <w:t>1</w:t>
            </w:r>
            <w:r w:rsidR="009776B0">
              <w:rPr>
                <w:color w:val="000000" w:themeColor="text1"/>
              </w:rPr>
              <w:t>)</w:t>
            </w:r>
            <w:r w:rsidR="005F37CB">
              <w:rPr>
                <w:color w:val="000000" w:themeColor="text1"/>
              </w:rPr>
              <w:t xml:space="preserve"> </w:t>
            </w:r>
            <w:r w:rsidR="0060256F" w:rsidRPr="00394379">
              <w:rPr>
                <w:iCs/>
                <w:color w:val="000000" w:themeColor="text1"/>
                <w:lang w:eastAsia="lv-LV"/>
              </w:rPr>
              <w:t>nodrošinātu vienot</w:t>
            </w:r>
            <w:r w:rsidR="0060256F">
              <w:rPr>
                <w:iCs/>
                <w:color w:val="000000" w:themeColor="text1"/>
                <w:lang w:eastAsia="lv-LV"/>
              </w:rPr>
              <w:t>u,</w:t>
            </w:r>
            <w:r w:rsidR="0060256F" w:rsidRPr="00394379">
              <w:rPr>
                <w:iCs/>
                <w:color w:val="000000" w:themeColor="text1"/>
                <w:lang w:eastAsia="lv-LV"/>
              </w:rPr>
              <w:t xml:space="preserve"> precīz</w:t>
            </w:r>
            <w:r w:rsidR="0060256F">
              <w:rPr>
                <w:iCs/>
                <w:color w:val="000000" w:themeColor="text1"/>
                <w:lang w:eastAsia="lv-LV"/>
              </w:rPr>
              <w:t>u un</w:t>
            </w:r>
            <w:r w:rsidR="0060256F" w:rsidRPr="00394379">
              <w:rPr>
                <w:iCs/>
                <w:color w:val="000000" w:themeColor="text1"/>
                <w:lang w:eastAsia="lv-LV"/>
              </w:rPr>
              <w:t xml:space="preserve"> nepārprotam</w:t>
            </w:r>
            <w:r w:rsidR="0060256F">
              <w:rPr>
                <w:iCs/>
                <w:color w:val="000000" w:themeColor="text1"/>
                <w:lang w:eastAsia="lv-LV"/>
              </w:rPr>
              <w:t xml:space="preserve">u </w:t>
            </w:r>
            <w:r w:rsidR="0060256F" w:rsidRPr="00394379">
              <w:rPr>
                <w:iCs/>
                <w:color w:val="000000" w:themeColor="text1"/>
                <w:lang w:eastAsia="lv-LV"/>
              </w:rPr>
              <w:t xml:space="preserve">terminoloģiju </w:t>
            </w:r>
            <w:r w:rsidR="008C4B8D" w:rsidRPr="00394379">
              <w:rPr>
                <w:iCs/>
                <w:color w:val="000000" w:themeColor="text1"/>
                <w:lang w:eastAsia="lv-LV"/>
              </w:rPr>
              <w:t xml:space="preserve">visos normatīvajos aktos, kas reglamentē </w:t>
            </w:r>
            <w:r w:rsidR="008C4B8D" w:rsidRPr="0091203E">
              <w:rPr>
                <w:iCs/>
                <w:lang w:eastAsia="lv-LV"/>
              </w:rPr>
              <w:t>veterinārmedicīnas jomu</w:t>
            </w:r>
            <w:r w:rsidR="009778E4">
              <w:rPr>
                <w:iCs/>
                <w:lang w:eastAsia="lv-LV"/>
              </w:rPr>
              <w:t>.</w:t>
            </w:r>
            <w:r w:rsidR="008C4B8D">
              <w:rPr>
                <w:color w:val="000000" w:themeColor="text1"/>
              </w:rPr>
              <w:t xml:space="preserve"> </w:t>
            </w:r>
            <w:r w:rsidR="009778E4">
              <w:rPr>
                <w:color w:val="000000" w:themeColor="text1"/>
              </w:rPr>
              <w:t>N</w:t>
            </w:r>
            <w:r w:rsidR="005F37CB" w:rsidRPr="00394379">
              <w:rPr>
                <w:color w:val="000000" w:themeColor="text1"/>
              </w:rPr>
              <w:t>oteikumos Nr.</w:t>
            </w:r>
            <w:r w:rsidR="00096982">
              <w:rPr>
                <w:color w:val="000000" w:themeColor="text1"/>
              </w:rPr>
              <w:t> </w:t>
            </w:r>
            <w:r w:rsidR="005F37CB">
              <w:rPr>
                <w:color w:val="000000" w:themeColor="text1"/>
              </w:rPr>
              <w:t xml:space="preserve">757 </w:t>
            </w:r>
            <w:r w:rsidR="005F37CB" w:rsidRPr="00394379">
              <w:rPr>
                <w:color w:val="000000" w:themeColor="text1"/>
              </w:rPr>
              <w:t>lietot</w:t>
            </w:r>
            <w:r w:rsidR="005F37CB">
              <w:rPr>
                <w:color w:val="000000" w:themeColor="text1"/>
              </w:rPr>
              <w:t>ie</w:t>
            </w:r>
            <w:r w:rsidR="005F37CB" w:rsidRPr="00394379">
              <w:rPr>
                <w:color w:val="000000" w:themeColor="text1"/>
              </w:rPr>
              <w:t xml:space="preserve"> termin</w:t>
            </w:r>
            <w:r w:rsidR="005F37CB">
              <w:rPr>
                <w:color w:val="000000" w:themeColor="text1"/>
              </w:rPr>
              <w:t>i</w:t>
            </w:r>
            <w:r w:rsidR="005F37CB" w:rsidRPr="00394379">
              <w:rPr>
                <w:color w:val="000000" w:themeColor="text1"/>
              </w:rPr>
              <w:t xml:space="preserve"> “veterinārmedicīnas aprūpes komersants”</w:t>
            </w:r>
            <w:r w:rsidR="005F37CB">
              <w:rPr>
                <w:color w:val="000000" w:themeColor="text1"/>
              </w:rPr>
              <w:t xml:space="preserve"> un</w:t>
            </w:r>
            <w:r w:rsidR="005F37CB" w:rsidRPr="00394379">
              <w:rPr>
                <w:color w:val="000000" w:themeColor="text1"/>
              </w:rPr>
              <w:t xml:space="preserve"> </w:t>
            </w:r>
            <w:r w:rsidR="005F37CB" w:rsidRPr="00394379">
              <w:t>“</w:t>
            </w:r>
            <w:r w:rsidR="005F37CB">
              <w:t>narkotiskās vai psihotropās zāles</w:t>
            </w:r>
            <w:r w:rsidR="005F37CB" w:rsidRPr="00394379">
              <w:t>”</w:t>
            </w:r>
            <w:r w:rsidR="005F37CB">
              <w:t xml:space="preserve"> </w:t>
            </w:r>
            <w:r w:rsidR="00D36A3D">
              <w:t xml:space="preserve">attiecīgi </w:t>
            </w:r>
            <w:r w:rsidR="005F37CB">
              <w:t xml:space="preserve">aizstāti ar terminiem </w:t>
            </w:r>
            <w:r w:rsidR="005F37CB" w:rsidRPr="00394379">
              <w:t>“veterinārmedicīniskās prakses iestāde”</w:t>
            </w:r>
            <w:r w:rsidR="005F37CB">
              <w:t xml:space="preserve"> un</w:t>
            </w:r>
            <w:r w:rsidR="005F37CB" w:rsidRPr="00394379">
              <w:t xml:space="preserve"> “</w:t>
            </w:r>
            <w:r w:rsidR="005F37CB" w:rsidRPr="003E3B63">
              <w:t xml:space="preserve">II </w:t>
            </w:r>
            <w:r w:rsidR="009778E4" w:rsidRPr="003E3B63">
              <w:t>vai</w:t>
            </w:r>
            <w:r w:rsidR="005F37CB" w:rsidRPr="003E3B63">
              <w:t xml:space="preserve"> III</w:t>
            </w:r>
            <w:r w:rsidR="005F37CB">
              <w:t xml:space="preserve"> saraksta</w:t>
            </w:r>
            <w:r w:rsidR="008F59B1">
              <w:t xml:space="preserve"> vielas un</w:t>
            </w:r>
            <w:r w:rsidR="005F37CB">
              <w:t xml:space="preserve"> zāles</w:t>
            </w:r>
            <w:r w:rsidR="005F37CB" w:rsidRPr="00394379">
              <w:t>”</w:t>
            </w:r>
            <w:r w:rsidR="005F37CB" w:rsidRPr="0091203E">
              <w:rPr>
                <w:iCs/>
                <w:lang w:eastAsia="lv-LV"/>
              </w:rPr>
              <w:t>;</w:t>
            </w:r>
          </w:p>
          <w:p w14:paraId="65AAEF16" w14:textId="3248D452" w:rsidR="00871DA0" w:rsidRPr="0091203E" w:rsidRDefault="00F24A01" w:rsidP="00EB3DFF">
            <w:pPr>
              <w:jc w:val="both"/>
            </w:pPr>
            <w:r>
              <w:t>2) nodrošinātu vienotu izpratni par noteikum</w:t>
            </w:r>
            <w:r w:rsidR="00731E0F">
              <w:t>u</w:t>
            </w:r>
            <w:r>
              <w:t xml:space="preserve"> terminoloģiju</w:t>
            </w:r>
            <w:r w:rsidR="003E3B63">
              <w:t>.</w:t>
            </w:r>
            <w:r>
              <w:t xml:space="preserve"> </w:t>
            </w:r>
            <w:r w:rsidR="003E3B63">
              <w:t>N</w:t>
            </w:r>
            <w:r>
              <w:t xml:space="preserve">oteikumu projekta </w:t>
            </w:r>
            <w:r w:rsidR="00740C89">
              <w:t>2.</w:t>
            </w:r>
            <w:r w:rsidR="00F257CB">
              <w:t xml:space="preserve"> </w:t>
            </w:r>
            <w:r w:rsidR="00740C89">
              <w:t>punkt</w:t>
            </w:r>
            <w:r w:rsidR="00731E0F">
              <w:t>ā</w:t>
            </w:r>
            <w:r w:rsidR="00740C89">
              <w:t xml:space="preserve"> </w:t>
            </w:r>
            <w:r w:rsidR="00F257CB">
              <w:t>no</w:t>
            </w:r>
            <w:r w:rsidR="00731E0F">
              <w:t>teikts</w:t>
            </w:r>
            <w:r w:rsidR="00740C89">
              <w:t xml:space="preserve">, ka </w:t>
            </w:r>
            <w:r w:rsidR="00740C89" w:rsidRPr="00C945BF">
              <w:t>īpašā</w:t>
            </w:r>
            <w:r w:rsidR="00740C89">
              <w:t xml:space="preserve"> </w:t>
            </w:r>
            <w:r w:rsidR="00740C89" w:rsidRPr="00C945BF">
              <w:t xml:space="preserve">recepte </w:t>
            </w:r>
            <w:r w:rsidR="00740C89">
              <w:t>šo noteikumu i</w:t>
            </w:r>
            <w:r w:rsidR="00B622DD">
              <w:t>zpratnē</w:t>
            </w:r>
            <w:r w:rsidR="00740C89">
              <w:t xml:space="preserve"> ir recepte</w:t>
            </w:r>
            <w:r w:rsidR="00F257CB">
              <w:t>,</w:t>
            </w:r>
            <w:r w:rsidR="00740C89">
              <w:t xml:space="preserve"> uz kuras </w:t>
            </w:r>
            <w:r w:rsidR="00740C89" w:rsidRPr="00C945BF">
              <w:t xml:space="preserve">praktizējošs veterinārārsts izraksta </w:t>
            </w:r>
            <w:r w:rsidR="00740C89" w:rsidRPr="00C945BF">
              <w:rPr>
                <w:shd w:val="clear" w:color="auto" w:fill="FFFFFF"/>
              </w:rPr>
              <w:t>Latvijā kontrolējamo narkotisko vielu, psihotropo vielu un prekursoru II vai III sarakstā iekļautās vielas un zāles (turpmāk – II vai III saraksta vielas un zāles) dzīvniek</w:t>
            </w:r>
            <w:r w:rsidR="00731E0F">
              <w:rPr>
                <w:shd w:val="clear" w:color="auto" w:fill="FFFFFF"/>
              </w:rPr>
              <w:t>a</w:t>
            </w:r>
            <w:r w:rsidR="00740C89" w:rsidRPr="00C945BF">
              <w:rPr>
                <w:shd w:val="clear" w:color="auto" w:fill="FFFFFF"/>
              </w:rPr>
              <w:t xml:space="preserve"> ārstēšanas kursa</w:t>
            </w:r>
            <w:r w:rsidR="00731E0F">
              <w:rPr>
                <w:shd w:val="clear" w:color="auto" w:fill="FFFFFF"/>
              </w:rPr>
              <w:t>m</w:t>
            </w:r>
            <w:r w:rsidR="00740C89">
              <w:rPr>
                <w:shd w:val="clear" w:color="auto" w:fill="FFFFFF"/>
              </w:rPr>
              <w:t xml:space="preserve">. </w:t>
            </w:r>
            <w:r w:rsidR="00740C89">
              <w:t>Savukārt noteikumu projekta 3. un 4.</w:t>
            </w:r>
            <w:r w:rsidR="00731E0F">
              <w:t> </w:t>
            </w:r>
            <w:r w:rsidR="00740C89">
              <w:t xml:space="preserve">punktā </w:t>
            </w:r>
            <w:r w:rsidR="00B622DD">
              <w:t>noteikts</w:t>
            </w:r>
            <w:r>
              <w:t xml:space="preserve"> īpašās receptes un īpašās receptes veidlapas aprit</w:t>
            </w:r>
            <w:r w:rsidR="00731E0F">
              <w:t>es skaidrojums</w:t>
            </w:r>
            <w:r w:rsidR="00B23FDE">
              <w:t xml:space="preserve"> šo noteikumu i</w:t>
            </w:r>
            <w:r w:rsidR="00B622DD">
              <w:t>zpratnē</w:t>
            </w:r>
            <w:r w:rsidR="00731E0F">
              <w:t>;</w:t>
            </w:r>
          </w:p>
          <w:p w14:paraId="083638FD" w14:textId="1A3C5C63" w:rsidR="00220980" w:rsidRPr="0091203E" w:rsidRDefault="00B23FDE" w:rsidP="00EB3DFF">
            <w:pPr>
              <w:jc w:val="both"/>
              <w:rPr>
                <w:strike/>
              </w:rPr>
            </w:pPr>
            <w:r>
              <w:t>3</w:t>
            </w:r>
            <w:r w:rsidR="00B30CB4" w:rsidRPr="0091203E">
              <w:t xml:space="preserve">) </w:t>
            </w:r>
            <w:r w:rsidR="00CD1F68">
              <w:t xml:space="preserve">nodrošinātu </w:t>
            </w:r>
            <w:r w:rsidR="00CD1F68" w:rsidRPr="00871DA0">
              <w:t>īpaš</w:t>
            </w:r>
            <w:r w:rsidR="004A07FD" w:rsidRPr="00871DA0">
              <w:t>ās</w:t>
            </w:r>
            <w:r w:rsidR="00CD1F68" w:rsidRPr="00871DA0">
              <w:t xml:space="preserve"> recep</w:t>
            </w:r>
            <w:r w:rsidR="004A07FD" w:rsidRPr="00871DA0">
              <w:t>tes</w:t>
            </w:r>
            <w:r w:rsidR="00CD1F68">
              <w:t xml:space="preserve"> un īpaš</w:t>
            </w:r>
            <w:r w:rsidR="003E3B63">
              <w:t>ās</w:t>
            </w:r>
            <w:r w:rsidR="00CD1F68">
              <w:t xml:space="preserve"> recep</w:t>
            </w:r>
            <w:r w:rsidR="003E3B63">
              <w:t>tes</w:t>
            </w:r>
            <w:r w:rsidR="00CD1F68">
              <w:t xml:space="preserve"> veidlap</w:t>
            </w:r>
            <w:r w:rsidR="004A07FD">
              <w:t>as</w:t>
            </w:r>
            <w:r w:rsidR="00CD1F68">
              <w:t xml:space="preserve"> drošu un izsekojamu apriti veterinārmedicīniskās prakses iestādē</w:t>
            </w:r>
            <w:r w:rsidR="003E3B63">
              <w:t>.</w:t>
            </w:r>
            <w:r w:rsidR="00CD1F68">
              <w:t xml:space="preserve"> </w:t>
            </w:r>
            <w:r w:rsidR="003E3B63">
              <w:t>N</w:t>
            </w:r>
            <w:r w:rsidR="00B30CB4" w:rsidRPr="0091203E">
              <w:t xml:space="preserve">oteikumu projekta </w:t>
            </w:r>
            <w:r w:rsidR="005E4CFF">
              <w:t>6</w:t>
            </w:r>
            <w:r w:rsidR="00B30CB4" w:rsidRPr="0091203E">
              <w:t>.</w:t>
            </w:r>
            <w:r w:rsidR="00096982">
              <w:t xml:space="preserve"> </w:t>
            </w:r>
            <w:r w:rsidR="00B30CB4" w:rsidRPr="0091203E">
              <w:t>punkt</w:t>
            </w:r>
            <w:r w:rsidR="00731E0F">
              <w:t>ā</w:t>
            </w:r>
            <w:r w:rsidR="005A0D18" w:rsidRPr="0091203E">
              <w:t xml:space="preserve"> </w:t>
            </w:r>
            <w:r w:rsidR="00B37D60">
              <w:t>no</w:t>
            </w:r>
            <w:r w:rsidR="00731E0F">
              <w:t>teikts</w:t>
            </w:r>
            <w:r w:rsidR="005A0D18" w:rsidRPr="0091203E">
              <w:t>, ka</w:t>
            </w:r>
            <w:r w:rsidR="00B30CB4" w:rsidRPr="0091203E">
              <w:t xml:space="preserve"> veterinārmedicīniskās prakses iestādes norīkotā atbildīgā persona </w:t>
            </w:r>
            <w:r w:rsidR="00FC6977" w:rsidRPr="0091203E">
              <w:t>ir atbildīgais veterinārārsts</w:t>
            </w:r>
            <w:r w:rsidR="00560AF4">
              <w:t>.</w:t>
            </w:r>
            <w:r w:rsidR="00FC6977" w:rsidRPr="0091203E">
              <w:rPr>
                <w:lang w:eastAsia="lv-LV"/>
              </w:rPr>
              <w:t xml:space="preserve"> </w:t>
            </w:r>
            <w:r w:rsidR="0091203E" w:rsidRPr="0091203E">
              <w:rPr>
                <w:lang w:eastAsia="lv-LV"/>
              </w:rPr>
              <w:t>A</w:t>
            </w:r>
            <w:r w:rsidR="00FC6977" w:rsidRPr="0091203E">
              <w:t xml:space="preserve">tbildīgais veterinārārsts ir atbildīgs </w:t>
            </w:r>
            <w:r w:rsidR="00AD75E5" w:rsidRPr="0091203E">
              <w:t xml:space="preserve">gan </w:t>
            </w:r>
            <w:r w:rsidR="00FC6977" w:rsidRPr="0091203E">
              <w:t>par īpaš</w:t>
            </w:r>
            <w:r w:rsidR="00DB52DE">
              <w:t>ās</w:t>
            </w:r>
            <w:r w:rsidR="00FC6977" w:rsidRPr="0091203E">
              <w:t xml:space="preserve"> recep</w:t>
            </w:r>
            <w:r w:rsidR="00DB52DE">
              <w:t>tes</w:t>
            </w:r>
            <w:r w:rsidR="00FC6977" w:rsidRPr="0091203E">
              <w:t xml:space="preserve"> veidlap</w:t>
            </w:r>
            <w:r w:rsidR="00DB52DE">
              <w:t>as</w:t>
            </w:r>
            <w:r w:rsidR="00AD75E5" w:rsidRPr="0091203E">
              <w:t>, gan par īpaš</w:t>
            </w:r>
            <w:r w:rsidR="003E3B63">
              <w:t>ās</w:t>
            </w:r>
            <w:r w:rsidR="00AD75E5" w:rsidRPr="0091203E">
              <w:t xml:space="preserve"> recep</w:t>
            </w:r>
            <w:r w:rsidR="003E3B63">
              <w:t>tes</w:t>
            </w:r>
            <w:r w:rsidR="00FC6977" w:rsidRPr="0091203E">
              <w:t>,</w:t>
            </w:r>
            <w:r w:rsidR="00AD75E5" w:rsidRPr="0091203E">
              <w:t xml:space="preserve"> t</w:t>
            </w:r>
            <w:r w:rsidR="00096982">
              <w:t>ostarp</w:t>
            </w:r>
            <w:r w:rsidR="00FC6977" w:rsidRPr="0091203E">
              <w:t xml:space="preserve"> </w:t>
            </w:r>
            <w:r w:rsidR="00AD75E5" w:rsidRPr="0091203E">
              <w:t>izrakstīt</w:t>
            </w:r>
            <w:r w:rsidR="003A06DD">
              <w:t>ās</w:t>
            </w:r>
            <w:r w:rsidR="00AD75E5" w:rsidRPr="0091203E">
              <w:t xml:space="preserve"> īpaš</w:t>
            </w:r>
            <w:r w:rsidR="003E3B63">
              <w:t>ās</w:t>
            </w:r>
            <w:r w:rsidR="00AD75E5" w:rsidRPr="0091203E">
              <w:t xml:space="preserve"> recep</w:t>
            </w:r>
            <w:r w:rsidR="003E3B63">
              <w:t>tes</w:t>
            </w:r>
            <w:r w:rsidR="00AD75E5" w:rsidRPr="0091203E">
              <w:t xml:space="preserve"> treš</w:t>
            </w:r>
            <w:r w:rsidR="003A06DD">
              <w:t>ā</w:t>
            </w:r>
            <w:r w:rsidR="00AD75E5" w:rsidRPr="0091203E">
              <w:t xml:space="preserve"> eksemplār</w:t>
            </w:r>
            <w:r w:rsidR="003A06DD">
              <w:t>a</w:t>
            </w:r>
            <w:r w:rsidR="00AD75E5" w:rsidRPr="0091203E">
              <w:t xml:space="preserve"> un nederīg</w:t>
            </w:r>
            <w:r w:rsidR="003A06DD">
              <w:t>ās</w:t>
            </w:r>
            <w:r w:rsidR="00AD75E5" w:rsidRPr="0091203E">
              <w:t xml:space="preserve"> īpaš</w:t>
            </w:r>
            <w:r w:rsidR="00DB52DE">
              <w:t>ās</w:t>
            </w:r>
            <w:r w:rsidR="00AD75E5" w:rsidRPr="0091203E">
              <w:t xml:space="preserve"> recep</w:t>
            </w:r>
            <w:r w:rsidR="00DB52DE">
              <w:t>tes</w:t>
            </w:r>
            <w:r w:rsidR="00AD75E5" w:rsidRPr="0091203E">
              <w:t xml:space="preserve"> veidlap</w:t>
            </w:r>
            <w:r w:rsidR="003A06DD">
              <w:t>as</w:t>
            </w:r>
            <w:r w:rsidR="00731E0F">
              <w:t>,</w:t>
            </w:r>
            <w:r w:rsidR="00FC6977" w:rsidRPr="0091203E">
              <w:t xml:space="preserve"> apriti veterinārmedicīniskās prakses iestā</w:t>
            </w:r>
            <w:r w:rsidR="00AD75E5" w:rsidRPr="0091203E">
              <w:t>dē</w:t>
            </w:r>
            <w:r w:rsidR="0091203E" w:rsidRPr="0091203E">
              <w:t>;</w:t>
            </w:r>
          </w:p>
          <w:p w14:paraId="4BDD909F" w14:textId="5EB24577" w:rsidR="00FC6977" w:rsidRDefault="00B23FDE" w:rsidP="00EB3DFF">
            <w:pPr>
              <w:shd w:val="clear" w:color="auto" w:fill="FFFFFF"/>
              <w:jc w:val="both"/>
              <w:rPr>
                <w:color w:val="000000" w:themeColor="text1"/>
              </w:rPr>
            </w:pPr>
            <w:bookmarkStart w:id="1" w:name="_Hlk66438529"/>
            <w:r>
              <w:rPr>
                <w:color w:val="000000" w:themeColor="text1"/>
              </w:rPr>
              <w:t>4</w:t>
            </w:r>
            <w:r w:rsidR="00FC6977" w:rsidRPr="00200572">
              <w:rPr>
                <w:color w:val="000000" w:themeColor="text1"/>
              </w:rPr>
              <w:t xml:space="preserve">) </w:t>
            </w:r>
            <w:r w:rsidR="007817F2">
              <w:rPr>
                <w:color w:val="000000" w:themeColor="text1"/>
              </w:rPr>
              <w:t>atvieglotu</w:t>
            </w:r>
            <w:r w:rsidR="00CD1F68">
              <w:rPr>
                <w:color w:val="000000" w:themeColor="text1"/>
              </w:rPr>
              <w:t xml:space="preserve"> īpaš</w:t>
            </w:r>
            <w:r w:rsidR="00DB52DE">
              <w:rPr>
                <w:color w:val="000000" w:themeColor="text1"/>
              </w:rPr>
              <w:t>ās</w:t>
            </w:r>
            <w:r w:rsidR="00CD1F68">
              <w:rPr>
                <w:color w:val="000000" w:themeColor="text1"/>
              </w:rPr>
              <w:t xml:space="preserve"> recep</w:t>
            </w:r>
            <w:r w:rsidR="00DB52DE">
              <w:rPr>
                <w:color w:val="000000" w:themeColor="text1"/>
              </w:rPr>
              <w:t>tes</w:t>
            </w:r>
            <w:r w:rsidR="00CD1F68">
              <w:rPr>
                <w:color w:val="000000" w:themeColor="text1"/>
              </w:rPr>
              <w:t xml:space="preserve"> veidlapu izsekojamību un uzraudzību</w:t>
            </w:r>
            <w:r w:rsidR="003E3B63">
              <w:rPr>
                <w:color w:val="000000" w:themeColor="text1"/>
              </w:rPr>
              <w:t>.</w:t>
            </w:r>
            <w:r w:rsidR="00CD1F68">
              <w:rPr>
                <w:color w:val="000000" w:themeColor="text1"/>
              </w:rPr>
              <w:t xml:space="preserve"> </w:t>
            </w:r>
            <w:r w:rsidR="003E3B63">
              <w:rPr>
                <w:color w:val="000000" w:themeColor="text1"/>
              </w:rPr>
              <w:t>N</w:t>
            </w:r>
            <w:r w:rsidR="00FC6977" w:rsidRPr="00200572">
              <w:rPr>
                <w:color w:val="000000" w:themeColor="text1"/>
              </w:rPr>
              <w:t>oteikumu projekt</w:t>
            </w:r>
            <w:r w:rsidR="002C06D2" w:rsidRPr="00200572">
              <w:rPr>
                <w:color w:val="000000" w:themeColor="text1"/>
              </w:rPr>
              <w:t>s</w:t>
            </w:r>
            <w:r w:rsidR="00FC6977" w:rsidRPr="00200572">
              <w:rPr>
                <w:color w:val="000000" w:themeColor="text1"/>
              </w:rPr>
              <w:t xml:space="preserve"> </w:t>
            </w:r>
            <w:r w:rsidR="00D5166D" w:rsidRPr="00200572">
              <w:rPr>
                <w:color w:val="000000" w:themeColor="text1"/>
              </w:rPr>
              <w:t>paredz</w:t>
            </w:r>
            <w:r w:rsidR="00FC6977" w:rsidRPr="00200572">
              <w:rPr>
                <w:color w:val="000000" w:themeColor="text1"/>
              </w:rPr>
              <w:t xml:space="preserve">, ka īpašās receptes veidlapas dienests izsniedz </w:t>
            </w:r>
            <w:r w:rsidR="00D5166D" w:rsidRPr="00200572">
              <w:rPr>
                <w:color w:val="000000" w:themeColor="text1"/>
              </w:rPr>
              <w:t xml:space="preserve">tikai </w:t>
            </w:r>
            <w:r w:rsidR="00FC6977" w:rsidRPr="00200572">
              <w:rPr>
                <w:color w:val="000000" w:themeColor="text1"/>
              </w:rPr>
              <w:t>atbildīgajam veterinārārstam</w:t>
            </w:r>
            <w:r w:rsidR="00DB52DE">
              <w:rPr>
                <w:color w:val="000000" w:themeColor="text1"/>
              </w:rPr>
              <w:t>,</w:t>
            </w:r>
            <w:r w:rsidR="00FC6977" w:rsidRPr="00200572">
              <w:rPr>
                <w:color w:val="000000" w:themeColor="text1"/>
              </w:rPr>
              <w:t xml:space="preserve"> </w:t>
            </w:r>
            <w:r w:rsidR="00CD6255" w:rsidRPr="00200572">
              <w:rPr>
                <w:color w:val="000000" w:themeColor="text1"/>
              </w:rPr>
              <w:t xml:space="preserve">saņemot </w:t>
            </w:r>
            <w:r w:rsidR="00C2524B" w:rsidRPr="00200572">
              <w:rPr>
                <w:color w:val="000000" w:themeColor="text1"/>
              </w:rPr>
              <w:t>raks</w:t>
            </w:r>
            <w:r w:rsidR="00C2524B">
              <w:rPr>
                <w:color w:val="000000" w:themeColor="text1"/>
              </w:rPr>
              <w:t xml:space="preserve">tveida </w:t>
            </w:r>
            <w:r w:rsidR="00757A6E">
              <w:rPr>
                <w:color w:val="000000" w:themeColor="text1"/>
              </w:rPr>
              <w:t>(papīra vai elektroniskā veidā)</w:t>
            </w:r>
            <w:r w:rsidR="007657A1" w:rsidRPr="00200572">
              <w:rPr>
                <w:color w:val="000000" w:themeColor="text1"/>
              </w:rPr>
              <w:t xml:space="preserve"> </w:t>
            </w:r>
            <w:r w:rsidR="00FC6977" w:rsidRPr="00200572">
              <w:rPr>
                <w:color w:val="000000" w:themeColor="text1"/>
              </w:rPr>
              <w:t>veterinārmedicīniskās prakses iestādes pieprasījumu</w:t>
            </w:r>
            <w:r w:rsidR="00200572">
              <w:rPr>
                <w:color w:val="000000" w:themeColor="text1"/>
              </w:rPr>
              <w:t>, kas sagatavots</w:t>
            </w:r>
            <w:r w:rsidR="00200572" w:rsidRPr="00200572">
              <w:rPr>
                <w:color w:val="000000" w:themeColor="text1"/>
              </w:rPr>
              <w:t xml:space="preserve"> brīvā formā</w:t>
            </w:r>
            <w:r w:rsidR="00D5166D" w:rsidRPr="00200572">
              <w:rPr>
                <w:color w:val="000000" w:themeColor="text1"/>
              </w:rPr>
              <w:t>,</w:t>
            </w:r>
            <w:r w:rsidR="0019623F" w:rsidRPr="00200572">
              <w:rPr>
                <w:color w:val="000000" w:themeColor="text1"/>
              </w:rPr>
              <w:t xml:space="preserve"> savukārt atbildīgais veterinārārsts tās izsniedz </w:t>
            </w:r>
            <w:r w:rsidR="00451BE5" w:rsidRPr="00200572">
              <w:rPr>
                <w:color w:val="000000" w:themeColor="text1"/>
              </w:rPr>
              <w:t xml:space="preserve">katram </w:t>
            </w:r>
            <w:r w:rsidR="00096982" w:rsidRPr="00200572">
              <w:rPr>
                <w:color w:val="000000" w:themeColor="text1"/>
              </w:rPr>
              <w:t xml:space="preserve"> veterinārmedicīniskās prakses iestādē </w:t>
            </w:r>
            <w:r w:rsidR="0019623F" w:rsidRPr="00200572">
              <w:rPr>
                <w:color w:val="000000" w:themeColor="text1"/>
              </w:rPr>
              <w:t>praktizējošam veterinārārstam (</w:t>
            </w:r>
            <w:r w:rsidR="005E4CFF">
              <w:rPr>
                <w:color w:val="000000" w:themeColor="text1"/>
              </w:rPr>
              <w:t>7</w:t>
            </w:r>
            <w:r w:rsidR="0019623F" w:rsidRPr="00200572">
              <w:rPr>
                <w:color w:val="000000" w:themeColor="text1"/>
              </w:rPr>
              <w:t xml:space="preserve">. un </w:t>
            </w:r>
            <w:r w:rsidR="005E4CFF">
              <w:rPr>
                <w:color w:val="000000" w:themeColor="text1"/>
              </w:rPr>
              <w:t>8</w:t>
            </w:r>
            <w:r w:rsidR="002C06D2" w:rsidRPr="00200572">
              <w:rPr>
                <w:color w:val="000000" w:themeColor="text1"/>
              </w:rPr>
              <w:t>.</w:t>
            </w:r>
            <w:r w:rsidR="00096982" w:rsidRPr="00200572">
              <w:rPr>
                <w:color w:val="000000" w:themeColor="text1"/>
              </w:rPr>
              <w:t xml:space="preserve"> </w:t>
            </w:r>
            <w:r w:rsidR="0019623F" w:rsidRPr="00200572">
              <w:rPr>
                <w:color w:val="000000" w:themeColor="text1"/>
              </w:rPr>
              <w:t>punkts)</w:t>
            </w:r>
            <w:r w:rsidR="00AD75E5" w:rsidRPr="00200572">
              <w:rPr>
                <w:color w:val="000000" w:themeColor="text1"/>
              </w:rPr>
              <w:t>;</w:t>
            </w:r>
          </w:p>
          <w:bookmarkEnd w:id="1"/>
          <w:p w14:paraId="274352D1" w14:textId="313B091D" w:rsidR="002D18A7" w:rsidRPr="000771AC" w:rsidRDefault="00FA2ECC" w:rsidP="000771AC">
            <w:pPr>
              <w:shd w:val="clear" w:color="auto" w:fill="FFFFFF"/>
              <w:jc w:val="both"/>
              <w:rPr>
                <w:color w:val="000000" w:themeColor="text1"/>
              </w:rPr>
            </w:pPr>
            <w:r>
              <w:rPr>
                <w:color w:val="000000" w:themeColor="text1"/>
              </w:rPr>
              <w:lastRenderedPageBreak/>
              <w:t>5</w:t>
            </w:r>
            <w:r w:rsidR="00FC6977" w:rsidRPr="00B7583E">
              <w:rPr>
                <w:color w:val="000000" w:themeColor="text1"/>
              </w:rPr>
              <w:t>)</w:t>
            </w:r>
            <w:r w:rsidR="002D18A7" w:rsidRPr="00B7583E">
              <w:rPr>
                <w:color w:val="000000" w:themeColor="text1"/>
              </w:rPr>
              <w:t xml:space="preserve"> </w:t>
            </w:r>
            <w:r w:rsidR="00B0698D" w:rsidRPr="003A06DD">
              <w:rPr>
                <w:color w:val="000000" w:themeColor="text1"/>
                <w:lang w:eastAsia="lv-LV"/>
              </w:rPr>
              <w:t xml:space="preserve">samazinātu administratīvo slogu un </w:t>
            </w:r>
            <w:r w:rsidR="009778E4" w:rsidRPr="003A06DD">
              <w:rPr>
                <w:color w:val="000000" w:themeColor="text1"/>
                <w:lang w:eastAsia="lv-LV"/>
              </w:rPr>
              <w:t>atvieglotu</w:t>
            </w:r>
            <w:r w:rsidR="00B0698D" w:rsidRPr="003A06DD">
              <w:rPr>
                <w:color w:val="000000" w:themeColor="text1"/>
                <w:lang w:eastAsia="lv-LV"/>
              </w:rPr>
              <w:t xml:space="preserve"> īpaš</w:t>
            </w:r>
            <w:r w:rsidR="004A07FD" w:rsidRPr="003A06DD">
              <w:rPr>
                <w:color w:val="000000" w:themeColor="text1"/>
                <w:lang w:eastAsia="lv-LV"/>
              </w:rPr>
              <w:t>ās</w:t>
            </w:r>
            <w:r w:rsidR="00B0698D" w:rsidRPr="003A06DD">
              <w:rPr>
                <w:color w:val="000000" w:themeColor="text1"/>
                <w:lang w:eastAsia="lv-LV"/>
              </w:rPr>
              <w:t xml:space="preserve"> recep</w:t>
            </w:r>
            <w:r w:rsidR="004A07FD" w:rsidRPr="003A06DD">
              <w:rPr>
                <w:color w:val="000000" w:themeColor="text1"/>
                <w:lang w:eastAsia="lv-LV"/>
              </w:rPr>
              <w:t>tes</w:t>
            </w:r>
            <w:r w:rsidR="00B0698D" w:rsidRPr="003A06DD">
              <w:rPr>
                <w:color w:val="000000" w:themeColor="text1"/>
                <w:lang w:eastAsia="lv-LV"/>
              </w:rPr>
              <w:t xml:space="preserve"> izmantošanu</w:t>
            </w:r>
            <w:r w:rsidR="00B0698D">
              <w:rPr>
                <w:color w:val="000000" w:themeColor="text1"/>
              </w:rPr>
              <w:t xml:space="preserve"> praktizējoš</w:t>
            </w:r>
            <w:r w:rsidR="004A07FD">
              <w:rPr>
                <w:color w:val="000000" w:themeColor="text1"/>
              </w:rPr>
              <w:t>a</w:t>
            </w:r>
            <w:r w:rsidR="00B0698D">
              <w:rPr>
                <w:color w:val="000000" w:themeColor="text1"/>
              </w:rPr>
              <w:t>m veterinārārst</w:t>
            </w:r>
            <w:r w:rsidR="004A07FD">
              <w:rPr>
                <w:color w:val="000000" w:themeColor="text1"/>
              </w:rPr>
              <w:t>a</w:t>
            </w:r>
            <w:r w:rsidR="00B0698D">
              <w:rPr>
                <w:color w:val="000000" w:themeColor="text1"/>
              </w:rPr>
              <w:t>m</w:t>
            </w:r>
            <w:r w:rsidR="00D1399A">
              <w:rPr>
                <w:color w:val="000000" w:themeColor="text1"/>
              </w:rPr>
              <w:t>.</w:t>
            </w:r>
            <w:r w:rsidR="00B0698D">
              <w:rPr>
                <w:color w:val="000000" w:themeColor="text1"/>
              </w:rPr>
              <w:t xml:space="preserve"> </w:t>
            </w:r>
            <w:r w:rsidR="00D1399A">
              <w:rPr>
                <w:color w:val="000000" w:themeColor="text1"/>
              </w:rPr>
              <w:t>N</w:t>
            </w:r>
            <w:r w:rsidR="002D18A7" w:rsidRPr="00B7583E">
              <w:rPr>
                <w:color w:val="000000" w:themeColor="text1"/>
              </w:rPr>
              <w:t>oteikumu projekt</w:t>
            </w:r>
            <w:r w:rsidR="002C06D2" w:rsidRPr="00B7583E">
              <w:rPr>
                <w:color w:val="000000" w:themeColor="text1"/>
              </w:rPr>
              <w:t>s paredz vienkārš</w:t>
            </w:r>
            <w:r w:rsidR="00096982">
              <w:rPr>
                <w:color w:val="000000" w:themeColor="text1"/>
              </w:rPr>
              <w:t>āku</w:t>
            </w:r>
            <w:r w:rsidR="002C06D2" w:rsidRPr="00B7583E">
              <w:rPr>
                <w:color w:val="000000" w:themeColor="text1"/>
              </w:rPr>
              <w:t xml:space="preserve"> īpašās receptes izrakstīšanu, </w:t>
            </w:r>
            <w:r w:rsidR="00096982">
              <w:rPr>
                <w:color w:val="000000" w:themeColor="text1"/>
              </w:rPr>
              <w:t>jo</w:t>
            </w:r>
            <w:r w:rsidR="00096982" w:rsidRPr="00B7583E">
              <w:rPr>
                <w:color w:val="000000" w:themeColor="text1"/>
              </w:rPr>
              <w:t xml:space="preserve"> </w:t>
            </w:r>
            <w:r w:rsidR="002C06D2" w:rsidRPr="00B7583E">
              <w:rPr>
                <w:color w:val="000000" w:themeColor="text1"/>
              </w:rPr>
              <w:t>īpašās receptes derīguma termiņ</w:t>
            </w:r>
            <w:r w:rsidR="00096982">
              <w:rPr>
                <w:color w:val="000000" w:themeColor="text1"/>
              </w:rPr>
              <w:t>š turpmāk</w:t>
            </w:r>
            <w:r w:rsidR="00B7583E" w:rsidRPr="00B7583E">
              <w:rPr>
                <w:color w:val="000000" w:themeColor="text1"/>
              </w:rPr>
              <w:t xml:space="preserve"> </w:t>
            </w:r>
            <w:r w:rsidR="00096982">
              <w:rPr>
                <w:color w:val="000000" w:themeColor="text1"/>
              </w:rPr>
              <w:t>būs iespiests tās</w:t>
            </w:r>
            <w:r w:rsidR="002C06D2" w:rsidRPr="00B7583E">
              <w:rPr>
                <w:color w:val="000000" w:themeColor="text1"/>
              </w:rPr>
              <w:t xml:space="preserve"> veidlap</w:t>
            </w:r>
            <w:r w:rsidR="00B7583E" w:rsidRPr="00B7583E">
              <w:rPr>
                <w:color w:val="000000" w:themeColor="text1"/>
              </w:rPr>
              <w:t>ā</w:t>
            </w:r>
            <w:r w:rsidR="00096982">
              <w:rPr>
                <w:color w:val="000000" w:themeColor="text1"/>
              </w:rPr>
              <w:t xml:space="preserve"> un vairs nebūs jānorāda</w:t>
            </w:r>
            <w:r w:rsidR="00B7583E" w:rsidRPr="00B7583E">
              <w:rPr>
                <w:color w:val="000000" w:themeColor="text1"/>
              </w:rPr>
              <w:t xml:space="preserve"> </w:t>
            </w:r>
            <w:r w:rsidR="00096982">
              <w:rPr>
                <w:color w:val="000000" w:themeColor="text1"/>
              </w:rPr>
              <w:t>atsevišķi</w:t>
            </w:r>
            <w:r w:rsidR="009778E4" w:rsidRPr="007817F2">
              <w:rPr>
                <w:color w:val="000000" w:themeColor="text1"/>
              </w:rPr>
              <w:t>.</w:t>
            </w:r>
            <w:bookmarkStart w:id="2" w:name="_Hlk73088432"/>
            <w:r w:rsidR="00416E73">
              <w:rPr>
                <w:color w:val="000000" w:themeColor="text1"/>
              </w:rPr>
              <w:t xml:space="preserve"> Pamatojoties uz </w:t>
            </w:r>
            <w:r w:rsidR="00DD2F3B" w:rsidRPr="00427CA5">
              <w:rPr>
                <w:color w:val="000000" w:themeColor="text1"/>
              </w:rPr>
              <w:t xml:space="preserve">Eiropas Parlamenta un Padomes </w:t>
            </w:r>
            <w:r w:rsidR="00404689" w:rsidRPr="00427CA5">
              <w:rPr>
                <w:color w:val="000000" w:themeColor="text1"/>
              </w:rPr>
              <w:t>2018.</w:t>
            </w:r>
            <w:r w:rsidR="00731E0F">
              <w:rPr>
                <w:color w:val="000000" w:themeColor="text1"/>
              </w:rPr>
              <w:t> </w:t>
            </w:r>
            <w:r w:rsidR="00404689" w:rsidRPr="00427CA5">
              <w:rPr>
                <w:color w:val="000000" w:themeColor="text1"/>
              </w:rPr>
              <w:t>gada 11. decembr</w:t>
            </w:r>
            <w:r w:rsidR="00404689">
              <w:rPr>
                <w:color w:val="000000" w:themeColor="text1"/>
              </w:rPr>
              <w:t>a</w:t>
            </w:r>
            <w:r w:rsidR="00404689" w:rsidRPr="00427CA5">
              <w:rPr>
                <w:color w:val="000000" w:themeColor="text1"/>
              </w:rPr>
              <w:t xml:space="preserve"> </w:t>
            </w:r>
            <w:r w:rsidR="00DD2F3B" w:rsidRPr="00427CA5">
              <w:rPr>
                <w:color w:val="000000" w:themeColor="text1"/>
              </w:rPr>
              <w:t>Regul</w:t>
            </w:r>
            <w:r w:rsidR="00731E0F">
              <w:rPr>
                <w:color w:val="000000" w:themeColor="text1"/>
              </w:rPr>
              <w:t>as</w:t>
            </w:r>
            <w:r w:rsidR="00DD2F3B" w:rsidRPr="00427CA5">
              <w:rPr>
                <w:color w:val="000000" w:themeColor="text1"/>
              </w:rPr>
              <w:t xml:space="preserve"> (ES) 2019/</w:t>
            </w:r>
            <w:r w:rsidR="00DD2F3B">
              <w:rPr>
                <w:color w:val="000000" w:themeColor="text1"/>
              </w:rPr>
              <w:t>6</w:t>
            </w:r>
            <w:r w:rsidR="00DD2F3B" w:rsidRPr="00427CA5">
              <w:rPr>
                <w:color w:val="000000" w:themeColor="text1"/>
              </w:rPr>
              <w:t xml:space="preserve"> par veterinārajām zālēm un ar ko atceļ Direktīv</w:t>
            </w:r>
            <w:r w:rsidR="00731E0F">
              <w:rPr>
                <w:color w:val="000000" w:themeColor="text1"/>
              </w:rPr>
              <w:t>as</w:t>
            </w:r>
            <w:r w:rsidR="00DD2F3B" w:rsidRPr="00427CA5">
              <w:rPr>
                <w:color w:val="000000" w:themeColor="text1"/>
              </w:rPr>
              <w:t xml:space="preserve"> 2001/82/EK</w:t>
            </w:r>
            <w:r w:rsidR="00DD2F3B">
              <w:rPr>
                <w:color w:val="000000" w:themeColor="text1"/>
              </w:rPr>
              <w:t xml:space="preserve"> </w:t>
            </w:r>
            <w:bookmarkEnd w:id="2"/>
            <w:r w:rsidR="00731E0F">
              <w:rPr>
                <w:color w:val="000000" w:themeColor="text1"/>
              </w:rPr>
              <w:t xml:space="preserve">(turpmāk – Veterināro zāļu regula) </w:t>
            </w:r>
            <w:r w:rsidR="00DD2F3B">
              <w:rPr>
                <w:color w:val="000000" w:themeColor="text1"/>
              </w:rPr>
              <w:t>105.</w:t>
            </w:r>
            <w:r w:rsidR="00731E0F">
              <w:rPr>
                <w:color w:val="000000" w:themeColor="text1"/>
              </w:rPr>
              <w:t> </w:t>
            </w:r>
            <w:r w:rsidR="00DD2F3B">
              <w:rPr>
                <w:color w:val="000000" w:themeColor="text1"/>
              </w:rPr>
              <w:t>panta 5.</w:t>
            </w:r>
            <w:r w:rsidR="00731E0F">
              <w:rPr>
                <w:color w:val="000000" w:themeColor="text1"/>
              </w:rPr>
              <w:t xml:space="preserve"> </w:t>
            </w:r>
            <w:r w:rsidR="00DD2F3B">
              <w:rPr>
                <w:color w:val="000000" w:themeColor="text1"/>
              </w:rPr>
              <w:t>punkt</w:t>
            </w:r>
            <w:r w:rsidR="00731E0F">
              <w:rPr>
                <w:color w:val="000000" w:themeColor="text1"/>
              </w:rPr>
              <w:t>ā</w:t>
            </w:r>
            <w:r w:rsidR="00DD2F3B">
              <w:rPr>
                <w:color w:val="000000" w:themeColor="text1"/>
              </w:rPr>
              <w:t xml:space="preserve"> noteikto minimālo datu apjomu, kas jānorāda</w:t>
            </w:r>
            <w:r w:rsidR="00731E0F">
              <w:rPr>
                <w:color w:val="000000" w:themeColor="text1"/>
              </w:rPr>
              <w:t>,</w:t>
            </w:r>
            <w:r w:rsidR="00DD2F3B">
              <w:rPr>
                <w:color w:val="000000" w:themeColor="text1"/>
              </w:rPr>
              <w:t xml:space="preserve"> </w:t>
            </w:r>
            <w:r w:rsidR="00972566">
              <w:rPr>
                <w:color w:val="000000" w:themeColor="text1"/>
              </w:rPr>
              <w:t xml:space="preserve">izrakstot </w:t>
            </w:r>
            <w:r w:rsidR="00DD2F3B">
              <w:rPr>
                <w:color w:val="000000" w:themeColor="text1"/>
              </w:rPr>
              <w:t>veterinā</w:t>
            </w:r>
            <w:r w:rsidR="00972566">
              <w:rPr>
                <w:color w:val="000000" w:themeColor="text1"/>
              </w:rPr>
              <w:t xml:space="preserve">ro </w:t>
            </w:r>
            <w:r w:rsidR="00DD2F3B">
              <w:rPr>
                <w:color w:val="000000" w:themeColor="text1"/>
              </w:rPr>
              <w:t>recept</w:t>
            </w:r>
            <w:r w:rsidR="00972566">
              <w:rPr>
                <w:color w:val="000000" w:themeColor="text1"/>
              </w:rPr>
              <w:t>i</w:t>
            </w:r>
            <w:r w:rsidR="00416E73">
              <w:rPr>
                <w:color w:val="000000" w:themeColor="text1"/>
              </w:rPr>
              <w:t>, noteikumu projekta 10.</w:t>
            </w:r>
            <w:r w:rsidR="00731E0F">
              <w:rPr>
                <w:color w:val="000000" w:themeColor="text1"/>
              </w:rPr>
              <w:t xml:space="preserve"> </w:t>
            </w:r>
            <w:r w:rsidR="00416E73">
              <w:rPr>
                <w:color w:val="000000" w:themeColor="text1"/>
              </w:rPr>
              <w:t>punkts un pielikums pēc analoģijas ar minēto regulas normu paredz, ka</w:t>
            </w:r>
            <w:r w:rsidR="00473F61">
              <w:t xml:space="preserve"> </w:t>
            </w:r>
            <w:r w:rsidR="00473F61" w:rsidRPr="00473F61">
              <w:rPr>
                <w:color w:val="000000" w:themeColor="text1"/>
              </w:rPr>
              <w:t>īpašajā receptē norād</w:t>
            </w:r>
            <w:r w:rsidR="00731E0F">
              <w:rPr>
                <w:color w:val="000000" w:themeColor="text1"/>
              </w:rPr>
              <w:t>āms</w:t>
            </w:r>
            <w:r w:rsidR="00473F61" w:rsidRPr="00473F61">
              <w:rPr>
                <w:color w:val="000000" w:themeColor="text1"/>
              </w:rPr>
              <w:t xml:space="preserve"> dzīvnieka īpašnieka vai turētāja vārd</w:t>
            </w:r>
            <w:r w:rsidR="00731E0F">
              <w:rPr>
                <w:color w:val="000000" w:themeColor="text1"/>
              </w:rPr>
              <w:t>s</w:t>
            </w:r>
            <w:r w:rsidR="00473F61" w:rsidRPr="00473F61">
              <w:rPr>
                <w:color w:val="000000" w:themeColor="text1"/>
              </w:rPr>
              <w:t>, uzvārd</w:t>
            </w:r>
            <w:r w:rsidR="00731E0F">
              <w:rPr>
                <w:color w:val="000000" w:themeColor="text1"/>
              </w:rPr>
              <w:t>s</w:t>
            </w:r>
            <w:r w:rsidR="00473F61" w:rsidRPr="00473F61">
              <w:rPr>
                <w:color w:val="000000" w:themeColor="text1"/>
              </w:rPr>
              <w:t>, personas kod</w:t>
            </w:r>
            <w:r w:rsidR="00731E0F">
              <w:rPr>
                <w:color w:val="000000" w:themeColor="text1"/>
              </w:rPr>
              <w:t>s</w:t>
            </w:r>
            <w:r w:rsidR="00473F61" w:rsidRPr="00473F61">
              <w:rPr>
                <w:color w:val="000000" w:themeColor="text1"/>
              </w:rPr>
              <w:t xml:space="preserve"> un adres</w:t>
            </w:r>
            <w:r w:rsidR="00731E0F">
              <w:rPr>
                <w:color w:val="000000" w:themeColor="text1"/>
              </w:rPr>
              <w:t>e</w:t>
            </w:r>
            <w:r w:rsidR="00473F61" w:rsidRPr="00473F61">
              <w:rPr>
                <w:color w:val="000000" w:themeColor="text1"/>
              </w:rPr>
              <w:t>, dzīvnieka vārd</w:t>
            </w:r>
            <w:r w:rsidR="00731E0F">
              <w:rPr>
                <w:color w:val="000000" w:themeColor="text1"/>
              </w:rPr>
              <w:t>s</w:t>
            </w:r>
            <w:r w:rsidR="00473F61" w:rsidRPr="00473F61">
              <w:rPr>
                <w:color w:val="000000" w:themeColor="text1"/>
              </w:rPr>
              <w:t>, sug</w:t>
            </w:r>
            <w:r w:rsidR="00731E0F">
              <w:rPr>
                <w:color w:val="000000" w:themeColor="text1"/>
              </w:rPr>
              <w:t>a</w:t>
            </w:r>
            <w:r w:rsidR="00473F61" w:rsidRPr="00473F61">
              <w:rPr>
                <w:color w:val="000000" w:themeColor="text1"/>
              </w:rPr>
              <w:t xml:space="preserve"> un vecum</w:t>
            </w:r>
            <w:r w:rsidR="00731E0F">
              <w:rPr>
                <w:color w:val="000000" w:themeColor="text1"/>
              </w:rPr>
              <w:t>s</w:t>
            </w:r>
            <w:r w:rsidR="00473F61" w:rsidRPr="00473F61">
              <w:rPr>
                <w:color w:val="000000" w:themeColor="text1"/>
              </w:rPr>
              <w:t>, dzīvnieka identifikācijas numur</w:t>
            </w:r>
            <w:r w:rsidR="00731E0F">
              <w:rPr>
                <w:color w:val="000000" w:themeColor="text1"/>
              </w:rPr>
              <w:t>s</w:t>
            </w:r>
            <w:r w:rsidR="00473F61" w:rsidRPr="00473F61">
              <w:rPr>
                <w:color w:val="000000" w:themeColor="text1"/>
              </w:rPr>
              <w:t xml:space="preserve"> (ja attiecināms), novietnes reģistrācijas numur</w:t>
            </w:r>
            <w:r w:rsidR="00731E0F">
              <w:rPr>
                <w:color w:val="000000" w:themeColor="text1"/>
              </w:rPr>
              <w:t>s</w:t>
            </w:r>
            <w:r w:rsidR="00473F61" w:rsidRPr="00473F61">
              <w:rPr>
                <w:color w:val="000000" w:themeColor="text1"/>
              </w:rPr>
              <w:t xml:space="preserve"> (ja attiecināms), praktizējošā veterinārārsta vārd</w:t>
            </w:r>
            <w:r w:rsidR="00731E0F">
              <w:rPr>
                <w:color w:val="000000" w:themeColor="text1"/>
              </w:rPr>
              <w:t>s</w:t>
            </w:r>
            <w:r w:rsidR="00473F61" w:rsidRPr="00473F61">
              <w:rPr>
                <w:color w:val="000000" w:themeColor="text1"/>
              </w:rPr>
              <w:t>, uzvārd</w:t>
            </w:r>
            <w:r w:rsidR="00731E0F">
              <w:rPr>
                <w:color w:val="000000" w:themeColor="text1"/>
              </w:rPr>
              <w:t>s</w:t>
            </w:r>
            <w:r w:rsidR="00473F61" w:rsidRPr="00473F61">
              <w:rPr>
                <w:color w:val="000000" w:themeColor="text1"/>
              </w:rPr>
              <w:t xml:space="preserve"> un veterinārmedicīniskās prakses sertifikāta numur</w:t>
            </w:r>
            <w:r w:rsidR="00731E0F">
              <w:rPr>
                <w:color w:val="000000" w:themeColor="text1"/>
              </w:rPr>
              <w:t>s</w:t>
            </w:r>
            <w:r w:rsidR="00473F61" w:rsidRPr="00473F61">
              <w:rPr>
                <w:color w:val="000000" w:themeColor="text1"/>
              </w:rPr>
              <w:t>, II</w:t>
            </w:r>
            <w:r w:rsidR="00731E0F">
              <w:rPr>
                <w:color w:val="000000" w:themeColor="text1"/>
              </w:rPr>
              <w:t> </w:t>
            </w:r>
            <w:r w:rsidR="00473F61" w:rsidRPr="00473F61">
              <w:rPr>
                <w:color w:val="000000" w:themeColor="text1"/>
              </w:rPr>
              <w:t>vai III saraksta vielu un zāļu nosaukum</w:t>
            </w:r>
            <w:r w:rsidR="00731E0F">
              <w:rPr>
                <w:color w:val="000000" w:themeColor="text1"/>
              </w:rPr>
              <w:t>s</w:t>
            </w:r>
            <w:r w:rsidR="00473F61" w:rsidRPr="00473F61">
              <w:rPr>
                <w:color w:val="000000" w:themeColor="text1"/>
              </w:rPr>
              <w:t>, form</w:t>
            </w:r>
            <w:r w:rsidR="00731E0F">
              <w:rPr>
                <w:color w:val="000000" w:themeColor="text1"/>
              </w:rPr>
              <w:t>a</w:t>
            </w:r>
            <w:r w:rsidR="00473F61" w:rsidRPr="00473F61">
              <w:rPr>
                <w:color w:val="000000" w:themeColor="text1"/>
              </w:rPr>
              <w:t>, stiprum</w:t>
            </w:r>
            <w:r w:rsidR="00731E0F">
              <w:rPr>
                <w:color w:val="000000" w:themeColor="text1"/>
              </w:rPr>
              <w:t>s</w:t>
            </w:r>
            <w:r w:rsidR="00473F61" w:rsidRPr="00473F61">
              <w:rPr>
                <w:color w:val="000000" w:themeColor="text1"/>
              </w:rPr>
              <w:t>, tilpum</w:t>
            </w:r>
            <w:r w:rsidR="00731E0F">
              <w:rPr>
                <w:color w:val="000000" w:themeColor="text1"/>
              </w:rPr>
              <w:t>s</w:t>
            </w:r>
            <w:r w:rsidR="00473F61" w:rsidRPr="00473F61">
              <w:rPr>
                <w:color w:val="000000" w:themeColor="text1"/>
              </w:rPr>
              <w:t xml:space="preserve"> un daudzum</w:t>
            </w:r>
            <w:r w:rsidR="00731E0F">
              <w:rPr>
                <w:color w:val="000000" w:themeColor="text1"/>
              </w:rPr>
              <w:t>s</w:t>
            </w:r>
            <w:r w:rsidR="00473F61" w:rsidRPr="00473F61">
              <w:rPr>
                <w:color w:val="000000" w:themeColor="text1"/>
              </w:rPr>
              <w:t>, norādījum</w:t>
            </w:r>
            <w:r w:rsidR="00731E0F">
              <w:rPr>
                <w:color w:val="000000" w:themeColor="text1"/>
              </w:rPr>
              <w:t>i</w:t>
            </w:r>
            <w:r w:rsidR="00473F61" w:rsidRPr="00473F61">
              <w:rPr>
                <w:color w:val="000000" w:themeColor="text1"/>
              </w:rPr>
              <w:t xml:space="preserve"> par II vai III saraksta vielu un zāļu lietošanu, period</w:t>
            </w:r>
            <w:r w:rsidR="00731E0F">
              <w:rPr>
                <w:color w:val="000000" w:themeColor="text1"/>
              </w:rPr>
              <w:t>s</w:t>
            </w:r>
            <w:r w:rsidR="00473F61" w:rsidRPr="00473F61">
              <w:rPr>
                <w:color w:val="000000" w:themeColor="text1"/>
              </w:rPr>
              <w:t>, kurā II vai III saraksta vielas un zāles izdalās no organisma, ja tās paredzētas produktīvam dzīvniekam, īpašās receptes izrakstīšanas datum</w:t>
            </w:r>
            <w:r w:rsidR="00731E0F">
              <w:rPr>
                <w:color w:val="000000" w:themeColor="text1"/>
              </w:rPr>
              <w:t>s</w:t>
            </w:r>
            <w:r w:rsidR="00473F61" w:rsidRPr="00473F61">
              <w:rPr>
                <w:color w:val="000000" w:themeColor="text1"/>
              </w:rPr>
              <w:t xml:space="preserve"> </w:t>
            </w:r>
            <w:r w:rsidR="00416E73">
              <w:rPr>
                <w:color w:val="000000" w:themeColor="text1"/>
              </w:rPr>
              <w:t>un praktizējoš</w:t>
            </w:r>
            <w:r w:rsidR="0024763C">
              <w:rPr>
                <w:color w:val="000000" w:themeColor="text1"/>
              </w:rPr>
              <w:t xml:space="preserve">ā </w:t>
            </w:r>
            <w:r w:rsidR="00416E73">
              <w:rPr>
                <w:color w:val="000000" w:themeColor="text1"/>
              </w:rPr>
              <w:t>veterinārārsta parakst</w:t>
            </w:r>
            <w:r w:rsidR="00731E0F">
              <w:rPr>
                <w:color w:val="000000" w:themeColor="text1"/>
              </w:rPr>
              <w:t>s</w:t>
            </w:r>
            <w:r w:rsidR="00FE17BD" w:rsidRPr="00FE17BD">
              <w:rPr>
                <w:color w:val="000000" w:themeColor="text1"/>
              </w:rPr>
              <w:t>.</w:t>
            </w:r>
            <w:r w:rsidR="00FE17BD">
              <w:rPr>
                <w:color w:val="000000" w:themeColor="text1"/>
              </w:rPr>
              <w:t xml:space="preserve"> </w:t>
            </w:r>
            <w:r w:rsidR="00FE17BD">
              <w:rPr>
                <w:bCs/>
                <w:iCs/>
              </w:rPr>
              <w:t>N</w:t>
            </w:r>
            <w:r w:rsidR="00245626" w:rsidRPr="00245626">
              <w:rPr>
                <w:bCs/>
                <w:iCs/>
              </w:rPr>
              <w:t>oteikumu projekt</w:t>
            </w:r>
            <w:r w:rsidR="00473F61">
              <w:rPr>
                <w:bCs/>
                <w:iCs/>
              </w:rPr>
              <w:t>ā</w:t>
            </w:r>
            <w:r w:rsidR="00C9602F">
              <w:rPr>
                <w:bCs/>
                <w:iCs/>
              </w:rPr>
              <w:t xml:space="preserve"> </w:t>
            </w:r>
            <w:r w:rsidR="00DD2F3B">
              <w:rPr>
                <w:bCs/>
                <w:iCs/>
              </w:rPr>
              <w:t xml:space="preserve">izvērtēts un </w:t>
            </w:r>
            <w:r w:rsidR="00245626" w:rsidRPr="00245626">
              <w:rPr>
                <w:bCs/>
                <w:iCs/>
              </w:rPr>
              <w:t>noteikts iespējami mazākais personu datu apstrādes apjoms</w:t>
            </w:r>
            <w:r w:rsidR="00F51661" w:rsidRPr="00245626">
              <w:rPr>
                <w:color w:val="000000" w:themeColor="text1"/>
              </w:rPr>
              <w:t>.</w:t>
            </w:r>
            <w:r w:rsidR="00F51661">
              <w:rPr>
                <w:color w:val="000000" w:themeColor="text1"/>
              </w:rPr>
              <w:t xml:space="preserve"> </w:t>
            </w:r>
            <w:r w:rsidR="000771AC">
              <w:rPr>
                <w:color w:val="000000" w:themeColor="text1"/>
              </w:rPr>
              <w:t xml:space="preserve">Īpašajā receptē iekļautie personu </w:t>
            </w:r>
            <w:r w:rsidR="000771AC" w:rsidRPr="000771AC">
              <w:rPr>
                <w:color w:val="000000" w:themeColor="text1"/>
              </w:rPr>
              <w:t>dati (dzīvnieka īpašnieka vai turētāja vārd</w:t>
            </w:r>
            <w:r w:rsidR="000771AC">
              <w:rPr>
                <w:color w:val="000000" w:themeColor="text1"/>
              </w:rPr>
              <w:t xml:space="preserve">s, </w:t>
            </w:r>
            <w:r w:rsidR="000771AC" w:rsidRPr="000771AC">
              <w:rPr>
                <w:color w:val="000000" w:themeColor="text1"/>
              </w:rPr>
              <w:t>uzvārd</w:t>
            </w:r>
            <w:r w:rsidR="007B044F">
              <w:rPr>
                <w:color w:val="000000" w:themeColor="text1"/>
              </w:rPr>
              <w:t>s</w:t>
            </w:r>
            <w:r w:rsidR="00473F61">
              <w:rPr>
                <w:color w:val="000000" w:themeColor="text1"/>
              </w:rPr>
              <w:t xml:space="preserve"> </w:t>
            </w:r>
            <w:r w:rsidR="000771AC">
              <w:rPr>
                <w:color w:val="000000" w:themeColor="text1"/>
              </w:rPr>
              <w:t>un</w:t>
            </w:r>
            <w:r w:rsidR="000771AC" w:rsidRPr="000771AC">
              <w:rPr>
                <w:color w:val="000000" w:themeColor="text1"/>
              </w:rPr>
              <w:t xml:space="preserve"> adrese, praktizējošā veterinārārsta vārds, uzvārds un veterinārmedicīniskās prakses sertifikāta numurs)</w:t>
            </w:r>
            <w:r w:rsidR="000771AC">
              <w:rPr>
                <w:color w:val="000000" w:themeColor="text1"/>
              </w:rPr>
              <w:t xml:space="preserve"> nepieciešami, lai nodrošinātu II un III saraksta </w:t>
            </w:r>
            <w:r w:rsidR="008F59B1">
              <w:rPr>
                <w:color w:val="000000" w:themeColor="text1"/>
              </w:rPr>
              <w:t xml:space="preserve">vielu un </w:t>
            </w:r>
            <w:r w:rsidR="000771AC">
              <w:rPr>
                <w:color w:val="000000" w:themeColor="text1"/>
              </w:rPr>
              <w:t>zāļu izsekojamību līdz pacientam</w:t>
            </w:r>
            <w:r w:rsidR="00731E0F">
              <w:rPr>
                <w:color w:val="000000" w:themeColor="text1"/>
              </w:rPr>
              <w:t>, jo tad</w:t>
            </w:r>
            <w:r w:rsidR="000771AC">
              <w:rPr>
                <w:color w:val="000000" w:themeColor="text1"/>
              </w:rPr>
              <w:t xml:space="preserve"> </w:t>
            </w:r>
            <w:r w:rsidR="00B0698D">
              <w:rPr>
                <w:color w:val="000000" w:themeColor="text1"/>
              </w:rPr>
              <w:t xml:space="preserve">gadījumos, kad tiek konstatētas </w:t>
            </w:r>
            <w:r w:rsidR="000771AC">
              <w:rPr>
                <w:color w:val="000000" w:themeColor="text1"/>
              </w:rPr>
              <w:t>blakusparādīb</w:t>
            </w:r>
            <w:r w:rsidR="00B0698D">
              <w:rPr>
                <w:color w:val="000000" w:themeColor="text1"/>
              </w:rPr>
              <w:t>as</w:t>
            </w:r>
            <w:r w:rsidR="000771AC">
              <w:rPr>
                <w:color w:val="000000" w:themeColor="text1"/>
              </w:rPr>
              <w:t>, bū</w:t>
            </w:r>
            <w:r w:rsidR="00731E0F">
              <w:rPr>
                <w:color w:val="000000" w:themeColor="text1"/>
              </w:rPr>
              <w:t>s</w:t>
            </w:r>
            <w:r w:rsidR="000771AC">
              <w:rPr>
                <w:color w:val="000000" w:themeColor="text1"/>
              </w:rPr>
              <w:t xml:space="preserve"> iespējams identificēt lietotās zāles un devas, kā arī</w:t>
            </w:r>
            <w:r w:rsidR="00731E0F">
              <w:rPr>
                <w:color w:val="000000" w:themeColor="text1"/>
              </w:rPr>
              <w:t>,</w:t>
            </w:r>
            <w:r w:rsidR="000771AC">
              <w:rPr>
                <w:color w:val="000000" w:themeColor="text1"/>
              </w:rPr>
              <w:t xml:space="preserve"> </w:t>
            </w:r>
            <w:r w:rsidR="00C707A6">
              <w:rPr>
                <w:color w:val="000000" w:themeColor="text1"/>
              </w:rPr>
              <w:t>atklājot</w:t>
            </w:r>
            <w:r w:rsidR="00B0698D">
              <w:rPr>
                <w:color w:val="000000" w:themeColor="text1"/>
              </w:rPr>
              <w:t xml:space="preserve"> II vai III saraksta </w:t>
            </w:r>
            <w:r w:rsidR="008F59B1">
              <w:rPr>
                <w:color w:val="000000" w:themeColor="text1"/>
              </w:rPr>
              <w:t xml:space="preserve">vielu un </w:t>
            </w:r>
            <w:r w:rsidR="000771AC">
              <w:rPr>
                <w:color w:val="000000" w:themeColor="text1"/>
              </w:rPr>
              <w:t>zā</w:t>
            </w:r>
            <w:r w:rsidR="00C707A6">
              <w:rPr>
                <w:color w:val="000000" w:themeColor="text1"/>
              </w:rPr>
              <w:t>ļu</w:t>
            </w:r>
            <w:r w:rsidR="00B0698D">
              <w:rPr>
                <w:color w:val="000000" w:themeColor="text1"/>
              </w:rPr>
              <w:t xml:space="preserve"> nokļ</w:t>
            </w:r>
            <w:r w:rsidR="00C707A6">
              <w:rPr>
                <w:color w:val="000000" w:themeColor="text1"/>
              </w:rPr>
              <w:t>ūšanu</w:t>
            </w:r>
            <w:r w:rsidR="000771AC">
              <w:rPr>
                <w:color w:val="000000" w:themeColor="text1"/>
              </w:rPr>
              <w:t xml:space="preserve"> n</w:t>
            </w:r>
            <w:r w:rsidR="00365C4B">
              <w:rPr>
                <w:color w:val="000000" w:themeColor="text1"/>
              </w:rPr>
              <w:t xml:space="preserve">elikumīgā </w:t>
            </w:r>
            <w:r w:rsidR="000771AC">
              <w:rPr>
                <w:color w:val="000000" w:themeColor="text1"/>
              </w:rPr>
              <w:t>aprit</w:t>
            </w:r>
            <w:r w:rsidR="00B0698D">
              <w:rPr>
                <w:color w:val="000000" w:themeColor="text1"/>
              </w:rPr>
              <w:t>ē</w:t>
            </w:r>
            <w:r w:rsidR="000771AC">
              <w:rPr>
                <w:color w:val="000000" w:themeColor="text1"/>
              </w:rPr>
              <w:t>, bū</w:t>
            </w:r>
            <w:r w:rsidR="00731E0F">
              <w:rPr>
                <w:color w:val="000000" w:themeColor="text1"/>
              </w:rPr>
              <w:t>s</w:t>
            </w:r>
            <w:r w:rsidR="000771AC">
              <w:rPr>
                <w:color w:val="000000" w:themeColor="text1"/>
              </w:rPr>
              <w:t xml:space="preserve"> iespējams identificēt</w:t>
            </w:r>
            <w:r w:rsidR="00731E0F">
              <w:rPr>
                <w:color w:val="000000" w:themeColor="text1"/>
              </w:rPr>
              <w:t xml:space="preserve"> arī to</w:t>
            </w:r>
            <w:r w:rsidR="00245626">
              <w:rPr>
                <w:bCs/>
                <w:iCs/>
              </w:rPr>
              <w:t>.</w:t>
            </w:r>
            <w:r w:rsidR="000771AC">
              <w:rPr>
                <w:color w:val="000000" w:themeColor="text1"/>
              </w:rPr>
              <w:t xml:space="preserve"> Pamatojoties uz</w:t>
            </w:r>
            <w:r w:rsidR="00427CA5">
              <w:rPr>
                <w:color w:val="000000" w:themeColor="text1"/>
              </w:rPr>
              <w:t xml:space="preserve"> </w:t>
            </w:r>
            <w:bookmarkStart w:id="3" w:name="_Hlk73014408"/>
            <w:r w:rsidR="005B749D">
              <w:rPr>
                <w:color w:val="000000" w:themeColor="text1"/>
              </w:rPr>
              <w:t>Veterināro zāļu regulu</w:t>
            </w:r>
            <w:bookmarkStart w:id="4" w:name="_Hlk72233052"/>
            <w:bookmarkEnd w:id="3"/>
            <w:r w:rsidR="005B749D">
              <w:rPr>
                <w:color w:val="000000" w:themeColor="text1"/>
              </w:rPr>
              <w:t xml:space="preserve"> </w:t>
            </w:r>
            <w:r w:rsidR="00427CA5">
              <w:rPr>
                <w:color w:val="000000" w:themeColor="text1"/>
              </w:rPr>
              <w:t>(103.</w:t>
            </w:r>
            <w:r w:rsidR="00731E0F">
              <w:rPr>
                <w:color w:val="000000" w:themeColor="text1"/>
              </w:rPr>
              <w:t xml:space="preserve"> </w:t>
            </w:r>
            <w:r w:rsidR="00427CA5">
              <w:rPr>
                <w:color w:val="000000" w:themeColor="text1"/>
              </w:rPr>
              <w:t>panta 5.</w:t>
            </w:r>
            <w:r w:rsidR="00731E0F">
              <w:rPr>
                <w:color w:val="000000" w:themeColor="text1"/>
              </w:rPr>
              <w:t xml:space="preserve"> </w:t>
            </w:r>
            <w:r w:rsidR="00427CA5">
              <w:rPr>
                <w:color w:val="000000" w:themeColor="text1"/>
              </w:rPr>
              <w:t>punkts)</w:t>
            </w:r>
            <w:r w:rsidR="00B0698D">
              <w:rPr>
                <w:color w:val="000000" w:themeColor="text1"/>
              </w:rPr>
              <w:t>,</w:t>
            </w:r>
            <w:bookmarkEnd w:id="4"/>
            <w:r w:rsidR="00B0698D">
              <w:rPr>
                <w:color w:val="000000" w:themeColor="text1"/>
              </w:rPr>
              <w:t xml:space="preserve"> visai</w:t>
            </w:r>
            <w:r w:rsidR="000771AC">
              <w:rPr>
                <w:color w:val="000000" w:themeColor="text1"/>
              </w:rPr>
              <w:t xml:space="preserve"> informācija</w:t>
            </w:r>
            <w:r w:rsidR="00B0698D">
              <w:rPr>
                <w:color w:val="000000" w:themeColor="text1"/>
              </w:rPr>
              <w:t>i</w:t>
            </w:r>
            <w:r w:rsidR="000771AC">
              <w:rPr>
                <w:color w:val="000000" w:themeColor="text1"/>
              </w:rPr>
              <w:t xml:space="preserve"> par zāļu </w:t>
            </w:r>
            <w:r w:rsidR="000A661F">
              <w:rPr>
                <w:color w:val="000000" w:themeColor="text1"/>
              </w:rPr>
              <w:t xml:space="preserve">apriti un </w:t>
            </w:r>
            <w:r w:rsidR="000771AC">
              <w:rPr>
                <w:color w:val="000000" w:themeColor="text1"/>
              </w:rPr>
              <w:t>lietošanu ir jābūt</w:t>
            </w:r>
            <w:r w:rsidR="00B0698D">
              <w:rPr>
                <w:color w:val="000000" w:themeColor="text1"/>
              </w:rPr>
              <w:t xml:space="preserve"> </w:t>
            </w:r>
            <w:r w:rsidR="000771AC">
              <w:rPr>
                <w:color w:val="000000" w:themeColor="text1"/>
              </w:rPr>
              <w:t>uzglabātai piecus gadus</w:t>
            </w:r>
            <w:r w:rsidR="00EA1C0A">
              <w:rPr>
                <w:color w:val="000000" w:themeColor="text1"/>
              </w:rPr>
              <w:t xml:space="preserve">, </w:t>
            </w:r>
            <w:r w:rsidR="00731E0F">
              <w:rPr>
                <w:color w:val="000000" w:themeColor="text1"/>
              </w:rPr>
              <w:t>tāpēc</w:t>
            </w:r>
            <w:r w:rsidR="00EA1C0A">
              <w:rPr>
                <w:color w:val="000000" w:themeColor="text1"/>
              </w:rPr>
              <w:t xml:space="preserve"> noteikumu projekta 1</w:t>
            </w:r>
            <w:r w:rsidR="005E4CFF">
              <w:rPr>
                <w:color w:val="000000" w:themeColor="text1"/>
              </w:rPr>
              <w:t>6</w:t>
            </w:r>
            <w:r w:rsidR="00EA1C0A">
              <w:rPr>
                <w:color w:val="000000" w:themeColor="text1"/>
              </w:rPr>
              <w:t>.</w:t>
            </w:r>
            <w:r w:rsidR="00731E0F">
              <w:rPr>
                <w:color w:val="000000" w:themeColor="text1"/>
              </w:rPr>
              <w:t> </w:t>
            </w:r>
            <w:r w:rsidR="00EA1C0A">
              <w:rPr>
                <w:color w:val="000000" w:themeColor="text1"/>
              </w:rPr>
              <w:t>punkts paredz</w:t>
            </w:r>
            <w:r w:rsidR="00780D39">
              <w:rPr>
                <w:color w:val="000000" w:themeColor="text1"/>
              </w:rPr>
              <w:t xml:space="preserve">, ka veterinārmedicīniskās prakses iestāde pēc II vai III saraksta </w:t>
            </w:r>
            <w:r w:rsidR="008F59B1">
              <w:rPr>
                <w:color w:val="000000" w:themeColor="text1"/>
              </w:rPr>
              <w:t xml:space="preserve">vielu un </w:t>
            </w:r>
            <w:r w:rsidR="00780D39">
              <w:rPr>
                <w:color w:val="000000" w:themeColor="text1"/>
              </w:rPr>
              <w:t>zāļu izrakstīšanas īpašās receptes trešo eksemplāru glabā ne mazāk kā piecus gadus</w:t>
            </w:r>
            <w:r w:rsidR="00972566">
              <w:rPr>
                <w:color w:val="000000" w:themeColor="text1"/>
              </w:rPr>
              <w:t>;</w:t>
            </w:r>
          </w:p>
          <w:p w14:paraId="2624B9E9" w14:textId="6E80F52E" w:rsidR="004F3BD8" w:rsidRPr="001C5D5B" w:rsidRDefault="007817F2" w:rsidP="00EB3DFF">
            <w:pPr>
              <w:pStyle w:val="Komentrateksts"/>
              <w:jc w:val="both"/>
              <w:rPr>
                <w:color w:val="000000" w:themeColor="text1"/>
                <w:sz w:val="24"/>
                <w:szCs w:val="24"/>
                <w:lang w:eastAsia="lv-LV"/>
              </w:rPr>
            </w:pPr>
            <w:r>
              <w:rPr>
                <w:color w:val="000000" w:themeColor="text1"/>
                <w:sz w:val="24"/>
                <w:szCs w:val="24"/>
                <w:lang w:eastAsia="lv-LV"/>
              </w:rPr>
              <w:t>6</w:t>
            </w:r>
            <w:r w:rsidR="00B8220E" w:rsidRPr="00D02E94">
              <w:rPr>
                <w:color w:val="000000" w:themeColor="text1"/>
                <w:sz w:val="24"/>
                <w:szCs w:val="24"/>
                <w:lang w:eastAsia="lv-LV"/>
              </w:rPr>
              <w:t xml:space="preserve">) </w:t>
            </w:r>
            <w:r w:rsidR="00451BE5" w:rsidRPr="005E4CFF">
              <w:rPr>
                <w:color w:val="000000" w:themeColor="text1"/>
                <w:sz w:val="24"/>
                <w:szCs w:val="24"/>
                <w:lang w:eastAsia="lv-LV"/>
              </w:rPr>
              <w:t>samazinātu administratīvo slogu un vienkāršotu īpaš</w:t>
            </w:r>
            <w:r w:rsidR="004A07FD" w:rsidRPr="005E4CFF">
              <w:rPr>
                <w:color w:val="000000" w:themeColor="text1"/>
                <w:sz w:val="24"/>
                <w:szCs w:val="24"/>
                <w:lang w:eastAsia="lv-LV"/>
              </w:rPr>
              <w:t>ās</w:t>
            </w:r>
            <w:r w:rsidR="00451BE5" w:rsidRPr="005E4CFF">
              <w:rPr>
                <w:color w:val="000000" w:themeColor="text1"/>
                <w:sz w:val="24"/>
                <w:szCs w:val="24"/>
                <w:lang w:eastAsia="lv-LV"/>
              </w:rPr>
              <w:t xml:space="preserve"> recep</w:t>
            </w:r>
            <w:r w:rsidR="004A07FD" w:rsidRPr="005E4CFF">
              <w:rPr>
                <w:color w:val="000000" w:themeColor="text1"/>
                <w:sz w:val="24"/>
                <w:szCs w:val="24"/>
                <w:lang w:eastAsia="lv-LV"/>
              </w:rPr>
              <w:t>tes</w:t>
            </w:r>
            <w:r w:rsidR="00451BE5">
              <w:rPr>
                <w:color w:val="000000" w:themeColor="text1"/>
                <w:sz w:val="24"/>
                <w:szCs w:val="24"/>
                <w:lang w:eastAsia="lv-LV"/>
              </w:rPr>
              <w:t xml:space="preserve"> izmantošanu</w:t>
            </w:r>
            <w:r w:rsidR="00D1399A">
              <w:rPr>
                <w:color w:val="000000" w:themeColor="text1"/>
                <w:sz w:val="24"/>
                <w:szCs w:val="24"/>
                <w:lang w:eastAsia="lv-LV"/>
              </w:rPr>
              <w:t>.</w:t>
            </w:r>
            <w:r w:rsidR="00451BE5">
              <w:rPr>
                <w:color w:val="000000" w:themeColor="text1"/>
                <w:sz w:val="24"/>
                <w:szCs w:val="24"/>
                <w:lang w:eastAsia="lv-LV"/>
              </w:rPr>
              <w:t xml:space="preserve"> </w:t>
            </w:r>
            <w:r w:rsidR="00D1399A">
              <w:rPr>
                <w:color w:val="000000" w:themeColor="text1"/>
                <w:sz w:val="24"/>
                <w:szCs w:val="24"/>
                <w:lang w:eastAsia="lv-LV"/>
              </w:rPr>
              <w:t>N</w:t>
            </w:r>
            <w:r w:rsidR="004F3BD8">
              <w:rPr>
                <w:color w:val="000000" w:themeColor="text1"/>
                <w:sz w:val="24"/>
                <w:szCs w:val="24"/>
                <w:lang w:eastAsia="lv-LV"/>
              </w:rPr>
              <w:t>oteikumu projekta 1</w:t>
            </w:r>
            <w:r w:rsidR="005E4CFF">
              <w:rPr>
                <w:color w:val="000000" w:themeColor="text1"/>
                <w:sz w:val="24"/>
                <w:szCs w:val="24"/>
                <w:lang w:eastAsia="lv-LV"/>
              </w:rPr>
              <w:t>3</w:t>
            </w:r>
            <w:r w:rsidR="004F3BD8">
              <w:rPr>
                <w:color w:val="000000" w:themeColor="text1"/>
                <w:sz w:val="24"/>
                <w:szCs w:val="24"/>
                <w:lang w:eastAsia="lv-LV"/>
              </w:rPr>
              <w:t>.</w:t>
            </w:r>
            <w:r w:rsidR="00096982">
              <w:rPr>
                <w:color w:val="000000" w:themeColor="text1"/>
                <w:sz w:val="24"/>
                <w:szCs w:val="24"/>
                <w:lang w:eastAsia="lv-LV"/>
              </w:rPr>
              <w:t> </w:t>
            </w:r>
            <w:r w:rsidR="004F3BD8">
              <w:rPr>
                <w:color w:val="000000" w:themeColor="text1"/>
                <w:sz w:val="24"/>
                <w:szCs w:val="24"/>
                <w:lang w:eastAsia="lv-LV"/>
              </w:rPr>
              <w:t xml:space="preserve">punktā </w:t>
            </w:r>
            <w:r w:rsidR="00451BE5">
              <w:rPr>
                <w:color w:val="000000" w:themeColor="text1"/>
                <w:sz w:val="24"/>
                <w:szCs w:val="24"/>
                <w:lang w:eastAsia="lv-LV"/>
              </w:rPr>
              <w:t xml:space="preserve">praktizējošam veterinārārstam </w:t>
            </w:r>
            <w:r w:rsidR="00731E0F">
              <w:rPr>
                <w:color w:val="000000" w:themeColor="text1"/>
                <w:sz w:val="24"/>
                <w:szCs w:val="24"/>
                <w:lang w:eastAsia="lv-LV"/>
              </w:rPr>
              <w:t xml:space="preserve"> dota iespēja </w:t>
            </w:r>
            <w:r w:rsidR="004F3BD8" w:rsidRPr="001C5D5B">
              <w:rPr>
                <w:color w:val="000000" w:themeColor="text1"/>
                <w:sz w:val="24"/>
                <w:szCs w:val="24"/>
                <w:lang w:eastAsia="lv-LV"/>
              </w:rPr>
              <w:t>i</w:t>
            </w:r>
            <w:r w:rsidR="00AD75E5" w:rsidRPr="001C5D5B">
              <w:rPr>
                <w:color w:val="000000" w:themeColor="text1"/>
                <w:sz w:val="24"/>
                <w:szCs w:val="24"/>
                <w:lang w:eastAsia="lv-LV"/>
              </w:rPr>
              <w:t>zmantot</w:t>
            </w:r>
            <w:r w:rsidR="004F3BD8" w:rsidRPr="001C5D5B">
              <w:rPr>
                <w:color w:val="000000" w:themeColor="text1"/>
                <w:sz w:val="24"/>
                <w:szCs w:val="24"/>
                <w:lang w:eastAsia="lv-LV"/>
              </w:rPr>
              <w:t xml:space="preserve"> vispārpieņemtus receptūras saīsinājumus latīņu valodā</w:t>
            </w:r>
            <w:r w:rsidR="00451BE5">
              <w:rPr>
                <w:color w:val="000000" w:themeColor="text1"/>
                <w:sz w:val="24"/>
                <w:szCs w:val="24"/>
                <w:lang w:eastAsia="lv-LV"/>
              </w:rPr>
              <w:t>, k</w:t>
            </w:r>
            <w:r w:rsidR="00096982">
              <w:rPr>
                <w:color w:val="000000" w:themeColor="text1"/>
                <w:sz w:val="24"/>
                <w:szCs w:val="24"/>
                <w:lang w:eastAsia="lv-LV"/>
              </w:rPr>
              <w:t>uri ir</w:t>
            </w:r>
            <w:r w:rsidR="00451BE5">
              <w:rPr>
                <w:color w:val="000000" w:themeColor="text1"/>
                <w:sz w:val="24"/>
                <w:szCs w:val="24"/>
                <w:lang w:eastAsia="lv-LV"/>
              </w:rPr>
              <w:t xml:space="preserve"> viegli saprotami gan </w:t>
            </w:r>
            <w:r w:rsidR="00451BE5">
              <w:rPr>
                <w:color w:val="000000" w:themeColor="text1"/>
                <w:sz w:val="24"/>
                <w:szCs w:val="24"/>
                <w:lang w:eastAsia="lv-LV"/>
              </w:rPr>
              <w:lastRenderedPageBreak/>
              <w:t>praktizējoš</w:t>
            </w:r>
            <w:r w:rsidR="004A07FD">
              <w:rPr>
                <w:color w:val="000000" w:themeColor="text1"/>
                <w:sz w:val="24"/>
                <w:szCs w:val="24"/>
                <w:lang w:eastAsia="lv-LV"/>
              </w:rPr>
              <w:t>a</w:t>
            </w:r>
            <w:r w:rsidR="00451BE5">
              <w:rPr>
                <w:color w:val="000000" w:themeColor="text1"/>
                <w:sz w:val="24"/>
                <w:szCs w:val="24"/>
                <w:lang w:eastAsia="lv-LV"/>
              </w:rPr>
              <w:t>m veterinārārst</w:t>
            </w:r>
            <w:r w:rsidR="004A07FD">
              <w:rPr>
                <w:color w:val="000000" w:themeColor="text1"/>
                <w:sz w:val="24"/>
                <w:szCs w:val="24"/>
                <w:lang w:eastAsia="lv-LV"/>
              </w:rPr>
              <w:t>a</w:t>
            </w:r>
            <w:r w:rsidR="00451BE5">
              <w:rPr>
                <w:color w:val="000000" w:themeColor="text1"/>
                <w:sz w:val="24"/>
                <w:szCs w:val="24"/>
                <w:lang w:eastAsia="lv-LV"/>
              </w:rPr>
              <w:t>m, gan farmaceit</w:t>
            </w:r>
            <w:r w:rsidR="004A07FD">
              <w:rPr>
                <w:color w:val="000000" w:themeColor="text1"/>
                <w:sz w:val="24"/>
                <w:szCs w:val="24"/>
                <w:lang w:eastAsia="lv-LV"/>
              </w:rPr>
              <w:t>a</w:t>
            </w:r>
            <w:r w:rsidR="00451BE5">
              <w:rPr>
                <w:color w:val="000000" w:themeColor="text1"/>
                <w:sz w:val="24"/>
                <w:szCs w:val="24"/>
                <w:lang w:eastAsia="lv-LV"/>
              </w:rPr>
              <w:t>m aptiekās</w:t>
            </w:r>
            <w:r w:rsidR="00C049E5" w:rsidRPr="001C5D5B">
              <w:rPr>
                <w:color w:val="000000" w:themeColor="text1"/>
                <w:sz w:val="24"/>
                <w:szCs w:val="24"/>
                <w:lang w:eastAsia="lv-LV"/>
              </w:rPr>
              <w:t>;</w:t>
            </w:r>
          </w:p>
          <w:p w14:paraId="402A9DAD" w14:textId="4CECD07F" w:rsidR="004F3BD8" w:rsidRPr="00C70613" w:rsidRDefault="007817F2" w:rsidP="00EB3DFF">
            <w:pPr>
              <w:pStyle w:val="Default"/>
              <w:ind w:right="141"/>
              <w:jc w:val="both"/>
              <w:rPr>
                <w:rFonts w:ascii="Times New Roman" w:eastAsia="Times New Roman" w:hAnsi="Times New Roman" w:cs="Times New Roman"/>
                <w:color w:val="auto"/>
                <w:lang w:eastAsia="lv-LV"/>
              </w:rPr>
            </w:pPr>
            <w:r>
              <w:rPr>
                <w:rFonts w:ascii="Times New Roman" w:hAnsi="Times New Roman" w:cs="Times New Roman"/>
                <w:color w:val="000000" w:themeColor="text1"/>
                <w:lang w:eastAsia="lv-LV"/>
              </w:rPr>
              <w:t>7</w:t>
            </w:r>
            <w:r w:rsidR="00371BBE" w:rsidRPr="001C5D5B">
              <w:rPr>
                <w:rFonts w:ascii="Times New Roman" w:hAnsi="Times New Roman" w:cs="Times New Roman"/>
                <w:color w:val="000000" w:themeColor="text1"/>
                <w:lang w:eastAsia="lv-LV"/>
              </w:rPr>
              <w:t xml:space="preserve">) </w:t>
            </w:r>
            <w:r w:rsidR="00451BE5">
              <w:rPr>
                <w:rFonts w:ascii="Times New Roman" w:hAnsi="Times New Roman" w:cs="Times New Roman"/>
                <w:color w:val="000000" w:themeColor="text1"/>
                <w:lang w:eastAsia="lv-LV"/>
              </w:rPr>
              <w:t>atvieglo</w:t>
            </w:r>
            <w:r w:rsidR="00A453C1">
              <w:rPr>
                <w:rFonts w:ascii="Times New Roman" w:hAnsi="Times New Roman" w:cs="Times New Roman"/>
                <w:color w:val="000000" w:themeColor="text1"/>
                <w:lang w:eastAsia="lv-LV"/>
              </w:rPr>
              <w:t>tu</w:t>
            </w:r>
            <w:r w:rsidR="00451BE5">
              <w:rPr>
                <w:rFonts w:ascii="Times New Roman" w:hAnsi="Times New Roman" w:cs="Times New Roman"/>
                <w:color w:val="000000" w:themeColor="text1"/>
                <w:lang w:eastAsia="lv-LV"/>
              </w:rPr>
              <w:t xml:space="preserve"> nepieciešamo II un III</w:t>
            </w:r>
            <w:r w:rsidR="00096982">
              <w:rPr>
                <w:rFonts w:ascii="Times New Roman" w:hAnsi="Times New Roman" w:cs="Times New Roman"/>
                <w:color w:val="000000" w:themeColor="text1"/>
                <w:lang w:eastAsia="lv-LV"/>
              </w:rPr>
              <w:t> </w:t>
            </w:r>
            <w:r w:rsidR="00451BE5">
              <w:rPr>
                <w:rFonts w:ascii="Times New Roman" w:hAnsi="Times New Roman" w:cs="Times New Roman"/>
                <w:color w:val="000000" w:themeColor="text1"/>
                <w:lang w:eastAsia="lv-LV"/>
              </w:rPr>
              <w:t xml:space="preserve">saraksta </w:t>
            </w:r>
            <w:r w:rsidR="008F59B1">
              <w:rPr>
                <w:rFonts w:ascii="Times New Roman" w:hAnsi="Times New Roman" w:cs="Times New Roman"/>
                <w:color w:val="000000" w:themeColor="text1"/>
                <w:lang w:eastAsia="lv-LV"/>
              </w:rPr>
              <w:t xml:space="preserve">vielu un </w:t>
            </w:r>
            <w:r w:rsidR="00451BE5">
              <w:rPr>
                <w:rFonts w:ascii="Times New Roman" w:hAnsi="Times New Roman" w:cs="Times New Roman"/>
                <w:color w:val="000000" w:themeColor="text1"/>
                <w:lang w:eastAsia="lv-LV"/>
              </w:rPr>
              <w:t xml:space="preserve">zāļu pieejamību, kad </w:t>
            </w:r>
            <w:r w:rsidR="00420A16">
              <w:rPr>
                <w:rFonts w:ascii="Times New Roman" w:hAnsi="Times New Roman" w:cs="Times New Roman"/>
                <w:color w:val="000000" w:themeColor="text1"/>
                <w:lang w:eastAsia="lv-LV"/>
              </w:rPr>
              <w:t xml:space="preserve">dzīvniekam </w:t>
            </w:r>
            <w:r w:rsidR="00731E0F">
              <w:rPr>
                <w:rFonts w:ascii="Times New Roman" w:hAnsi="Times New Roman" w:cs="Times New Roman"/>
                <w:color w:val="000000" w:themeColor="text1"/>
                <w:lang w:eastAsia="lv-LV"/>
              </w:rPr>
              <w:t>tās jā</w:t>
            </w:r>
            <w:r w:rsidR="00420A16" w:rsidRPr="001C5D5B">
              <w:rPr>
                <w:rFonts w:ascii="Times New Roman" w:hAnsi="Times New Roman" w:cs="Times New Roman"/>
                <w:color w:val="000000" w:themeColor="text1"/>
                <w:lang w:eastAsia="lv-LV"/>
              </w:rPr>
              <w:t>lieto regulāri un ilgstoši</w:t>
            </w:r>
            <w:r w:rsidR="00420A16" w:rsidRPr="001C5D5B" w:rsidDel="00451BE5">
              <w:rPr>
                <w:rFonts w:ascii="Times New Roman" w:hAnsi="Times New Roman" w:cs="Times New Roman"/>
                <w:color w:val="000000" w:themeColor="text1"/>
                <w:lang w:eastAsia="lv-LV"/>
              </w:rPr>
              <w:t xml:space="preserve"> </w:t>
            </w:r>
            <w:r w:rsidR="00420A16" w:rsidRPr="001C5D5B">
              <w:rPr>
                <w:rFonts w:ascii="Times New Roman" w:hAnsi="Times New Roman" w:cs="Times New Roman"/>
                <w:color w:val="000000" w:themeColor="text1"/>
                <w:lang w:eastAsia="lv-LV"/>
              </w:rPr>
              <w:t xml:space="preserve">(piemēram, </w:t>
            </w:r>
            <w:r w:rsidR="00096982">
              <w:rPr>
                <w:rFonts w:ascii="Times New Roman" w:hAnsi="Times New Roman" w:cs="Times New Roman"/>
                <w:color w:val="000000" w:themeColor="text1"/>
                <w:lang w:eastAsia="lv-LV"/>
              </w:rPr>
              <w:t>dzīvniek</w:t>
            </w:r>
            <w:r w:rsidR="007A4D24">
              <w:rPr>
                <w:rFonts w:ascii="Times New Roman" w:hAnsi="Times New Roman" w:cs="Times New Roman"/>
                <w:color w:val="000000" w:themeColor="text1"/>
                <w:lang w:eastAsia="lv-LV"/>
              </w:rPr>
              <w:t>a</w:t>
            </w:r>
            <w:r w:rsidR="00096982">
              <w:rPr>
                <w:rFonts w:ascii="Times New Roman" w:hAnsi="Times New Roman" w:cs="Times New Roman"/>
                <w:color w:val="000000" w:themeColor="text1"/>
                <w:lang w:eastAsia="lv-LV"/>
              </w:rPr>
              <w:t>m</w:t>
            </w:r>
            <w:r w:rsidR="00DB52DE">
              <w:rPr>
                <w:rFonts w:ascii="Times New Roman" w:hAnsi="Times New Roman" w:cs="Times New Roman"/>
                <w:color w:val="000000" w:themeColor="text1"/>
                <w:lang w:eastAsia="lv-LV"/>
              </w:rPr>
              <w:t>, kas slimo</w:t>
            </w:r>
            <w:r w:rsidR="00096982">
              <w:rPr>
                <w:rFonts w:ascii="Times New Roman" w:hAnsi="Times New Roman" w:cs="Times New Roman"/>
                <w:color w:val="000000" w:themeColor="text1"/>
                <w:lang w:eastAsia="lv-LV"/>
              </w:rPr>
              <w:t xml:space="preserve"> ar </w:t>
            </w:r>
            <w:r w:rsidR="00420A16" w:rsidRPr="001C5D5B">
              <w:rPr>
                <w:rFonts w:ascii="Times New Roman" w:hAnsi="Times New Roman" w:cs="Times New Roman"/>
                <w:color w:val="000000" w:themeColor="text1"/>
                <w:lang w:eastAsia="lv-LV"/>
              </w:rPr>
              <w:t>epilepsij</w:t>
            </w:r>
            <w:r w:rsidR="00096982">
              <w:rPr>
                <w:rFonts w:ascii="Times New Roman" w:hAnsi="Times New Roman" w:cs="Times New Roman"/>
                <w:color w:val="000000" w:themeColor="text1"/>
                <w:lang w:eastAsia="lv-LV"/>
              </w:rPr>
              <w:t>u</w:t>
            </w:r>
            <w:r w:rsidR="00420A16" w:rsidRPr="001C5D5B">
              <w:rPr>
                <w:rFonts w:ascii="Times New Roman" w:hAnsi="Times New Roman" w:cs="Times New Roman"/>
                <w:color w:val="000000" w:themeColor="text1"/>
                <w:lang w:eastAsia="lv-LV"/>
              </w:rPr>
              <w:t>)</w:t>
            </w:r>
            <w:r w:rsidR="003B1F18">
              <w:rPr>
                <w:rFonts w:ascii="Times New Roman" w:hAnsi="Times New Roman" w:cs="Times New Roman"/>
                <w:color w:val="000000" w:themeColor="text1"/>
                <w:lang w:eastAsia="lv-LV"/>
              </w:rPr>
              <w:t>.</w:t>
            </w:r>
            <w:r w:rsidR="00A453C1" w:rsidRPr="001C5D5B">
              <w:rPr>
                <w:rFonts w:ascii="Times New Roman" w:hAnsi="Times New Roman" w:cs="Times New Roman"/>
                <w:color w:val="000000" w:themeColor="text1"/>
                <w:lang w:eastAsia="lv-LV"/>
              </w:rPr>
              <w:t xml:space="preserve"> </w:t>
            </w:r>
            <w:r w:rsidR="003B1F18">
              <w:rPr>
                <w:rFonts w:ascii="Times New Roman" w:hAnsi="Times New Roman" w:cs="Times New Roman"/>
                <w:color w:val="000000" w:themeColor="text1"/>
                <w:lang w:eastAsia="lv-LV"/>
              </w:rPr>
              <w:t>N</w:t>
            </w:r>
            <w:r w:rsidR="00A453C1" w:rsidRPr="001C5D5B">
              <w:rPr>
                <w:rFonts w:ascii="Times New Roman" w:hAnsi="Times New Roman" w:cs="Times New Roman"/>
                <w:color w:val="000000" w:themeColor="text1"/>
                <w:lang w:eastAsia="lv-LV"/>
              </w:rPr>
              <w:t xml:space="preserve">oteikumu projekts </w:t>
            </w:r>
            <w:r w:rsidR="00A453C1">
              <w:rPr>
                <w:rFonts w:ascii="Times New Roman" w:hAnsi="Times New Roman" w:cs="Times New Roman"/>
                <w:color w:val="000000" w:themeColor="text1"/>
                <w:lang w:eastAsia="lv-LV"/>
              </w:rPr>
              <w:t>paredz</w:t>
            </w:r>
            <w:r w:rsidR="007A4D24">
              <w:rPr>
                <w:rFonts w:ascii="Times New Roman" w:hAnsi="Times New Roman" w:cs="Times New Roman"/>
                <w:color w:val="000000" w:themeColor="text1"/>
                <w:lang w:eastAsia="lv-LV"/>
              </w:rPr>
              <w:t>, ka</w:t>
            </w:r>
            <w:r w:rsidR="00A453C1">
              <w:rPr>
                <w:rFonts w:ascii="Times New Roman" w:hAnsi="Times New Roman" w:cs="Times New Roman"/>
                <w:color w:val="000000" w:themeColor="text1"/>
                <w:lang w:eastAsia="lv-LV"/>
              </w:rPr>
              <w:t xml:space="preserve"> </w:t>
            </w:r>
            <w:r w:rsidR="007A4D24">
              <w:rPr>
                <w:rFonts w:ascii="Times New Roman" w:hAnsi="Times New Roman" w:cs="Times New Roman"/>
                <w:color w:val="000000" w:themeColor="text1"/>
                <w:lang w:eastAsia="lv-LV"/>
              </w:rPr>
              <w:t xml:space="preserve">īpašo recepti praktizējošs veterinārārsts var </w:t>
            </w:r>
            <w:r w:rsidR="007A4A8F">
              <w:rPr>
                <w:rFonts w:ascii="Times New Roman" w:hAnsi="Times New Roman" w:cs="Times New Roman"/>
                <w:color w:val="000000" w:themeColor="text1"/>
                <w:lang w:eastAsia="lv-LV"/>
              </w:rPr>
              <w:t>i</w:t>
            </w:r>
            <w:r w:rsidR="007A4D24">
              <w:rPr>
                <w:rFonts w:ascii="Times New Roman" w:hAnsi="Times New Roman" w:cs="Times New Roman"/>
                <w:color w:val="000000" w:themeColor="text1"/>
                <w:lang w:eastAsia="lv-LV"/>
              </w:rPr>
              <w:t xml:space="preserve">zrakstīt </w:t>
            </w:r>
            <w:r w:rsidR="008F59B1">
              <w:rPr>
                <w:rFonts w:ascii="Times New Roman" w:hAnsi="Times New Roman" w:cs="Times New Roman"/>
                <w:color w:val="000000" w:themeColor="text1"/>
                <w:lang w:eastAsia="lv-LV"/>
              </w:rPr>
              <w:t xml:space="preserve">II vai III saraksta vielu un </w:t>
            </w:r>
            <w:r w:rsidR="007A4D24">
              <w:rPr>
                <w:rFonts w:ascii="Times New Roman" w:hAnsi="Times New Roman" w:cs="Times New Roman"/>
                <w:color w:val="000000" w:themeColor="text1"/>
                <w:lang w:eastAsia="lv-LV"/>
              </w:rPr>
              <w:t>zāļu lietošanai līdz trīs mēnešiem, tā atvieglojot dzīvnieka īpašnieka ikdienu</w:t>
            </w:r>
            <w:r w:rsidR="00731E0F">
              <w:rPr>
                <w:rFonts w:ascii="Times New Roman" w:hAnsi="Times New Roman" w:cs="Times New Roman"/>
                <w:color w:val="000000" w:themeColor="text1"/>
                <w:lang w:eastAsia="lv-LV"/>
              </w:rPr>
              <w:t>, jo</w:t>
            </w:r>
            <w:r w:rsidR="007A4D24">
              <w:rPr>
                <w:rFonts w:ascii="Times New Roman" w:hAnsi="Times New Roman" w:cs="Times New Roman"/>
                <w:color w:val="000000" w:themeColor="text1"/>
                <w:lang w:eastAsia="lv-LV"/>
              </w:rPr>
              <w:t xml:space="preserve"> dzīvnieka īpašniekam, k</w:t>
            </w:r>
            <w:r w:rsidR="00335F0B">
              <w:rPr>
                <w:rFonts w:ascii="Times New Roman" w:hAnsi="Times New Roman" w:cs="Times New Roman"/>
                <w:color w:val="000000" w:themeColor="text1"/>
                <w:lang w:eastAsia="lv-LV"/>
              </w:rPr>
              <w:t>ura</w:t>
            </w:r>
            <w:r w:rsidR="007A4D24">
              <w:rPr>
                <w:rFonts w:ascii="Times New Roman" w:hAnsi="Times New Roman" w:cs="Times New Roman"/>
                <w:color w:val="000000" w:themeColor="text1"/>
                <w:lang w:eastAsia="lv-LV"/>
              </w:rPr>
              <w:t xml:space="preserve"> dzīvnieks slimo ar hronisku slimību</w:t>
            </w:r>
            <w:r w:rsidR="00731E0F">
              <w:rPr>
                <w:rFonts w:ascii="Times New Roman" w:hAnsi="Times New Roman" w:cs="Times New Roman"/>
                <w:color w:val="000000" w:themeColor="text1"/>
                <w:lang w:eastAsia="lv-LV"/>
              </w:rPr>
              <w:t>,</w:t>
            </w:r>
            <w:r w:rsidR="007A4D24">
              <w:rPr>
                <w:rFonts w:ascii="Times New Roman" w:hAnsi="Times New Roman" w:cs="Times New Roman"/>
                <w:color w:val="000000" w:themeColor="text1"/>
                <w:lang w:eastAsia="lv-LV"/>
              </w:rPr>
              <w:t xml:space="preserve"> nebūs jādodas pie</w:t>
            </w:r>
            <w:r w:rsidR="00335F0B">
              <w:rPr>
                <w:rFonts w:ascii="Times New Roman" w:hAnsi="Times New Roman" w:cs="Times New Roman"/>
                <w:color w:val="000000" w:themeColor="text1"/>
                <w:lang w:eastAsia="lv-LV"/>
              </w:rPr>
              <w:t xml:space="preserve"> </w:t>
            </w:r>
            <w:r w:rsidR="007A4D24">
              <w:rPr>
                <w:rFonts w:ascii="Times New Roman" w:hAnsi="Times New Roman" w:cs="Times New Roman"/>
                <w:color w:val="000000" w:themeColor="text1"/>
                <w:lang w:eastAsia="lv-LV"/>
              </w:rPr>
              <w:t xml:space="preserve">praktizējoša veterinārārsta katru mēnesi. Dzīvnieka īpašnieka pienākums ir uzraudzīt dzīvnieka veselības stāvokli un </w:t>
            </w:r>
            <w:r w:rsidR="00335F0B">
              <w:rPr>
                <w:rFonts w:ascii="Times New Roman" w:hAnsi="Times New Roman" w:cs="Times New Roman"/>
                <w:color w:val="000000" w:themeColor="text1"/>
                <w:lang w:eastAsia="lv-LV"/>
              </w:rPr>
              <w:t xml:space="preserve">regulāri </w:t>
            </w:r>
            <w:r w:rsidR="007A4D24">
              <w:rPr>
                <w:rFonts w:ascii="Times New Roman" w:hAnsi="Times New Roman" w:cs="Times New Roman"/>
                <w:color w:val="000000" w:themeColor="text1"/>
                <w:lang w:eastAsia="lv-LV"/>
              </w:rPr>
              <w:t>konsultēties ar praktizējošu veterinārārstu</w:t>
            </w:r>
            <w:r w:rsidR="00335F0B">
              <w:rPr>
                <w:rFonts w:ascii="Times New Roman" w:hAnsi="Times New Roman" w:cs="Times New Roman"/>
                <w:color w:val="000000" w:themeColor="text1"/>
                <w:lang w:eastAsia="lv-LV"/>
              </w:rPr>
              <w:t xml:space="preserve"> par dzīvnieka veselību</w:t>
            </w:r>
            <w:r w:rsidR="007A4D24">
              <w:rPr>
                <w:rFonts w:ascii="Times New Roman" w:hAnsi="Times New Roman" w:cs="Times New Roman"/>
                <w:color w:val="000000" w:themeColor="text1"/>
                <w:lang w:eastAsia="lv-LV"/>
              </w:rPr>
              <w:t>. Ja dzīvnieka veselības stāvoklis pasliktinās, viņa pienākums ir dzīvnieku nogādāt pie praktizējoša veterinārārsta. Noteikumu projekts novērš situāciju, kad pie praktizējoša veterinārārsta dzīvnieka īpašniekam jādodas tikai, lai saņemtu īpašo recepti hroniskas slimības ārstēšanai un kontrolei.</w:t>
            </w:r>
            <w:r w:rsidR="00335F0B">
              <w:rPr>
                <w:rFonts w:ascii="Times New Roman" w:hAnsi="Times New Roman" w:cs="Times New Roman"/>
                <w:color w:val="000000" w:themeColor="text1"/>
                <w:lang w:eastAsia="lv-LV"/>
              </w:rPr>
              <w:t xml:space="preserve"> Noteiktais termiņš </w:t>
            </w:r>
            <w:r w:rsidR="00335F0B" w:rsidRPr="00C70613">
              <w:rPr>
                <w:rFonts w:ascii="Times New Roman" w:hAnsi="Times New Roman" w:cs="Times New Roman"/>
                <w:color w:val="000000" w:themeColor="text1"/>
                <w:lang w:eastAsia="lv-LV"/>
              </w:rPr>
              <w:t xml:space="preserve">– </w:t>
            </w:r>
            <w:r w:rsidR="00731E0F">
              <w:rPr>
                <w:rFonts w:ascii="Times New Roman" w:hAnsi="Times New Roman" w:cs="Times New Roman"/>
                <w:color w:val="000000" w:themeColor="text1"/>
                <w:lang w:eastAsia="lv-LV"/>
              </w:rPr>
              <w:t>trīs</w:t>
            </w:r>
            <w:r w:rsidR="00335F0B" w:rsidRPr="00C70613">
              <w:rPr>
                <w:rFonts w:ascii="Times New Roman" w:hAnsi="Times New Roman" w:cs="Times New Roman"/>
                <w:color w:val="000000" w:themeColor="text1"/>
                <w:lang w:eastAsia="lv-LV"/>
              </w:rPr>
              <w:t xml:space="preserve"> mēneši </w:t>
            </w:r>
            <w:r w:rsidR="00731E0F">
              <w:rPr>
                <w:rFonts w:ascii="Times New Roman" w:hAnsi="Times New Roman" w:cs="Times New Roman"/>
                <w:color w:val="000000" w:themeColor="text1"/>
                <w:lang w:eastAsia="lv-LV"/>
              </w:rPr>
              <w:t xml:space="preserve">– </w:t>
            </w:r>
            <w:r w:rsidR="00335F0B" w:rsidRPr="00C70613">
              <w:rPr>
                <w:rFonts w:ascii="Times New Roman" w:hAnsi="Times New Roman" w:cs="Times New Roman"/>
                <w:color w:val="000000" w:themeColor="text1"/>
                <w:lang w:eastAsia="lv-LV"/>
              </w:rPr>
              <w:t xml:space="preserve">ir optimāls </w:t>
            </w:r>
            <w:r w:rsidR="00731E0F">
              <w:rPr>
                <w:rFonts w:ascii="Times New Roman" w:hAnsi="Times New Roman" w:cs="Times New Roman"/>
                <w:color w:val="000000" w:themeColor="text1"/>
                <w:lang w:eastAsia="lv-LV"/>
              </w:rPr>
              <w:t>laiks</w:t>
            </w:r>
            <w:r w:rsidR="00335F0B" w:rsidRPr="00C70613">
              <w:rPr>
                <w:rFonts w:ascii="Times New Roman" w:hAnsi="Times New Roman" w:cs="Times New Roman"/>
                <w:color w:val="000000" w:themeColor="text1"/>
                <w:lang w:eastAsia="lv-LV"/>
              </w:rPr>
              <w:t>, kad praktizējošam veterinārārstam jāizmeklē dzīvnieks ar hronisku slimību.</w:t>
            </w:r>
            <w:r w:rsidR="00C70613" w:rsidRPr="00C70613">
              <w:rPr>
                <w:rFonts w:ascii="Times New Roman" w:hAnsi="Times New Roman" w:cs="Times New Roman"/>
              </w:rPr>
              <w:t xml:space="preserve"> Minētā iemesla dēļ noteikumi paredz arī </w:t>
            </w:r>
            <w:r w:rsidR="00C70613" w:rsidRPr="00C70613">
              <w:rPr>
                <w:rFonts w:ascii="Times New Roman" w:hAnsi="Times New Roman" w:cs="Times New Roman"/>
                <w:color w:val="000000" w:themeColor="text1"/>
                <w:lang w:eastAsia="lv-LV"/>
              </w:rPr>
              <w:t>pagarināt īpašās receptes veidlapu derīguma termiņu no 30 līdz 90 dienām</w:t>
            </w:r>
            <w:r w:rsidR="007A4D24" w:rsidRPr="00C70613">
              <w:rPr>
                <w:rFonts w:ascii="Times New Roman" w:hAnsi="Times New Roman" w:cs="Times New Roman"/>
                <w:color w:val="000000" w:themeColor="text1"/>
                <w:lang w:eastAsia="lv-LV"/>
              </w:rPr>
              <w:t xml:space="preserve"> </w:t>
            </w:r>
            <w:r w:rsidR="006C1588" w:rsidRPr="00C70613">
              <w:rPr>
                <w:rFonts w:ascii="Times New Roman" w:eastAsia="Times New Roman" w:hAnsi="Times New Roman" w:cs="Times New Roman"/>
                <w:color w:val="auto"/>
                <w:lang w:eastAsia="lv-LV"/>
              </w:rPr>
              <w:t>(</w:t>
            </w:r>
            <w:r w:rsidR="009778E4" w:rsidRPr="00C70613">
              <w:rPr>
                <w:rFonts w:ascii="Times New Roman" w:eastAsia="Times New Roman" w:hAnsi="Times New Roman" w:cs="Times New Roman"/>
                <w:color w:val="auto"/>
                <w:lang w:eastAsia="lv-LV"/>
              </w:rPr>
              <w:t>1</w:t>
            </w:r>
            <w:r w:rsidR="005E4CFF">
              <w:rPr>
                <w:rFonts w:ascii="Times New Roman" w:eastAsia="Times New Roman" w:hAnsi="Times New Roman" w:cs="Times New Roman"/>
                <w:color w:val="auto"/>
                <w:lang w:eastAsia="lv-LV"/>
              </w:rPr>
              <w:t>1</w:t>
            </w:r>
            <w:r w:rsidR="006C1588" w:rsidRPr="00C70613">
              <w:rPr>
                <w:rFonts w:ascii="Times New Roman" w:eastAsia="Times New Roman" w:hAnsi="Times New Roman" w:cs="Times New Roman"/>
                <w:color w:val="auto"/>
                <w:lang w:eastAsia="lv-LV"/>
              </w:rPr>
              <w:t>. punkts</w:t>
            </w:r>
            <w:r w:rsidR="00C70613" w:rsidRPr="00C70613">
              <w:rPr>
                <w:rFonts w:ascii="Times New Roman" w:eastAsia="Times New Roman" w:hAnsi="Times New Roman" w:cs="Times New Roman"/>
                <w:color w:val="auto"/>
                <w:lang w:eastAsia="lv-LV"/>
              </w:rPr>
              <w:t>,</w:t>
            </w:r>
            <w:r w:rsidR="00C70613">
              <w:rPr>
                <w:rFonts w:ascii="Times New Roman" w:eastAsia="Times New Roman" w:hAnsi="Times New Roman" w:cs="Times New Roman"/>
                <w:color w:val="auto"/>
                <w:lang w:eastAsia="lv-LV"/>
              </w:rPr>
              <w:t xml:space="preserve"> p</w:t>
            </w:r>
            <w:r w:rsidR="00C70613" w:rsidRPr="00C70613">
              <w:rPr>
                <w:rFonts w:ascii="Times New Roman" w:eastAsia="Times New Roman" w:hAnsi="Times New Roman" w:cs="Times New Roman"/>
                <w:color w:val="auto"/>
                <w:lang w:eastAsia="lv-LV"/>
              </w:rPr>
              <w:t>ielikums</w:t>
            </w:r>
            <w:r w:rsidR="006C1588" w:rsidRPr="00C70613">
              <w:rPr>
                <w:rFonts w:ascii="Times New Roman" w:eastAsia="Times New Roman" w:hAnsi="Times New Roman" w:cs="Times New Roman"/>
                <w:color w:val="auto"/>
                <w:lang w:eastAsia="lv-LV"/>
              </w:rPr>
              <w:t>)</w:t>
            </w:r>
            <w:r w:rsidR="004B2D6E" w:rsidRPr="00C70613">
              <w:rPr>
                <w:rFonts w:ascii="Times New Roman" w:eastAsia="Times New Roman" w:hAnsi="Times New Roman" w:cs="Times New Roman"/>
                <w:color w:val="auto"/>
                <w:lang w:eastAsia="lv-LV"/>
              </w:rPr>
              <w:t>;</w:t>
            </w:r>
          </w:p>
          <w:p w14:paraId="620A33AA" w14:textId="34077367" w:rsidR="004F3BD8" w:rsidRPr="004F3BD8" w:rsidRDefault="007817F2" w:rsidP="00EB3DFF">
            <w:pPr>
              <w:pStyle w:val="Komentrateksts"/>
              <w:jc w:val="both"/>
              <w:rPr>
                <w:color w:val="000000" w:themeColor="text1"/>
                <w:sz w:val="24"/>
                <w:szCs w:val="24"/>
                <w:lang w:eastAsia="lv-LV"/>
              </w:rPr>
            </w:pPr>
            <w:r>
              <w:rPr>
                <w:color w:val="000000" w:themeColor="text1"/>
                <w:sz w:val="24"/>
                <w:szCs w:val="24"/>
                <w:lang w:eastAsia="lv-LV"/>
              </w:rPr>
              <w:t>8</w:t>
            </w:r>
            <w:r w:rsidR="00990384" w:rsidRPr="00507D85">
              <w:rPr>
                <w:color w:val="000000" w:themeColor="text1"/>
                <w:sz w:val="24"/>
                <w:szCs w:val="24"/>
                <w:lang w:eastAsia="lv-LV"/>
              </w:rPr>
              <w:t>)</w:t>
            </w:r>
            <w:r w:rsidR="004F3BD8" w:rsidRPr="00507D85">
              <w:rPr>
                <w:color w:val="000000" w:themeColor="text1"/>
                <w:sz w:val="24"/>
                <w:szCs w:val="24"/>
                <w:lang w:eastAsia="lv-LV"/>
              </w:rPr>
              <w:t xml:space="preserve"> </w:t>
            </w:r>
            <w:r w:rsidR="00757A6E" w:rsidRPr="00507D85">
              <w:rPr>
                <w:color w:val="000000" w:themeColor="text1"/>
                <w:sz w:val="24"/>
                <w:szCs w:val="24"/>
                <w:lang w:eastAsia="lv-LV"/>
              </w:rPr>
              <w:t>uzlabo</w:t>
            </w:r>
            <w:r w:rsidR="00757A6E">
              <w:rPr>
                <w:color w:val="000000" w:themeColor="text1"/>
                <w:sz w:val="24"/>
                <w:szCs w:val="24"/>
                <w:lang w:eastAsia="lv-LV"/>
              </w:rPr>
              <w:t>tu</w:t>
            </w:r>
            <w:r w:rsidR="00757A6E" w:rsidRPr="00507D85">
              <w:rPr>
                <w:color w:val="000000" w:themeColor="text1"/>
                <w:sz w:val="24"/>
                <w:szCs w:val="24"/>
                <w:lang w:eastAsia="lv-LV"/>
              </w:rPr>
              <w:t xml:space="preserve"> īpaš</w:t>
            </w:r>
            <w:r w:rsidR="003B1F18">
              <w:rPr>
                <w:color w:val="000000" w:themeColor="text1"/>
                <w:sz w:val="24"/>
                <w:szCs w:val="24"/>
                <w:lang w:eastAsia="lv-LV"/>
              </w:rPr>
              <w:t>ās</w:t>
            </w:r>
            <w:r w:rsidR="00757A6E" w:rsidRPr="00507D85">
              <w:rPr>
                <w:color w:val="000000" w:themeColor="text1"/>
                <w:sz w:val="24"/>
                <w:szCs w:val="24"/>
                <w:lang w:eastAsia="lv-LV"/>
              </w:rPr>
              <w:t xml:space="preserve"> recep</w:t>
            </w:r>
            <w:r w:rsidR="003B1F18">
              <w:rPr>
                <w:color w:val="000000" w:themeColor="text1"/>
                <w:sz w:val="24"/>
                <w:szCs w:val="24"/>
                <w:lang w:eastAsia="lv-LV"/>
              </w:rPr>
              <w:t>tes</w:t>
            </w:r>
            <w:r w:rsidR="00757A6E" w:rsidRPr="00507D85">
              <w:rPr>
                <w:color w:val="000000" w:themeColor="text1"/>
                <w:sz w:val="24"/>
                <w:szCs w:val="24"/>
                <w:lang w:eastAsia="lv-LV"/>
              </w:rPr>
              <w:t xml:space="preserve"> aprites izsekojamīb</w:t>
            </w:r>
            <w:r w:rsidR="00757A6E">
              <w:rPr>
                <w:color w:val="000000" w:themeColor="text1"/>
                <w:sz w:val="24"/>
                <w:szCs w:val="24"/>
                <w:lang w:eastAsia="lv-LV"/>
              </w:rPr>
              <w:t>u</w:t>
            </w:r>
            <w:r w:rsidR="00757A6E" w:rsidRPr="00507D85">
              <w:rPr>
                <w:color w:val="000000" w:themeColor="text1"/>
                <w:sz w:val="24"/>
                <w:szCs w:val="24"/>
                <w:lang w:eastAsia="lv-LV"/>
              </w:rPr>
              <w:t xml:space="preserve"> veterinārmedicīniskās prakses iestādē un dienestam atvieglo</w:t>
            </w:r>
            <w:r w:rsidR="00757A6E">
              <w:rPr>
                <w:color w:val="000000" w:themeColor="text1"/>
                <w:sz w:val="24"/>
                <w:szCs w:val="24"/>
                <w:lang w:eastAsia="lv-LV"/>
              </w:rPr>
              <w:t>tu</w:t>
            </w:r>
            <w:r w:rsidR="00757A6E" w:rsidRPr="00507D85">
              <w:rPr>
                <w:color w:val="000000" w:themeColor="text1"/>
                <w:sz w:val="24"/>
                <w:szCs w:val="24"/>
                <w:lang w:eastAsia="lv-LV"/>
              </w:rPr>
              <w:t xml:space="preserve"> uzraudzīb</w:t>
            </w:r>
            <w:r w:rsidR="00757A6E">
              <w:rPr>
                <w:color w:val="000000" w:themeColor="text1"/>
                <w:sz w:val="24"/>
                <w:szCs w:val="24"/>
                <w:lang w:eastAsia="lv-LV"/>
              </w:rPr>
              <w:t>u</w:t>
            </w:r>
            <w:r w:rsidR="00757A6E" w:rsidRPr="00507D85">
              <w:rPr>
                <w:color w:val="000000" w:themeColor="text1"/>
                <w:sz w:val="24"/>
                <w:szCs w:val="24"/>
                <w:lang w:eastAsia="lv-LV"/>
              </w:rPr>
              <w:t xml:space="preserve"> un kontrol</w:t>
            </w:r>
            <w:r w:rsidR="00757A6E">
              <w:rPr>
                <w:color w:val="000000" w:themeColor="text1"/>
                <w:sz w:val="24"/>
                <w:szCs w:val="24"/>
                <w:lang w:eastAsia="lv-LV"/>
              </w:rPr>
              <w:t>i</w:t>
            </w:r>
            <w:r w:rsidR="003B1F18">
              <w:rPr>
                <w:color w:val="000000" w:themeColor="text1"/>
                <w:sz w:val="24"/>
                <w:szCs w:val="24"/>
                <w:lang w:eastAsia="lv-LV"/>
              </w:rPr>
              <w:t>.</w:t>
            </w:r>
            <w:r w:rsidR="00757A6E">
              <w:rPr>
                <w:color w:val="000000" w:themeColor="text1"/>
                <w:sz w:val="24"/>
                <w:szCs w:val="24"/>
                <w:lang w:eastAsia="lv-LV"/>
              </w:rPr>
              <w:t xml:space="preserve"> </w:t>
            </w:r>
            <w:r w:rsidR="003B1F18">
              <w:rPr>
                <w:color w:val="000000" w:themeColor="text1"/>
                <w:sz w:val="24"/>
                <w:szCs w:val="24"/>
                <w:lang w:eastAsia="lv-LV"/>
              </w:rPr>
              <w:t>N</w:t>
            </w:r>
            <w:r w:rsidR="004F3BD8" w:rsidRPr="00507D85">
              <w:rPr>
                <w:color w:val="000000" w:themeColor="text1"/>
                <w:sz w:val="24"/>
                <w:szCs w:val="24"/>
                <w:lang w:eastAsia="lv-LV"/>
              </w:rPr>
              <w:t>oteikumu projekts pa</w:t>
            </w:r>
            <w:r w:rsidR="00C97923" w:rsidRPr="00507D85">
              <w:rPr>
                <w:color w:val="000000" w:themeColor="text1"/>
                <w:sz w:val="24"/>
                <w:szCs w:val="24"/>
                <w:lang w:eastAsia="lv-LV"/>
              </w:rPr>
              <w:t>redz</w:t>
            </w:r>
            <w:r w:rsidR="004F3BD8" w:rsidRPr="00507D85">
              <w:rPr>
                <w:color w:val="000000" w:themeColor="text1"/>
                <w:sz w:val="24"/>
                <w:szCs w:val="24"/>
                <w:lang w:eastAsia="lv-LV"/>
              </w:rPr>
              <w:t xml:space="preserve"> </w:t>
            </w:r>
            <w:r w:rsidR="007A4D24">
              <w:rPr>
                <w:color w:val="000000" w:themeColor="text1"/>
                <w:sz w:val="24"/>
                <w:szCs w:val="24"/>
                <w:lang w:eastAsia="lv-LV"/>
              </w:rPr>
              <w:t xml:space="preserve">pienākumu katram praktizējošam veterinārārsta, kas strādā veterinārmedicīniskās prakses iestādē, </w:t>
            </w:r>
            <w:r w:rsidR="004F3BD8" w:rsidRPr="00507D85">
              <w:rPr>
                <w:color w:val="000000" w:themeColor="text1"/>
                <w:sz w:val="24"/>
                <w:szCs w:val="24"/>
                <w:lang w:eastAsia="lv-LV"/>
              </w:rPr>
              <w:t>īpašās receptes trešo</w:t>
            </w:r>
            <w:r w:rsidR="00757A6E" w:rsidRPr="00507D85">
              <w:rPr>
                <w:color w:val="000000" w:themeColor="text1"/>
                <w:sz w:val="24"/>
                <w:szCs w:val="24"/>
                <w:lang w:eastAsia="lv-LV"/>
              </w:rPr>
              <w:t xml:space="preserve"> </w:t>
            </w:r>
            <w:r w:rsidR="004F3BD8" w:rsidRPr="00507D85">
              <w:rPr>
                <w:color w:val="000000" w:themeColor="text1"/>
                <w:sz w:val="24"/>
                <w:szCs w:val="24"/>
                <w:lang w:eastAsia="lv-LV"/>
              </w:rPr>
              <w:t>eksemplāru nodo</w:t>
            </w:r>
            <w:r w:rsidR="007A4D24">
              <w:rPr>
                <w:color w:val="000000" w:themeColor="text1"/>
                <w:sz w:val="24"/>
                <w:szCs w:val="24"/>
                <w:lang w:eastAsia="lv-LV"/>
              </w:rPr>
              <w:t>t</w:t>
            </w:r>
            <w:r w:rsidR="004F3BD8" w:rsidRPr="00507D85">
              <w:rPr>
                <w:color w:val="000000" w:themeColor="text1"/>
                <w:sz w:val="24"/>
                <w:szCs w:val="24"/>
                <w:lang w:eastAsia="lv-LV"/>
              </w:rPr>
              <w:t xml:space="preserve"> uzglabāšan</w:t>
            </w:r>
            <w:r w:rsidR="007A4D24">
              <w:rPr>
                <w:color w:val="000000" w:themeColor="text1"/>
                <w:sz w:val="24"/>
                <w:szCs w:val="24"/>
                <w:lang w:eastAsia="lv-LV"/>
              </w:rPr>
              <w:t>ā</w:t>
            </w:r>
            <w:r w:rsidR="00C049E5" w:rsidRPr="00507D85">
              <w:rPr>
                <w:color w:val="000000" w:themeColor="text1"/>
                <w:sz w:val="24"/>
                <w:szCs w:val="24"/>
                <w:lang w:eastAsia="lv-LV"/>
              </w:rPr>
              <w:t xml:space="preserve"> </w:t>
            </w:r>
            <w:r w:rsidR="003B1F18">
              <w:rPr>
                <w:color w:val="000000" w:themeColor="text1"/>
                <w:sz w:val="24"/>
                <w:szCs w:val="24"/>
                <w:lang w:eastAsia="lv-LV"/>
              </w:rPr>
              <w:t xml:space="preserve">veterinārmedicīniskās prakses </w:t>
            </w:r>
            <w:r w:rsidR="00507D85" w:rsidRPr="00507D85">
              <w:rPr>
                <w:color w:val="000000" w:themeColor="text1"/>
                <w:sz w:val="24"/>
                <w:szCs w:val="24"/>
                <w:lang w:eastAsia="lv-LV"/>
              </w:rPr>
              <w:t>iestādei</w:t>
            </w:r>
            <w:r w:rsidR="00420A16" w:rsidRPr="00507D85">
              <w:rPr>
                <w:color w:val="000000" w:themeColor="text1"/>
                <w:sz w:val="24"/>
                <w:szCs w:val="24"/>
                <w:lang w:eastAsia="lv-LV"/>
              </w:rPr>
              <w:t xml:space="preserve"> </w:t>
            </w:r>
            <w:r w:rsidR="00C049E5" w:rsidRPr="00507D85">
              <w:rPr>
                <w:color w:val="000000" w:themeColor="text1"/>
                <w:sz w:val="24"/>
                <w:szCs w:val="24"/>
                <w:lang w:eastAsia="lv-LV"/>
              </w:rPr>
              <w:t>(</w:t>
            </w:r>
            <w:r w:rsidR="002729C5">
              <w:rPr>
                <w:color w:val="000000" w:themeColor="text1"/>
                <w:sz w:val="24"/>
                <w:szCs w:val="24"/>
                <w:lang w:eastAsia="lv-LV"/>
              </w:rPr>
              <w:t>1</w:t>
            </w:r>
            <w:r w:rsidR="005E4CFF">
              <w:rPr>
                <w:color w:val="000000" w:themeColor="text1"/>
                <w:sz w:val="24"/>
                <w:szCs w:val="24"/>
                <w:lang w:eastAsia="lv-LV"/>
              </w:rPr>
              <w:t>4</w:t>
            </w:r>
            <w:r w:rsidR="00C049E5" w:rsidRPr="00507D85">
              <w:rPr>
                <w:color w:val="000000" w:themeColor="text1"/>
                <w:sz w:val="24"/>
                <w:szCs w:val="24"/>
                <w:lang w:eastAsia="lv-LV"/>
              </w:rPr>
              <w:t>.</w:t>
            </w:r>
            <w:r w:rsidR="00096982">
              <w:rPr>
                <w:color w:val="000000" w:themeColor="text1"/>
                <w:sz w:val="24"/>
                <w:szCs w:val="24"/>
                <w:lang w:eastAsia="lv-LV"/>
              </w:rPr>
              <w:t xml:space="preserve"> </w:t>
            </w:r>
            <w:r w:rsidR="00C049E5" w:rsidRPr="00507D85">
              <w:rPr>
                <w:color w:val="000000" w:themeColor="text1"/>
                <w:sz w:val="24"/>
                <w:szCs w:val="24"/>
                <w:lang w:eastAsia="lv-LV"/>
              </w:rPr>
              <w:t>punkts);</w:t>
            </w:r>
          </w:p>
          <w:p w14:paraId="7D09B938" w14:textId="23B370D0" w:rsidR="00FF2493" w:rsidRDefault="007817F2" w:rsidP="00EB3DFF">
            <w:pPr>
              <w:pStyle w:val="Komentrateksts"/>
              <w:jc w:val="both"/>
              <w:rPr>
                <w:color w:val="000000" w:themeColor="text1"/>
                <w:sz w:val="24"/>
                <w:szCs w:val="24"/>
                <w:lang w:eastAsia="lv-LV"/>
              </w:rPr>
            </w:pPr>
            <w:r>
              <w:rPr>
                <w:color w:val="000000" w:themeColor="text1"/>
                <w:sz w:val="24"/>
                <w:szCs w:val="24"/>
                <w:lang w:eastAsia="lv-LV"/>
              </w:rPr>
              <w:t>9</w:t>
            </w:r>
            <w:r w:rsidR="00071E77">
              <w:rPr>
                <w:color w:val="000000" w:themeColor="text1"/>
                <w:sz w:val="24"/>
                <w:szCs w:val="24"/>
                <w:lang w:eastAsia="lv-LV"/>
              </w:rPr>
              <w:t xml:space="preserve">) </w:t>
            </w:r>
            <w:r w:rsidR="003B7D93">
              <w:rPr>
                <w:color w:val="000000" w:themeColor="text1"/>
                <w:sz w:val="24"/>
                <w:szCs w:val="24"/>
                <w:lang w:eastAsia="lv-LV"/>
              </w:rPr>
              <w:t xml:space="preserve">nodrošinātu vienotu izpratni par </w:t>
            </w:r>
            <w:r w:rsidR="00071E77">
              <w:rPr>
                <w:color w:val="000000" w:themeColor="text1"/>
                <w:sz w:val="24"/>
                <w:szCs w:val="24"/>
                <w:lang w:eastAsia="lv-LV"/>
              </w:rPr>
              <w:t xml:space="preserve">noteikumu projektā </w:t>
            </w:r>
            <w:r w:rsidR="00096982">
              <w:rPr>
                <w:color w:val="000000" w:themeColor="text1"/>
                <w:sz w:val="24"/>
                <w:szCs w:val="24"/>
                <w:lang w:eastAsia="lv-LV"/>
              </w:rPr>
              <w:t>ietverta</w:t>
            </w:r>
            <w:r w:rsidR="005757AE">
              <w:rPr>
                <w:color w:val="000000" w:themeColor="text1"/>
                <w:sz w:val="24"/>
                <w:szCs w:val="24"/>
                <w:lang w:eastAsia="lv-LV"/>
              </w:rPr>
              <w:t>jiem</w:t>
            </w:r>
            <w:r w:rsidR="00096982">
              <w:rPr>
                <w:color w:val="000000" w:themeColor="text1"/>
                <w:sz w:val="24"/>
                <w:szCs w:val="24"/>
                <w:lang w:eastAsia="lv-LV"/>
              </w:rPr>
              <w:t xml:space="preserve"> </w:t>
            </w:r>
            <w:r w:rsidR="00071E77">
              <w:rPr>
                <w:color w:val="000000" w:themeColor="text1"/>
                <w:sz w:val="24"/>
                <w:szCs w:val="24"/>
                <w:lang w:eastAsia="lv-LV"/>
              </w:rPr>
              <w:t>termin</w:t>
            </w:r>
            <w:r w:rsidR="005757AE">
              <w:rPr>
                <w:color w:val="000000" w:themeColor="text1"/>
                <w:sz w:val="24"/>
                <w:szCs w:val="24"/>
                <w:lang w:eastAsia="lv-LV"/>
              </w:rPr>
              <w:t xml:space="preserve">iem, tajā </w:t>
            </w:r>
            <w:r w:rsidR="00731E0F">
              <w:rPr>
                <w:color w:val="000000" w:themeColor="text1"/>
                <w:sz w:val="24"/>
                <w:szCs w:val="24"/>
                <w:lang w:eastAsia="lv-LV"/>
              </w:rPr>
              <w:t xml:space="preserve">sniegta </w:t>
            </w:r>
            <w:r w:rsidR="00071E77">
              <w:rPr>
                <w:color w:val="000000" w:themeColor="text1"/>
                <w:sz w:val="24"/>
                <w:szCs w:val="24"/>
                <w:lang w:eastAsia="lv-LV"/>
              </w:rPr>
              <w:t>nederīgās īpaš</w:t>
            </w:r>
            <w:r w:rsidR="00335F0B">
              <w:rPr>
                <w:color w:val="000000" w:themeColor="text1"/>
                <w:sz w:val="24"/>
                <w:szCs w:val="24"/>
                <w:lang w:eastAsia="lv-LV"/>
              </w:rPr>
              <w:t>ās</w:t>
            </w:r>
            <w:r w:rsidR="00071E77">
              <w:rPr>
                <w:color w:val="000000" w:themeColor="text1"/>
                <w:sz w:val="24"/>
                <w:szCs w:val="24"/>
                <w:lang w:eastAsia="lv-LV"/>
              </w:rPr>
              <w:t xml:space="preserve"> recep</w:t>
            </w:r>
            <w:r w:rsidR="00335F0B">
              <w:rPr>
                <w:color w:val="000000" w:themeColor="text1"/>
                <w:sz w:val="24"/>
                <w:szCs w:val="24"/>
                <w:lang w:eastAsia="lv-LV"/>
              </w:rPr>
              <w:t>tes</w:t>
            </w:r>
            <w:r w:rsidR="00071E77">
              <w:rPr>
                <w:color w:val="000000" w:themeColor="text1"/>
                <w:sz w:val="24"/>
                <w:szCs w:val="24"/>
                <w:lang w:eastAsia="lv-LV"/>
              </w:rPr>
              <w:t xml:space="preserve"> veidlap</w:t>
            </w:r>
            <w:r w:rsidR="00731E0F">
              <w:rPr>
                <w:color w:val="000000" w:themeColor="text1"/>
                <w:sz w:val="24"/>
                <w:szCs w:val="24"/>
                <w:lang w:eastAsia="lv-LV"/>
              </w:rPr>
              <w:t>as definīcija</w:t>
            </w:r>
            <w:r w:rsidR="00071E77">
              <w:rPr>
                <w:color w:val="000000" w:themeColor="text1"/>
                <w:sz w:val="24"/>
                <w:szCs w:val="24"/>
                <w:lang w:eastAsia="lv-LV"/>
              </w:rPr>
              <w:t xml:space="preserve">, kā arī precizēta informācija, kas </w:t>
            </w:r>
            <w:r w:rsidR="00EE7E53">
              <w:rPr>
                <w:color w:val="000000" w:themeColor="text1"/>
                <w:sz w:val="24"/>
                <w:szCs w:val="24"/>
                <w:lang w:eastAsia="lv-LV"/>
              </w:rPr>
              <w:t>dienestam</w:t>
            </w:r>
            <w:r w:rsidR="00096982">
              <w:rPr>
                <w:color w:val="000000" w:themeColor="text1"/>
                <w:sz w:val="24"/>
                <w:szCs w:val="24"/>
                <w:lang w:eastAsia="lv-LV"/>
              </w:rPr>
              <w:t xml:space="preserve">, </w:t>
            </w:r>
            <w:r w:rsidR="005757AE">
              <w:rPr>
                <w:color w:val="000000" w:themeColor="text1"/>
                <w:sz w:val="24"/>
                <w:szCs w:val="24"/>
                <w:lang w:eastAsia="lv-LV"/>
              </w:rPr>
              <w:t xml:space="preserve">saņemot iznīcināšanai nederīgās </w:t>
            </w:r>
            <w:r w:rsidR="00096982">
              <w:rPr>
                <w:color w:val="000000" w:themeColor="text1"/>
                <w:sz w:val="24"/>
                <w:szCs w:val="24"/>
                <w:lang w:eastAsia="lv-LV"/>
              </w:rPr>
              <w:t xml:space="preserve">īpašās receptes veidlapas, </w:t>
            </w:r>
            <w:r w:rsidR="00071E77">
              <w:rPr>
                <w:color w:val="000000" w:themeColor="text1"/>
                <w:sz w:val="24"/>
                <w:szCs w:val="24"/>
                <w:lang w:eastAsia="lv-LV"/>
              </w:rPr>
              <w:t xml:space="preserve">jānorāda </w:t>
            </w:r>
            <w:r w:rsidR="00096982">
              <w:rPr>
                <w:color w:val="000000" w:themeColor="text1"/>
                <w:sz w:val="24"/>
                <w:szCs w:val="24"/>
                <w:lang w:eastAsia="lv-LV"/>
              </w:rPr>
              <w:t xml:space="preserve">nodošanas un </w:t>
            </w:r>
            <w:r w:rsidR="00EE7E53">
              <w:rPr>
                <w:color w:val="000000" w:themeColor="text1"/>
                <w:sz w:val="24"/>
                <w:szCs w:val="24"/>
                <w:lang w:eastAsia="lv-LV"/>
              </w:rPr>
              <w:t>pieņemšanas</w:t>
            </w:r>
            <w:r w:rsidR="00071E77">
              <w:rPr>
                <w:color w:val="000000" w:themeColor="text1"/>
                <w:sz w:val="24"/>
                <w:szCs w:val="24"/>
                <w:lang w:eastAsia="lv-LV"/>
              </w:rPr>
              <w:t xml:space="preserve"> aktā. Noteikumu projekts paredz sa</w:t>
            </w:r>
            <w:r w:rsidR="00096982">
              <w:rPr>
                <w:color w:val="000000" w:themeColor="text1"/>
                <w:sz w:val="24"/>
                <w:szCs w:val="24"/>
                <w:lang w:eastAsia="lv-LV"/>
              </w:rPr>
              <w:t>īs</w:t>
            </w:r>
            <w:r w:rsidR="00071E77">
              <w:rPr>
                <w:color w:val="000000" w:themeColor="text1"/>
                <w:sz w:val="24"/>
                <w:szCs w:val="24"/>
                <w:lang w:eastAsia="lv-LV"/>
              </w:rPr>
              <w:t xml:space="preserve">ināt nodošanas </w:t>
            </w:r>
            <w:r w:rsidR="00096982">
              <w:rPr>
                <w:color w:val="000000" w:themeColor="text1"/>
                <w:sz w:val="24"/>
                <w:szCs w:val="24"/>
                <w:lang w:eastAsia="lv-LV"/>
              </w:rPr>
              <w:t xml:space="preserve">un pieņemšanas </w:t>
            </w:r>
            <w:r w:rsidR="00071E77">
              <w:rPr>
                <w:color w:val="000000" w:themeColor="text1"/>
                <w:sz w:val="24"/>
                <w:szCs w:val="24"/>
                <w:lang w:eastAsia="lv-LV"/>
              </w:rPr>
              <w:t>akta uzglabāšanas laik</w:t>
            </w:r>
            <w:r w:rsidR="001514DF">
              <w:rPr>
                <w:color w:val="000000" w:themeColor="text1"/>
                <w:sz w:val="24"/>
                <w:szCs w:val="24"/>
                <w:lang w:eastAsia="lv-LV"/>
              </w:rPr>
              <w:t>u</w:t>
            </w:r>
            <w:r w:rsidR="00071E77">
              <w:rPr>
                <w:color w:val="000000" w:themeColor="text1"/>
                <w:sz w:val="24"/>
                <w:szCs w:val="24"/>
                <w:lang w:eastAsia="lv-LV"/>
              </w:rPr>
              <w:t xml:space="preserve"> veterinārmedicīniskās prakses iestādē no pieciem </w:t>
            </w:r>
            <w:r w:rsidR="00096982">
              <w:rPr>
                <w:color w:val="000000" w:themeColor="text1"/>
                <w:sz w:val="24"/>
                <w:szCs w:val="24"/>
                <w:lang w:eastAsia="lv-LV"/>
              </w:rPr>
              <w:t>līdz</w:t>
            </w:r>
            <w:r w:rsidR="00071E77">
              <w:rPr>
                <w:color w:val="000000" w:themeColor="text1"/>
                <w:sz w:val="24"/>
                <w:szCs w:val="24"/>
                <w:lang w:eastAsia="lv-LV"/>
              </w:rPr>
              <w:t xml:space="preserve"> trīs gadiem</w:t>
            </w:r>
            <w:r w:rsidR="00C20E5A">
              <w:rPr>
                <w:color w:val="000000" w:themeColor="text1"/>
                <w:sz w:val="24"/>
                <w:szCs w:val="24"/>
                <w:lang w:eastAsia="lv-LV"/>
              </w:rPr>
              <w:t xml:space="preserve">. </w:t>
            </w:r>
            <w:r w:rsidR="00420A16">
              <w:rPr>
                <w:color w:val="000000" w:themeColor="text1"/>
                <w:sz w:val="24"/>
                <w:szCs w:val="24"/>
                <w:lang w:eastAsia="lv-LV"/>
              </w:rPr>
              <w:t xml:space="preserve">Trīs gadu uzglabāšanas termiņš </w:t>
            </w:r>
            <w:r w:rsidR="00096982">
              <w:rPr>
                <w:color w:val="000000" w:themeColor="text1"/>
                <w:sz w:val="24"/>
                <w:szCs w:val="24"/>
                <w:lang w:eastAsia="lv-LV"/>
              </w:rPr>
              <w:t>izvēlēts tāpēc</w:t>
            </w:r>
            <w:r w:rsidR="00420A16">
              <w:rPr>
                <w:color w:val="000000" w:themeColor="text1"/>
                <w:sz w:val="24"/>
                <w:szCs w:val="24"/>
                <w:lang w:eastAsia="lv-LV"/>
              </w:rPr>
              <w:t xml:space="preserve">, ka dienests, pamatojoties uz riska pārvaldības sistēmu, uzraudzību un kontroli veterinārmedicīniskās prakses iestādē veic </w:t>
            </w:r>
            <w:r w:rsidR="00335F0B">
              <w:rPr>
                <w:color w:val="000000" w:themeColor="text1"/>
                <w:sz w:val="24"/>
                <w:szCs w:val="24"/>
                <w:lang w:eastAsia="lv-LV"/>
              </w:rPr>
              <w:t xml:space="preserve">aptuveni </w:t>
            </w:r>
            <w:r w:rsidR="00420A16">
              <w:rPr>
                <w:color w:val="000000" w:themeColor="text1"/>
                <w:sz w:val="24"/>
                <w:szCs w:val="24"/>
                <w:lang w:eastAsia="lv-LV"/>
              </w:rPr>
              <w:t>reizi trijos gados</w:t>
            </w:r>
            <w:r w:rsidR="009A5482">
              <w:rPr>
                <w:color w:val="000000" w:themeColor="text1"/>
                <w:sz w:val="24"/>
                <w:szCs w:val="24"/>
                <w:lang w:eastAsia="lv-LV"/>
              </w:rPr>
              <w:t>. Pārbaudē dienest</w:t>
            </w:r>
            <w:r w:rsidR="00430A14">
              <w:rPr>
                <w:color w:val="000000" w:themeColor="text1"/>
                <w:sz w:val="24"/>
                <w:szCs w:val="24"/>
                <w:lang w:eastAsia="lv-LV"/>
              </w:rPr>
              <w:t>s</w:t>
            </w:r>
            <w:r w:rsidR="009A5482">
              <w:rPr>
                <w:color w:val="000000" w:themeColor="text1"/>
                <w:sz w:val="24"/>
                <w:szCs w:val="24"/>
                <w:lang w:eastAsia="lv-LV"/>
              </w:rPr>
              <w:t xml:space="preserve"> pārliecinās ne tikai par II un III saraksta </w:t>
            </w:r>
            <w:r w:rsidR="008F59B1">
              <w:rPr>
                <w:color w:val="000000" w:themeColor="text1"/>
                <w:sz w:val="24"/>
                <w:szCs w:val="24"/>
                <w:lang w:eastAsia="lv-LV"/>
              </w:rPr>
              <w:t xml:space="preserve">vielu un </w:t>
            </w:r>
            <w:r w:rsidR="009A5482">
              <w:rPr>
                <w:color w:val="000000" w:themeColor="text1"/>
                <w:sz w:val="24"/>
                <w:szCs w:val="24"/>
                <w:lang w:eastAsia="lv-LV"/>
              </w:rPr>
              <w:t xml:space="preserve">zāļu aprites izsekojamību, telpu un aprīkojuma un personāla </w:t>
            </w:r>
            <w:r w:rsidR="009A5482" w:rsidRPr="005E4CFF">
              <w:rPr>
                <w:color w:val="000000" w:themeColor="text1"/>
                <w:sz w:val="24"/>
                <w:szCs w:val="24"/>
                <w:lang w:eastAsia="lv-LV"/>
              </w:rPr>
              <w:t xml:space="preserve">atbilstību normatīvo aktu prasībām, bet arī pārbauda un salīdzina īpašo recepšu aprites </w:t>
            </w:r>
            <w:r w:rsidR="009A5482" w:rsidRPr="005E4CFF">
              <w:rPr>
                <w:color w:val="000000" w:themeColor="text1"/>
                <w:sz w:val="24"/>
                <w:szCs w:val="24"/>
                <w:lang w:eastAsia="lv-LV"/>
              </w:rPr>
              <w:lastRenderedPageBreak/>
              <w:t>informāciju un to izsekojamību. Pēc dienesta pārbaudes</w:t>
            </w:r>
            <w:r w:rsidR="00096982" w:rsidRPr="005E4CFF">
              <w:rPr>
                <w:color w:val="000000" w:themeColor="text1"/>
                <w:sz w:val="24"/>
                <w:szCs w:val="24"/>
                <w:lang w:eastAsia="lv-LV"/>
              </w:rPr>
              <w:t xml:space="preserve"> iestāde var iznīcināt </w:t>
            </w:r>
            <w:r w:rsidR="009A5482" w:rsidRPr="005E4CFF">
              <w:rPr>
                <w:color w:val="000000" w:themeColor="text1"/>
                <w:sz w:val="24"/>
                <w:szCs w:val="24"/>
                <w:lang w:eastAsia="lv-LV"/>
              </w:rPr>
              <w:t xml:space="preserve">salīdzināto un pārbaudīto informāciju par īpašo recepšu apriti. </w:t>
            </w:r>
            <w:r w:rsidR="00C20E5A" w:rsidRPr="005E4CFF">
              <w:rPr>
                <w:color w:val="000000" w:themeColor="text1"/>
                <w:sz w:val="24"/>
                <w:szCs w:val="24"/>
                <w:lang w:eastAsia="lv-LV"/>
              </w:rPr>
              <w:t xml:space="preserve">Tāpat </w:t>
            </w:r>
            <w:r w:rsidR="00C20E5A" w:rsidRPr="005E4CFF">
              <w:rPr>
                <w:color w:val="000000" w:themeColor="text1"/>
                <w:sz w:val="24"/>
                <w:szCs w:val="24"/>
              </w:rPr>
              <w:t xml:space="preserve">noteikumu projekts </w:t>
            </w:r>
            <w:r w:rsidR="00095C8A" w:rsidRPr="005E4CFF">
              <w:rPr>
                <w:color w:val="000000" w:themeColor="text1"/>
                <w:sz w:val="24"/>
                <w:szCs w:val="24"/>
              </w:rPr>
              <w:t>precizē</w:t>
            </w:r>
            <w:r w:rsidR="00C20E5A" w:rsidRPr="005E4CFF">
              <w:rPr>
                <w:color w:val="000000" w:themeColor="text1"/>
                <w:sz w:val="24"/>
                <w:szCs w:val="24"/>
              </w:rPr>
              <w:t xml:space="preserve"> termiņu (</w:t>
            </w:r>
            <w:r w:rsidR="00EE7E53" w:rsidRPr="005E4CFF">
              <w:rPr>
                <w:color w:val="000000" w:themeColor="text1"/>
                <w:sz w:val="24"/>
                <w:szCs w:val="24"/>
              </w:rPr>
              <w:t>ne retāk kā reizi trijos gados</w:t>
            </w:r>
            <w:r w:rsidR="00C20E5A" w:rsidRPr="005E4CFF">
              <w:rPr>
                <w:color w:val="000000" w:themeColor="text1"/>
                <w:sz w:val="24"/>
                <w:szCs w:val="24"/>
              </w:rPr>
              <w:t xml:space="preserve">), kādā veterinārmedicīniskās prakses iestādei </w:t>
            </w:r>
            <w:r w:rsidR="00096982" w:rsidRPr="005E4CFF">
              <w:rPr>
                <w:color w:val="000000" w:themeColor="text1"/>
                <w:sz w:val="24"/>
                <w:szCs w:val="24"/>
              </w:rPr>
              <w:t xml:space="preserve">dienestā </w:t>
            </w:r>
            <w:r w:rsidR="00C20E5A" w:rsidRPr="005E4CFF">
              <w:rPr>
                <w:color w:val="000000" w:themeColor="text1"/>
                <w:sz w:val="24"/>
                <w:szCs w:val="24"/>
              </w:rPr>
              <w:t xml:space="preserve">jānodod </w:t>
            </w:r>
            <w:r w:rsidR="00096982" w:rsidRPr="005E4CFF">
              <w:rPr>
                <w:color w:val="000000" w:themeColor="text1"/>
                <w:sz w:val="24"/>
                <w:szCs w:val="24"/>
              </w:rPr>
              <w:t xml:space="preserve">iznīcināšanai </w:t>
            </w:r>
            <w:r w:rsidR="00C20E5A" w:rsidRPr="005E4CFF">
              <w:rPr>
                <w:color w:val="000000" w:themeColor="text1"/>
                <w:sz w:val="24"/>
                <w:szCs w:val="24"/>
              </w:rPr>
              <w:t xml:space="preserve">nederīgās </w:t>
            </w:r>
            <w:r w:rsidR="007A4A8F" w:rsidRPr="005E4CFF">
              <w:rPr>
                <w:color w:val="000000" w:themeColor="text1"/>
                <w:sz w:val="24"/>
                <w:szCs w:val="24"/>
              </w:rPr>
              <w:t xml:space="preserve">īpašās receptes </w:t>
            </w:r>
            <w:r w:rsidR="00C20E5A" w:rsidRPr="005E4CFF">
              <w:rPr>
                <w:color w:val="000000" w:themeColor="text1"/>
                <w:sz w:val="24"/>
                <w:szCs w:val="24"/>
              </w:rPr>
              <w:t>veidlapas, tā nodrošinot</w:t>
            </w:r>
            <w:r w:rsidR="00D5166D" w:rsidRPr="005E4CFF">
              <w:rPr>
                <w:color w:val="000000" w:themeColor="text1"/>
                <w:sz w:val="24"/>
                <w:szCs w:val="24"/>
              </w:rPr>
              <w:t xml:space="preserve"> vienot</w:t>
            </w:r>
            <w:r w:rsidR="0019623F" w:rsidRPr="005E4CFF">
              <w:rPr>
                <w:color w:val="000000" w:themeColor="text1"/>
                <w:sz w:val="24"/>
                <w:szCs w:val="24"/>
              </w:rPr>
              <w:t>u</w:t>
            </w:r>
            <w:r w:rsidR="00D5166D" w:rsidRPr="005E4CFF">
              <w:rPr>
                <w:color w:val="000000" w:themeColor="text1"/>
                <w:sz w:val="24"/>
                <w:szCs w:val="24"/>
              </w:rPr>
              <w:t xml:space="preserve"> normatīvā akta piemērošan</w:t>
            </w:r>
            <w:r w:rsidR="0019623F" w:rsidRPr="005E4CFF">
              <w:rPr>
                <w:color w:val="000000" w:themeColor="text1"/>
                <w:sz w:val="24"/>
                <w:szCs w:val="24"/>
              </w:rPr>
              <w:t>u</w:t>
            </w:r>
            <w:r w:rsidR="00D5166D" w:rsidRPr="005E4CFF">
              <w:rPr>
                <w:color w:val="000000" w:themeColor="text1"/>
                <w:sz w:val="24"/>
                <w:szCs w:val="24"/>
              </w:rPr>
              <w:t xml:space="preserve"> visām vet</w:t>
            </w:r>
            <w:r w:rsidR="00D66F8B" w:rsidRPr="005E4CFF">
              <w:rPr>
                <w:color w:val="000000" w:themeColor="text1"/>
                <w:sz w:val="24"/>
                <w:szCs w:val="24"/>
              </w:rPr>
              <w:t>erinār</w:t>
            </w:r>
            <w:r w:rsidR="00D5166D" w:rsidRPr="005E4CFF">
              <w:rPr>
                <w:color w:val="000000" w:themeColor="text1"/>
                <w:sz w:val="24"/>
                <w:szCs w:val="24"/>
              </w:rPr>
              <w:t>med</w:t>
            </w:r>
            <w:r w:rsidR="00D66F8B" w:rsidRPr="005E4CFF">
              <w:rPr>
                <w:color w:val="000000" w:themeColor="text1"/>
                <w:sz w:val="24"/>
                <w:szCs w:val="24"/>
              </w:rPr>
              <w:t>icīniskās prakses</w:t>
            </w:r>
            <w:r w:rsidR="00D5166D" w:rsidRPr="005E4CFF">
              <w:rPr>
                <w:color w:val="000000" w:themeColor="text1"/>
                <w:sz w:val="24"/>
                <w:szCs w:val="24"/>
              </w:rPr>
              <w:t xml:space="preserve"> iestādēm, kā arī</w:t>
            </w:r>
            <w:r w:rsidR="00096982" w:rsidRPr="005E4CFF">
              <w:rPr>
                <w:color w:val="000000" w:themeColor="text1"/>
                <w:sz w:val="24"/>
                <w:szCs w:val="24"/>
              </w:rPr>
              <w:t xml:space="preserve"> dienestam </w:t>
            </w:r>
            <w:r w:rsidR="00D5166D" w:rsidRPr="002952E6">
              <w:rPr>
                <w:color w:val="000000" w:themeColor="text1"/>
                <w:sz w:val="24"/>
                <w:szCs w:val="24"/>
              </w:rPr>
              <w:t xml:space="preserve">atvieglojot īpašo recepšu izsekojamību un uzraudzību </w:t>
            </w:r>
            <w:r w:rsidR="00071E77" w:rsidRPr="002952E6">
              <w:rPr>
                <w:color w:val="000000" w:themeColor="text1"/>
                <w:sz w:val="24"/>
                <w:szCs w:val="24"/>
                <w:lang w:eastAsia="lv-LV"/>
              </w:rPr>
              <w:t>(1</w:t>
            </w:r>
            <w:r w:rsidR="005E4CFF" w:rsidRPr="002952E6">
              <w:rPr>
                <w:color w:val="000000" w:themeColor="text1"/>
                <w:sz w:val="24"/>
                <w:szCs w:val="24"/>
                <w:lang w:eastAsia="lv-LV"/>
              </w:rPr>
              <w:t>5</w:t>
            </w:r>
            <w:r w:rsidR="00071E77" w:rsidRPr="002952E6">
              <w:rPr>
                <w:color w:val="000000" w:themeColor="text1"/>
                <w:sz w:val="24"/>
                <w:szCs w:val="24"/>
                <w:lang w:eastAsia="lv-LV"/>
              </w:rPr>
              <w:t>.2.</w:t>
            </w:r>
            <w:r w:rsidR="008B2357" w:rsidRPr="002952E6">
              <w:rPr>
                <w:color w:val="000000" w:themeColor="text1"/>
                <w:sz w:val="24"/>
                <w:szCs w:val="24"/>
                <w:lang w:eastAsia="lv-LV"/>
              </w:rPr>
              <w:t> apakšpunkts</w:t>
            </w:r>
            <w:r w:rsidR="00071E77" w:rsidRPr="002952E6">
              <w:rPr>
                <w:color w:val="000000" w:themeColor="text1"/>
                <w:sz w:val="24"/>
                <w:szCs w:val="24"/>
                <w:lang w:eastAsia="lv-LV"/>
              </w:rPr>
              <w:t xml:space="preserve"> un </w:t>
            </w:r>
            <w:r w:rsidR="009778E4" w:rsidRPr="002952E6">
              <w:rPr>
                <w:color w:val="000000" w:themeColor="text1"/>
                <w:sz w:val="24"/>
                <w:szCs w:val="24"/>
                <w:lang w:eastAsia="lv-LV"/>
              </w:rPr>
              <w:t>1</w:t>
            </w:r>
            <w:r w:rsidR="005E4CFF" w:rsidRPr="002952E6">
              <w:rPr>
                <w:color w:val="000000" w:themeColor="text1"/>
                <w:sz w:val="24"/>
                <w:szCs w:val="24"/>
                <w:lang w:eastAsia="lv-LV"/>
              </w:rPr>
              <w:t>8</w:t>
            </w:r>
            <w:r w:rsidR="00071E77" w:rsidRPr="002952E6">
              <w:rPr>
                <w:color w:val="000000" w:themeColor="text1"/>
                <w:sz w:val="24"/>
                <w:szCs w:val="24"/>
                <w:lang w:eastAsia="lv-LV"/>
              </w:rPr>
              <w:t>.</w:t>
            </w:r>
            <w:r w:rsidR="00CA4685">
              <w:rPr>
                <w:color w:val="000000" w:themeColor="text1"/>
                <w:sz w:val="24"/>
                <w:szCs w:val="24"/>
                <w:lang w:eastAsia="lv-LV"/>
              </w:rPr>
              <w:t xml:space="preserve"> </w:t>
            </w:r>
            <w:r w:rsidR="00071E77" w:rsidRPr="002952E6">
              <w:rPr>
                <w:color w:val="000000" w:themeColor="text1"/>
                <w:sz w:val="24"/>
                <w:szCs w:val="24"/>
                <w:lang w:eastAsia="lv-LV"/>
              </w:rPr>
              <w:t>punkts)</w:t>
            </w:r>
            <w:r w:rsidR="00C20E5A" w:rsidRPr="002952E6">
              <w:rPr>
                <w:color w:val="000000" w:themeColor="text1"/>
                <w:sz w:val="24"/>
                <w:szCs w:val="24"/>
                <w:lang w:eastAsia="lv-LV"/>
              </w:rPr>
              <w:t>;</w:t>
            </w:r>
          </w:p>
          <w:p w14:paraId="3EE00CDE" w14:textId="35FB98C8" w:rsidR="00071E77" w:rsidRPr="00C20E5A" w:rsidRDefault="007817F2" w:rsidP="00EB3DFF">
            <w:pPr>
              <w:pStyle w:val="Komentrateksts"/>
              <w:jc w:val="both"/>
              <w:rPr>
                <w:color w:val="000000" w:themeColor="text1"/>
                <w:sz w:val="24"/>
                <w:szCs w:val="24"/>
              </w:rPr>
            </w:pPr>
            <w:r>
              <w:rPr>
                <w:color w:val="000000" w:themeColor="text1"/>
                <w:sz w:val="24"/>
                <w:szCs w:val="24"/>
                <w:lang w:eastAsia="lv-LV"/>
              </w:rPr>
              <w:t>10</w:t>
            </w:r>
            <w:r w:rsidR="00FF2493">
              <w:rPr>
                <w:color w:val="000000" w:themeColor="text1"/>
                <w:sz w:val="24"/>
                <w:szCs w:val="24"/>
                <w:lang w:eastAsia="lv-LV"/>
              </w:rPr>
              <w:t>)</w:t>
            </w:r>
            <w:r w:rsidR="00C049E5">
              <w:rPr>
                <w:color w:val="000000" w:themeColor="text1"/>
                <w:sz w:val="24"/>
                <w:szCs w:val="24"/>
                <w:lang w:eastAsia="lv-LV"/>
              </w:rPr>
              <w:t xml:space="preserve"> </w:t>
            </w:r>
            <w:r w:rsidR="009C3E75">
              <w:rPr>
                <w:color w:val="000000" w:themeColor="text1"/>
                <w:sz w:val="24"/>
                <w:szCs w:val="24"/>
                <w:lang w:eastAsia="lv-LV"/>
              </w:rPr>
              <w:t>atvieglotu iekšējā darba organizāciju un samazinātu administratīvo slogu veterinārmedicīniskās prakses iestādē</w:t>
            </w:r>
            <w:r>
              <w:rPr>
                <w:color w:val="000000" w:themeColor="text1"/>
                <w:sz w:val="24"/>
                <w:szCs w:val="24"/>
                <w:lang w:eastAsia="lv-LV"/>
              </w:rPr>
              <w:t>.</w:t>
            </w:r>
            <w:r w:rsidR="009C3E75">
              <w:rPr>
                <w:color w:val="000000" w:themeColor="text1"/>
                <w:sz w:val="24"/>
                <w:szCs w:val="24"/>
                <w:lang w:eastAsia="lv-LV"/>
              </w:rPr>
              <w:t xml:space="preserve"> </w:t>
            </w:r>
            <w:r>
              <w:rPr>
                <w:color w:val="000000" w:themeColor="text1"/>
                <w:sz w:val="24"/>
                <w:szCs w:val="24"/>
                <w:lang w:eastAsia="lv-LV"/>
              </w:rPr>
              <w:t>N</w:t>
            </w:r>
            <w:r w:rsidR="00FF2493">
              <w:rPr>
                <w:color w:val="000000" w:themeColor="text1"/>
                <w:sz w:val="24"/>
                <w:szCs w:val="24"/>
                <w:lang w:eastAsia="lv-LV"/>
              </w:rPr>
              <w:t>oteikumu projekt</w:t>
            </w:r>
            <w:r w:rsidR="002C64DC">
              <w:rPr>
                <w:color w:val="000000" w:themeColor="text1"/>
                <w:sz w:val="24"/>
                <w:szCs w:val="24"/>
                <w:lang w:eastAsia="lv-LV"/>
              </w:rPr>
              <w:t>ā</w:t>
            </w:r>
            <w:r w:rsidR="00FF2493">
              <w:rPr>
                <w:color w:val="000000" w:themeColor="text1"/>
                <w:sz w:val="24"/>
                <w:szCs w:val="24"/>
                <w:lang w:eastAsia="lv-LV"/>
              </w:rPr>
              <w:t xml:space="preserve"> </w:t>
            </w:r>
            <w:r w:rsidR="002C64DC">
              <w:rPr>
                <w:color w:val="000000" w:themeColor="text1"/>
                <w:sz w:val="24"/>
                <w:szCs w:val="24"/>
                <w:lang w:eastAsia="lv-LV"/>
              </w:rPr>
              <w:t>nav ietverta</w:t>
            </w:r>
            <w:r w:rsidR="009C3E75">
              <w:rPr>
                <w:color w:val="000000" w:themeColor="text1"/>
                <w:sz w:val="24"/>
                <w:szCs w:val="24"/>
                <w:lang w:eastAsia="lv-LV"/>
              </w:rPr>
              <w:t xml:space="preserve"> noteikumu Nr.</w:t>
            </w:r>
            <w:r w:rsidR="00CA4685">
              <w:rPr>
                <w:color w:val="000000" w:themeColor="text1"/>
                <w:sz w:val="24"/>
                <w:szCs w:val="24"/>
                <w:lang w:eastAsia="lv-LV"/>
              </w:rPr>
              <w:t> </w:t>
            </w:r>
            <w:r w:rsidR="009C3E75">
              <w:rPr>
                <w:color w:val="000000" w:themeColor="text1"/>
                <w:sz w:val="24"/>
                <w:szCs w:val="24"/>
                <w:lang w:eastAsia="lv-LV"/>
              </w:rPr>
              <w:t>757</w:t>
            </w:r>
            <w:r w:rsidR="00FF2493">
              <w:rPr>
                <w:color w:val="000000" w:themeColor="text1"/>
                <w:sz w:val="24"/>
                <w:szCs w:val="24"/>
                <w:lang w:eastAsia="lv-LV"/>
              </w:rPr>
              <w:t xml:space="preserve"> prasīb</w:t>
            </w:r>
            <w:r w:rsidR="002C64DC">
              <w:rPr>
                <w:color w:val="000000" w:themeColor="text1"/>
                <w:sz w:val="24"/>
                <w:szCs w:val="24"/>
                <w:lang w:eastAsia="lv-LV"/>
              </w:rPr>
              <w:t>a</w:t>
            </w:r>
            <w:r w:rsidR="00FF2493">
              <w:rPr>
                <w:color w:val="000000" w:themeColor="text1"/>
                <w:sz w:val="24"/>
                <w:szCs w:val="24"/>
                <w:lang w:eastAsia="lv-LV"/>
              </w:rPr>
              <w:t xml:space="preserve"> veterinārmedicīniskās prakses iestādei reizi ceturksnī veikt īpaš</w:t>
            </w:r>
            <w:r w:rsidR="007A4A8F">
              <w:rPr>
                <w:color w:val="000000" w:themeColor="text1"/>
                <w:sz w:val="24"/>
                <w:szCs w:val="24"/>
                <w:lang w:eastAsia="lv-LV"/>
              </w:rPr>
              <w:t>ās</w:t>
            </w:r>
            <w:r w:rsidR="00FF2493">
              <w:rPr>
                <w:color w:val="000000" w:themeColor="text1"/>
                <w:sz w:val="24"/>
                <w:szCs w:val="24"/>
                <w:lang w:eastAsia="lv-LV"/>
              </w:rPr>
              <w:t xml:space="preserve"> recep</w:t>
            </w:r>
            <w:r w:rsidR="007A4A8F">
              <w:rPr>
                <w:color w:val="000000" w:themeColor="text1"/>
                <w:sz w:val="24"/>
                <w:szCs w:val="24"/>
                <w:lang w:eastAsia="lv-LV"/>
              </w:rPr>
              <w:t>tes</w:t>
            </w:r>
            <w:r w:rsidR="00FF2493">
              <w:rPr>
                <w:color w:val="000000" w:themeColor="text1"/>
                <w:sz w:val="24"/>
                <w:szCs w:val="24"/>
                <w:lang w:eastAsia="lv-LV"/>
              </w:rPr>
              <w:t xml:space="preserve"> veidlapu inventarizāciju, kā arī par pārbaudes </w:t>
            </w:r>
            <w:r w:rsidR="00FF2493" w:rsidRPr="003A06DD">
              <w:rPr>
                <w:color w:val="000000" w:themeColor="text1"/>
                <w:sz w:val="24"/>
                <w:szCs w:val="24"/>
                <w:lang w:eastAsia="lv-LV"/>
              </w:rPr>
              <w:t>rezultātiem sa</w:t>
            </w:r>
            <w:r w:rsidR="00EE7E53" w:rsidRPr="003A06DD">
              <w:rPr>
                <w:color w:val="000000" w:themeColor="text1"/>
                <w:sz w:val="24"/>
                <w:szCs w:val="24"/>
                <w:lang w:eastAsia="lv-LV"/>
              </w:rPr>
              <w:t>gatavot</w:t>
            </w:r>
            <w:r w:rsidR="00FF2493" w:rsidRPr="003A06DD">
              <w:rPr>
                <w:color w:val="000000" w:themeColor="text1"/>
                <w:sz w:val="24"/>
                <w:szCs w:val="24"/>
                <w:lang w:eastAsia="lv-LV"/>
              </w:rPr>
              <w:t xml:space="preserve"> inventarizācijas aktu</w:t>
            </w:r>
            <w:r w:rsidR="000F6806" w:rsidRPr="003A06DD">
              <w:rPr>
                <w:color w:val="000000" w:themeColor="text1"/>
                <w:sz w:val="24"/>
                <w:szCs w:val="24"/>
                <w:lang w:eastAsia="lv-LV"/>
              </w:rPr>
              <w:t>. T</w:t>
            </w:r>
            <w:r w:rsidR="009A5482" w:rsidRPr="003A06DD">
              <w:rPr>
                <w:color w:val="000000" w:themeColor="text1"/>
                <w:sz w:val="24"/>
                <w:szCs w:val="24"/>
                <w:lang w:eastAsia="lv-LV"/>
              </w:rPr>
              <w:t>omēr</w:t>
            </w:r>
            <w:r w:rsidR="009C3E75" w:rsidRPr="003A06DD">
              <w:rPr>
                <w:color w:val="000000" w:themeColor="text1"/>
                <w:sz w:val="24"/>
                <w:szCs w:val="24"/>
                <w:lang w:eastAsia="lv-LV"/>
              </w:rPr>
              <w:t xml:space="preserve">, lai </w:t>
            </w:r>
            <w:r w:rsidR="00977A74" w:rsidRPr="003A06DD">
              <w:rPr>
                <w:color w:val="000000" w:themeColor="text1"/>
                <w:sz w:val="24"/>
                <w:szCs w:val="24"/>
                <w:lang w:eastAsia="lv-LV"/>
              </w:rPr>
              <w:t xml:space="preserve">nodrošinātu </w:t>
            </w:r>
            <w:r w:rsidR="00C152C7" w:rsidRPr="003A06DD">
              <w:rPr>
                <w:color w:val="000000" w:themeColor="text1"/>
                <w:sz w:val="24"/>
                <w:szCs w:val="24"/>
                <w:lang w:eastAsia="lv-LV"/>
              </w:rPr>
              <w:t>īpašo recepšu un īpaš</w:t>
            </w:r>
            <w:r w:rsidR="00335F0B" w:rsidRPr="003A06DD">
              <w:rPr>
                <w:color w:val="000000" w:themeColor="text1"/>
                <w:sz w:val="24"/>
                <w:szCs w:val="24"/>
                <w:lang w:eastAsia="lv-LV"/>
              </w:rPr>
              <w:t>ās</w:t>
            </w:r>
            <w:r w:rsidR="00C152C7" w:rsidRPr="003A06DD">
              <w:rPr>
                <w:color w:val="000000" w:themeColor="text1"/>
                <w:sz w:val="24"/>
                <w:szCs w:val="24"/>
                <w:lang w:eastAsia="lv-LV"/>
              </w:rPr>
              <w:t xml:space="preserve"> recep</w:t>
            </w:r>
            <w:r w:rsidR="00335F0B" w:rsidRPr="003A06DD">
              <w:rPr>
                <w:color w:val="000000" w:themeColor="text1"/>
                <w:sz w:val="24"/>
                <w:szCs w:val="24"/>
                <w:lang w:eastAsia="lv-LV"/>
              </w:rPr>
              <w:t>tes</w:t>
            </w:r>
            <w:r w:rsidR="00C152C7" w:rsidRPr="003A06DD">
              <w:rPr>
                <w:color w:val="000000" w:themeColor="text1"/>
                <w:sz w:val="24"/>
                <w:szCs w:val="24"/>
                <w:lang w:eastAsia="lv-LV"/>
              </w:rPr>
              <w:t xml:space="preserve"> veidlapu, kā arī </w:t>
            </w:r>
            <w:r w:rsidR="00977A74" w:rsidRPr="003A06DD">
              <w:rPr>
                <w:color w:val="000000" w:themeColor="text1"/>
                <w:sz w:val="24"/>
                <w:szCs w:val="24"/>
                <w:lang w:eastAsia="lv-LV"/>
              </w:rPr>
              <w:t>II un III saraksta</w:t>
            </w:r>
            <w:r w:rsidR="008F59B1" w:rsidRPr="003A06DD">
              <w:rPr>
                <w:color w:val="000000" w:themeColor="text1"/>
                <w:sz w:val="24"/>
                <w:szCs w:val="24"/>
                <w:lang w:eastAsia="lv-LV"/>
              </w:rPr>
              <w:t xml:space="preserve"> vielu un</w:t>
            </w:r>
            <w:r w:rsidR="00977A74" w:rsidRPr="003A06DD">
              <w:rPr>
                <w:color w:val="000000" w:themeColor="text1"/>
                <w:sz w:val="24"/>
                <w:szCs w:val="24"/>
                <w:lang w:eastAsia="lv-LV"/>
              </w:rPr>
              <w:t xml:space="preserve"> zāļu </w:t>
            </w:r>
            <w:r w:rsidR="00C152C7" w:rsidRPr="003A06DD">
              <w:rPr>
                <w:color w:val="000000" w:themeColor="text1"/>
                <w:sz w:val="24"/>
                <w:szCs w:val="24"/>
                <w:lang w:eastAsia="lv-LV"/>
              </w:rPr>
              <w:t>izsekojamību</w:t>
            </w:r>
            <w:r w:rsidR="00335F0B" w:rsidRPr="003A06DD">
              <w:rPr>
                <w:color w:val="000000" w:themeColor="text1"/>
                <w:sz w:val="24"/>
                <w:szCs w:val="24"/>
                <w:lang w:eastAsia="lv-LV"/>
              </w:rPr>
              <w:t>,</w:t>
            </w:r>
            <w:r w:rsidR="003B1F18" w:rsidRPr="003A06DD">
              <w:rPr>
                <w:color w:val="000000" w:themeColor="text1"/>
                <w:sz w:val="24"/>
                <w:szCs w:val="24"/>
                <w:lang w:eastAsia="lv-LV"/>
              </w:rPr>
              <w:t xml:space="preserve"> </w:t>
            </w:r>
            <w:r w:rsidR="009A5482" w:rsidRPr="003A06DD">
              <w:rPr>
                <w:color w:val="000000" w:themeColor="text1"/>
                <w:sz w:val="24"/>
                <w:szCs w:val="24"/>
                <w:lang w:eastAsia="lv-LV"/>
              </w:rPr>
              <w:t>noteikumu projekts paredz</w:t>
            </w:r>
            <w:r w:rsidR="002C64DC" w:rsidRPr="003A06DD">
              <w:rPr>
                <w:color w:val="000000" w:themeColor="text1"/>
                <w:sz w:val="24"/>
                <w:szCs w:val="24"/>
                <w:lang w:eastAsia="lv-LV"/>
              </w:rPr>
              <w:t>,</w:t>
            </w:r>
            <w:r w:rsidR="002C64DC">
              <w:rPr>
                <w:color w:val="000000" w:themeColor="text1"/>
                <w:sz w:val="24"/>
                <w:szCs w:val="24"/>
                <w:lang w:eastAsia="lv-LV"/>
              </w:rPr>
              <w:t xml:space="preserve"> ka</w:t>
            </w:r>
            <w:r w:rsidR="00C152C7">
              <w:rPr>
                <w:color w:val="000000" w:themeColor="text1"/>
                <w:sz w:val="24"/>
                <w:szCs w:val="24"/>
                <w:lang w:eastAsia="lv-LV"/>
              </w:rPr>
              <w:t xml:space="preserve"> </w:t>
            </w:r>
            <w:r w:rsidR="00C152C7" w:rsidRPr="003A06DD">
              <w:rPr>
                <w:color w:val="000000" w:themeColor="text1"/>
                <w:sz w:val="24"/>
                <w:szCs w:val="24"/>
                <w:lang w:eastAsia="lv-LV"/>
              </w:rPr>
              <w:t>veterinārmedicīniskās prakses iestādes pienākums ir nodrošināt regulāru īpašo recepšu un īpaš</w:t>
            </w:r>
            <w:r w:rsidR="00335F0B" w:rsidRPr="003A06DD">
              <w:rPr>
                <w:color w:val="000000" w:themeColor="text1"/>
                <w:sz w:val="24"/>
                <w:szCs w:val="24"/>
                <w:lang w:eastAsia="lv-LV"/>
              </w:rPr>
              <w:t>ās</w:t>
            </w:r>
            <w:r w:rsidR="00C152C7" w:rsidRPr="003A06DD">
              <w:rPr>
                <w:color w:val="000000" w:themeColor="text1"/>
                <w:sz w:val="24"/>
                <w:szCs w:val="24"/>
                <w:lang w:eastAsia="lv-LV"/>
              </w:rPr>
              <w:t xml:space="preserve"> recep</w:t>
            </w:r>
            <w:r w:rsidR="00335F0B" w:rsidRPr="003A06DD">
              <w:rPr>
                <w:color w:val="000000" w:themeColor="text1"/>
                <w:sz w:val="24"/>
                <w:szCs w:val="24"/>
                <w:lang w:eastAsia="lv-LV"/>
              </w:rPr>
              <w:t>tes</w:t>
            </w:r>
            <w:r w:rsidR="00C152C7" w:rsidRPr="003A06DD">
              <w:rPr>
                <w:color w:val="000000" w:themeColor="text1"/>
                <w:sz w:val="24"/>
                <w:szCs w:val="24"/>
                <w:lang w:eastAsia="lv-LV"/>
              </w:rPr>
              <w:t xml:space="preserve"> veidlapu uzskaiti, saglabājot </w:t>
            </w:r>
            <w:r w:rsidR="005757AE" w:rsidRPr="003A06DD">
              <w:rPr>
                <w:color w:val="000000" w:themeColor="text1"/>
                <w:sz w:val="24"/>
                <w:szCs w:val="24"/>
                <w:lang w:eastAsia="lv-LV"/>
              </w:rPr>
              <w:t xml:space="preserve">visu </w:t>
            </w:r>
            <w:r w:rsidR="00C152C7" w:rsidRPr="003A06DD">
              <w:rPr>
                <w:color w:val="000000" w:themeColor="text1"/>
                <w:sz w:val="24"/>
                <w:szCs w:val="24"/>
                <w:lang w:eastAsia="lv-LV"/>
              </w:rPr>
              <w:t xml:space="preserve">informāciju par uzskaites rezultātiem, ko </w:t>
            </w:r>
            <w:r w:rsidR="00550FE8" w:rsidRPr="003A06DD">
              <w:rPr>
                <w:color w:val="000000" w:themeColor="text1"/>
                <w:sz w:val="24"/>
                <w:szCs w:val="24"/>
                <w:lang w:eastAsia="lv-LV"/>
              </w:rPr>
              <w:t xml:space="preserve">dienesta </w:t>
            </w:r>
            <w:r w:rsidR="00C152C7" w:rsidRPr="003A06DD">
              <w:rPr>
                <w:color w:val="000000" w:themeColor="text1"/>
                <w:sz w:val="24"/>
                <w:szCs w:val="24"/>
                <w:lang w:eastAsia="lv-LV"/>
              </w:rPr>
              <w:t>pārbaudes laikā var uzrādīt</w:t>
            </w:r>
            <w:r w:rsidR="00550FE8" w:rsidRPr="003A06DD">
              <w:rPr>
                <w:color w:val="000000" w:themeColor="text1"/>
                <w:sz w:val="24"/>
                <w:szCs w:val="24"/>
                <w:lang w:eastAsia="lv-LV"/>
              </w:rPr>
              <w:t>,</w:t>
            </w:r>
            <w:r w:rsidR="009A5482" w:rsidRPr="003A06DD">
              <w:rPr>
                <w:color w:val="000000" w:themeColor="text1"/>
                <w:sz w:val="24"/>
                <w:szCs w:val="24"/>
                <w:lang w:eastAsia="lv-LV"/>
              </w:rPr>
              <w:t xml:space="preserve"> </w:t>
            </w:r>
            <w:r w:rsidR="00C152C7" w:rsidRPr="003A06DD">
              <w:rPr>
                <w:color w:val="000000" w:themeColor="text1"/>
                <w:sz w:val="24"/>
                <w:szCs w:val="24"/>
                <w:lang w:eastAsia="lv-LV"/>
              </w:rPr>
              <w:t>p</w:t>
            </w:r>
            <w:r w:rsidR="00757A6E" w:rsidRPr="003A06DD">
              <w:rPr>
                <w:color w:val="000000" w:themeColor="text1"/>
                <w:sz w:val="24"/>
                <w:szCs w:val="24"/>
                <w:lang w:eastAsia="lv-LV"/>
              </w:rPr>
              <w:t>ie</w:t>
            </w:r>
            <w:r w:rsidR="00C152C7" w:rsidRPr="003A06DD">
              <w:rPr>
                <w:color w:val="000000" w:themeColor="text1"/>
                <w:sz w:val="24"/>
                <w:szCs w:val="24"/>
                <w:lang w:eastAsia="lv-LV"/>
              </w:rPr>
              <w:t xml:space="preserve">rādot </w:t>
            </w:r>
            <w:r w:rsidR="009A5482" w:rsidRPr="003A06DD">
              <w:rPr>
                <w:color w:val="000000" w:themeColor="text1"/>
                <w:sz w:val="24"/>
                <w:szCs w:val="24"/>
                <w:lang w:eastAsia="lv-LV"/>
              </w:rPr>
              <w:t xml:space="preserve">īpašo recepšu </w:t>
            </w:r>
            <w:r w:rsidR="00723111" w:rsidRPr="003A06DD">
              <w:rPr>
                <w:color w:val="000000" w:themeColor="text1"/>
                <w:sz w:val="24"/>
                <w:szCs w:val="24"/>
                <w:lang w:eastAsia="lv-LV"/>
              </w:rPr>
              <w:t>un to veidlapu</w:t>
            </w:r>
            <w:r w:rsidR="00723111">
              <w:rPr>
                <w:color w:val="000000" w:themeColor="text1"/>
                <w:sz w:val="24"/>
                <w:szCs w:val="24"/>
                <w:lang w:eastAsia="lv-LV"/>
              </w:rPr>
              <w:t xml:space="preserve"> </w:t>
            </w:r>
            <w:r w:rsidR="009A5482">
              <w:rPr>
                <w:color w:val="000000" w:themeColor="text1"/>
                <w:sz w:val="24"/>
                <w:szCs w:val="24"/>
                <w:lang w:eastAsia="lv-LV"/>
              </w:rPr>
              <w:t>aprit</w:t>
            </w:r>
            <w:r w:rsidR="00757A6E">
              <w:rPr>
                <w:color w:val="000000" w:themeColor="text1"/>
                <w:sz w:val="24"/>
                <w:szCs w:val="24"/>
                <w:lang w:eastAsia="lv-LV"/>
              </w:rPr>
              <w:t>es izsekojamību</w:t>
            </w:r>
            <w:r w:rsidR="000F6806">
              <w:rPr>
                <w:color w:val="000000" w:themeColor="text1"/>
                <w:sz w:val="24"/>
                <w:szCs w:val="24"/>
                <w:lang w:eastAsia="lv-LV"/>
              </w:rPr>
              <w:t xml:space="preserve"> </w:t>
            </w:r>
            <w:r w:rsidR="00723111">
              <w:rPr>
                <w:color w:val="000000" w:themeColor="text1"/>
                <w:sz w:val="24"/>
                <w:szCs w:val="24"/>
                <w:lang w:eastAsia="lv-LV"/>
              </w:rPr>
              <w:t>veterinārmedicīniskās prakses iestādē</w:t>
            </w:r>
            <w:r w:rsidR="001726B2">
              <w:rPr>
                <w:color w:val="000000" w:themeColor="text1"/>
                <w:sz w:val="24"/>
                <w:szCs w:val="24"/>
                <w:lang w:eastAsia="lv-LV"/>
              </w:rPr>
              <w:t xml:space="preserve"> </w:t>
            </w:r>
            <w:r w:rsidR="00560AF4">
              <w:rPr>
                <w:color w:val="000000" w:themeColor="text1"/>
                <w:sz w:val="24"/>
                <w:szCs w:val="24"/>
                <w:lang w:eastAsia="lv-LV"/>
              </w:rPr>
              <w:t>(1</w:t>
            </w:r>
            <w:r w:rsidR="002952E6">
              <w:rPr>
                <w:color w:val="000000" w:themeColor="text1"/>
                <w:sz w:val="24"/>
                <w:szCs w:val="24"/>
                <w:lang w:eastAsia="lv-LV"/>
              </w:rPr>
              <w:t>7</w:t>
            </w:r>
            <w:r w:rsidR="005B2BA4">
              <w:rPr>
                <w:color w:val="000000" w:themeColor="text1"/>
                <w:sz w:val="24"/>
                <w:szCs w:val="24"/>
                <w:lang w:eastAsia="lv-LV"/>
              </w:rPr>
              <w:t>.</w:t>
            </w:r>
            <w:r w:rsidR="002C64DC">
              <w:rPr>
                <w:color w:val="000000" w:themeColor="text1"/>
                <w:sz w:val="24"/>
                <w:szCs w:val="24"/>
                <w:lang w:eastAsia="lv-LV"/>
              </w:rPr>
              <w:t xml:space="preserve"> </w:t>
            </w:r>
            <w:r w:rsidR="00560AF4">
              <w:rPr>
                <w:color w:val="000000" w:themeColor="text1"/>
                <w:sz w:val="24"/>
                <w:szCs w:val="24"/>
                <w:lang w:eastAsia="lv-LV"/>
              </w:rPr>
              <w:t>punkts)</w:t>
            </w:r>
            <w:r w:rsidR="00F874C0">
              <w:rPr>
                <w:color w:val="000000" w:themeColor="text1"/>
                <w:sz w:val="24"/>
                <w:szCs w:val="24"/>
                <w:lang w:eastAsia="lv-LV"/>
              </w:rPr>
              <w:t>;</w:t>
            </w:r>
          </w:p>
          <w:p w14:paraId="63E9F14F" w14:textId="13F33920" w:rsidR="007171CD" w:rsidRPr="00A834F4" w:rsidRDefault="00C049E5" w:rsidP="007171CD">
            <w:pPr>
              <w:pStyle w:val="Komentrateksts"/>
              <w:jc w:val="both"/>
              <w:rPr>
                <w:sz w:val="24"/>
                <w:szCs w:val="24"/>
              </w:rPr>
            </w:pPr>
            <w:r w:rsidRPr="007817F2">
              <w:rPr>
                <w:color w:val="000000" w:themeColor="text1"/>
                <w:sz w:val="24"/>
                <w:szCs w:val="24"/>
              </w:rPr>
              <w:t>1</w:t>
            </w:r>
            <w:r w:rsidR="007817F2">
              <w:rPr>
                <w:color w:val="000000" w:themeColor="text1"/>
                <w:sz w:val="24"/>
                <w:szCs w:val="24"/>
              </w:rPr>
              <w:t>1</w:t>
            </w:r>
            <w:r w:rsidRPr="007817F2">
              <w:rPr>
                <w:color w:val="000000" w:themeColor="text1"/>
                <w:sz w:val="24"/>
                <w:szCs w:val="24"/>
              </w:rPr>
              <w:t>)</w:t>
            </w:r>
            <w:r w:rsidR="00C64166" w:rsidRPr="007817F2">
              <w:rPr>
                <w:color w:val="000000" w:themeColor="text1"/>
                <w:sz w:val="24"/>
                <w:szCs w:val="24"/>
              </w:rPr>
              <w:t xml:space="preserve"> </w:t>
            </w:r>
            <w:r w:rsidR="003B1F18">
              <w:rPr>
                <w:color w:val="000000" w:themeColor="text1"/>
                <w:sz w:val="24"/>
                <w:szCs w:val="24"/>
              </w:rPr>
              <w:t xml:space="preserve">uzlabotu un </w:t>
            </w:r>
            <w:r w:rsidR="00C64166" w:rsidRPr="007817F2">
              <w:rPr>
                <w:color w:val="000000" w:themeColor="text1"/>
                <w:sz w:val="24"/>
                <w:szCs w:val="24"/>
              </w:rPr>
              <w:t xml:space="preserve">nodrošinātu </w:t>
            </w:r>
            <w:r w:rsidR="00550FE8" w:rsidRPr="007817F2">
              <w:rPr>
                <w:color w:val="000000" w:themeColor="text1"/>
                <w:sz w:val="24"/>
                <w:szCs w:val="24"/>
              </w:rPr>
              <w:t>īpaš</w:t>
            </w:r>
            <w:r w:rsidR="007817F2">
              <w:rPr>
                <w:color w:val="000000" w:themeColor="text1"/>
                <w:sz w:val="24"/>
                <w:szCs w:val="24"/>
              </w:rPr>
              <w:t>ās</w:t>
            </w:r>
            <w:r w:rsidR="00550FE8" w:rsidRPr="007817F2">
              <w:rPr>
                <w:color w:val="000000" w:themeColor="text1"/>
                <w:sz w:val="24"/>
                <w:szCs w:val="24"/>
              </w:rPr>
              <w:t xml:space="preserve"> recep</w:t>
            </w:r>
            <w:r w:rsidR="007817F2">
              <w:rPr>
                <w:color w:val="000000" w:themeColor="text1"/>
                <w:sz w:val="24"/>
                <w:szCs w:val="24"/>
              </w:rPr>
              <w:t>tes</w:t>
            </w:r>
            <w:r w:rsidR="00A8211F" w:rsidRPr="007817F2">
              <w:rPr>
                <w:color w:val="000000" w:themeColor="text1"/>
                <w:sz w:val="24"/>
                <w:szCs w:val="24"/>
              </w:rPr>
              <w:t xml:space="preserve"> veidlapu aprites izsekojamību veterinārmedicīniskās prakses iestādē</w:t>
            </w:r>
            <w:r w:rsidR="003B1F18">
              <w:rPr>
                <w:color w:val="000000" w:themeColor="text1"/>
                <w:sz w:val="24"/>
                <w:szCs w:val="24"/>
              </w:rPr>
              <w:t>.</w:t>
            </w:r>
            <w:r w:rsidR="00A8211F" w:rsidRPr="007817F2">
              <w:rPr>
                <w:color w:val="000000" w:themeColor="text1"/>
                <w:sz w:val="24"/>
                <w:szCs w:val="24"/>
              </w:rPr>
              <w:t xml:space="preserve"> </w:t>
            </w:r>
            <w:r w:rsidR="003B1F18">
              <w:rPr>
                <w:color w:val="000000" w:themeColor="text1"/>
                <w:sz w:val="24"/>
                <w:szCs w:val="24"/>
              </w:rPr>
              <w:t>N</w:t>
            </w:r>
            <w:r w:rsidRPr="007817F2">
              <w:rPr>
                <w:color w:val="000000" w:themeColor="text1"/>
                <w:sz w:val="24"/>
                <w:szCs w:val="24"/>
              </w:rPr>
              <w:t xml:space="preserve">oteikumu projekts </w:t>
            </w:r>
            <w:r w:rsidR="00071E77" w:rsidRPr="007817F2">
              <w:rPr>
                <w:color w:val="000000" w:themeColor="text1"/>
                <w:sz w:val="24"/>
                <w:szCs w:val="24"/>
              </w:rPr>
              <w:t>paredz</w:t>
            </w:r>
            <w:r w:rsidRPr="007817F2">
              <w:rPr>
                <w:color w:val="000000" w:themeColor="text1"/>
                <w:sz w:val="24"/>
                <w:szCs w:val="24"/>
              </w:rPr>
              <w:t>, ka</w:t>
            </w:r>
            <w:r w:rsidR="00CA4685">
              <w:rPr>
                <w:color w:val="000000" w:themeColor="text1"/>
                <w:sz w:val="24"/>
                <w:szCs w:val="24"/>
              </w:rPr>
              <w:t>,</w:t>
            </w:r>
            <w:r w:rsidR="002C64DC" w:rsidRPr="007817F2">
              <w:rPr>
                <w:color w:val="000000" w:themeColor="text1"/>
                <w:sz w:val="24"/>
                <w:szCs w:val="24"/>
              </w:rPr>
              <w:t xml:space="preserve"> veterinārmedicīniskās prakses iestādei </w:t>
            </w:r>
            <w:r w:rsidR="00A8211F" w:rsidRPr="007817F2">
              <w:rPr>
                <w:color w:val="000000" w:themeColor="text1"/>
                <w:sz w:val="24"/>
                <w:szCs w:val="24"/>
              </w:rPr>
              <w:t>konstatējot iztrūkumu, kas radies iespējama noziedzīga nodarījuma</w:t>
            </w:r>
            <w:r w:rsidR="00A34444" w:rsidRPr="007817F2">
              <w:rPr>
                <w:color w:val="000000" w:themeColor="text1"/>
                <w:sz w:val="24"/>
                <w:szCs w:val="24"/>
              </w:rPr>
              <w:t xml:space="preserve"> </w:t>
            </w:r>
            <w:r w:rsidR="00CA4685">
              <w:rPr>
                <w:color w:val="000000" w:themeColor="text1"/>
                <w:sz w:val="24"/>
                <w:szCs w:val="24"/>
              </w:rPr>
              <w:t>dēļ</w:t>
            </w:r>
            <w:r w:rsidR="004A07FD">
              <w:rPr>
                <w:color w:val="000000" w:themeColor="text1"/>
                <w:sz w:val="24"/>
                <w:szCs w:val="24"/>
              </w:rPr>
              <w:t>,</w:t>
            </w:r>
            <w:r w:rsidR="00A34444" w:rsidRPr="007817F2">
              <w:rPr>
                <w:color w:val="000000" w:themeColor="text1"/>
                <w:sz w:val="24"/>
                <w:szCs w:val="24"/>
              </w:rPr>
              <w:t xml:space="preserve"> par to </w:t>
            </w:r>
            <w:r w:rsidR="00A8211F" w:rsidRPr="007817F2">
              <w:rPr>
                <w:color w:val="000000" w:themeColor="text1"/>
                <w:sz w:val="24"/>
                <w:szCs w:val="24"/>
              </w:rPr>
              <w:t xml:space="preserve">nekavējoties </w:t>
            </w:r>
            <w:r w:rsidR="00A34444" w:rsidRPr="007817F2">
              <w:rPr>
                <w:color w:val="000000" w:themeColor="text1"/>
                <w:sz w:val="24"/>
                <w:szCs w:val="24"/>
              </w:rPr>
              <w:t>ir</w:t>
            </w:r>
            <w:r w:rsidRPr="007817F2">
              <w:rPr>
                <w:color w:val="000000" w:themeColor="text1"/>
                <w:sz w:val="24"/>
                <w:szCs w:val="24"/>
              </w:rPr>
              <w:t xml:space="preserve"> </w:t>
            </w:r>
            <w:r w:rsidR="00271AF4" w:rsidRPr="007817F2">
              <w:rPr>
                <w:color w:val="000000" w:themeColor="text1"/>
                <w:sz w:val="24"/>
                <w:szCs w:val="24"/>
              </w:rPr>
              <w:t xml:space="preserve">jāziņo Valsts </w:t>
            </w:r>
            <w:r w:rsidR="002C64DC" w:rsidRPr="007817F2">
              <w:rPr>
                <w:color w:val="000000" w:themeColor="text1"/>
                <w:sz w:val="24"/>
                <w:szCs w:val="24"/>
              </w:rPr>
              <w:t>p</w:t>
            </w:r>
            <w:r w:rsidR="00271AF4" w:rsidRPr="007817F2">
              <w:rPr>
                <w:color w:val="000000" w:themeColor="text1"/>
                <w:sz w:val="24"/>
                <w:szCs w:val="24"/>
              </w:rPr>
              <w:t>olicijai</w:t>
            </w:r>
            <w:r w:rsidR="00F23D26" w:rsidRPr="007817F2">
              <w:rPr>
                <w:color w:val="000000" w:themeColor="text1"/>
                <w:sz w:val="24"/>
                <w:szCs w:val="24"/>
              </w:rPr>
              <w:t xml:space="preserve"> un </w:t>
            </w:r>
            <w:r w:rsidR="00CD6255" w:rsidRPr="007817F2">
              <w:rPr>
                <w:color w:val="000000" w:themeColor="text1"/>
                <w:sz w:val="24"/>
                <w:szCs w:val="24"/>
              </w:rPr>
              <w:t>jā</w:t>
            </w:r>
            <w:r w:rsidR="00F23D26" w:rsidRPr="007817F2">
              <w:rPr>
                <w:color w:val="000000" w:themeColor="text1"/>
                <w:sz w:val="24"/>
                <w:szCs w:val="24"/>
              </w:rPr>
              <w:t>informē dienest</w:t>
            </w:r>
            <w:r w:rsidR="00CD6255" w:rsidRPr="007817F2">
              <w:rPr>
                <w:color w:val="000000" w:themeColor="text1"/>
                <w:sz w:val="24"/>
                <w:szCs w:val="24"/>
              </w:rPr>
              <w:t>s</w:t>
            </w:r>
            <w:r w:rsidR="00271AF4" w:rsidRPr="007817F2">
              <w:rPr>
                <w:color w:val="000000" w:themeColor="text1"/>
                <w:sz w:val="24"/>
                <w:szCs w:val="24"/>
              </w:rPr>
              <w:t>, bet n</w:t>
            </w:r>
            <w:r w:rsidR="00A8211F" w:rsidRPr="007817F2">
              <w:rPr>
                <w:color w:val="000000" w:themeColor="text1"/>
                <w:sz w:val="24"/>
                <w:szCs w:val="24"/>
              </w:rPr>
              <w:t>eparedz noteikumu Nr.</w:t>
            </w:r>
            <w:r w:rsidR="00CA4685">
              <w:rPr>
                <w:color w:val="000000" w:themeColor="text1"/>
                <w:sz w:val="24"/>
                <w:szCs w:val="24"/>
              </w:rPr>
              <w:t xml:space="preserve"> </w:t>
            </w:r>
            <w:r w:rsidR="00A8211F" w:rsidRPr="007817F2">
              <w:rPr>
                <w:color w:val="000000" w:themeColor="text1"/>
                <w:sz w:val="24"/>
                <w:szCs w:val="24"/>
              </w:rPr>
              <w:t>757 prasību</w:t>
            </w:r>
            <w:r w:rsidR="00271AF4" w:rsidRPr="007817F2">
              <w:rPr>
                <w:color w:val="000000" w:themeColor="text1"/>
                <w:sz w:val="24"/>
                <w:szCs w:val="24"/>
              </w:rPr>
              <w:t xml:space="preserve"> </w:t>
            </w:r>
            <w:r w:rsidRPr="007817F2">
              <w:rPr>
                <w:color w:val="000000" w:themeColor="text1"/>
                <w:sz w:val="24"/>
                <w:szCs w:val="24"/>
              </w:rPr>
              <w:t>iesnie</w:t>
            </w:r>
            <w:r w:rsidR="00A8211F" w:rsidRPr="007817F2">
              <w:rPr>
                <w:color w:val="000000" w:themeColor="text1"/>
                <w:sz w:val="24"/>
                <w:szCs w:val="24"/>
              </w:rPr>
              <w:t>gt</w:t>
            </w:r>
            <w:r w:rsidRPr="007817F2">
              <w:rPr>
                <w:color w:val="000000" w:themeColor="text1"/>
                <w:sz w:val="24"/>
                <w:szCs w:val="24"/>
              </w:rPr>
              <w:t xml:space="preserve"> </w:t>
            </w:r>
            <w:r w:rsidRPr="007817F2">
              <w:rPr>
                <w:sz w:val="24"/>
                <w:szCs w:val="24"/>
              </w:rPr>
              <w:t xml:space="preserve">dienestā </w:t>
            </w:r>
            <w:r w:rsidR="00071E77" w:rsidRPr="007817F2">
              <w:rPr>
                <w:sz w:val="24"/>
                <w:szCs w:val="24"/>
              </w:rPr>
              <w:t>Valsts policijas ziņojuma kopij</w:t>
            </w:r>
            <w:r w:rsidR="0019623F" w:rsidRPr="007817F2">
              <w:rPr>
                <w:sz w:val="24"/>
                <w:szCs w:val="24"/>
              </w:rPr>
              <w:t>a</w:t>
            </w:r>
            <w:r w:rsidR="00071E77" w:rsidRPr="007817F2">
              <w:rPr>
                <w:sz w:val="24"/>
                <w:szCs w:val="24"/>
              </w:rPr>
              <w:t xml:space="preserve"> par noziedzīgu nodarījumu</w:t>
            </w:r>
            <w:r w:rsidR="00A8211F" w:rsidRPr="007817F2">
              <w:rPr>
                <w:sz w:val="24"/>
                <w:szCs w:val="24"/>
              </w:rPr>
              <w:t>, tā samazinot administratīvo slogu. Tāpat noteikumu projekts paredz, ka arī par iztrūkumu, kas radies dažādu postījumu</w:t>
            </w:r>
            <w:r w:rsidR="00CA4685">
              <w:rPr>
                <w:sz w:val="24"/>
                <w:szCs w:val="24"/>
              </w:rPr>
              <w:t xml:space="preserve"> un</w:t>
            </w:r>
            <w:r w:rsidR="00A8211F" w:rsidRPr="007817F2">
              <w:rPr>
                <w:sz w:val="24"/>
                <w:szCs w:val="24"/>
              </w:rPr>
              <w:t xml:space="preserve"> dabas stihiju </w:t>
            </w:r>
            <w:r w:rsidR="00CA4685">
              <w:rPr>
                <w:sz w:val="24"/>
                <w:szCs w:val="24"/>
              </w:rPr>
              <w:t xml:space="preserve">dēļ </w:t>
            </w:r>
            <w:r w:rsidR="00A8211F" w:rsidRPr="007817F2">
              <w:rPr>
                <w:sz w:val="24"/>
                <w:szCs w:val="24"/>
              </w:rPr>
              <w:t>vai apstākļos, k</w:t>
            </w:r>
            <w:r w:rsidR="00CA4685">
              <w:rPr>
                <w:sz w:val="24"/>
                <w:szCs w:val="24"/>
              </w:rPr>
              <w:t>o</w:t>
            </w:r>
            <w:r w:rsidR="00A8211F" w:rsidRPr="007817F2">
              <w:rPr>
                <w:sz w:val="24"/>
                <w:szCs w:val="24"/>
              </w:rPr>
              <w:t xml:space="preserve"> cilvēks nevar ietekmēt, piemēram</w:t>
            </w:r>
            <w:r w:rsidR="00CA4685">
              <w:rPr>
                <w:sz w:val="24"/>
                <w:szCs w:val="24"/>
              </w:rPr>
              <w:t>,</w:t>
            </w:r>
            <w:r w:rsidR="00A8211F" w:rsidRPr="007817F2">
              <w:rPr>
                <w:sz w:val="24"/>
                <w:szCs w:val="24"/>
              </w:rPr>
              <w:t xml:space="preserve"> ugunsgrēk</w:t>
            </w:r>
            <w:r w:rsidR="00CA4685">
              <w:rPr>
                <w:sz w:val="24"/>
                <w:szCs w:val="24"/>
              </w:rPr>
              <w:t>ā</w:t>
            </w:r>
            <w:r w:rsidR="00A8211F" w:rsidRPr="007817F2">
              <w:rPr>
                <w:sz w:val="24"/>
                <w:szCs w:val="24"/>
              </w:rPr>
              <w:t xml:space="preserve">, </w:t>
            </w:r>
            <w:r w:rsidR="00A8211F" w:rsidRPr="003A06DD">
              <w:rPr>
                <w:sz w:val="24"/>
                <w:szCs w:val="24"/>
              </w:rPr>
              <w:t xml:space="preserve">veterinārmedicīniskā prakses iestāde ziņo </w:t>
            </w:r>
            <w:r w:rsidR="007817F2" w:rsidRPr="003A06DD">
              <w:rPr>
                <w:sz w:val="24"/>
                <w:szCs w:val="24"/>
              </w:rPr>
              <w:t>kompetentajām iestādēm</w:t>
            </w:r>
            <w:r w:rsidR="00A8211F" w:rsidRPr="003A06DD">
              <w:rPr>
                <w:sz w:val="24"/>
                <w:szCs w:val="24"/>
              </w:rPr>
              <w:t>, nodrošinot pilnīgu īpašo recepšu un to veidlapu aprites uzraudzību un izsekojamību</w:t>
            </w:r>
            <w:r w:rsidR="00634630" w:rsidRPr="007817F2">
              <w:rPr>
                <w:sz w:val="24"/>
                <w:szCs w:val="24"/>
              </w:rPr>
              <w:t xml:space="preserve"> (</w:t>
            </w:r>
            <w:r w:rsidR="002952E6">
              <w:rPr>
                <w:sz w:val="24"/>
                <w:szCs w:val="24"/>
              </w:rPr>
              <w:t>20</w:t>
            </w:r>
            <w:r w:rsidR="00634630" w:rsidRPr="007817F2">
              <w:rPr>
                <w:sz w:val="24"/>
                <w:szCs w:val="24"/>
              </w:rPr>
              <w:t>.</w:t>
            </w:r>
            <w:r w:rsidR="002C64DC" w:rsidRPr="007817F2">
              <w:rPr>
                <w:sz w:val="24"/>
                <w:szCs w:val="24"/>
              </w:rPr>
              <w:t> </w:t>
            </w:r>
            <w:r w:rsidR="00634630" w:rsidRPr="007817F2">
              <w:rPr>
                <w:sz w:val="24"/>
                <w:szCs w:val="24"/>
              </w:rPr>
              <w:t>punkts)</w:t>
            </w:r>
            <w:r w:rsidR="005B2BA4" w:rsidRPr="007817F2">
              <w:rPr>
                <w:sz w:val="24"/>
                <w:szCs w:val="24"/>
              </w:rPr>
              <w:t>;</w:t>
            </w:r>
          </w:p>
          <w:p w14:paraId="0D00A600" w14:textId="4A0DC9BB" w:rsidR="00C547ED" w:rsidRPr="00DA12F3" w:rsidRDefault="00B56AD9" w:rsidP="00EB3DFF">
            <w:pPr>
              <w:pStyle w:val="Default"/>
              <w:jc w:val="both"/>
              <w:rPr>
                <w:rFonts w:ascii="Times New Roman" w:eastAsia="Times New Roman" w:hAnsi="Times New Roman" w:cs="Times New Roman"/>
                <w:color w:val="auto"/>
                <w:lang w:eastAsia="lv-LV"/>
              </w:rPr>
            </w:pPr>
            <w:bookmarkStart w:id="5" w:name="n5"/>
            <w:bookmarkStart w:id="6" w:name="n-388371"/>
            <w:bookmarkEnd w:id="5"/>
            <w:bookmarkEnd w:id="6"/>
            <w:r w:rsidRPr="00A834F4">
              <w:rPr>
                <w:rFonts w:ascii="Times New Roman" w:eastAsia="Times New Roman" w:hAnsi="Times New Roman" w:cs="Times New Roman"/>
                <w:color w:val="auto"/>
                <w:lang w:eastAsia="lv-LV"/>
              </w:rPr>
              <w:t>1</w:t>
            </w:r>
            <w:r w:rsidR="007817F2">
              <w:rPr>
                <w:rFonts w:ascii="Times New Roman" w:eastAsia="Times New Roman" w:hAnsi="Times New Roman" w:cs="Times New Roman"/>
                <w:color w:val="auto"/>
                <w:lang w:eastAsia="lv-LV"/>
              </w:rPr>
              <w:t>2</w:t>
            </w:r>
            <w:r w:rsidRPr="00A834F4">
              <w:rPr>
                <w:rFonts w:ascii="Times New Roman" w:eastAsia="Times New Roman" w:hAnsi="Times New Roman" w:cs="Times New Roman"/>
                <w:color w:val="auto"/>
                <w:lang w:eastAsia="lv-LV"/>
              </w:rPr>
              <w:t xml:space="preserve">) </w:t>
            </w:r>
            <w:r w:rsidR="00435AAD" w:rsidRPr="00A834F4">
              <w:rPr>
                <w:rFonts w:ascii="Times New Roman" w:eastAsia="Times New Roman" w:hAnsi="Times New Roman" w:cs="Times New Roman"/>
                <w:color w:val="auto"/>
                <w:lang w:eastAsia="lv-LV"/>
              </w:rPr>
              <w:t>nodrošinātu pilnīgu un precīzu īpaš</w:t>
            </w:r>
            <w:r w:rsidR="007A4A8F">
              <w:rPr>
                <w:rFonts w:ascii="Times New Roman" w:eastAsia="Times New Roman" w:hAnsi="Times New Roman" w:cs="Times New Roman"/>
                <w:color w:val="auto"/>
                <w:lang w:eastAsia="lv-LV"/>
              </w:rPr>
              <w:t>ās</w:t>
            </w:r>
            <w:r w:rsidR="00435AAD" w:rsidRPr="00A834F4">
              <w:rPr>
                <w:rFonts w:ascii="Times New Roman" w:eastAsia="Times New Roman" w:hAnsi="Times New Roman" w:cs="Times New Roman"/>
                <w:color w:val="auto"/>
                <w:lang w:eastAsia="lv-LV"/>
              </w:rPr>
              <w:t xml:space="preserve"> recep</w:t>
            </w:r>
            <w:r w:rsidR="007A4A8F">
              <w:rPr>
                <w:rFonts w:ascii="Times New Roman" w:eastAsia="Times New Roman" w:hAnsi="Times New Roman" w:cs="Times New Roman"/>
                <w:color w:val="auto"/>
                <w:lang w:eastAsia="lv-LV"/>
              </w:rPr>
              <w:t>tes</w:t>
            </w:r>
            <w:r w:rsidR="00435AAD" w:rsidRPr="00A834F4">
              <w:rPr>
                <w:rFonts w:ascii="Times New Roman" w:eastAsia="Times New Roman" w:hAnsi="Times New Roman" w:cs="Times New Roman"/>
                <w:color w:val="auto"/>
                <w:lang w:eastAsia="lv-LV"/>
              </w:rPr>
              <w:t xml:space="preserve"> </w:t>
            </w:r>
            <w:r w:rsidR="00435AAD" w:rsidRPr="005B2BA4">
              <w:rPr>
                <w:rFonts w:ascii="Times New Roman" w:eastAsia="Times New Roman" w:hAnsi="Times New Roman" w:cs="Times New Roman"/>
                <w:color w:val="auto"/>
                <w:lang w:eastAsia="lv-LV"/>
              </w:rPr>
              <w:t>veidlap</w:t>
            </w:r>
            <w:r w:rsidR="002952E6">
              <w:rPr>
                <w:rFonts w:ascii="Times New Roman" w:eastAsia="Times New Roman" w:hAnsi="Times New Roman" w:cs="Times New Roman"/>
                <w:color w:val="auto"/>
                <w:lang w:eastAsia="lv-LV"/>
              </w:rPr>
              <w:t>as</w:t>
            </w:r>
            <w:r w:rsidR="00435AAD" w:rsidRPr="005B2BA4">
              <w:rPr>
                <w:rFonts w:ascii="Times New Roman" w:eastAsia="Times New Roman" w:hAnsi="Times New Roman" w:cs="Times New Roman"/>
                <w:color w:val="auto"/>
                <w:lang w:eastAsia="lv-LV"/>
              </w:rPr>
              <w:t xml:space="preserve"> saturu</w:t>
            </w:r>
            <w:r w:rsidR="003B1F18">
              <w:rPr>
                <w:rFonts w:ascii="Times New Roman" w:eastAsia="Times New Roman" w:hAnsi="Times New Roman" w:cs="Times New Roman"/>
                <w:color w:val="auto"/>
                <w:lang w:eastAsia="lv-LV"/>
              </w:rPr>
              <w:t>.</w:t>
            </w:r>
            <w:r w:rsidR="00435AAD" w:rsidRPr="005B2BA4">
              <w:rPr>
                <w:rFonts w:ascii="Times New Roman" w:eastAsia="Times New Roman" w:hAnsi="Times New Roman" w:cs="Times New Roman"/>
                <w:color w:val="auto"/>
                <w:lang w:eastAsia="lv-LV"/>
              </w:rPr>
              <w:t xml:space="preserve"> </w:t>
            </w:r>
            <w:r w:rsidR="003B1F18">
              <w:rPr>
                <w:rFonts w:ascii="Times New Roman" w:eastAsia="Times New Roman" w:hAnsi="Times New Roman" w:cs="Times New Roman"/>
                <w:color w:val="auto"/>
                <w:lang w:eastAsia="lv-LV"/>
              </w:rPr>
              <w:t>N</w:t>
            </w:r>
            <w:r w:rsidRPr="005B2BA4">
              <w:rPr>
                <w:rFonts w:ascii="Times New Roman" w:eastAsia="Times New Roman" w:hAnsi="Times New Roman" w:cs="Times New Roman"/>
                <w:color w:val="auto"/>
                <w:lang w:eastAsia="lv-LV"/>
              </w:rPr>
              <w:t>oteikumu projekta pielikum</w:t>
            </w:r>
            <w:r w:rsidR="003326D4" w:rsidRPr="005B2BA4">
              <w:rPr>
                <w:rFonts w:ascii="Times New Roman" w:eastAsia="Times New Roman" w:hAnsi="Times New Roman" w:cs="Times New Roman"/>
                <w:color w:val="auto"/>
                <w:lang w:eastAsia="lv-LV"/>
              </w:rPr>
              <w:t>s</w:t>
            </w:r>
            <w:r w:rsidRPr="005B2BA4">
              <w:rPr>
                <w:rFonts w:ascii="Times New Roman" w:eastAsia="Times New Roman" w:hAnsi="Times New Roman" w:cs="Times New Roman"/>
                <w:color w:val="auto"/>
                <w:lang w:eastAsia="lv-LV"/>
              </w:rPr>
              <w:t xml:space="preserve"> tiek redakcionāli precizēt</w:t>
            </w:r>
            <w:r w:rsidR="003326D4" w:rsidRPr="005B2BA4">
              <w:rPr>
                <w:rFonts w:ascii="Times New Roman" w:eastAsia="Times New Roman" w:hAnsi="Times New Roman" w:cs="Times New Roman"/>
                <w:color w:val="auto"/>
                <w:lang w:eastAsia="lv-LV"/>
              </w:rPr>
              <w:t>s</w:t>
            </w:r>
            <w:r w:rsidRPr="005B2BA4">
              <w:rPr>
                <w:rFonts w:ascii="Times New Roman" w:eastAsia="Times New Roman" w:hAnsi="Times New Roman" w:cs="Times New Roman"/>
                <w:color w:val="auto"/>
                <w:lang w:eastAsia="lv-LV"/>
              </w:rPr>
              <w:t xml:space="preserve"> un papildināt</w:t>
            </w:r>
            <w:r w:rsidR="003326D4" w:rsidRPr="005B2BA4">
              <w:rPr>
                <w:rFonts w:ascii="Times New Roman" w:eastAsia="Times New Roman" w:hAnsi="Times New Roman" w:cs="Times New Roman"/>
                <w:color w:val="auto"/>
                <w:lang w:eastAsia="lv-LV"/>
              </w:rPr>
              <w:t>s ar</w:t>
            </w:r>
            <w:r w:rsidRPr="005B2BA4">
              <w:rPr>
                <w:rFonts w:ascii="Times New Roman" w:eastAsia="Times New Roman" w:hAnsi="Times New Roman" w:cs="Times New Roman"/>
                <w:color w:val="auto"/>
                <w:lang w:eastAsia="lv-LV"/>
              </w:rPr>
              <w:t xml:space="preserve"> nepieciešam</w:t>
            </w:r>
            <w:r w:rsidR="003326D4" w:rsidRPr="005B2BA4">
              <w:rPr>
                <w:rFonts w:ascii="Times New Roman" w:eastAsia="Times New Roman" w:hAnsi="Times New Roman" w:cs="Times New Roman"/>
                <w:color w:val="auto"/>
                <w:lang w:eastAsia="lv-LV"/>
              </w:rPr>
              <w:t>o</w:t>
            </w:r>
            <w:r w:rsidRPr="005B2BA4">
              <w:rPr>
                <w:rFonts w:ascii="Times New Roman" w:eastAsia="Times New Roman" w:hAnsi="Times New Roman" w:cs="Times New Roman"/>
                <w:color w:val="auto"/>
                <w:lang w:eastAsia="lv-LV"/>
              </w:rPr>
              <w:t xml:space="preserve"> informācij</w:t>
            </w:r>
            <w:r w:rsidR="003326D4" w:rsidRPr="005B2BA4">
              <w:rPr>
                <w:rFonts w:ascii="Times New Roman" w:eastAsia="Times New Roman" w:hAnsi="Times New Roman" w:cs="Times New Roman"/>
                <w:color w:val="auto"/>
                <w:lang w:eastAsia="lv-LV"/>
              </w:rPr>
              <w:t>u, kas jānorāda</w:t>
            </w:r>
            <w:r w:rsidR="003109C6">
              <w:rPr>
                <w:rFonts w:ascii="Times New Roman" w:eastAsia="Times New Roman" w:hAnsi="Times New Roman" w:cs="Times New Roman"/>
                <w:color w:val="auto"/>
                <w:lang w:eastAsia="lv-LV"/>
              </w:rPr>
              <w:t>,</w:t>
            </w:r>
            <w:r w:rsidR="003326D4" w:rsidRPr="005B2BA4">
              <w:rPr>
                <w:rFonts w:ascii="Times New Roman" w:eastAsia="Times New Roman" w:hAnsi="Times New Roman" w:cs="Times New Roman"/>
                <w:color w:val="auto"/>
                <w:lang w:eastAsia="lv-LV"/>
              </w:rPr>
              <w:t xml:space="preserve"> izrakstot īpašo recepti</w:t>
            </w:r>
            <w:r w:rsidRPr="005B2BA4">
              <w:rPr>
                <w:rFonts w:ascii="Times New Roman" w:eastAsia="Times New Roman" w:hAnsi="Times New Roman" w:cs="Times New Roman"/>
                <w:color w:val="auto"/>
                <w:lang w:eastAsia="lv-LV"/>
              </w:rPr>
              <w:t xml:space="preserve">. </w:t>
            </w:r>
            <w:r w:rsidR="00634630">
              <w:rPr>
                <w:rFonts w:ascii="Times New Roman" w:eastAsia="Times New Roman" w:hAnsi="Times New Roman" w:cs="Times New Roman"/>
                <w:color w:val="auto"/>
                <w:lang w:eastAsia="lv-LV"/>
              </w:rPr>
              <w:t xml:space="preserve">Savukārt </w:t>
            </w:r>
            <w:r w:rsidR="00603BC2">
              <w:rPr>
                <w:rFonts w:ascii="Times New Roman" w:eastAsia="Times New Roman" w:hAnsi="Times New Roman" w:cs="Times New Roman"/>
                <w:color w:val="auto"/>
                <w:lang w:eastAsia="lv-LV"/>
              </w:rPr>
              <w:t xml:space="preserve">noteikumu projekta </w:t>
            </w:r>
            <w:r w:rsidR="002952E6">
              <w:rPr>
                <w:rFonts w:ascii="Times New Roman" w:eastAsia="Times New Roman" w:hAnsi="Times New Roman" w:cs="Times New Roman"/>
                <w:color w:val="auto"/>
                <w:lang w:eastAsia="lv-LV"/>
              </w:rPr>
              <w:t>5</w:t>
            </w:r>
            <w:r w:rsidR="00603BC2">
              <w:rPr>
                <w:rFonts w:ascii="Times New Roman" w:eastAsia="Times New Roman" w:hAnsi="Times New Roman" w:cs="Times New Roman"/>
                <w:color w:val="auto"/>
                <w:lang w:eastAsia="lv-LV"/>
              </w:rPr>
              <w:t>.</w:t>
            </w:r>
            <w:r w:rsidR="002C64DC">
              <w:rPr>
                <w:rFonts w:ascii="Times New Roman" w:eastAsia="Times New Roman" w:hAnsi="Times New Roman" w:cs="Times New Roman"/>
                <w:color w:val="auto"/>
                <w:lang w:eastAsia="lv-LV"/>
              </w:rPr>
              <w:t> </w:t>
            </w:r>
            <w:r w:rsidR="00603BC2">
              <w:rPr>
                <w:rFonts w:ascii="Times New Roman" w:eastAsia="Times New Roman" w:hAnsi="Times New Roman" w:cs="Times New Roman"/>
                <w:color w:val="auto"/>
                <w:lang w:eastAsia="lv-LV"/>
              </w:rPr>
              <w:t xml:space="preserve">punktā noteiktās </w:t>
            </w:r>
            <w:r w:rsidR="00634630">
              <w:rPr>
                <w:rFonts w:ascii="Times New Roman" w:eastAsia="Times New Roman" w:hAnsi="Times New Roman" w:cs="Times New Roman"/>
                <w:color w:val="auto"/>
                <w:lang w:eastAsia="lv-LV"/>
              </w:rPr>
              <w:t xml:space="preserve">prasības </w:t>
            </w:r>
            <w:r w:rsidR="00603BC2">
              <w:rPr>
                <w:rFonts w:ascii="Times New Roman" w:eastAsia="Times New Roman" w:hAnsi="Times New Roman" w:cs="Times New Roman"/>
                <w:color w:val="auto"/>
                <w:lang w:eastAsia="lv-LV"/>
              </w:rPr>
              <w:t xml:space="preserve">īpašās receptes veidlapas izmēram un </w:t>
            </w:r>
            <w:r w:rsidR="00603BC2">
              <w:rPr>
                <w:rFonts w:ascii="Times New Roman" w:eastAsia="Times New Roman" w:hAnsi="Times New Roman" w:cs="Times New Roman"/>
                <w:color w:val="auto"/>
                <w:lang w:eastAsia="lv-LV"/>
              </w:rPr>
              <w:lastRenderedPageBreak/>
              <w:t>izskatam ir tādas pašas kā patlaban noteikumos Nr.</w:t>
            </w:r>
            <w:r w:rsidR="002C64DC">
              <w:rPr>
                <w:rFonts w:ascii="Times New Roman" w:eastAsia="Times New Roman" w:hAnsi="Times New Roman" w:cs="Times New Roman"/>
                <w:color w:val="auto"/>
                <w:lang w:eastAsia="lv-LV"/>
              </w:rPr>
              <w:t> </w:t>
            </w:r>
            <w:r w:rsidR="00603BC2">
              <w:rPr>
                <w:rFonts w:ascii="Times New Roman" w:eastAsia="Times New Roman" w:hAnsi="Times New Roman" w:cs="Times New Roman"/>
                <w:color w:val="auto"/>
                <w:lang w:eastAsia="lv-LV"/>
              </w:rPr>
              <w:t>757 minētās</w:t>
            </w:r>
            <w:r w:rsidRPr="005B2BA4">
              <w:rPr>
                <w:rFonts w:ascii="Times New Roman" w:eastAsia="Times New Roman" w:hAnsi="Times New Roman" w:cs="Times New Roman"/>
                <w:color w:val="auto"/>
                <w:lang w:eastAsia="lv-LV"/>
              </w:rPr>
              <w:t>.</w:t>
            </w:r>
            <w:r w:rsidR="005B2BA4" w:rsidRPr="005B2BA4">
              <w:rPr>
                <w:rFonts w:ascii="Times New Roman" w:eastAsia="Times New Roman" w:hAnsi="Times New Roman" w:cs="Times New Roman"/>
                <w:color w:val="auto"/>
                <w:lang w:eastAsia="lv-LV"/>
              </w:rPr>
              <w:t xml:space="preserve"> </w:t>
            </w:r>
            <w:bookmarkStart w:id="7" w:name="_Hlk66176297"/>
            <w:r w:rsidR="002D257D">
              <w:rPr>
                <w:rFonts w:ascii="Times New Roman" w:eastAsia="Times New Roman" w:hAnsi="Times New Roman" w:cs="Times New Roman"/>
                <w:color w:val="auto"/>
                <w:lang w:eastAsia="lv-LV"/>
              </w:rPr>
              <w:t>N</w:t>
            </w:r>
            <w:r w:rsidR="002D257D" w:rsidRPr="005B2BA4">
              <w:rPr>
                <w:rFonts w:ascii="Times New Roman" w:eastAsia="Times New Roman" w:hAnsi="Times New Roman" w:cs="Times New Roman"/>
                <w:color w:val="auto"/>
                <w:lang w:eastAsia="lv-LV"/>
              </w:rPr>
              <w:t>oteikumu projekt</w:t>
            </w:r>
            <w:r w:rsidR="002C64DC">
              <w:rPr>
                <w:rFonts w:ascii="Times New Roman" w:eastAsia="Times New Roman" w:hAnsi="Times New Roman" w:cs="Times New Roman"/>
                <w:color w:val="auto"/>
                <w:lang w:eastAsia="lv-LV"/>
              </w:rPr>
              <w:t>ā arī</w:t>
            </w:r>
            <w:r w:rsidR="002D257D" w:rsidRPr="005B2BA4">
              <w:rPr>
                <w:rFonts w:ascii="Times New Roman" w:eastAsia="Times New Roman" w:hAnsi="Times New Roman" w:cs="Times New Roman"/>
                <w:color w:val="auto"/>
                <w:lang w:eastAsia="lv-LV"/>
              </w:rPr>
              <w:t xml:space="preserve"> paredz</w:t>
            </w:r>
            <w:r w:rsidR="002C64DC">
              <w:rPr>
                <w:rFonts w:ascii="Times New Roman" w:eastAsia="Times New Roman" w:hAnsi="Times New Roman" w:cs="Times New Roman"/>
                <w:color w:val="auto"/>
                <w:lang w:eastAsia="lv-LV"/>
              </w:rPr>
              <w:t>ēta</w:t>
            </w:r>
            <w:r w:rsidR="002D257D">
              <w:rPr>
                <w:rFonts w:ascii="Times New Roman" w:eastAsia="Times New Roman" w:hAnsi="Times New Roman" w:cs="Times New Roman"/>
                <w:color w:val="auto"/>
                <w:lang w:eastAsia="lv-LV"/>
              </w:rPr>
              <w:t xml:space="preserve"> </w:t>
            </w:r>
            <w:r w:rsidR="002C64DC">
              <w:rPr>
                <w:rFonts w:ascii="Times New Roman" w:eastAsia="Times New Roman" w:hAnsi="Times New Roman" w:cs="Times New Roman"/>
                <w:color w:val="auto"/>
                <w:lang w:eastAsia="lv-LV"/>
              </w:rPr>
              <w:t>iespēj</w:t>
            </w:r>
            <w:r w:rsidR="007657A1">
              <w:rPr>
                <w:rFonts w:ascii="Times New Roman" w:eastAsia="Times New Roman" w:hAnsi="Times New Roman" w:cs="Times New Roman"/>
                <w:color w:val="auto"/>
                <w:lang w:eastAsia="lv-LV"/>
              </w:rPr>
              <w:t>a</w:t>
            </w:r>
            <w:r w:rsidR="002C64DC" w:rsidRPr="005B2BA4">
              <w:rPr>
                <w:rFonts w:ascii="Times New Roman" w:eastAsia="Times New Roman" w:hAnsi="Times New Roman" w:cs="Times New Roman"/>
                <w:color w:val="auto"/>
                <w:lang w:eastAsia="lv-LV"/>
              </w:rPr>
              <w:t xml:space="preserve"> </w:t>
            </w:r>
            <w:r w:rsidR="002D257D" w:rsidRPr="005B2BA4">
              <w:rPr>
                <w:rFonts w:ascii="Times New Roman" w:eastAsia="Times New Roman" w:hAnsi="Times New Roman" w:cs="Times New Roman"/>
                <w:color w:val="auto"/>
                <w:lang w:eastAsia="lv-LV"/>
              </w:rPr>
              <w:t>pa</w:t>
            </w:r>
            <w:r w:rsidR="002D257D">
              <w:rPr>
                <w:rFonts w:ascii="Times New Roman" w:eastAsia="Times New Roman" w:hAnsi="Times New Roman" w:cs="Times New Roman"/>
                <w:color w:val="auto"/>
                <w:lang w:eastAsia="lv-LV"/>
              </w:rPr>
              <w:t>pildināt</w:t>
            </w:r>
            <w:r w:rsidR="002D257D" w:rsidRPr="005B2BA4">
              <w:rPr>
                <w:rFonts w:ascii="Times New Roman" w:eastAsia="Times New Roman" w:hAnsi="Times New Roman" w:cs="Times New Roman"/>
                <w:color w:val="auto"/>
                <w:lang w:eastAsia="lv-LV"/>
              </w:rPr>
              <w:t xml:space="preserve"> īpaš</w:t>
            </w:r>
            <w:r w:rsidR="007A4A8F">
              <w:rPr>
                <w:rFonts w:ascii="Times New Roman" w:eastAsia="Times New Roman" w:hAnsi="Times New Roman" w:cs="Times New Roman"/>
                <w:color w:val="auto"/>
                <w:lang w:eastAsia="lv-LV"/>
              </w:rPr>
              <w:t>ās</w:t>
            </w:r>
            <w:r w:rsidR="002D257D" w:rsidRPr="005B2BA4">
              <w:rPr>
                <w:rFonts w:ascii="Times New Roman" w:eastAsia="Times New Roman" w:hAnsi="Times New Roman" w:cs="Times New Roman"/>
                <w:color w:val="auto"/>
                <w:lang w:eastAsia="lv-LV"/>
              </w:rPr>
              <w:t xml:space="preserve"> recep</w:t>
            </w:r>
            <w:r w:rsidR="007A4A8F">
              <w:rPr>
                <w:rFonts w:ascii="Times New Roman" w:eastAsia="Times New Roman" w:hAnsi="Times New Roman" w:cs="Times New Roman"/>
                <w:color w:val="auto"/>
                <w:lang w:eastAsia="lv-LV"/>
              </w:rPr>
              <w:t>tes</w:t>
            </w:r>
            <w:r w:rsidR="002D257D" w:rsidRPr="005B2BA4">
              <w:rPr>
                <w:rFonts w:ascii="Times New Roman" w:eastAsia="Times New Roman" w:hAnsi="Times New Roman" w:cs="Times New Roman"/>
                <w:color w:val="auto"/>
                <w:lang w:eastAsia="lv-LV"/>
              </w:rPr>
              <w:t xml:space="preserve"> veidlap</w:t>
            </w:r>
            <w:r w:rsidR="002D257D">
              <w:rPr>
                <w:rFonts w:ascii="Times New Roman" w:eastAsia="Times New Roman" w:hAnsi="Times New Roman" w:cs="Times New Roman"/>
                <w:color w:val="auto"/>
                <w:lang w:eastAsia="lv-LV"/>
              </w:rPr>
              <w:t xml:space="preserve">u ar tajā </w:t>
            </w:r>
            <w:r w:rsidR="002C64DC">
              <w:rPr>
                <w:rFonts w:ascii="Times New Roman" w:eastAsia="Times New Roman" w:hAnsi="Times New Roman" w:cs="Times New Roman"/>
                <w:color w:val="auto"/>
                <w:lang w:eastAsia="lv-LV"/>
              </w:rPr>
              <w:t xml:space="preserve">norādītu </w:t>
            </w:r>
            <w:r w:rsidR="002D257D">
              <w:rPr>
                <w:rFonts w:ascii="Times New Roman" w:eastAsia="Times New Roman" w:hAnsi="Times New Roman" w:cs="Times New Roman"/>
                <w:color w:val="auto"/>
                <w:lang w:eastAsia="lv-LV"/>
              </w:rPr>
              <w:t>novietnes reģistrācijas numuru, tā atvieglojo</w:t>
            </w:r>
            <w:r w:rsidR="00371CA6">
              <w:rPr>
                <w:rFonts w:ascii="Times New Roman" w:eastAsia="Times New Roman" w:hAnsi="Times New Roman" w:cs="Times New Roman"/>
                <w:color w:val="auto"/>
                <w:lang w:eastAsia="lv-LV"/>
              </w:rPr>
              <w:t>t II un III</w:t>
            </w:r>
            <w:r w:rsidR="00CA4685">
              <w:rPr>
                <w:rFonts w:ascii="Times New Roman" w:eastAsia="Times New Roman" w:hAnsi="Times New Roman" w:cs="Times New Roman"/>
                <w:color w:val="auto"/>
                <w:lang w:eastAsia="lv-LV"/>
              </w:rPr>
              <w:t> </w:t>
            </w:r>
            <w:r w:rsidR="00371CA6">
              <w:rPr>
                <w:rFonts w:ascii="Times New Roman" w:eastAsia="Times New Roman" w:hAnsi="Times New Roman" w:cs="Times New Roman"/>
                <w:color w:val="auto"/>
                <w:lang w:eastAsia="lv-LV"/>
              </w:rPr>
              <w:t xml:space="preserve">saraksta </w:t>
            </w:r>
            <w:r w:rsidR="008F59B1">
              <w:rPr>
                <w:rFonts w:ascii="Times New Roman" w:eastAsia="Times New Roman" w:hAnsi="Times New Roman" w:cs="Times New Roman"/>
                <w:color w:val="auto"/>
                <w:lang w:eastAsia="lv-LV"/>
              </w:rPr>
              <w:t xml:space="preserve">vielu un </w:t>
            </w:r>
            <w:r w:rsidR="00371CA6">
              <w:rPr>
                <w:rFonts w:ascii="Times New Roman" w:eastAsia="Times New Roman" w:hAnsi="Times New Roman" w:cs="Times New Roman"/>
                <w:color w:val="auto"/>
                <w:lang w:eastAsia="lv-LV"/>
              </w:rPr>
              <w:t>zāļu lietošanas izsekojamību</w:t>
            </w:r>
            <w:r w:rsidR="002D257D">
              <w:rPr>
                <w:rFonts w:ascii="Times New Roman" w:eastAsia="Times New Roman" w:hAnsi="Times New Roman" w:cs="Times New Roman"/>
                <w:color w:val="auto"/>
                <w:lang w:eastAsia="lv-LV"/>
              </w:rPr>
              <w:t>.</w:t>
            </w:r>
            <w:r w:rsidR="002D257D" w:rsidRPr="005B2BA4">
              <w:rPr>
                <w:rFonts w:ascii="Times New Roman" w:eastAsia="Times New Roman" w:hAnsi="Times New Roman" w:cs="Times New Roman"/>
                <w:color w:val="auto"/>
                <w:lang w:eastAsia="lv-LV"/>
              </w:rPr>
              <w:t xml:space="preserve"> </w:t>
            </w:r>
            <w:bookmarkEnd w:id="7"/>
            <w:r w:rsidR="002C64DC">
              <w:rPr>
                <w:rFonts w:ascii="Times New Roman" w:eastAsia="Times New Roman" w:hAnsi="Times New Roman" w:cs="Times New Roman"/>
                <w:lang w:eastAsia="lv-LV"/>
              </w:rPr>
              <w:t>Ar n</w:t>
            </w:r>
            <w:r w:rsidR="00766346" w:rsidRPr="005B2BA4">
              <w:rPr>
                <w:rFonts w:ascii="Times New Roman" w:hAnsi="Times New Roman" w:cs="Times New Roman"/>
              </w:rPr>
              <w:t>oteikumu projekt</w:t>
            </w:r>
            <w:r w:rsidR="002C64DC">
              <w:rPr>
                <w:rFonts w:ascii="Times New Roman" w:hAnsi="Times New Roman" w:cs="Times New Roman"/>
              </w:rPr>
              <w:t>u tiek ieviesta</w:t>
            </w:r>
            <w:r w:rsidR="00766346" w:rsidRPr="005B2BA4">
              <w:rPr>
                <w:rFonts w:ascii="Times New Roman" w:hAnsi="Times New Roman" w:cs="Times New Roman"/>
              </w:rPr>
              <w:t xml:space="preserve"> jaun</w:t>
            </w:r>
            <w:r w:rsidR="002C64DC">
              <w:rPr>
                <w:rFonts w:ascii="Times New Roman" w:hAnsi="Times New Roman" w:cs="Times New Roman"/>
              </w:rPr>
              <w:t>a</w:t>
            </w:r>
            <w:r w:rsidR="00766346" w:rsidRPr="005B2BA4">
              <w:rPr>
                <w:rFonts w:ascii="Times New Roman" w:hAnsi="Times New Roman" w:cs="Times New Roman"/>
              </w:rPr>
              <w:t xml:space="preserve"> īpaš</w:t>
            </w:r>
            <w:r w:rsidR="007A4A8F">
              <w:rPr>
                <w:rFonts w:ascii="Times New Roman" w:hAnsi="Times New Roman" w:cs="Times New Roman"/>
              </w:rPr>
              <w:t>ās</w:t>
            </w:r>
            <w:r w:rsidR="00766346" w:rsidRPr="005B2BA4">
              <w:rPr>
                <w:rFonts w:ascii="Times New Roman" w:hAnsi="Times New Roman" w:cs="Times New Roman"/>
              </w:rPr>
              <w:t xml:space="preserve"> recep</w:t>
            </w:r>
            <w:r w:rsidR="007A4A8F">
              <w:rPr>
                <w:rFonts w:ascii="Times New Roman" w:hAnsi="Times New Roman" w:cs="Times New Roman"/>
              </w:rPr>
              <w:t>tes</w:t>
            </w:r>
            <w:r w:rsidR="00766346" w:rsidRPr="005B2BA4">
              <w:rPr>
                <w:rFonts w:ascii="Times New Roman" w:hAnsi="Times New Roman" w:cs="Times New Roman"/>
              </w:rPr>
              <w:t xml:space="preserve"> </w:t>
            </w:r>
            <w:r w:rsidR="00634630">
              <w:rPr>
                <w:rFonts w:ascii="Times New Roman" w:hAnsi="Times New Roman" w:cs="Times New Roman"/>
              </w:rPr>
              <w:t>veidlap</w:t>
            </w:r>
            <w:r w:rsidR="002C64DC">
              <w:rPr>
                <w:rFonts w:ascii="Times New Roman" w:hAnsi="Times New Roman" w:cs="Times New Roman"/>
              </w:rPr>
              <w:t>a</w:t>
            </w:r>
            <w:r w:rsidR="00766346" w:rsidRPr="005B2BA4">
              <w:rPr>
                <w:rFonts w:ascii="Times New Roman" w:hAnsi="Times New Roman" w:cs="Times New Roman"/>
              </w:rPr>
              <w:t>, k</w:t>
            </w:r>
            <w:r w:rsidR="002C64DC">
              <w:rPr>
                <w:rFonts w:ascii="Times New Roman" w:hAnsi="Times New Roman" w:cs="Times New Roman"/>
              </w:rPr>
              <w:t>as</w:t>
            </w:r>
            <w:r w:rsidR="00766346" w:rsidRPr="005B2BA4">
              <w:rPr>
                <w:rFonts w:ascii="Times New Roman" w:hAnsi="Times New Roman" w:cs="Times New Roman"/>
              </w:rPr>
              <w:t xml:space="preserve"> nepieciešama vieglākai</w:t>
            </w:r>
            <w:r w:rsidR="008F59B1">
              <w:rPr>
                <w:rFonts w:ascii="Times New Roman" w:hAnsi="Times New Roman" w:cs="Times New Roman"/>
              </w:rPr>
              <w:t xml:space="preserve"> II vai III saraksta vielu un</w:t>
            </w:r>
            <w:r w:rsidR="00766346" w:rsidRPr="005B2BA4">
              <w:rPr>
                <w:rFonts w:ascii="Times New Roman" w:hAnsi="Times New Roman" w:cs="Times New Roman"/>
              </w:rPr>
              <w:t xml:space="preserve"> zāļu izrakstīšanai un izsekojamībai. </w:t>
            </w:r>
            <w:r w:rsidR="00DA12F3" w:rsidRPr="005B2BA4">
              <w:rPr>
                <w:rFonts w:ascii="Times New Roman" w:hAnsi="Times New Roman" w:cs="Times New Roman"/>
              </w:rPr>
              <w:t xml:space="preserve">Šo </w:t>
            </w:r>
            <w:r w:rsidR="00634630">
              <w:rPr>
                <w:rFonts w:ascii="Times New Roman" w:hAnsi="Times New Roman" w:cs="Times New Roman"/>
              </w:rPr>
              <w:t>īpaš</w:t>
            </w:r>
            <w:r w:rsidR="007A4A8F">
              <w:rPr>
                <w:rFonts w:ascii="Times New Roman" w:hAnsi="Times New Roman" w:cs="Times New Roman"/>
              </w:rPr>
              <w:t>ās</w:t>
            </w:r>
            <w:r w:rsidR="00634630">
              <w:rPr>
                <w:rFonts w:ascii="Times New Roman" w:hAnsi="Times New Roman" w:cs="Times New Roman"/>
              </w:rPr>
              <w:t xml:space="preserve"> recep</w:t>
            </w:r>
            <w:r w:rsidR="007A4A8F">
              <w:rPr>
                <w:rFonts w:ascii="Times New Roman" w:hAnsi="Times New Roman" w:cs="Times New Roman"/>
              </w:rPr>
              <w:t>tes</w:t>
            </w:r>
            <w:r w:rsidR="00634630">
              <w:rPr>
                <w:rFonts w:ascii="Times New Roman" w:hAnsi="Times New Roman" w:cs="Times New Roman"/>
              </w:rPr>
              <w:t xml:space="preserve"> </w:t>
            </w:r>
            <w:r w:rsidR="00DA12F3" w:rsidRPr="005B2BA4">
              <w:rPr>
                <w:rFonts w:ascii="Times New Roman" w:hAnsi="Times New Roman" w:cs="Times New Roman"/>
              </w:rPr>
              <w:t>veidlapu veterinārmedicīniskās prakses iestādei izsniedz dienests pēc noteikumu spēkā stāšanās</w:t>
            </w:r>
            <w:r w:rsidR="00DA12F3">
              <w:rPr>
                <w:rFonts w:ascii="Times New Roman" w:hAnsi="Times New Roman" w:cs="Times New Roman"/>
              </w:rPr>
              <w:t>;</w:t>
            </w:r>
          </w:p>
          <w:p w14:paraId="10E47D28" w14:textId="794FA71E" w:rsidR="009F7E5C" w:rsidRDefault="00DA12F3" w:rsidP="009F7E5C">
            <w:pPr>
              <w:pStyle w:val="Default"/>
              <w:jc w:val="both"/>
              <w:rPr>
                <w:rFonts w:ascii="Times New Roman" w:hAnsi="Times New Roman" w:cs="Times New Roman"/>
                <w:color w:val="auto"/>
                <w:lang w:eastAsia="lv-LV"/>
              </w:rPr>
            </w:pPr>
            <w:r>
              <w:rPr>
                <w:rFonts w:ascii="Times New Roman" w:hAnsi="Times New Roman" w:cs="Times New Roman"/>
                <w:shd w:val="clear" w:color="auto" w:fill="FFFFFF"/>
              </w:rPr>
              <w:t>1</w:t>
            </w:r>
            <w:r w:rsidR="007817F2">
              <w:rPr>
                <w:rFonts w:ascii="Times New Roman" w:hAnsi="Times New Roman" w:cs="Times New Roman"/>
                <w:shd w:val="clear" w:color="auto" w:fill="FFFFFF"/>
              </w:rPr>
              <w:t>3</w:t>
            </w:r>
            <w:r>
              <w:rPr>
                <w:rFonts w:ascii="Times New Roman" w:hAnsi="Times New Roman" w:cs="Times New Roman"/>
                <w:shd w:val="clear" w:color="auto" w:fill="FFFFFF"/>
              </w:rPr>
              <w:t xml:space="preserve">) </w:t>
            </w:r>
            <w:r w:rsidR="001A6929">
              <w:rPr>
                <w:rFonts w:ascii="Times New Roman" w:hAnsi="Times New Roman" w:cs="Times New Roman"/>
                <w:shd w:val="clear" w:color="auto" w:fill="FFFFFF"/>
              </w:rPr>
              <w:t>nodrošinātu veterinārmedicīniskās prakses iestādes ar nepārtrauktu īpaš</w:t>
            </w:r>
            <w:r w:rsidR="007A4A8F">
              <w:rPr>
                <w:rFonts w:ascii="Times New Roman" w:hAnsi="Times New Roman" w:cs="Times New Roman"/>
                <w:shd w:val="clear" w:color="auto" w:fill="FFFFFF"/>
              </w:rPr>
              <w:t>ās</w:t>
            </w:r>
            <w:r w:rsidR="001A6929">
              <w:rPr>
                <w:rFonts w:ascii="Times New Roman" w:hAnsi="Times New Roman" w:cs="Times New Roman"/>
                <w:shd w:val="clear" w:color="auto" w:fill="FFFFFF"/>
              </w:rPr>
              <w:t xml:space="preserve"> recep</w:t>
            </w:r>
            <w:r w:rsidR="007A4A8F">
              <w:rPr>
                <w:rFonts w:ascii="Times New Roman" w:hAnsi="Times New Roman" w:cs="Times New Roman"/>
                <w:shd w:val="clear" w:color="auto" w:fill="FFFFFF"/>
              </w:rPr>
              <w:t>tes</w:t>
            </w:r>
            <w:r w:rsidR="001A6929">
              <w:rPr>
                <w:rFonts w:ascii="Times New Roman" w:hAnsi="Times New Roman" w:cs="Times New Roman"/>
                <w:shd w:val="clear" w:color="auto" w:fill="FFFFFF"/>
              </w:rPr>
              <w:t xml:space="preserve"> veidlapu pieejamību</w:t>
            </w:r>
            <w:r w:rsidR="003B1F18">
              <w:rPr>
                <w:rFonts w:ascii="Times New Roman" w:hAnsi="Times New Roman" w:cs="Times New Roman"/>
                <w:shd w:val="clear" w:color="auto" w:fill="FFFFFF"/>
              </w:rPr>
              <w:t>.</w:t>
            </w:r>
            <w:r w:rsidR="001A6929">
              <w:rPr>
                <w:rFonts w:ascii="Times New Roman" w:hAnsi="Times New Roman" w:cs="Times New Roman"/>
                <w:shd w:val="clear" w:color="auto" w:fill="FFFFFF"/>
              </w:rPr>
              <w:t xml:space="preserve"> </w:t>
            </w:r>
            <w:r w:rsidR="003B1F18">
              <w:rPr>
                <w:rFonts w:ascii="Times New Roman" w:hAnsi="Times New Roman" w:cs="Times New Roman"/>
                <w:shd w:val="clear" w:color="auto" w:fill="FFFFFF"/>
              </w:rPr>
              <w:t>N</w:t>
            </w:r>
            <w:r w:rsidR="001A6929">
              <w:rPr>
                <w:rFonts w:ascii="Times New Roman" w:hAnsi="Times New Roman" w:cs="Times New Roman"/>
                <w:shd w:val="clear" w:color="auto" w:fill="FFFFFF"/>
              </w:rPr>
              <w:t xml:space="preserve">oteikumu projekts paredz pārejas periodu, kura laikā veterinārmedicīniskās prakses iestādes </w:t>
            </w:r>
            <w:r w:rsidR="00C561ED">
              <w:rPr>
                <w:rFonts w:ascii="Times New Roman" w:hAnsi="Times New Roman" w:cs="Times New Roman"/>
                <w:shd w:val="clear" w:color="auto" w:fill="FFFFFF"/>
              </w:rPr>
              <w:t>samaina</w:t>
            </w:r>
            <w:r w:rsidR="001A6929">
              <w:rPr>
                <w:rFonts w:ascii="Times New Roman" w:hAnsi="Times New Roman" w:cs="Times New Roman"/>
                <w:shd w:val="clear" w:color="auto" w:fill="FFFFFF"/>
              </w:rPr>
              <w:t xml:space="preserve"> </w:t>
            </w:r>
            <w:r w:rsidR="00C561ED">
              <w:rPr>
                <w:rFonts w:ascii="Times New Roman" w:hAnsi="Times New Roman" w:cs="Times New Roman"/>
                <w:shd w:val="clear" w:color="auto" w:fill="FFFFFF"/>
              </w:rPr>
              <w:t xml:space="preserve">neizlietotās </w:t>
            </w:r>
            <w:r w:rsidR="001A6929">
              <w:rPr>
                <w:rFonts w:ascii="Times New Roman" w:hAnsi="Times New Roman" w:cs="Times New Roman"/>
                <w:shd w:val="clear" w:color="auto" w:fill="FFFFFF"/>
              </w:rPr>
              <w:t xml:space="preserve">vecā parauga īpašās receptes veidlapas </w:t>
            </w:r>
            <w:r w:rsidR="00C561ED">
              <w:rPr>
                <w:rFonts w:ascii="Times New Roman" w:hAnsi="Times New Roman" w:cs="Times New Roman"/>
                <w:shd w:val="clear" w:color="auto" w:fill="FFFFFF"/>
              </w:rPr>
              <w:t>pret</w:t>
            </w:r>
            <w:r w:rsidR="001A6929">
              <w:rPr>
                <w:rFonts w:ascii="Times New Roman" w:hAnsi="Times New Roman" w:cs="Times New Roman"/>
                <w:shd w:val="clear" w:color="auto" w:fill="FFFFFF"/>
              </w:rPr>
              <w:t xml:space="preserve"> jaunā parauga īpašās receptes veidlap</w:t>
            </w:r>
            <w:r w:rsidR="00C561ED">
              <w:rPr>
                <w:rFonts w:ascii="Times New Roman" w:hAnsi="Times New Roman" w:cs="Times New Roman"/>
                <w:shd w:val="clear" w:color="auto" w:fill="FFFFFF"/>
              </w:rPr>
              <w:t>ām.</w:t>
            </w:r>
            <w:r w:rsidR="00CA4685">
              <w:rPr>
                <w:rFonts w:ascii="Times New Roman" w:hAnsi="Times New Roman" w:cs="Times New Roman"/>
                <w:shd w:val="clear" w:color="auto" w:fill="FFFFFF"/>
              </w:rPr>
              <w:t xml:space="preserve"> Veterinārmedicīniskās prakses iestāde v</w:t>
            </w:r>
            <w:r>
              <w:rPr>
                <w:rFonts w:ascii="Times New Roman" w:hAnsi="Times New Roman" w:cs="Times New Roman"/>
                <w:shd w:val="clear" w:color="auto" w:fill="FFFFFF"/>
              </w:rPr>
              <w:t>ecā parauga īpaš</w:t>
            </w:r>
            <w:r w:rsidR="003B1F18">
              <w:rPr>
                <w:rFonts w:ascii="Times New Roman" w:hAnsi="Times New Roman" w:cs="Times New Roman"/>
                <w:shd w:val="clear" w:color="auto" w:fill="FFFFFF"/>
              </w:rPr>
              <w:t>ās</w:t>
            </w:r>
            <w:r>
              <w:rPr>
                <w:rFonts w:ascii="Times New Roman" w:hAnsi="Times New Roman" w:cs="Times New Roman"/>
                <w:shd w:val="clear" w:color="auto" w:fill="FFFFFF"/>
              </w:rPr>
              <w:t xml:space="preserve"> recep</w:t>
            </w:r>
            <w:r w:rsidR="003B1F18">
              <w:rPr>
                <w:rFonts w:ascii="Times New Roman" w:hAnsi="Times New Roman" w:cs="Times New Roman"/>
                <w:shd w:val="clear" w:color="auto" w:fill="FFFFFF"/>
              </w:rPr>
              <w:t>tes</w:t>
            </w:r>
            <w:r>
              <w:rPr>
                <w:rFonts w:ascii="Times New Roman" w:hAnsi="Times New Roman" w:cs="Times New Roman"/>
                <w:shd w:val="clear" w:color="auto" w:fill="FFFFFF"/>
              </w:rPr>
              <w:t xml:space="preserve"> veidlapas </w:t>
            </w:r>
            <w:r w:rsidRPr="00081ABF">
              <w:rPr>
                <w:rFonts w:ascii="Times New Roman" w:hAnsi="Times New Roman" w:cs="Times New Roman"/>
                <w:color w:val="000000" w:themeColor="text1"/>
                <w:shd w:val="clear" w:color="auto" w:fill="FFFFFF"/>
              </w:rPr>
              <w:t>mēneša laikā pēc šo noteikumu spēkā stāšanās nodo</w:t>
            </w:r>
            <w:r w:rsidR="00C561ED">
              <w:rPr>
                <w:rFonts w:ascii="Times New Roman" w:hAnsi="Times New Roman" w:cs="Times New Roman"/>
                <w:color w:val="000000" w:themeColor="text1"/>
                <w:shd w:val="clear" w:color="auto" w:fill="FFFFFF"/>
              </w:rPr>
              <w:t>d</w:t>
            </w:r>
            <w:r w:rsidRPr="00081ABF">
              <w:rPr>
                <w:rFonts w:ascii="Times New Roman" w:hAnsi="Times New Roman" w:cs="Times New Roman"/>
                <w:color w:val="000000" w:themeColor="text1"/>
                <w:shd w:val="clear" w:color="auto" w:fill="FFFFFF"/>
              </w:rPr>
              <w:t xml:space="preserve"> dienestam iznīcināšanai</w:t>
            </w:r>
            <w:r w:rsidR="00C561ED">
              <w:rPr>
                <w:rFonts w:ascii="Times New Roman" w:hAnsi="Times New Roman" w:cs="Times New Roman"/>
                <w:color w:val="000000" w:themeColor="text1"/>
                <w:shd w:val="clear" w:color="auto" w:fill="FFFFFF"/>
              </w:rPr>
              <w:t>, savukārt</w:t>
            </w:r>
            <w:r>
              <w:rPr>
                <w:rFonts w:ascii="Times New Roman" w:hAnsi="Times New Roman" w:cs="Times New Roman"/>
                <w:color w:val="000000" w:themeColor="text1"/>
                <w:shd w:val="clear" w:color="auto" w:fill="FFFFFF"/>
              </w:rPr>
              <w:t xml:space="preserve"> </w:t>
            </w:r>
            <w:r w:rsidR="00C561ED">
              <w:rPr>
                <w:rFonts w:ascii="Times New Roman" w:hAnsi="Times New Roman" w:cs="Times New Roman"/>
                <w:color w:val="000000" w:themeColor="text1"/>
                <w:shd w:val="clear" w:color="auto" w:fill="FFFFFF"/>
              </w:rPr>
              <w:t>d</w:t>
            </w:r>
            <w:r>
              <w:rPr>
                <w:rFonts w:ascii="Times New Roman" w:hAnsi="Times New Roman" w:cs="Times New Roman"/>
                <w:color w:val="000000" w:themeColor="text1"/>
                <w:shd w:val="clear" w:color="auto" w:fill="FFFFFF"/>
              </w:rPr>
              <w:t>ienests</w:t>
            </w:r>
            <w:r w:rsidR="00C561ED">
              <w:rPr>
                <w:rFonts w:ascii="Times New Roman" w:hAnsi="Times New Roman" w:cs="Times New Roman"/>
                <w:color w:val="000000" w:themeColor="text1"/>
                <w:shd w:val="clear" w:color="auto" w:fill="FFFFFF"/>
              </w:rPr>
              <w:t xml:space="preserve"> saņemtās</w:t>
            </w:r>
            <w:r>
              <w:rPr>
                <w:rFonts w:ascii="Times New Roman" w:hAnsi="Times New Roman" w:cs="Times New Roman"/>
                <w:color w:val="000000" w:themeColor="text1"/>
                <w:shd w:val="clear" w:color="auto" w:fill="FFFFFF"/>
              </w:rPr>
              <w:t xml:space="preserve"> </w:t>
            </w:r>
            <w:r w:rsidR="002C64DC">
              <w:rPr>
                <w:rFonts w:ascii="Times New Roman" w:hAnsi="Times New Roman" w:cs="Times New Roman"/>
                <w:color w:val="000000" w:themeColor="text1"/>
                <w:shd w:val="clear" w:color="auto" w:fill="FFFFFF"/>
              </w:rPr>
              <w:t xml:space="preserve">neizlietotās vecā parauga īpašās receptes veidlapas bez papildu maksas </w:t>
            </w:r>
            <w:r>
              <w:rPr>
                <w:rFonts w:ascii="Times New Roman" w:hAnsi="Times New Roman" w:cs="Times New Roman"/>
                <w:color w:val="000000" w:themeColor="text1"/>
                <w:shd w:val="clear" w:color="auto" w:fill="FFFFFF"/>
              </w:rPr>
              <w:t>apmain</w:t>
            </w:r>
            <w:r w:rsidR="00C561ED">
              <w:rPr>
                <w:rFonts w:ascii="Times New Roman" w:hAnsi="Times New Roman" w:cs="Times New Roman"/>
                <w:color w:val="000000" w:themeColor="text1"/>
                <w:shd w:val="clear" w:color="auto" w:fill="FFFFFF"/>
              </w:rPr>
              <w:t>a</w:t>
            </w:r>
            <w:r>
              <w:rPr>
                <w:rFonts w:ascii="Times New Roman" w:hAnsi="Times New Roman" w:cs="Times New Roman"/>
                <w:color w:val="000000" w:themeColor="text1"/>
                <w:shd w:val="clear" w:color="auto" w:fill="FFFFFF"/>
              </w:rPr>
              <w:t xml:space="preserve"> pret jaunajām īpašās receptes veidlapām</w:t>
            </w:r>
            <w:r w:rsidR="009F7E5C">
              <w:rPr>
                <w:rFonts w:ascii="Times New Roman" w:hAnsi="Times New Roman" w:cs="Times New Roman"/>
                <w:color w:val="000000" w:themeColor="text1"/>
                <w:shd w:val="clear" w:color="auto" w:fill="FFFFFF"/>
              </w:rPr>
              <w:t xml:space="preserve"> (</w:t>
            </w:r>
            <w:r w:rsidR="00597BAE">
              <w:rPr>
                <w:rFonts w:ascii="Times New Roman" w:hAnsi="Times New Roman" w:cs="Times New Roman"/>
                <w:color w:val="000000" w:themeColor="text1"/>
                <w:shd w:val="clear" w:color="auto" w:fill="FFFFFF"/>
              </w:rPr>
              <w:t>2</w:t>
            </w:r>
            <w:r w:rsidR="002952E6">
              <w:rPr>
                <w:rFonts w:ascii="Times New Roman" w:hAnsi="Times New Roman" w:cs="Times New Roman"/>
                <w:color w:val="000000" w:themeColor="text1"/>
                <w:shd w:val="clear" w:color="auto" w:fill="FFFFFF"/>
              </w:rPr>
              <w:t>2</w:t>
            </w:r>
            <w:r w:rsidR="009F7E5C">
              <w:rPr>
                <w:rFonts w:ascii="Times New Roman" w:hAnsi="Times New Roman" w:cs="Times New Roman"/>
                <w:color w:val="000000" w:themeColor="text1"/>
                <w:shd w:val="clear" w:color="auto" w:fill="FFFFFF"/>
              </w:rPr>
              <w:t>.</w:t>
            </w:r>
            <w:r w:rsidR="002C64DC">
              <w:rPr>
                <w:rFonts w:ascii="Times New Roman" w:hAnsi="Times New Roman" w:cs="Times New Roman"/>
                <w:color w:val="000000" w:themeColor="text1"/>
                <w:shd w:val="clear" w:color="auto" w:fill="FFFFFF"/>
              </w:rPr>
              <w:t xml:space="preserve"> </w:t>
            </w:r>
            <w:r w:rsidR="009F7E5C">
              <w:rPr>
                <w:rFonts w:ascii="Times New Roman" w:hAnsi="Times New Roman" w:cs="Times New Roman"/>
                <w:color w:val="000000" w:themeColor="text1"/>
                <w:shd w:val="clear" w:color="auto" w:fill="FFFFFF"/>
              </w:rPr>
              <w:t>punkts)</w:t>
            </w:r>
            <w:r w:rsidR="00314821">
              <w:rPr>
                <w:rFonts w:ascii="Times New Roman" w:hAnsi="Times New Roman" w:cs="Times New Roman"/>
                <w:color w:val="auto"/>
                <w:lang w:eastAsia="lv-LV"/>
              </w:rPr>
              <w:t>.</w:t>
            </w:r>
          </w:p>
          <w:p w14:paraId="6B3BD8C8" w14:textId="77777777" w:rsidR="003025BE" w:rsidRDefault="003025BE" w:rsidP="009F7E5C">
            <w:pPr>
              <w:pStyle w:val="Default"/>
              <w:jc w:val="both"/>
              <w:rPr>
                <w:rFonts w:ascii="Times New Roman" w:hAnsi="Times New Roman" w:cs="Times New Roman"/>
                <w:color w:val="auto"/>
                <w:lang w:eastAsia="lv-LV"/>
              </w:rPr>
            </w:pPr>
          </w:p>
          <w:p w14:paraId="665D791D" w14:textId="43C37774" w:rsidR="009F7E5C" w:rsidRDefault="005F0C14" w:rsidP="009F7E5C">
            <w:pPr>
              <w:pStyle w:val="Default"/>
              <w:jc w:val="both"/>
              <w:rPr>
                <w:rFonts w:ascii="Times New Roman" w:hAnsi="Times New Roman" w:cs="Times New Roman"/>
                <w:color w:val="auto"/>
                <w:lang w:eastAsia="lv-LV"/>
              </w:rPr>
            </w:pPr>
            <w:r>
              <w:rPr>
                <w:rFonts w:ascii="Times New Roman" w:hAnsi="Times New Roman" w:cs="Times New Roman"/>
                <w:color w:val="auto"/>
                <w:lang w:eastAsia="lv-LV"/>
              </w:rPr>
              <w:t>Ar noteikumu projektu tiek pilnveidots valsts pārvaldes pakalpojums “Īpaš</w:t>
            </w:r>
            <w:r w:rsidR="00234232">
              <w:rPr>
                <w:rFonts w:ascii="Times New Roman" w:hAnsi="Times New Roman" w:cs="Times New Roman"/>
                <w:color w:val="auto"/>
                <w:lang w:eastAsia="lv-LV"/>
              </w:rPr>
              <w:t>ās</w:t>
            </w:r>
            <w:r>
              <w:rPr>
                <w:rFonts w:ascii="Times New Roman" w:hAnsi="Times New Roman" w:cs="Times New Roman"/>
                <w:color w:val="auto"/>
                <w:lang w:eastAsia="lv-LV"/>
              </w:rPr>
              <w:t xml:space="preserve"> veterinār</w:t>
            </w:r>
            <w:r w:rsidR="00234232">
              <w:rPr>
                <w:rFonts w:ascii="Times New Roman" w:hAnsi="Times New Roman" w:cs="Times New Roman"/>
                <w:color w:val="auto"/>
                <w:lang w:eastAsia="lv-LV"/>
              </w:rPr>
              <w:t>ās</w:t>
            </w:r>
            <w:r>
              <w:rPr>
                <w:rFonts w:ascii="Times New Roman" w:hAnsi="Times New Roman" w:cs="Times New Roman"/>
                <w:color w:val="auto"/>
                <w:lang w:eastAsia="lv-LV"/>
              </w:rPr>
              <w:t xml:space="preserve"> recep</w:t>
            </w:r>
            <w:r w:rsidR="00234232">
              <w:rPr>
                <w:rFonts w:ascii="Times New Roman" w:hAnsi="Times New Roman" w:cs="Times New Roman"/>
                <w:color w:val="auto"/>
                <w:lang w:eastAsia="lv-LV"/>
              </w:rPr>
              <w:t>tes</w:t>
            </w:r>
            <w:r>
              <w:rPr>
                <w:rFonts w:ascii="Times New Roman" w:hAnsi="Times New Roman" w:cs="Times New Roman"/>
                <w:color w:val="auto"/>
                <w:lang w:eastAsia="lv-LV"/>
              </w:rPr>
              <w:t xml:space="preserve"> veidlap</w:t>
            </w:r>
            <w:r w:rsidR="006C12FE">
              <w:rPr>
                <w:rFonts w:ascii="Times New Roman" w:hAnsi="Times New Roman" w:cs="Times New Roman"/>
                <w:color w:val="auto"/>
                <w:lang w:eastAsia="lv-LV"/>
              </w:rPr>
              <w:t>u</w:t>
            </w:r>
            <w:r>
              <w:rPr>
                <w:rFonts w:ascii="Times New Roman" w:hAnsi="Times New Roman" w:cs="Times New Roman"/>
                <w:color w:val="auto"/>
                <w:lang w:eastAsia="lv-LV"/>
              </w:rPr>
              <w:t xml:space="preserve"> izsniegšana”. Īpašās receptes veidlapas ir nepieciešamas, lai veterinārmedicīniskās prakses iestāde izrakstītu II un III saraksta </w:t>
            </w:r>
            <w:r w:rsidR="008F59B1">
              <w:rPr>
                <w:rFonts w:ascii="Times New Roman" w:hAnsi="Times New Roman" w:cs="Times New Roman"/>
                <w:color w:val="auto"/>
                <w:lang w:eastAsia="lv-LV"/>
              </w:rPr>
              <w:t xml:space="preserve">vielas un </w:t>
            </w:r>
            <w:r>
              <w:rPr>
                <w:rFonts w:ascii="Times New Roman" w:hAnsi="Times New Roman" w:cs="Times New Roman"/>
                <w:color w:val="auto"/>
                <w:lang w:eastAsia="lv-LV"/>
              </w:rPr>
              <w:t>zāles dzīvnieka ārstēšanai.</w:t>
            </w:r>
          </w:p>
          <w:p w14:paraId="74A6BC72" w14:textId="59A81A4D" w:rsidR="00A93719" w:rsidRPr="006A37C3" w:rsidRDefault="00093E13" w:rsidP="00EB3DFF">
            <w:pPr>
              <w:jc w:val="both"/>
            </w:pPr>
            <w:r w:rsidRPr="00C0208C">
              <w:rPr>
                <w:color w:val="000000" w:themeColor="text1"/>
                <w:lang w:eastAsia="lv-LV"/>
              </w:rPr>
              <w:t xml:space="preserve">Noteikumu projektā minēto valsts pārvaldes pakalpojumu </w:t>
            </w:r>
            <w:r w:rsidR="00974574">
              <w:rPr>
                <w:lang w:eastAsia="lv-LV"/>
              </w:rPr>
              <w:t>“Īpaš</w:t>
            </w:r>
            <w:r w:rsidR="00234232">
              <w:rPr>
                <w:lang w:eastAsia="lv-LV"/>
              </w:rPr>
              <w:t>ās</w:t>
            </w:r>
            <w:r w:rsidR="00974574">
              <w:rPr>
                <w:lang w:eastAsia="lv-LV"/>
              </w:rPr>
              <w:t xml:space="preserve"> veterinār</w:t>
            </w:r>
            <w:r w:rsidR="00234232">
              <w:rPr>
                <w:lang w:eastAsia="lv-LV"/>
              </w:rPr>
              <w:t>ās</w:t>
            </w:r>
            <w:r w:rsidR="00974574">
              <w:rPr>
                <w:lang w:eastAsia="lv-LV"/>
              </w:rPr>
              <w:t xml:space="preserve"> recep</w:t>
            </w:r>
            <w:r w:rsidR="00234232">
              <w:rPr>
                <w:lang w:eastAsia="lv-LV"/>
              </w:rPr>
              <w:t>tes</w:t>
            </w:r>
            <w:r w:rsidR="00974574">
              <w:rPr>
                <w:lang w:eastAsia="lv-LV"/>
              </w:rPr>
              <w:t xml:space="preserve"> veidlap</w:t>
            </w:r>
            <w:r w:rsidR="006C12FE">
              <w:rPr>
                <w:lang w:eastAsia="lv-LV"/>
              </w:rPr>
              <w:t>u</w:t>
            </w:r>
            <w:r w:rsidR="00974574">
              <w:rPr>
                <w:lang w:eastAsia="lv-LV"/>
              </w:rPr>
              <w:t xml:space="preserve"> izsniegšana” </w:t>
            </w:r>
            <w:r w:rsidRPr="00C0208C">
              <w:rPr>
                <w:color w:val="000000" w:themeColor="text1"/>
                <w:lang w:eastAsia="lv-LV"/>
              </w:rPr>
              <w:t>var pieprasīt un saņemt, izmantojot gan klātienes, gan neklātienes kanālus</w:t>
            </w:r>
            <w:r w:rsidR="002C64DC">
              <w:rPr>
                <w:color w:val="000000" w:themeColor="text1"/>
                <w:lang w:eastAsia="lv-LV"/>
              </w:rPr>
              <w:t>,</w:t>
            </w:r>
            <w:r w:rsidRPr="00C0208C">
              <w:rPr>
                <w:color w:val="000000" w:themeColor="text1"/>
                <w:lang w:eastAsia="lv-LV"/>
              </w:rPr>
              <w:t xml:space="preserve"> un š</w:t>
            </w:r>
            <w:r w:rsidR="002C64DC">
              <w:rPr>
                <w:color w:val="000000" w:themeColor="text1"/>
                <w:lang w:eastAsia="lv-LV"/>
              </w:rPr>
              <w:t>ī</w:t>
            </w:r>
            <w:r w:rsidRPr="00C0208C">
              <w:rPr>
                <w:color w:val="000000" w:themeColor="text1"/>
                <w:lang w:eastAsia="lv-LV"/>
              </w:rPr>
              <w:t xml:space="preserve"> pakalpojum</w:t>
            </w:r>
            <w:r w:rsidR="002C64DC">
              <w:rPr>
                <w:color w:val="000000" w:themeColor="text1"/>
                <w:lang w:eastAsia="lv-LV"/>
              </w:rPr>
              <w:t>a apraksts ir pieejams</w:t>
            </w:r>
            <w:r w:rsidR="002C64DC" w:rsidRPr="00C0208C">
              <w:rPr>
                <w:color w:val="000000" w:themeColor="text1"/>
                <w:lang w:eastAsia="lv-LV"/>
              </w:rPr>
              <w:t xml:space="preserve"> </w:t>
            </w:r>
            <w:r w:rsidRPr="00C0208C">
              <w:rPr>
                <w:color w:val="000000" w:themeColor="text1"/>
                <w:lang w:eastAsia="lv-LV"/>
              </w:rPr>
              <w:t xml:space="preserve">valsts pārvaldes pakalpojumu portālā </w:t>
            </w:r>
            <w:r w:rsidRPr="00C0208C">
              <w:rPr>
                <w:iCs/>
                <w:color w:val="000000" w:themeColor="text1"/>
              </w:rPr>
              <w:t>www.latvija.lv</w:t>
            </w:r>
            <w:r w:rsidRPr="00C0208C">
              <w:rPr>
                <w:color w:val="000000" w:themeColor="text1"/>
                <w:lang w:eastAsia="lv-LV"/>
              </w:rPr>
              <w:t>.</w:t>
            </w:r>
          </w:p>
        </w:tc>
      </w:tr>
      <w:tr w:rsidR="00E5323B" w:rsidRPr="00394379" w14:paraId="0653E7F8" w14:textId="77777777" w:rsidTr="009F7E5C">
        <w:tc>
          <w:tcPr>
            <w:tcW w:w="300" w:type="pct"/>
            <w:hideMark/>
          </w:tcPr>
          <w:p w14:paraId="601979D1" w14:textId="77777777" w:rsidR="00655F2C" w:rsidRPr="00394379" w:rsidRDefault="00E5323B" w:rsidP="009F7E5C">
            <w:pPr>
              <w:rPr>
                <w:iCs/>
                <w:color w:val="414142"/>
                <w:lang w:eastAsia="lv-LV"/>
              </w:rPr>
            </w:pPr>
            <w:r w:rsidRPr="00394379">
              <w:rPr>
                <w:iCs/>
                <w:color w:val="414142"/>
                <w:lang w:eastAsia="lv-LV"/>
              </w:rPr>
              <w:lastRenderedPageBreak/>
              <w:t>3.</w:t>
            </w:r>
          </w:p>
        </w:tc>
        <w:tc>
          <w:tcPr>
            <w:tcW w:w="1700" w:type="pct"/>
            <w:hideMark/>
          </w:tcPr>
          <w:p w14:paraId="4C6329D5" w14:textId="77777777" w:rsidR="00E5323B" w:rsidRPr="00A834F4" w:rsidRDefault="00E5323B" w:rsidP="009F7E5C">
            <w:pPr>
              <w:jc w:val="both"/>
              <w:rPr>
                <w:iCs/>
                <w:lang w:eastAsia="lv-LV"/>
              </w:rPr>
            </w:pPr>
            <w:r w:rsidRPr="00A834F4">
              <w:rPr>
                <w:iCs/>
                <w:lang w:eastAsia="lv-LV"/>
              </w:rPr>
              <w:t>Projekta izstrādē iesaistītās institūcijas un publiskas personas kapitālsabiedrības</w:t>
            </w:r>
          </w:p>
        </w:tc>
        <w:tc>
          <w:tcPr>
            <w:tcW w:w="3000" w:type="pct"/>
            <w:hideMark/>
          </w:tcPr>
          <w:p w14:paraId="645E0788" w14:textId="49B3030C" w:rsidR="001950C8" w:rsidRPr="00A834F4" w:rsidRDefault="001950C8" w:rsidP="009F7E5C">
            <w:pPr>
              <w:jc w:val="both"/>
              <w:rPr>
                <w:iCs/>
                <w:lang w:eastAsia="lv-LV"/>
              </w:rPr>
            </w:pPr>
            <w:r w:rsidRPr="00A834F4">
              <w:rPr>
                <w:iCs/>
                <w:lang w:eastAsia="lv-LV"/>
              </w:rPr>
              <w:t>Pārtikas un veterinārais dienests</w:t>
            </w:r>
            <w:r w:rsidR="00CF5152">
              <w:rPr>
                <w:iCs/>
                <w:lang w:eastAsia="lv-LV"/>
              </w:rPr>
              <w:t xml:space="preserve">, </w:t>
            </w:r>
            <w:r w:rsidR="00CF5152" w:rsidRPr="002E0F18">
              <w:rPr>
                <w:color w:val="000000" w:themeColor="text1"/>
                <w:lang w:eastAsia="lv-LV"/>
              </w:rPr>
              <w:t>Latvijas Lauksaimniecības universitāt</w:t>
            </w:r>
            <w:r w:rsidR="00F12550">
              <w:rPr>
                <w:color w:val="000000" w:themeColor="text1"/>
                <w:lang w:eastAsia="lv-LV"/>
              </w:rPr>
              <w:t>e</w:t>
            </w:r>
          </w:p>
        </w:tc>
      </w:tr>
      <w:tr w:rsidR="00E5323B" w:rsidRPr="00394379" w14:paraId="7597152D" w14:textId="77777777" w:rsidTr="009F7E5C">
        <w:tc>
          <w:tcPr>
            <w:tcW w:w="300" w:type="pct"/>
            <w:hideMark/>
          </w:tcPr>
          <w:p w14:paraId="5BF6B65C" w14:textId="77777777" w:rsidR="00655F2C" w:rsidRPr="00394379" w:rsidRDefault="00E5323B" w:rsidP="009F7E5C">
            <w:pPr>
              <w:rPr>
                <w:iCs/>
                <w:color w:val="414142"/>
                <w:lang w:eastAsia="lv-LV"/>
              </w:rPr>
            </w:pPr>
            <w:r w:rsidRPr="00394379">
              <w:rPr>
                <w:iCs/>
                <w:color w:val="414142"/>
                <w:lang w:eastAsia="lv-LV"/>
              </w:rPr>
              <w:t>4.</w:t>
            </w:r>
          </w:p>
        </w:tc>
        <w:tc>
          <w:tcPr>
            <w:tcW w:w="1700" w:type="pct"/>
            <w:hideMark/>
          </w:tcPr>
          <w:p w14:paraId="22BEDA24" w14:textId="77777777" w:rsidR="00E5323B" w:rsidRPr="00A834F4" w:rsidRDefault="00E5323B" w:rsidP="009F7E5C">
            <w:pPr>
              <w:rPr>
                <w:iCs/>
                <w:lang w:eastAsia="lv-LV"/>
              </w:rPr>
            </w:pPr>
            <w:r w:rsidRPr="00A834F4">
              <w:rPr>
                <w:iCs/>
                <w:lang w:eastAsia="lv-LV"/>
              </w:rPr>
              <w:t>Cita informācija</w:t>
            </w:r>
          </w:p>
        </w:tc>
        <w:tc>
          <w:tcPr>
            <w:tcW w:w="3000" w:type="pct"/>
            <w:hideMark/>
          </w:tcPr>
          <w:p w14:paraId="0EC34E14" w14:textId="6B2827F3" w:rsidR="00E5323B" w:rsidRPr="00A834F4" w:rsidRDefault="000771AC" w:rsidP="00A92FD6">
            <w:pPr>
              <w:pStyle w:val="Default"/>
              <w:spacing w:line="254" w:lineRule="auto"/>
              <w:ind w:right="141"/>
              <w:jc w:val="both"/>
              <w:rPr>
                <w:iCs/>
                <w:lang w:eastAsia="lv-LV"/>
              </w:rPr>
            </w:pPr>
            <w:r w:rsidRPr="000A661F">
              <w:rPr>
                <w:rFonts w:ascii="Times New Roman" w:eastAsia="Times New Roman" w:hAnsi="Times New Roman" w:cs="Times New Roman"/>
                <w:bCs/>
                <w:iCs/>
              </w:rPr>
              <w:t xml:space="preserve">Ievērojot </w:t>
            </w:r>
            <w:bookmarkStart w:id="8" w:name="_Hlk73014616"/>
            <w:r w:rsidRPr="000A661F">
              <w:rPr>
                <w:rFonts w:ascii="Times New Roman" w:eastAsia="Times New Roman" w:hAnsi="Times New Roman" w:cs="Times New Roman"/>
                <w:bCs/>
                <w:iCs/>
              </w:rPr>
              <w:t xml:space="preserve">Eiropas Parlamenta un Padomes 2016. gada 27. aprīļa Regulā (ES) 2016/679 par fizisku personu aizsardzību attiecībā uz personas datu apstrādi un šādu datu brīvu apriti un ar ko atceļ Direktīvu 95/46/EK (Vispārīgā datu aizsardzības regula) </w:t>
            </w:r>
            <w:bookmarkEnd w:id="8"/>
            <w:r w:rsidRPr="000A661F">
              <w:rPr>
                <w:rFonts w:ascii="Times New Roman" w:eastAsia="Times New Roman" w:hAnsi="Times New Roman" w:cs="Times New Roman"/>
                <w:bCs/>
                <w:iCs/>
              </w:rPr>
              <w:t>noteiktās prasības, noteikumu projekt</w:t>
            </w:r>
            <w:r w:rsidR="00CA4685">
              <w:rPr>
                <w:rFonts w:ascii="Times New Roman" w:eastAsia="Times New Roman" w:hAnsi="Times New Roman" w:cs="Times New Roman"/>
                <w:bCs/>
                <w:iCs/>
              </w:rPr>
              <w:t>a</w:t>
            </w:r>
            <w:r w:rsidR="00CA4685" w:rsidRPr="000A661F">
              <w:rPr>
                <w:rFonts w:ascii="Times New Roman" w:eastAsia="Times New Roman" w:hAnsi="Times New Roman" w:cs="Times New Roman"/>
                <w:bCs/>
                <w:iCs/>
              </w:rPr>
              <w:t xml:space="preserve"> </w:t>
            </w:r>
            <w:r w:rsidR="00CA4685">
              <w:rPr>
                <w:rFonts w:ascii="Times New Roman" w:eastAsia="Times New Roman" w:hAnsi="Times New Roman" w:cs="Times New Roman"/>
                <w:bCs/>
                <w:iCs/>
              </w:rPr>
              <w:t>sagatavošanas laikā</w:t>
            </w:r>
            <w:r w:rsidRPr="000A661F">
              <w:rPr>
                <w:rFonts w:ascii="Times New Roman" w:eastAsia="Times New Roman" w:hAnsi="Times New Roman" w:cs="Times New Roman"/>
                <w:bCs/>
                <w:iCs/>
              </w:rPr>
              <w:t xml:space="preserve"> ir izvērtēts </w:t>
            </w:r>
            <w:r w:rsidR="000A661F">
              <w:rPr>
                <w:rFonts w:ascii="Times New Roman" w:eastAsia="Times New Roman" w:hAnsi="Times New Roman" w:cs="Times New Roman"/>
                <w:bCs/>
                <w:iCs/>
              </w:rPr>
              <w:t xml:space="preserve">iespējami mazākais </w:t>
            </w:r>
            <w:r w:rsidRPr="000A661F">
              <w:rPr>
                <w:rFonts w:ascii="Times New Roman" w:eastAsia="Times New Roman" w:hAnsi="Times New Roman" w:cs="Times New Roman"/>
                <w:bCs/>
                <w:iCs/>
              </w:rPr>
              <w:t>nepieciešamo datu apjoms</w:t>
            </w:r>
            <w:r w:rsidR="00245626">
              <w:rPr>
                <w:rFonts w:ascii="Times New Roman" w:eastAsia="Times New Roman" w:hAnsi="Times New Roman" w:cs="Times New Roman"/>
                <w:bCs/>
                <w:iCs/>
              </w:rPr>
              <w:t>, ko pieprasa praktizējošs veterinārārsts izrakstot īpašo recepti</w:t>
            </w:r>
            <w:r w:rsidR="00D36A3D">
              <w:rPr>
                <w:rFonts w:ascii="Times New Roman" w:eastAsia="Times New Roman" w:hAnsi="Times New Roman" w:cs="Times New Roman"/>
                <w:bCs/>
                <w:iCs/>
              </w:rPr>
              <w:t xml:space="preserve">, lai nodrošinātu II un III saraksta </w:t>
            </w:r>
            <w:r w:rsidR="008F59B1">
              <w:rPr>
                <w:rFonts w:ascii="Times New Roman" w:eastAsia="Times New Roman" w:hAnsi="Times New Roman" w:cs="Times New Roman"/>
                <w:bCs/>
                <w:iCs/>
              </w:rPr>
              <w:t xml:space="preserve">vielu un </w:t>
            </w:r>
            <w:r w:rsidR="00D36A3D">
              <w:rPr>
                <w:rFonts w:ascii="Times New Roman" w:eastAsia="Times New Roman" w:hAnsi="Times New Roman" w:cs="Times New Roman"/>
                <w:bCs/>
                <w:iCs/>
              </w:rPr>
              <w:t>zāļu aprites izsekojamību.</w:t>
            </w:r>
            <w:r w:rsidR="00245626">
              <w:rPr>
                <w:rFonts w:ascii="Times New Roman" w:eastAsia="Times New Roman" w:hAnsi="Times New Roman" w:cs="Times New Roman"/>
                <w:bCs/>
                <w:iCs/>
              </w:rPr>
              <w:t xml:space="preserve"> </w:t>
            </w:r>
            <w:r w:rsidRPr="000A661F">
              <w:rPr>
                <w:rFonts w:ascii="Times New Roman" w:eastAsia="Times New Roman" w:hAnsi="Times New Roman" w:cs="Times New Roman"/>
                <w:bCs/>
                <w:iCs/>
              </w:rPr>
              <w:t xml:space="preserve">Saņemtie </w:t>
            </w:r>
            <w:r w:rsidRPr="000A661F">
              <w:rPr>
                <w:rFonts w:ascii="Times New Roman" w:eastAsia="Times New Roman" w:hAnsi="Times New Roman" w:cs="Times New Roman"/>
                <w:bCs/>
                <w:iCs/>
              </w:rPr>
              <w:lastRenderedPageBreak/>
              <w:t xml:space="preserve">personu dati tiks uzglabāti piecus gadus pēc </w:t>
            </w:r>
            <w:r w:rsidR="000A661F">
              <w:rPr>
                <w:rFonts w:ascii="Times New Roman" w:eastAsia="Times New Roman" w:hAnsi="Times New Roman" w:cs="Times New Roman"/>
                <w:bCs/>
                <w:iCs/>
              </w:rPr>
              <w:t>īpašās receptes izrakstīšanas</w:t>
            </w:r>
            <w:r w:rsidRPr="000A661F">
              <w:rPr>
                <w:rFonts w:ascii="Times New Roman" w:eastAsia="Times New Roman" w:hAnsi="Times New Roman" w:cs="Times New Roman"/>
                <w:bCs/>
                <w:iCs/>
              </w:rPr>
              <w:t>.</w:t>
            </w:r>
          </w:p>
        </w:tc>
      </w:tr>
    </w:tbl>
    <w:p w14:paraId="40145D3A" w14:textId="67ACA809" w:rsidR="00E5323B" w:rsidRPr="00394379" w:rsidRDefault="00E5323B" w:rsidP="00E5323B">
      <w:pPr>
        <w:rPr>
          <w:iCs/>
          <w:color w:val="414142"/>
          <w:lang w:eastAsia="lv-LV"/>
        </w:rPr>
      </w:pPr>
      <w:r w:rsidRPr="00394379">
        <w:rPr>
          <w:iCs/>
          <w:color w:val="414142"/>
          <w:lang w:eastAsia="lv-LV"/>
        </w:rPr>
        <w:lastRenderedPageBreak/>
        <w:t> </w:t>
      </w:r>
    </w:p>
    <w:tbl>
      <w:tblPr>
        <w:tblStyle w:val="Reatabula"/>
        <w:tblW w:w="5000" w:type="pct"/>
        <w:tblLook w:val="04A0" w:firstRow="1" w:lastRow="0" w:firstColumn="1" w:lastColumn="0" w:noHBand="0" w:noVBand="1"/>
      </w:tblPr>
      <w:tblGrid>
        <w:gridCol w:w="543"/>
        <w:gridCol w:w="3081"/>
        <w:gridCol w:w="5437"/>
      </w:tblGrid>
      <w:tr w:rsidR="00E5323B" w:rsidRPr="00885D42" w14:paraId="610AD8F8" w14:textId="77777777" w:rsidTr="00A834F4">
        <w:tc>
          <w:tcPr>
            <w:tcW w:w="0" w:type="auto"/>
            <w:gridSpan w:val="3"/>
            <w:hideMark/>
          </w:tcPr>
          <w:p w14:paraId="684959E7" w14:textId="77777777" w:rsidR="00655F2C" w:rsidRPr="00394379" w:rsidRDefault="00E5323B" w:rsidP="00212ECB">
            <w:pPr>
              <w:jc w:val="center"/>
              <w:rPr>
                <w:b/>
                <w:bCs/>
                <w:iCs/>
                <w:color w:val="414142"/>
                <w:lang w:eastAsia="lv-LV"/>
              </w:rPr>
            </w:pPr>
            <w:r w:rsidRPr="00212ECB">
              <w:rPr>
                <w:b/>
                <w:bCs/>
                <w:iCs/>
                <w:lang w:eastAsia="lv-LV"/>
              </w:rPr>
              <w:t>II. Tiesību akta projekta ietekme uz sabiedrību, tautsaimniecības attīstību un administratīvo slogu</w:t>
            </w:r>
          </w:p>
        </w:tc>
      </w:tr>
      <w:tr w:rsidR="00E5323B" w:rsidRPr="00394379" w14:paraId="29B2965C" w14:textId="77777777" w:rsidTr="00A834F4">
        <w:tc>
          <w:tcPr>
            <w:tcW w:w="300" w:type="pct"/>
            <w:hideMark/>
          </w:tcPr>
          <w:p w14:paraId="78328B11" w14:textId="77777777" w:rsidR="00655F2C" w:rsidRPr="00A834F4" w:rsidRDefault="00E5323B" w:rsidP="00E5323B">
            <w:pPr>
              <w:rPr>
                <w:iCs/>
                <w:lang w:eastAsia="lv-LV"/>
              </w:rPr>
            </w:pPr>
            <w:r w:rsidRPr="00A834F4">
              <w:rPr>
                <w:iCs/>
                <w:lang w:eastAsia="lv-LV"/>
              </w:rPr>
              <w:t>1.</w:t>
            </w:r>
          </w:p>
        </w:tc>
        <w:tc>
          <w:tcPr>
            <w:tcW w:w="1700" w:type="pct"/>
            <w:hideMark/>
          </w:tcPr>
          <w:p w14:paraId="460DF75F" w14:textId="77777777" w:rsidR="00E5323B" w:rsidRPr="00A834F4" w:rsidRDefault="00E5323B" w:rsidP="00212ECB">
            <w:pPr>
              <w:jc w:val="both"/>
              <w:rPr>
                <w:iCs/>
                <w:lang w:eastAsia="lv-LV"/>
              </w:rPr>
            </w:pPr>
            <w:r w:rsidRPr="00A834F4">
              <w:rPr>
                <w:iCs/>
                <w:lang w:eastAsia="lv-LV"/>
              </w:rPr>
              <w:t>Sabiedrības mērķgrupas, kuras tiesiskais regulējums ietekmē vai varētu ietekmēt</w:t>
            </w:r>
          </w:p>
        </w:tc>
        <w:tc>
          <w:tcPr>
            <w:tcW w:w="3000" w:type="pct"/>
            <w:hideMark/>
          </w:tcPr>
          <w:p w14:paraId="5A229C3E" w14:textId="70B23D2D" w:rsidR="0019246F" w:rsidRDefault="0019246F" w:rsidP="0019246F">
            <w:pPr>
              <w:jc w:val="both"/>
              <w:rPr>
                <w:iCs/>
                <w:color w:val="000000" w:themeColor="text1"/>
                <w:lang w:eastAsia="lv-LV"/>
              </w:rPr>
            </w:pPr>
            <w:r>
              <w:rPr>
                <w:iCs/>
                <w:color w:val="000000" w:themeColor="text1"/>
                <w:lang w:eastAsia="lv-LV"/>
              </w:rPr>
              <w:t>Noteikumu projekta tiesiskais regulējums attiecas uz:</w:t>
            </w:r>
          </w:p>
          <w:p w14:paraId="36F43765" w14:textId="7388CA15" w:rsidR="00BC49F5" w:rsidRDefault="0019246F" w:rsidP="00212ECB">
            <w:pPr>
              <w:jc w:val="both"/>
              <w:rPr>
                <w:iCs/>
                <w:color w:val="000000" w:themeColor="text1"/>
                <w:lang w:eastAsia="lv-LV"/>
              </w:rPr>
            </w:pPr>
            <w:r>
              <w:rPr>
                <w:iCs/>
                <w:color w:val="000000" w:themeColor="text1"/>
                <w:lang w:eastAsia="lv-LV"/>
              </w:rPr>
              <w:t xml:space="preserve">1) </w:t>
            </w:r>
            <w:r w:rsidR="00BC49F5">
              <w:rPr>
                <w:iCs/>
                <w:color w:val="000000" w:themeColor="text1"/>
                <w:lang w:eastAsia="lv-LV"/>
              </w:rPr>
              <w:t>dienest</w:t>
            </w:r>
            <w:r w:rsidR="002B4B7C">
              <w:rPr>
                <w:iCs/>
                <w:color w:val="000000" w:themeColor="text1"/>
                <w:lang w:eastAsia="lv-LV"/>
              </w:rPr>
              <w:t>u;</w:t>
            </w:r>
          </w:p>
          <w:p w14:paraId="02ED01F5" w14:textId="4F93D195" w:rsidR="00BC49F5" w:rsidRPr="00B870C4" w:rsidRDefault="002B4B7C" w:rsidP="00212ECB">
            <w:pPr>
              <w:jc w:val="both"/>
              <w:rPr>
                <w:color w:val="000000" w:themeColor="text1"/>
              </w:rPr>
            </w:pPr>
            <w:r>
              <w:rPr>
                <w:iCs/>
                <w:color w:val="000000" w:themeColor="text1"/>
                <w:lang w:eastAsia="lv-LV"/>
              </w:rPr>
              <w:t xml:space="preserve">2) </w:t>
            </w:r>
            <w:r w:rsidR="002C64DC">
              <w:rPr>
                <w:iCs/>
                <w:color w:val="000000" w:themeColor="text1"/>
                <w:lang w:eastAsia="lv-LV"/>
              </w:rPr>
              <w:t>563</w:t>
            </w:r>
            <w:r>
              <w:rPr>
                <w:iCs/>
                <w:color w:val="000000" w:themeColor="text1"/>
                <w:lang w:eastAsia="lv-LV"/>
              </w:rPr>
              <w:t>v</w:t>
            </w:r>
            <w:r w:rsidR="007C6D34" w:rsidRPr="00B870C4">
              <w:rPr>
                <w:iCs/>
                <w:color w:val="000000" w:themeColor="text1"/>
                <w:lang w:eastAsia="lv-LV"/>
              </w:rPr>
              <w:t>eterinārmedicīniskās prakse</w:t>
            </w:r>
            <w:r>
              <w:rPr>
                <w:iCs/>
                <w:color w:val="000000" w:themeColor="text1"/>
                <w:lang w:eastAsia="lv-LV"/>
              </w:rPr>
              <w:t>s</w:t>
            </w:r>
            <w:r w:rsidR="007C6D34" w:rsidRPr="00B870C4">
              <w:rPr>
                <w:iCs/>
                <w:color w:val="000000" w:themeColor="text1"/>
                <w:lang w:eastAsia="lv-LV"/>
              </w:rPr>
              <w:t xml:space="preserve"> </w:t>
            </w:r>
            <w:r w:rsidR="007C6D34" w:rsidRPr="003677FA">
              <w:rPr>
                <w:iCs/>
                <w:color w:val="000000" w:themeColor="text1"/>
                <w:lang w:eastAsia="lv-LV"/>
              </w:rPr>
              <w:t>iestād</w:t>
            </w:r>
            <w:r>
              <w:rPr>
                <w:iCs/>
                <w:color w:val="000000" w:themeColor="text1"/>
                <w:lang w:eastAsia="lv-LV"/>
              </w:rPr>
              <w:t>ēm;</w:t>
            </w:r>
          </w:p>
          <w:p w14:paraId="1430A83B" w14:textId="58EBF896" w:rsidR="00282925" w:rsidRPr="0064695E" w:rsidRDefault="006A37C3">
            <w:pPr>
              <w:rPr>
                <w:iCs/>
                <w:color w:val="000000" w:themeColor="text1"/>
                <w:lang w:eastAsia="lv-LV"/>
              </w:rPr>
            </w:pPr>
            <w:r>
              <w:rPr>
                <w:iCs/>
                <w:color w:val="000000" w:themeColor="text1"/>
                <w:lang w:eastAsia="lv-LV"/>
              </w:rPr>
              <w:t xml:space="preserve">3) </w:t>
            </w:r>
            <w:r w:rsidR="002C64DC">
              <w:rPr>
                <w:iCs/>
                <w:color w:val="000000" w:themeColor="text1"/>
                <w:lang w:eastAsia="lv-LV"/>
              </w:rPr>
              <w:t>958</w:t>
            </w:r>
            <w:r w:rsidR="00CA4685">
              <w:rPr>
                <w:iCs/>
                <w:color w:val="000000" w:themeColor="text1"/>
                <w:lang w:eastAsia="lv-LV"/>
              </w:rPr>
              <w:t xml:space="preserve"> </w:t>
            </w:r>
            <w:r>
              <w:rPr>
                <w:iCs/>
                <w:color w:val="000000" w:themeColor="text1"/>
                <w:lang w:eastAsia="lv-LV"/>
              </w:rPr>
              <w:t>praktizējošiem veterinārārstiem</w:t>
            </w:r>
            <w:r w:rsidR="000F6806">
              <w:rPr>
                <w:iCs/>
                <w:color w:val="000000" w:themeColor="text1"/>
                <w:lang w:eastAsia="lv-LV"/>
              </w:rPr>
              <w:t xml:space="preserve">, kas iekļauti </w:t>
            </w:r>
            <w:r>
              <w:rPr>
                <w:iCs/>
                <w:color w:val="000000" w:themeColor="text1"/>
                <w:lang w:eastAsia="lv-LV"/>
              </w:rPr>
              <w:t>vet</w:t>
            </w:r>
            <w:r w:rsidR="00C97923">
              <w:rPr>
                <w:iCs/>
                <w:color w:val="000000" w:themeColor="text1"/>
                <w:lang w:eastAsia="lv-LV"/>
              </w:rPr>
              <w:t xml:space="preserve">erinārmedicīnisko </w:t>
            </w:r>
            <w:r>
              <w:rPr>
                <w:iCs/>
                <w:color w:val="000000" w:themeColor="text1"/>
                <w:lang w:eastAsia="lv-LV"/>
              </w:rPr>
              <w:t>pakalpojuma sniedzēj</w:t>
            </w:r>
            <w:r w:rsidR="000F6806">
              <w:rPr>
                <w:iCs/>
                <w:color w:val="000000" w:themeColor="text1"/>
                <w:lang w:eastAsia="lv-LV"/>
              </w:rPr>
              <w:t>u reģistrā</w:t>
            </w:r>
            <w:r w:rsidR="005079BF">
              <w:rPr>
                <w:iCs/>
                <w:color w:val="000000" w:themeColor="text1"/>
                <w:lang w:eastAsia="lv-LV"/>
              </w:rPr>
              <w:t>.</w:t>
            </w:r>
          </w:p>
        </w:tc>
      </w:tr>
      <w:tr w:rsidR="00E5323B" w:rsidRPr="00885D42" w14:paraId="5EC0B0E5" w14:textId="77777777" w:rsidTr="00A834F4">
        <w:tc>
          <w:tcPr>
            <w:tcW w:w="300" w:type="pct"/>
            <w:hideMark/>
          </w:tcPr>
          <w:p w14:paraId="433F005E" w14:textId="77777777" w:rsidR="00655F2C" w:rsidRPr="00A834F4" w:rsidRDefault="00E5323B" w:rsidP="00E5323B">
            <w:pPr>
              <w:rPr>
                <w:iCs/>
                <w:lang w:eastAsia="lv-LV"/>
              </w:rPr>
            </w:pPr>
            <w:r w:rsidRPr="00A834F4">
              <w:rPr>
                <w:iCs/>
                <w:lang w:eastAsia="lv-LV"/>
              </w:rPr>
              <w:t>2.</w:t>
            </w:r>
          </w:p>
        </w:tc>
        <w:tc>
          <w:tcPr>
            <w:tcW w:w="1700" w:type="pct"/>
            <w:hideMark/>
          </w:tcPr>
          <w:p w14:paraId="62FDF1C9" w14:textId="77777777" w:rsidR="00E5323B" w:rsidRPr="00A834F4" w:rsidRDefault="00E5323B" w:rsidP="00212ECB">
            <w:pPr>
              <w:jc w:val="both"/>
              <w:rPr>
                <w:iCs/>
                <w:lang w:eastAsia="lv-LV"/>
              </w:rPr>
            </w:pPr>
            <w:r w:rsidRPr="00A834F4">
              <w:rPr>
                <w:iCs/>
                <w:lang w:eastAsia="lv-LV"/>
              </w:rPr>
              <w:t>Tiesiskā regulējuma ietekme uz tautsaimniecību un administratīvo slogu</w:t>
            </w:r>
          </w:p>
        </w:tc>
        <w:tc>
          <w:tcPr>
            <w:tcW w:w="3000" w:type="pct"/>
            <w:hideMark/>
          </w:tcPr>
          <w:p w14:paraId="12FD6E96" w14:textId="2FC239CF" w:rsidR="00166B3B" w:rsidRDefault="00A213F6" w:rsidP="00F27652">
            <w:pPr>
              <w:jc w:val="both"/>
              <w:rPr>
                <w:iCs/>
                <w:color w:val="000000" w:themeColor="text1"/>
                <w:lang w:eastAsia="lv-LV"/>
              </w:rPr>
            </w:pPr>
            <w:r w:rsidRPr="00394379">
              <w:rPr>
                <w:iCs/>
                <w:color w:val="000000" w:themeColor="text1"/>
                <w:lang w:eastAsia="lv-LV"/>
              </w:rPr>
              <w:t>Noteikumu projekt</w:t>
            </w:r>
            <w:r w:rsidR="008F1856">
              <w:rPr>
                <w:iCs/>
                <w:color w:val="000000" w:themeColor="text1"/>
                <w:lang w:eastAsia="lv-LV"/>
              </w:rPr>
              <w:t>a</w:t>
            </w:r>
            <w:r w:rsidR="008566DC">
              <w:rPr>
                <w:iCs/>
                <w:color w:val="000000" w:themeColor="text1"/>
                <w:lang w:eastAsia="lv-LV"/>
              </w:rPr>
              <w:t xml:space="preserve"> tiesiska</w:t>
            </w:r>
            <w:r w:rsidR="0010199A">
              <w:rPr>
                <w:iCs/>
                <w:color w:val="000000" w:themeColor="text1"/>
                <w:lang w:eastAsia="lv-LV"/>
              </w:rPr>
              <w:t>jam</w:t>
            </w:r>
            <w:r w:rsidR="008566DC">
              <w:rPr>
                <w:iCs/>
                <w:color w:val="000000" w:themeColor="text1"/>
                <w:lang w:eastAsia="lv-LV"/>
              </w:rPr>
              <w:t xml:space="preserve"> regulējum</w:t>
            </w:r>
            <w:r w:rsidR="00DD6EDA">
              <w:rPr>
                <w:iCs/>
                <w:color w:val="000000" w:themeColor="text1"/>
                <w:lang w:eastAsia="lv-LV"/>
              </w:rPr>
              <w:t xml:space="preserve">am </w:t>
            </w:r>
            <w:r w:rsidR="008F1856">
              <w:rPr>
                <w:iCs/>
                <w:color w:val="000000" w:themeColor="text1"/>
                <w:lang w:eastAsia="lv-LV"/>
              </w:rPr>
              <w:t>ir labvēlīga ietekme uz sabiedrības mērķgrupām. Tas</w:t>
            </w:r>
            <w:r w:rsidRPr="00394379">
              <w:rPr>
                <w:iCs/>
                <w:color w:val="000000" w:themeColor="text1"/>
                <w:lang w:eastAsia="lv-LV"/>
              </w:rPr>
              <w:t xml:space="preserve"> paredz samazināt administratīvo slogu veterinārmedicīniskās prakses iestādēm,</w:t>
            </w:r>
            <w:r w:rsidR="003326D4">
              <w:rPr>
                <w:iCs/>
                <w:color w:val="000000" w:themeColor="text1"/>
                <w:lang w:eastAsia="lv-LV"/>
              </w:rPr>
              <w:t xml:space="preserve"> samazinot </w:t>
            </w:r>
            <w:r w:rsidR="002C64DC">
              <w:rPr>
                <w:iCs/>
                <w:color w:val="000000" w:themeColor="text1"/>
                <w:lang w:eastAsia="lv-LV"/>
              </w:rPr>
              <w:t xml:space="preserve">to </w:t>
            </w:r>
            <w:r w:rsidR="003326D4">
              <w:rPr>
                <w:iCs/>
                <w:color w:val="000000" w:themeColor="text1"/>
                <w:lang w:eastAsia="lv-LV"/>
              </w:rPr>
              <w:t xml:space="preserve">dokumentu </w:t>
            </w:r>
            <w:r w:rsidR="00C17C6C">
              <w:rPr>
                <w:iCs/>
                <w:color w:val="000000" w:themeColor="text1"/>
                <w:lang w:eastAsia="lv-LV"/>
              </w:rPr>
              <w:t>un informācijas</w:t>
            </w:r>
            <w:r w:rsidR="005B2BA4">
              <w:rPr>
                <w:iCs/>
                <w:color w:val="000000" w:themeColor="text1"/>
                <w:lang w:eastAsia="lv-LV"/>
              </w:rPr>
              <w:t xml:space="preserve"> </w:t>
            </w:r>
            <w:r w:rsidR="000F6806">
              <w:rPr>
                <w:iCs/>
                <w:color w:val="000000" w:themeColor="text1"/>
                <w:lang w:eastAsia="lv-LV"/>
              </w:rPr>
              <w:t>apjomu</w:t>
            </w:r>
            <w:r w:rsidR="003326D4">
              <w:rPr>
                <w:iCs/>
                <w:color w:val="000000" w:themeColor="text1"/>
                <w:lang w:eastAsia="lv-LV"/>
              </w:rPr>
              <w:t>, kas jāsagatavo, jāaizpilda vai jāiesniedz dienestā</w:t>
            </w:r>
            <w:r w:rsidR="00C17C6C">
              <w:rPr>
                <w:iCs/>
                <w:color w:val="000000" w:themeColor="text1"/>
                <w:lang w:eastAsia="lv-LV"/>
              </w:rPr>
              <w:t>,</w:t>
            </w:r>
            <w:r w:rsidR="003326D4">
              <w:rPr>
                <w:iCs/>
                <w:color w:val="000000" w:themeColor="text1"/>
                <w:lang w:eastAsia="lv-LV"/>
              </w:rPr>
              <w:t xml:space="preserve"> </w:t>
            </w:r>
            <w:r w:rsidR="003326D4" w:rsidRPr="00110255">
              <w:rPr>
                <w:iCs/>
                <w:color w:val="000000" w:themeColor="text1"/>
                <w:lang w:eastAsia="lv-LV"/>
              </w:rPr>
              <w:t xml:space="preserve">nodrošinot īpašo recepšu </w:t>
            </w:r>
            <w:r w:rsidR="00C945BF" w:rsidRPr="00110255">
              <w:rPr>
                <w:iCs/>
                <w:color w:val="000000" w:themeColor="text1"/>
                <w:lang w:eastAsia="lv-LV"/>
              </w:rPr>
              <w:t xml:space="preserve">un to veidlapu </w:t>
            </w:r>
            <w:r w:rsidR="003326D4" w:rsidRPr="00110255">
              <w:rPr>
                <w:iCs/>
                <w:color w:val="000000" w:themeColor="text1"/>
                <w:lang w:eastAsia="lv-LV"/>
              </w:rPr>
              <w:t>aprites uzskaiti un izsekojamību</w:t>
            </w:r>
            <w:r w:rsidR="003326D4">
              <w:rPr>
                <w:iCs/>
                <w:color w:val="000000" w:themeColor="text1"/>
                <w:lang w:eastAsia="lv-LV"/>
              </w:rPr>
              <w:t xml:space="preserve">, kā arī samazinot </w:t>
            </w:r>
            <w:r w:rsidR="00DF144D">
              <w:rPr>
                <w:iCs/>
                <w:color w:val="000000" w:themeColor="text1"/>
                <w:lang w:eastAsia="lv-LV"/>
              </w:rPr>
              <w:t xml:space="preserve">uzskaites </w:t>
            </w:r>
            <w:r w:rsidR="003326D4">
              <w:rPr>
                <w:iCs/>
                <w:color w:val="000000" w:themeColor="text1"/>
                <w:lang w:eastAsia="lv-LV"/>
              </w:rPr>
              <w:t>dokumentu uzglabāšanas laiku.</w:t>
            </w:r>
          </w:p>
          <w:p w14:paraId="21BB8FCF" w14:textId="0C324E61" w:rsidR="006A37C3" w:rsidRDefault="00DF144D" w:rsidP="00F27652">
            <w:pPr>
              <w:jc w:val="both"/>
              <w:rPr>
                <w:iCs/>
                <w:color w:val="000000" w:themeColor="text1"/>
                <w:lang w:eastAsia="lv-LV"/>
              </w:rPr>
            </w:pPr>
            <w:r w:rsidRPr="00394379">
              <w:rPr>
                <w:iCs/>
                <w:color w:val="000000" w:themeColor="text1"/>
                <w:lang w:eastAsia="lv-LV"/>
              </w:rPr>
              <w:t xml:space="preserve">Noteikumu </w:t>
            </w:r>
            <w:r w:rsidRPr="00110255">
              <w:rPr>
                <w:iCs/>
                <w:color w:val="000000" w:themeColor="text1"/>
                <w:lang w:eastAsia="lv-LV"/>
              </w:rPr>
              <w:t>projekts paredz samazināt administratīvo slogu p</w:t>
            </w:r>
            <w:r w:rsidR="006A37C3" w:rsidRPr="00110255">
              <w:rPr>
                <w:iCs/>
                <w:color w:val="000000" w:themeColor="text1"/>
                <w:lang w:eastAsia="lv-LV"/>
              </w:rPr>
              <w:t>raktizējoš</w:t>
            </w:r>
            <w:r w:rsidRPr="00110255">
              <w:rPr>
                <w:iCs/>
                <w:color w:val="000000" w:themeColor="text1"/>
                <w:lang w:eastAsia="lv-LV"/>
              </w:rPr>
              <w:t>iem veterinārārstiem, atvieglojot un vienkāršojot īpaš</w:t>
            </w:r>
            <w:r w:rsidR="00C70613" w:rsidRPr="00110255">
              <w:rPr>
                <w:iCs/>
                <w:color w:val="000000" w:themeColor="text1"/>
                <w:lang w:eastAsia="lv-LV"/>
              </w:rPr>
              <w:t>ās</w:t>
            </w:r>
            <w:r w:rsidRPr="00110255">
              <w:rPr>
                <w:iCs/>
                <w:color w:val="000000" w:themeColor="text1"/>
                <w:lang w:eastAsia="lv-LV"/>
              </w:rPr>
              <w:t xml:space="preserve"> recep</w:t>
            </w:r>
            <w:r w:rsidR="00C70613" w:rsidRPr="00110255">
              <w:rPr>
                <w:iCs/>
                <w:color w:val="000000" w:themeColor="text1"/>
                <w:lang w:eastAsia="lv-LV"/>
              </w:rPr>
              <w:t>tes</w:t>
            </w:r>
            <w:r w:rsidRPr="00110255">
              <w:rPr>
                <w:iCs/>
                <w:color w:val="000000" w:themeColor="text1"/>
                <w:lang w:eastAsia="lv-LV"/>
              </w:rPr>
              <w:t xml:space="preserve"> izrakstīšanu un </w:t>
            </w:r>
            <w:r w:rsidR="00C70613" w:rsidRPr="00110255">
              <w:rPr>
                <w:iCs/>
                <w:color w:val="000000" w:themeColor="text1"/>
                <w:lang w:eastAsia="lv-LV"/>
              </w:rPr>
              <w:t xml:space="preserve">īpašās receptes </w:t>
            </w:r>
            <w:r w:rsidRPr="00110255">
              <w:rPr>
                <w:iCs/>
                <w:color w:val="000000" w:themeColor="text1"/>
                <w:lang w:eastAsia="lv-LV"/>
              </w:rPr>
              <w:t>veidlap</w:t>
            </w:r>
            <w:r w:rsidR="00C70613" w:rsidRPr="00110255">
              <w:rPr>
                <w:iCs/>
                <w:color w:val="000000" w:themeColor="text1"/>
                <w:lang w:eastAsia="lv-LV"/>
              </w:rPr>
              <w:t>as</w:t>
            </w:r>
            <w:r w:rsidRPr="00110255">
              <w:rPr>
                <w:iCs/>
                <w:color w:val="000000" w:themeColor="text1"/>
                <w:lang w:eastAsia="lv-LV"/>
              </w:rPr>
              <w:t xml:space="preserve"> aizpildīšanu.</w:t>
            </w:r>
          </w:p>
          <w:p w14:paraId="43318B7A" w14:textId="58FEB25C" w:rsidR="008566DC" w:rsidRPr="000C4397" w:rsidRDefault="00DD6EDA" w:rsidP="00F27652">
            <w:pPr>
              <w:jc w:val="both"/>
              <w:rPr>
                <w:iCs/>
                <w:color w:val="000000" w:themeColor="text1"/>
                <w:lang w:eastAsia="lv-LV"/>
              </w:rPr>
            </w:pPr>
            <w:r>
              <w:rPr>
                <w:iCs/>
                <w:color w:val="000000" w:themeColor="text1"/>
                <w:lang w:eastAsia="lv-LV"/>
              </w:rPr>
              <w:t>Dienestam administratīvais slogs palielināsies minimāli, jo vecā parauga īpašās receptes veidlapas ir beigušās un tiks pasūtītas jaunā parauga īpašās receptes veidlapas</w:t>
            </w:r>
            <w:r w:rsidR="00CA4685">
              <w:rPr>
                <w:iCs/>
                <w:color w:val="000000" w:themeColor="text1"/>
                <w:lang w:eastAsia="lv-LV"/>
              </w:rPr>
              <w:t>,</w:t>
            </w:r>
            <w:r>
              <w:rPr>
                <w:iCs/>
                <w:color w:val="000000" w:themeColor="text1"/>
                <w:lang w:eastAsia="lv-LV"/>
              </w:rPr>
              <w:t xml:space="preserve"> un papildu izmaksas radīsies tikai </w:t>
            </w:r>
            <w:r w:rsidR="00CA4685">
              <w:rPr>
                <w:iCs/>
                <w:color w:val="000000" w:themeColor="text1"/>
                <w:lang w:eastAsia="lv-LV"/>
              </w:rPr>
              <w:t>par</w:t>
            </w:r>
            <w:r>
              <w:rPr>
                <w:iCs/>
                <w:color w:val="000000" w:themeColor="text1"/>
                <w:lang w:eastAsia="lv-LV"/>
              </w:rPr>
              <w:t xml:space="preserve"> tām veidlapām, kas tiks iesniegtas apmaiņai no veterinārmedicīniskās prakses iestādēm.</w:t>
            </w:r>
          </w:p>
        </w:tc>
      </w:tr>
      <w:tr w:rsidR="00E5323B" w:rsidRPr="00394379" w14:paraId="7E000BCE" w14:textId="77777777" w:rsidTr="00A834F4">
        <w:tc>
          <w:tcPr>
            <w:tcW w:w="300" w:type="pct"/>
            <w:hideMark/>
          </w:tcPr>
          <w:p w14:paraId="214F1869" w14:textId="77777777" w:rsidR="00655F2C" w:rsidRPr="00212ECB" w:rsidRDefault="00E5323B" w:rsidP="00E5323B">
            <w:pPr>
              <w:rPr>
                <w:iCs/>
                <w:lang w:eastAsia="lv-LV"/>
              </w:rPr>
            </w:pPr>
            <w:r w:rsidRPr="00212ECB">
              <w:rPr>
                <w:iCs/>
                <w:lang w:eastAsia="lv-LV"/>
              </w:rPr>
              <w:t>3.</w:t>
            </w:r>
          </w:p>
        </w:tc>
        <w:tc>
          <w:tcPr>
            <w:tcW w:w="1700" w:type="pct"/>
            <w:hideMark/>
          </w:tcPr>
          <w:p w14:paraId="7268381A" w14:textId="77777777" w:rsidR="00E5323B" w:rsidRPr="00212ECB" w:rsidRDefault="00E5323B" w:rsidP="00212ECB">
            <w:pPr>
              <w:jc w:val="both"/>
              <w:rPr>
                <w:iCs/>
                <w:lang w:eastAsia="lv-LV"/>
              </w:rPr>
            </w:pPr>
            <w:r w:rsidRPr="00212ECB">
              <w:rPr>
                <w:iCs/>
                <w:lang w:eastAsia="lv-LV"/>
              </w:rPr>
              <w:t>Administratīvo izmaksu monetārs novērtējums</w:t>
            </w:r>
          </w:p>
        </w:tc>
        <w:tc>
          <w:tcPr>
            <w:tcW w:w="3000" w:type="pct"/>
            <w:hideMark/>
          </w:tcPr>
          <w:p w14:paraId="233D33FC" w14:textId="1403EE5A" w:rsidR="00E5323B" w:rsidRPr="00ED686D" w:rsidRDefault="008566DC">
            <w:pPr>
              <w:jc w:val="both"/>
              <w:rPr>
                <w:iCs/>
                <w:color w:val="000000" w:themeColor="text1"/>
                <w:lang w:eastAsia="lv-LV"/>
              </w:rPr>
            </w:pPr>
            <w:r>
              <w:rPr>
                <w:iCs/>
                <w:color w:val="000000" w:themeColor="text1"/>
                <w:lang w:eastAsia="lv-LV"/>
              </w:rPr>
              <w:t>N</w:t>
            </w:r>
            <w:r w:rsidR="000C4397" w:rsidRPr="00394379">
              <w:rPr>
                <w:iCs/>
                <w:color w:val="000000" w:themeColor="text1"/>
                <w:lang w:eastAsia="lv-LV"/>
              </w:rPr>
              <w:t xml:space="preserve">oteikumu </w:t>
            </w:r>
            <w:r w:rsidR="000C4397" w:rsidRPr="00394379">
              <w:rPr>
                <w:color w:val="000000"/>
                <w:shd w:val="clear" w:color="auto" w:fill="FFFFFF"/>
              </w:rPr>
              <w:t xml:space="preserve">projektā paredzēto normu izpildei salīdzinājumā ar esošo sistēmu administratīvās izmaksas iestādēm kopumā </w:t>
            </w:r>
            <w:r>
              <w:rPr>
                <w:color w:val="000000"/>
                <w:shd w:val="clear" w:color="auto" w:fill="FFFFFF"/>
              </w:rPr>
              <w:t xml:space="preserve">nepārsniedz </w:t>
            </w:r>
            <w:r w:rsidR="000C4397" w:rsidRPr="00394379">
              <w:rPr>
                <w:color w:val="000000"/>
                <w:shd w:val="clear" w:color="auto" w:fill="FFFFFF"/>
              </w:rPr>
              <w:t>2000 </w:t>
            </w:r>
            <w:proofErr w:type="spellStart"/>
            <w:r w:rsidR="000C4397" w:rsidRPr="00394379">
              <w:rPr>
                <w:i/>
                <w:color w:val="000000"/>
                <w:shd w:val="clear" w:color="auto" w:fill="FFFFFF"/>
              </w:rPr>
              <w:t>euro</w:t>
            </w:r>
            <w:proofErr w:type="spellEnd"/>
            <w:r w:rsidR="000C4397" w:rsidRPr="00394379">
              <w:rPr>
                <w:color w:val="000000"/>
                <w:shd w:val="clear" w:color="auto" w:fill="FFFFFF"/>
              </w:rPr>
              <w:t xml:space="preserve"> gadā, tādēļ administratīvās izmaksas nav aprēķinātas.</w:t>
            </w:r>
          </w:p>
        </w:tc>
      </w:tr>
      <w:tr w:rsidR="00E5323B" w:rsidRPr="00394379" w14:paraId="716EBB45" w14:textId="77777777" w:rsidTr="00A834F4">
        <w:tc>
          <w:tcPr>
            <w:tcW w:w="300" w:type="pct"/>
            <w:hideMark/>
          </w:tcPr>
          <w:p w14:paraId="62D1E60E" w14:textId="77777777" w:rsidR="00655F2C" w:rsidRPr="00212ECB" w:rsidRDefault="00E5323B" w:rsidP="00E5323B">
            <w:pPr>
              <w:rPr>
                <w:iCs/>
                <w:lang w:eastAsia="lv-LV"/>
              </w:rPr>
            </w:pPr>
            <w:r w:rsidRPr="00212ECB">
              <w:rPr>
                <w:iCs/>
                <w:lang w:eastAsia="lv-LV"/>
              </w:rPr>
              <w:t>4.</w:t>
            </w:r>
          </w:p>
        </w:tc>
        <w:tc>
          <w:tcPr>
            <w:tcW w:w="1700" w:type="pct"/>
            <w:hideMark/>
          </w:tcPr>
          <w:p w14:paraId="2973899E" w14:textId="77777777" w:rsidR="00E5323B" w:rsidRPr="00212ECB" w:rsidRDefault="00E5323B" w:rsidP="00212ECB">
            <w:pPr>
              <w:jc w:val="both"/>
              <w:rPr>
                <w:iCs/>
                <w:lang w:eastAsia="lv-LV"/>
              </w:rPr>
            </w:pPr>
            <w:r w:rsidRPr="00212ECB">
              <w:rPr>
                <w:iCs/>
                <w:lang w:eastAsia="lv-LV"/>
              </w:rPr>
              <w:t>Atbilstības izmaksu monetārs novērtējums</w:t>
            </w:r>
          </w:p>
        </w:tc>
        <w:tc>
          <w:tcPr>
            <w:tcW w:w="3000" w:type="pct"/>
            <w:hideMark/>
          </w:tcPr>
          <w:p w14:paraId="507346C4" w14:textId="77777777" w:rsidR="00E5323B" w:rsidRPr="00394379" w:rsidRDefault="007C6D34" w:rsidP="00E5323B">
            <w:pPr>
              <w:rPr>
                <w:iCs/>
                <w:color w:val="A6A6A6" w:themeColor="background1" w:themeShade="A6"/>
                <w:lang w:eastAsia="lv-LV"/>
              </w:rPr>
            </w:pPr>
            <w:r w:rsidRPr="00394379">
              <w:rPr>
                <w:iCs/>
                <w:color w:val="000000" w:themeColor="text1"/>
                <w:lang w:eastAsia="lv-LV"/>
              </w:rPr>
              <w:t>Projekts šo jomu neskar.</w:t>
            </w:r>
          </w:p>
        </w:tc>
      </w:tr>
      <w:tr w:rsidR="00E5323B" w:rsidRPr="00394379" w14:paraId="2D63414F" w14:textId="77777777" w:rsidTr="00A834F4">
        <w:tc>
          <w:tcPr>
            <w:tcW w:w="300" w:type="pct"/>
            <w:hideMark/>
          </w:tcPr>
          <w:p w14:paraId="40133FC0" w14:textId="77777777" w:rsidR="00655F2C" w:rsidRPr="00212ECB" w:rsidRDefault="00E5323B" w:rsidP="00E5323B">
            <w:pPr>
              <w:rPr>
                <w:iCs/>
                <w:lang w:eastAsia="lv-LV"/>
              </w:rPr>
            </w:pPr>
            <w:r w:rsidRPr="00212ECB">
              <w:rPr>
                <w:iCs/>
                <w:lang w:eastAsia="lv-LV"/>
              </w:rPr>
              <w:t>5.</w:t>
            </w:r>
          </w:p>
        </w:tc>
        <w:tc>
          <w:tcPr>
            <w:tcW w:w="1700" w:type="pct"/>
            <w:hideMark/>
          </w:tcPr>
          <w:p w14:paraId="3D8181FD" w14:textId="77777777" w:rsidR="00E5323B" w:rsidRPr="00212ECB" w:rsidRDefault="00E5323B" w:rsidP="00E5323B">
            <w:pPr>
              <w:rPr>
                <w:iCs/>
                <w:lang w:eastAsia="lv-LV"/>
              </w:rPr>
            </w:pPr>
            <w:r w:rsidRPr="00212ECB">
              <w:rPr>
                <w:iCs/>
                <w:lang w:eastAsia="lv-LV"/>
              </w:rPr>
              <w:t>Cita informācija</w:t>
            </w:r>
          </w:p>
        </w:tc>
        <w:tc>
          <w:tcPr>
            <w:tcW w:w="3000" w:type="pct"/>
            <w:hideMark/>
          </w:tcPr>
          <w:p w14:paraId="2C64AD90" w14:textId="061B3C51" w:rsidR="00E5323B" w:rsidRPr="00394379" w:rsidRDefault="008566DC" w:rsidP="008566DC">
            <w:pPr>
              <w:jc w:val="both"/>
              <w:rPr>
                <w:iCs/>
                <w:color w:val="A6A6A6" w:themeColor="background1" w:themeShade="A6"/>
                <w:lang w:eastAsia="lv-LV"/>
              </w:rPr>
            </w:pPr>
            <w:r>
              <w:rPr>
                <w:iCs/>
                <w:color w:val="000000" w:themeColor="text1"/>
                <w:lang w:eastAsia="lv-LV"/>
              </w:rPr>
              <w:t xml:space="preserve">Lielāko daļu izsniegto īpašās receptes veidlapu izmanto viens veterinārmedicīniskās prakses kabinets. 2017. gadā kopumā tika izsniegta 151 veidlapa un no tām 150 – minētajam veterinārmedicīniskās prakses kabinetam. 2018. gadā kopumā tika izsniegtas 137 veidlapas, no kurām 125 – minētajam veterinārmedicīniskās prakses </w:t>
            </w:r>
            <w:r w:rsidRPr="00ED686D">
              <w:rPr>
                <w:iCs/>
                <w:color w:val="000000" w:themeColor="text1"/>
                <w:lang w:eastAsia="lv-LV"/>
              </w:rPr>
              <w:t>kabinetam</w:t>
            </w:r>
            <w:r>
              <w:rPr>
                <w:iCs/>
                <w:color w:val="000000" w:themeColor="text1"/>
                <w:lang w:eastAsia="lv-LV"/>
              </w:rPr>
              <w:t>, bet</w:t>
            </w:r>
            <w:r w:rsidRPr="00ED686D">
              <w:rPr>
                <w:iCs/>
                <w:color w:val="000000" w:themeColor="text1"/>
                <w:lang w:eastAsia="lv-LV"/>
              </w:rPr>
              <w:t xml:space="preserve"> 2019.</w:t>
            </w:r>
            <w:r>
              <w:rPr>
                <w:iCs/>
                <w:color w:val="000000" w:themeColor="text1"/>
                <w:lang w:eastAsia="lv-LV"/>
              </w:rPr>
              <w:t> </w:t>
            </w:r>
            <w:r w:rsidRPr="00ED686D">
              <w:rPr>
                <w:iCs/>
                <w:color w:val="000000" w:themeColor="text1"/>
                <w:lang w:eastAsia="lv-LV"/>
              </w:rPr>
              <w:t>gadā kop</w:t>
            </w:r>
            <w:r>
              <w:rPr>
                <w:iCs/>
                <w:color w:val="000000" w:themeColor="text1"/>
                <w:lang w:eastAsia="lv-LV"/>
              </w:rPr>
              <w:t>um</w:t>
            </w:r>
            <w:r w:rsidRPr="00ED686D">
              <w:rPr>
                <w:iCs/>
                <w:color w:val="000000" w:themeColor="text1"/>
                <w:lang w:eastAsia="lv-LV"/>
              </w:rPr>
              <w:t xml:space="preserve">ā </w:t>
            </w:r>
            <w:r>
              <w:rPr>
                <w:iCs/>
                <w:color w:val="000000" w:themeColor="text1"/>
                <w:lang w:eastAsia="lv-LV"/>
              </w:rPr>
              <w:t xml:space="preserve">tika </w:t>
            </w:r>
            <w:r w:rsidRPr="00ED686D">
              <w:rPr>
                <w:iCs/>
                <w:color w:val="000000" w:themeColor="text1"/>
                <w:lang w:eastAsia="lv-LV"/>
              </w:rPr>
              <w:t>izsniegtas 217 veidlapas, no kurām 194</w:t>
            </w:r>
            <w:r>
              <w:rPr>
                <w:iCs/>
                <w:color w:val="000000" w:themeColor="text1"/>
                <w:lang w:eastAsia="lv-LV"/>
              </w:rPr>
              <w:t xml:space="preserve"> – minētajam veterinārmedicīniskās prakses kabinetam.</w:t>
            </w:r>
          </w:p>
        </w:tc>
      </w:tr>
    </w:tbl>
    <w:p w14:paraId="5F7B7F9F" w14:textId="03812302" w:rsidR="00F27652" w:rsidRDefault="00E5323B" w:rsidP="00E5323B">
      <w:pPr>
        <w:rPr>
          <w:iCs/>
          <w:color w:val="414142"/>
          <w:lang w:eastAsia="lv-LV"/>
        </w:rPr>
      </w:pPr>
      <w:r w:rsidRPr="00394379">
        <w:rPr>
          <w:iCs/>
          <w:color w:val="414142"/>
          <w:lang w:eastAsia="lv-LV"/>
        </w:rPr>
        <w:t> </w:t>
      </w: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7107C4" w:rsidRPr="00361733" w14:paraId="1674DC38" w14:textId="77777777" w:rsidTr="00BF203E">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A6C43E1" w14:textId="0E17F973" w:rsidR="007107C4" w:rsidRPr="00560A09" w:rsidRDefault="00E5323B" w:rsidP="00BF203E">
            <w:pPr>
              <w:pStyle w:val="Paraststmeklis"/>
              <w:spacing w:before="0" w:beforeAutospacing="0" w:after="0" w:afterAutospacing="0"/>
              <w:jc w:val="center"/>
              <w:rPr>
                <w:b/>
                <w:bCs/>
                <w:lang w:val="lv-LV"/>
              </w:rPr>
            </w:pPr>
            <w:r w:rsidRPr="00A834F4">
              <w:rPr>
                <w:iCs/>
                <w:color w:val="414142"/>
                <w:lang w:val="lv-LV" w:eastAsia="lv-LV"/>
              </w:rPr>
              <w:t> </w:t>
            </w:r>
            <w:r w:rsidR="007107C4" w:rsidRPr="00560A09">
              <w:rPr>
                <w:b/>
                <w:bCs/>
                <w:lang w:val="lv-LV"/>
              </w:rPr>
              <w:t>III. Tiesību akta projekta ietekme uz valsts budžetu un pašvaldību budžetiem</w:t>
            </w:r>
          </w:p>
        </w:tc>
      </w:tr>
      <w:tr w:rsidR="007107C4" w:rsidRPr="00560A09" w14:paraId="1E5E2D1F" w14:textId="77777777" w:rsidTr="00BF203E">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1C30FCC7" w14:textId="77777777" w:rsidR="007107C4" w:rsidRPr="00560A09" w:rsidRDefault="007107C4" w:rsidP="00BF203E">
            <w:pPr>
              <w:pStyle w:val="Paraststmeklis"/>
              <w:spacing w:before="0" w:beforeAutospacing="0" w:after="0" w:afterAutospacing="0"/>
              <w:jc w:val="center"/>
              <w:rPr>
                <w:b/>
                <w:bCs/>
                <w:lang w:val="lv-LV"/>
              </w:rPr>
            </w:pPr>
            <w:r w:rsidRPr="00560A09">
              <w:rPr>
                <w:iCs/>
                <w:lang w:val="lv-LV"/>
              </w:rPr>
              <w:t>Projekts šo jomu neskar</w:t>
            </w:r>
            <w:r w:rsidRPr="00560A09">
              <w:rPr>
                <w:lang w:val="lv-LV"/>
              </w:rPr>
              <w:t>.</w:t>
            </w:r>
          </w:p>
        </w:tc>
      </w:tr>
    </w:tbl>
    <w:p w14:paraId="1DF5B509" w14:textId="77777777" w:rsidR="007107C4" w:rsidRPr="00560A09" w:rsidRDefault="007107C4" w:rsidP="007107C4">
      <w:pPr>
        <w:jc w:val="both"/>
        <w:rPr>
          <w:sz w:val="2"/>
          <w:lang w:eastAsia="lv-LV"/>
        </w:rPr>
      </w:pPr>
    </w:p>
    <w:p w14:paraId="762EEBA4" w14:textId="77777777" w:rsidR="007107C4" w:rsidRPr="00560A09" w:rsidRDefault="007107C4" w:rsidP="007107C4">
      <w:pPr>
        <w:jc w:val="both"/>
        <w:rPr>
          <w:i/>
        </w:rPr>
      </w:pPr>
    </w:p>
    <w:tbl>
      <w:tblPr>
        <w:tblW w:w="9073"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3"/>
      </w:tblGrid>
      <w:tr w:rsidR="007107C4" w:rsidRPr="00361733" w14:paraId="4ABA254A" w14:textId="77777777" w:rsidTr="00BF203E">
        <w:tc>
          <w:tcPr>
            <w:tcW w:w="9073" w:type="dxa"/>
            <w:tcBorders>
              <w:top w:val="outset" w:sz="6" w:space="0" w:color="000000"/>
              <w:left w:val="outset" w:sz="6" w:space="0" w:color="000000"/>
              <w:bottom w:val="outset" w:sz="6" w:space="0" w:color="000000"/>
              <w:right w:val="outset" w:sz="6" w:space="0" w:color="000000"/>
            </w:tcBorders>
          </w:tcPr>
          <w:p w14:paraId="0112D676" w14:textId="77777777" w:rsidR="007107C4" w:rsidRPr="00560A09" w:rsidRDefault="007107C4" w:rsidP="00BF203E">
            <w:pPr>
              <w:jc w:val="center"/>
              <w:rPr>
                <w:b/>
                <w:bCs/>
                <w:lang w:eastAsia="lv-LV"/>
              </w:rPr>
            </w:pPr>
            <w:r w:rsidRPr="00560A09">
              <w:rPr>
                <w:b/>
                <w:bCs/>
              </w:rPr>
              <w:t>IV. Tiesību akta projekta ietekme uz spēkā esošo tiesību normu sistēmu</w:t>
            </w:r>
          </w:p>
        </w:tc>
      </w:tr>
      <w:tr w:rsidR="007107C4" w:rsidRPr="00560A09" w14:paraId="33A84237" w14:textId="77777777" w:rsidTr="00BF2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73" w:type="dxa"/>
          </w:tcPr>
          <w:p w14:paraId="6235591B" w14:textId="77777777" w:rsidR="007107C4" w:rsidRPr="00560A09" w:rsidRDefault="007107C4" w:rsidP="00BF203E">
            <w:pPr>
              <w:jc w:val="center"/>
            </w:pPr>
            <w:r w:rsidRPr="00560A09">
              <w:rPr>
                <w:iCs/>
              </w:rPr>
              <w:lastRenderedPageBreak/>
              <w:t>Projekts šo jomu neskar</w:t>
            </w:r>
            <w:r w:rsidRPr="00560A09">
              <w:t>.</w:t>
            </w:r>
          </w:p>
        </w:tc>
      </w:tr>
    </w:tbl>
    <w:p w14:paraId="590116EA" w14:textId="17D90926" w:rsidR="007107C4" w:rsidRDefault="007107C4" w:rsidP="007107C4">
      <w:pPr>
        <w:jc w:val="both"/>
      </w:pPr>
    </w:p>
    <w:tbl>
      <w:tblPr>
        <w:tblW w:w="5005" w:type="pct"/>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2947"/>
        <w:gridCol w:w="921"/>
        <w:gridCol w:w="682"/>
        <w:gridCol w:w="482"/>
        <w:gridCol w:w="2116"/>
        <w:gridCol w:w="1916"/>
      </w:tblGrid>
      <w:tr w:rsidR="003E7D46" w14:paraId="1BAC6104" w14:textId="77777777" w:rsidTr="003E7D46">
        <w:tc>
          <w:tcPr>
            <w:tcW w:w="5000" w:type="pct"/>
            <w:gridSpan w:val="6"/>
            <w:tcBorders>
              <w:top w:val="outset" w:sz="6" w:space="0" w:color="auto"/>
              <w:left w:val="outset" w:sz="6" w:space="0" w:color="auto"/>
              <w:bottom w:val="outset" w:sz="6" w:space="0" w:color="auto"/>
              <w:right w:val="outset" w:sz="6" w:space="0" w:color="auto"/>
            </w:tcBorders>
            <w:hideMark/>
          </w:tcPr>
          <w:p w14:paraId="0EC7A25C" w14:textId="77777777" w:rsidR="003E7D46" w:rsidRDefault="003E7D46" w:rsidP="000F4C92">
            <w:pPr>
              <w:jc w:val="center"/>
              <w:rPr>
                <w:b/>
              </w:rPr>
            </w:pPr>
            <w:r>
              <w:rPr>
                <w:b/>
              </w:rPr>
              <w:t> V. Tiesību akta projekta atbilstība Latvijas Republikas starptautiskajām saistībām</w:t>
            </w:r>
          </w:p>
        </w:tc>
      </w:tr>
      <w:tr w:rsidR="003E7D46" w14:paraId="293EE978" w14:textId="77777777" w:rsidTr="003E7D46">
        <w:tc>
          <w:tcPr>
            <w:tcW w:w="2134" w:type="pct"/>
            <w:gridSpan w:val="2"/>
            <w:tcBorders>
              <w:top w:val="outset" w:sz="6" w:space="0" w:color="auto"/>
              <w:left w:val="outset" w:sz="6" w:space="0" w:color="auto"/>
              <w:bottom w:val="outset" w:sz="6" w:space="0" w:color="auto"/>
              <w:right w:val="outset" w:sz="6" w:space="0" w:color="auto"/>
            </w:tcBorders>
            <w:hideMark/>
          </w:tcPr>
          <w:p w14:paraId="3F1295C5" w14:textId="77777777" w:rsidR="003E7D46" w:rsidRDefault="003E7D46" w:rsidP="000F4C92">
            <w:r>
              <w:t>Saistības pret Eiropas Savienību</w:t>
            </w:r>
          </w:p>
        </w:tc>
        <w:tc>
          <w:tcPr>
            <w:tcW w:w="2866" w:type="pct"/>
            <w:gridSpan w:val="4"/>
            <w:tcBorders>
              <w:top w:val="outset" w:sz="6" w:space="0" w:color="auto"/>
              <w:left w:val="outset" w:sz="6" w:space="0" w:color="auto"/>
              <w:bottom w:val="outset" w:sz="6" w:space="0" w:color="auto"/>
              <w:right w:val="outset" w:sz="6" w:space="0" w:color="auto"/>
            </w:tcBorders>
            <w:hideMark/>
          </w:tcPr>
          <w:p w14:paraId="47086CB3" w14:textId="3E0D6191" w:rsidR="003E7D46" w:rsidRDefault="003E7D46" w:rsidP="000F4C92">
            <w:pPr>
              <w:jc w:val="both"/>
            </w:pPr>
            <w:r w:rsidRPr="003E7D46">
              <w:t>Eiropas Parlamenta un Padomes 2018. gada 11.</w:t>
            </w:r>
            <w:r w:rsidR="00CA4685">
              <w:t> </w:t>
            </w:r>
            <w:r w:rsidRPr="003E7D46">
              <w:t>decembra Regul</w:t>
            </w:r>
            <w:r w:rsidR="001726B2">
              <w:t>a</w:t>
            </w:r>
            <w:r w:rsidRPr="003E7D46">
              <w:t xml:space="preserve"> (ES) 2019/6 par veterinārajām zālēm un ar ko atceļ Direktīvu 2001/82/EK</w:t>
            </w:r>
          </w:p>
        </w:tc>
      </w:tr>
      <w:tr w:rsidR="003E7D46" w14:paraId="3BB1B9A2" w14:textId="77777777" w:rsidTr="003E7D46">
        <w:tc>
          <w:tcPr>
            <w:tcW w:w="2134" w:type="pct"/>
            <w:gridSpan w:val="2"/>
            <w:tcBorders>
              <w:top w:val="outset" w:sz="6" w:space="0" w:color="auto"/>
              <w:left w:val="outset" w:sz="6" w:space="0" w:color="auto"/>
              <w:bottom w:val="outset" w:sz="6" w:space="0" w:color="auto"/>
              <w:right w:val="outset" w:sz="6" w:space="0" w:color="auto"/>
            </w:tcBorders>
            <w:hideMark/>
          </w:tcPr>
          <w:p w14:paraId="6D8F5D49" w14:textId="77777777" w:rsidR="003E7D46" w:rsidRDefault="003E7D46" w:rsidP="000F4C92">
            <w:r>
              <w:t>Citas starptautiskās saistības</w:t>
            </w:r>
          </w:p>
        </w:tc>
        <w:tc>
          <w:tcPr>
            <w:tcW w:w="2866" w:type="pct"/>
            <w:gridSpan w:val="4"/>
            <w:tcBorders>
              <w:top w:val="outset" w:sz="6" w:space="0" w:color="auto"/>
              <w:left w:val="outset" w:sz="6" w:space="0" w:color="auto"/>
              <w:bottom w:val="outset" w:sz="6" w:space="0" w:color="auto"/>
              <w:right w:val="outset" w:sz="6" w:space="0" w:color="auto"/>
            </w:tcBorders>
            <w:hideMark/>
          </w:tcPr>
          <w:p w14:paraId="2FFA984E" w14:textId="77777777" w:rsidR="003E7D46" w:rsidRDefault="003E7D46" w:rsidP="000F4C92">
            <w:r>
              <w:t>Nav attiecināms.</w:t>
            </w:r>
          </w:p>
        </w:tc>
      </w:tr>
      <w:tr w:rsidR="003E7D46" w14:paraId="0F74775E" w14:textId="77777777" w:rsidTr="003E7D46">
        <w:tc>
          <w:tcPr>
            <w:tcW w:w="2134" w:type="pct"/>
            <w:gridSpan w:val="2"/>
            <w:tcBorders>
              <w:top w:val="outset" w:sz="6" w:space="0" w:color="auto"/>
              <w:left w:val="outset" w:sz="6" w:space="0" w:color="auto"/>
              <w:bottom w:val="outset" w:sz="6" w:space="0" w:color="auto"/>
              <w:right w:val="outset" w:sz="6" w:space="0" w:color="auto"/>
            </w:tcBorders>
            <w:hideMark/>
          </w:tcPr>
          <w:p w14:paraId="2C2B58C4" w14:textId="77777777" w:rsidR="003E7D46" w:rsidRDefault="003E7D46" w:rsidP="000F4C92">
            <w:r>
              <w:t>Cita informācija</w:t>
            </w:r>
          </w:p>
        </w:tc>
        <w:tc>
          <w:tcPr>
            <w:tcW w:w="2866" w:type="pct"/>
            <w:gridSpan w:val="4"/>
            <w:tcBorders>
              <w:top w:val="outset" w:sz="6" w:space="0" w:color="auto"/>
              <w:left w:val="outset" w:sz="6" w:space="0" w:color="auto"/>
              <w:bottom w:val="outset" w:sz="6" w:space="0" w:color="auto"/>
              <w:right w:val="outset" w:sz="6" w:space="0" w:color="auto"/>
            </w:tcBorders>
            <w:hideMark/>
          </w:tcPr>
          <w:p w14:paraId="15F913AC" w14:textId="2264D1F7" w:rsidR="003E7D46" w:rsidRDefault="003E7D46" w:rsidP="000F4C92">
            <w:r>
              <w:t>Nav</w:t>
            </w:r>
            <w:r w:rsidR="00CA4685">
              <w:t>.</w:t>
            </w:r>
          </w:p>
        </w:tc>
      </w:tr>
      <w:tr w:rsidR="003E7D46" w14:paraId="5C16FD08" w14:textId="77777777" w:rsidTr="003E7D46">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140860" w14:textId="77777777" w:rsidR="003E7D46" w:rsidRDefault="003E7D46" w:rsidP="000F4C92">
            <w:pPr>
              <w:jc w:val="center"/>
              <w:rPr>
                <w:b/>
              </w:rPr>
            </w:pPr>
            <w:r>
              <w:rPr>
                <w:b/>
              </w:rPr>
              <w:t xml:space="preserve">1.tabula </w:t>
            </w:r>
          </w:p>
          <w:p w14:paraId="5591F954" w14:textId="77777777" w:rsidR="003E7D46" w:rsidRDefault="003E7D46" w:rsidP="000F4C92">
            <w:pPr>
              <w:jc w:val="center"/>
            </w:pPr>
            <w:r>
              <w:rPr>
                <w:b/>
              </w:rPr>
              <w:t>Tiesību akta projekta atbilstība ES tiesību aktiem</w:t>
            </w:r>
          </w:p>
        </w:tc>
      </w:tr>
      <w:tr w:rsidR="003E7D46" w14:paraId="2473CAE3" w14:textId="77777777" w:rsidTr="003E7D46">
        <w:tc>
          <w:tcPr>
            <w:tcW w:w="251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F613DD" w14:textId="77777777" w:rsidR="003E7D46" w:rsidRDefault="003E7D46" w:rsidP="000F4C92">
            <w:pPr>
              <w:pStyle w:val="naisc"/>
              <w:spacing w:before="0" w:after="0" w:line="256" w:lineRule="auto"/>
              <w:jc w:val="both"/>
            </w:pPr>
            <w:r>
              <w:t>Attiecīgo Eiropas Savienības tiesību aktu datums, numurs un nosaukums</w:t>
            </w:r>
          </w:p>
        </w:tc>
        <w:tc>
          <w:tcPr>
            <w:tcW w:w="249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64FE13" w14:textId="2CC07A4A" w:rsidR="003E7D46" w:rsidRDefault="003E7D46" w:rsidP="000F4C92">
            <w:pPr>
              <w:jc w:val="both"/>
            </w:pPr>
            <w:r w:rsidRPr="00427CA5">
              <w:rPr>
                <w:color w:val="000000" w:themeColor="text1"/>
              </w:rPr>
              <w:t>Eiropas Parlamenta un Padomes 2018. gada 11. decembr</w:t>
            </w:r>
            <w:r>
              <w:rPr>
                <w:color w:val="000000" w:themeColor="text1"/>
              </w:rPr>
              <w:t>a</w:t>
            </w:r>
            <w:r w:rsidRPr="00427CA5">
              <w:rPr>
                <w:color w:val="000000" w:themeColor="text1"/>
              </w:rPr>
              <w:t xml:space="preserve"> Regul</w:t>
            </w:r>
            <w:r w:rsidR="001726B2">
              <w:rPr>
                <w:color w:val="000000" w:themeColor="text1"/>
              </w:rPr>
              <w:t>a</w:t>
            </w:r>
            <w:r w:rsidRPr="00427CA5">
              <w:rPr>
                <w:color w:val="000000" w:themeColor="text1"/>
              </w:rPr>
              <w:t xml:space="preserve"> (ES) 2019/</w:t>
            </w:r>
            <w:r>
              <w:rPr>
                <w:color w:val="000000" w:themeColor="text1"/>
              </w:rPr>
              <w:t>6</w:t>
            </w:r>
            <w:r w:rsidRPr="00427CA5">
              <w:rPr>
                <w:color w:val="000000" w:themeColor="text1"/>
              </w:rPr>
              <w:t xml:space="preserve"> par veterinārajām zālēm un ar ko atceļ Direktīvu 2001/82/EK</w:t>
            </w:r>
            <w:r w:rsidR="001726B2">
              <w:rPr>
                <w:color w:val="000000" w:themeColor="text1"/>
              </w:rPr>
              <w:t xml:space="preserve"> </w:t>
            </w:r>
            <w:r w:rsidR="001726B2" w:rsidRPr="001726B2">
              <w:rPr>
                <w:color w:val="000000" w:themeColor="text1"/>
              </w:rPr>
              <w:t>(turpmāk – Regula 2019/6)</w:t>
            </w:r>
          </w:p>
        </w:tc>
      </w:tr>
      <w:tr w:rsidR="003E7D46" w14:paraId="0210D22A" w14:textId="77777777" w:rsidTr="003E7D46">
        <w:tc>
          <w:tcPr>
            <w:tcW w:w="1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B31D9" w14:textId="77777777" w:rsidR="003E7D46" w:rsidRDefault="003E7D46" w:rsidP="000F4C92">
            <w:pPr>
              <w:pStyle w:val="naisc"/>
              <w:spacing w:line="256" w:lineRule="auto"/>
            </w:pPr>
            <w:r>
              <w:t>A</w:t>
            </w:r>
          </w:p>
        </w:tc>
        <w:tc>
          <w:tcPr>
            <w:tcW w:w="11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EF3FAF8" w14:textId="77777777" w:rsidR="003E7D46" w:rsidRDefault="003E7D46" w:rsidP="000F4C92">
            <w:pPr>
              <w:pStyle w:val="naisc"/>
              <w:spacing w:line="256" w:lineRule="auto"/>
            </w:pPr>
            <w:r>
              <w:t>B</w:t>
            </w:r>
          </w:p>
        </w:tc>
        <w:tc>
          <w:tcPr>
            <w:tcW w:w="1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FCB38" w14:textId="77777777" w:rsidR="003E7D46" w:rsidRDefault="003E7D46" w:rsidP="000F4C92">
            <w:pPr>
              <w:pStyle w:val="naisc"/>
              <w:spacing w:line="256" w:lineRule="auto"/>
            </w:pPr>
            <w:r>
              <w:t>C</w:t>
            </w:r>
          </w:p>
        </w:tc>
        <w:tc>
          <w:tcPr>
            <w:tcW w:w="10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53F5FD" w14:textId="77777777" w:rsidR="003E7D46" w:rsidRDefault="003E7D46" w:rsidP="000F4C92">
            <w:pPr>
              <w:pStyle w:val="naisc"/>
              <w:spacing w:line="256" w:lineRule="auto"/>
            </w:pPr>
            <w:r>
              <w:t>D</w:t>
            </w:r>
          </w:p>
        </w:tc>
      </w:tr>
      <w:tr w:rsidR="003E7D46" w14:paraId="3709410F" w14:textId="77777777" w:rsidTr="003E7D46">
        <w:tc>
          <w:tcPr>
            <w:tcW w:w="1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5B546C" w14:textId="77777777" w:rsidR="003E7D46" w:rsidRDefault="003E7D46" w:rsidP="000F4C92">
            <w:pPr>
              <w:pStyle w:val="naisc"/>
              <w:spacing w:line="256" w:lineRule="auto"/>
              <w:jc w:val="both"/>
            </w:pPr>
            <w:r>
              <w:t>Attiecīgā ES tiesību akta panta numurs (uzskaitot katru tiesību akta vienību-pantu, daļu, punktu, apakšpunktu)</w:t>
            </w:r>
          </w:p>
        </w:tc>
        <w:tc>
          <w:tcPr>
            <w:tcW w:w="11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CC291CB" w14:textId="77777777" w:rsidR="003E7D46" w:rsidRDefault="003E7D46" w:rsidP="000F4C92">
            <w:pPr>
              <w:pStyle w:val="naisc"/>
              <w:spacing w:line="256" w:lineRule="auto"/>
              <w:jc w:val="both"/>
            </w:pPr>
            <w:r>
              <w:t>Projekta vienība, kas pārņem vai ievieš katru šī tabulas A ailē minēto ES tiesību akta vienību</w:t>
            </w:r>
          </w:p>
        </w:tc>
        <w:tc>
          <w:tcPr>
            <w:tcW w:w="1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F60126E" w14:textId="77777777" w:rsidR="003E7D46" w:rsidRDefault="003E7D46" w:rsidP="000F4C92">
            <w:pPr>
              <w:pStyle w:val="naisc"/>
              <w:spacing w:line="256" w:lineRule="auto"/>
              <w:jc w:val="both"/>
            </w:pPr>
            <w:r>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w:t>
            </w:r>
          </w:p>
          <w:p w14:paraId="33AFDF34" w14:textId="77777777" w:rsidR="003E7D46" w:rsidRDefault="003E7D46" w:rsidP="000F4C92">
            <w:pPr>
              <w:pStyle w:val="naisc"/>
              <w:spacing w:line="256" w:lineRule="auto"/>
              <w:jc w:val="both"/>
            </w:pPr>
            <w:r>
              <w:t>Norāda institūciju, kas ir atbildīga par šo saistību izpildi pilnībā</w:t>
            </w:r>
          </w:p>
        </w:tc>
        <w:tc>
          <w:tcPr>
            <w:tcW w:w="10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128E2D" w14:textId="77777777" w:rsidR="003E7D46" w:rsidRDefault="003E7D46" w:rsidP="000F4C92">
            <w:pPr>
              <w:pStyle w:val="naisc"/>
              <w:spacing w:line="256" w:lineRule="auto"/>
              <w:jc w:val="both"/>
            </w:pPr>
            <w:r>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w:t>
            </w:r>
          </w:p>
          <w:p w14:paraId="4BE54EB5" w14:textId="77777777" w:rsidR="003E7D46" w:rsidRDefault="003E7D46" w:rsidP="000F4C92">
            <w:pPr>
              <w:pStyle w:val="naisc"/>
              <w:spacing w:line="256" w:lineRule="auto"/>
              <w:jc w:val="both"/>
            </w:pPr>
            <w:r>
              <w:t xml:space="preserve">Norāda iespējamās alternatīvas (t.sk. alternatīvas, kas neparedz tiesiskā regulējuma izstrādi)- kādos gadījumos būtu iespējams izvairīties no stingrāku prasību noteikšanas, nekā </w:t>
            </w:r>
            <w:r>
              <w:lastRenderedPageBreak/>
              <w:t>paredzēts attiecīgajos ES tiesību aktos</w:t>
            </w:r>
          </w:p>
        </w:tc>
      </w:tr>
      <w:tr w:rsidR="003E7D46" w:rsidRPr="0040283D" w14:paraId="6985FAC3" w14:textId="77777777" w:rsidTr="003E7D46">
        <w:tc>
          <w:tcPr>
            <w:tcW w:w="1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11A4FA" w14:textId="77AF3992" w:rsidR="003E7D46" w:rsidRPr="0040283D" w:rsidRDefault="001726B2" w:rsidP="000F4C92">
            <w:pPr>
              <w:pStyle w:val="naisc"/>
              <w:spacing w:line="256" w:lineRule="auto"/>
              <w:jc w:val="both"/>
            </w:pPr>
            <w:r w:rsidRPr="001726B2">
              <w:rPr>
                <w:color w:val="000000" w:themeColor="text1"/>
              </w:rPr>
              <w:lastRenderedPageBreak/>
              <w:t>Regula</w:t>
            </w:r>
            <w:r>
              <w:rPr>
                <w:color w:val="000000" w:themeColor="text1"/>
              </w:rPr>
              <w:t>s</w:t>
            </w:r>
            <w:r w:rsidRPr="001726B2">
              <w:rPr>
                <w:color w:val="000000" w:themeColor="text1"/>
              </w:rPr>
              <w:t xml:space="preserve"> 2019/6</w:t>
            </w:r>
            <w:r w:rsidR="003E7D46">
              <w:rPr>
                <w:color w:val="000000" w:themeColor="text1"/>
              </w:rPr>
              <w:t xml:space="preserve"> 105.</w:t>
            </w:r>
            <w:r>
              <w:rPr>
                <w:color w:val="000000" w:themeColor="text1"/>
              </w:rPr>
              <w:t xml:space="preserve"> </w:t>
            </w:r>
            <w:r w:rsidR="003E7D46">
              <w:rPr>
                <w:color w:val="000000" w:themeColor="text1"/>
              </w:rPr>
              <w:t>panta 5.</w:t>
            </w:r>
            <w:r w:rsidR="00CA4685">
              <w:rPr>
                <w:color w:val="000000" w:themeColor="text1"/>
              </w:rPr>
              <w:t> </w:t>
            </w:r>
            <w:r w:rsidR="003E7D46">
              <w:rPr>
                <w:color w:val="000000" w:themeColor="text1"/>
              </w:rPr>
              <w:t>punkts</w:t>
            </w:r>
          </w:p>
        </w:tc>
        <w:tc>
          <w:tcPr>
            <w:tcW w:w="11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4F3046E" w14:textId="18409B1D" w:rsidR="003E7D46" w:rsidRPr="0040283D" w:rsidRDefault="003E7D46" w:rsidP="000F4C92">
            <w:pPr>
              <w:pStyle w:val="naisc"/>
              <w:spacing w:line="256" w:lineRule="auto"/>
              <w:jc w:val="both"/>
            </w:pPr>
            <w:r w:rsidRPr="0040283D">
              <w:t>10.</w:t>
            </w:r>
            <w:r w:rsidR="00CA4685">
              <w:t> </w:t>
            </w:r>
            <w:r w:rsidRPr="0040283D">
              <w:t>punkts</w:t>
            </w:r>
            <w:r>
              <w:t xml:space="preserve"> </w:t>
            </w:r>
            <w:r w:rsidRPr="0040283D">
              <w:t>un noteikumu projekta pielikums</w:t>
            </w:r>
          </w:p>
        </w:tc>
        <w:tc>
          <w:tcPr>
            <w:tcW w:w="1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DC24E" w14:textId="1C8BC38C" w:rsidR="003E7D46" w:rsidRPr="0040283D" w:rsidRDefault="003E7D46" w:rsidP="000F4C92">
            <w:pPr>
              <w:pStyle w:val="naisc"/>
              <w:spacing w:line="256" w:lineRule="auto"/>
              <w:jc w:val="both"/>
            </w:pPr>
            <w:r w:rsidRPr="0040283D">
              <w:t xml:space="preserve">ES tiesību akta vienība tiek </w:t>
            </w:r>
            <w:r w:rsidR="00416E73">
              <w:t>ieviesta</w:t>
            </w:r>
            <w:r w:rsidRPr="0040283D">
              <w:t xml:space="preserve"> pilnībā.</w:t>
            </w:r>
          </w:p>
        </w:tc>
        <w:tc>
          <w:tcPr>
            <w:tcW w:w="10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141C14" w14:textId="77777777" w:rsidR="003E7D46" w:rsidRPr="0040283D" w:rsidRDefault="003E7D46" w:rsidP="000F4C92">
            <w:pPr>
              <w:pStyle w:val="naisc"/>
              <w:spacing w:line="256" w:lineRule="auto"/>
              <w:jc w:val="both"/>
            </w:pPr>
            <w:r w:rsidRPr="0040283D">
              <w:t>Attiecīgais noteikumu projekta punkts neparedz stingrākas prasības kā ES tiesību aktā.</w:t>
            </w:r>
          </w:p>
        </w:tc>
      </w:tr>
      <w:tr w:rsidR="003E7D46" w:rsidRPr="0040283D" w14:paraId="21B47A83" w14:textId="77777777" w:rsidTr="003E7D46">
        <w:tc>
          <w:tcPr>
            <w:tcW w:w="1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081F33" w14:textId="5D992C72" w:rsidR="003E7D46" w:rsidRDefault="001726B2" w:rsidP="000F4C92">
            <w:pPr>
              <w:pStyle w:val="naisc"/>
              <w:spacing w:line="256" w:lineRule="auto"/>
              <w:jc w:val="both"/>
              <w:rPr>
                <w:color w:val="000000" w:themeColor="text1"/>
              </w:rPr>
            </w:pPr>
            <w:r w:rsidRPr="001726B2">
              <w:rPr>
                <w:color w:val="000000" w:themeColor="text1"/>
              </w:rPr>
              <w:t>Regula</w:t>
            </w:r>
            <w:r>
              <w:rPr>
                <w:color w:val="000000" w:themeColor="text1"/>
              </w:rPr>
              <w:t>s</w:t>
            </w:r>
            <w:r w:rsidRPr="001726B2">
              <w:rPr>
                <w:color w:val="000000" w:themeColor="text1"/>
              </w:rPr>
              <w:t xml:space="preserve"> 2019/6</w:t>
            </w:r>
            <w:r w:rsidR="003E7D46">
              <w:rPr>
                <w:color w:val="000000" w:themeColor="text1"/>
              </w:rPr>
              <w:t xml:space="preserve"> 103.</w:t>
            </w:r>
            <w:r>
              <w:rPr>
                <w:color w:val="000000" w:themeColor="text1"/>
              </w:rPr>
              <w:t xml:space="preserve"> </w:t>
            </w:r>
            <w:r w:rsidR="003E7D46">
              <w:rPr>
                <w:color w:val="000000" w:themeColor="text1"/>
              </w:rPr>
              <w:t>panta 5.</w:t>
            </w:r>
            <w:r w:rsidR="00CA4685">
              <w:rPr>
                <w:color w:val="000000" w:themeColor="text1"/>
              </w:rPr>
              <w:t> </w:t>
            </w:r>
            <w:r w:rsidR="003E7D46">
              <w:rPr>
                <w:color w:val="000000" w:themeColor="text1"/>
              </w:rPr>
              <w:t>punkts</w:t>
            </w:r>
          </w:p>
        </w:tc>
        <w:tc>
          <w:tcPr>
            <w:tcW w:w="1150"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A1B886" w14:textId="018B71CB" w:rsidR="003E7D46" w:rsidRPr="0040283D" w:rsidRDefault="003E7D46" w:rsidP="000F4C92">
            <w:pPr>
              <w:pStyle w:val="naisc"/>
              <w:spacing w:line="256" w:lineRule="auto"/>
              <w:jc w:val="both"/>
            </w:pPr>
            <w:r>
              <w:t>16.</w:t>
            </w:r>
            <w:r w:rsidR="00CA4685">
              <w:t> </w:t>
            </w:r>
            <w:r>
              <w:t>punkts</w:t>
            </w:r>
          </w:p>
        </w:tc>
        <w:tc>
          <w:tcPr>
            <w:tcW w:w="1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30D415" w14:textId="760EAC7F" w:rsidR="003E7D46" w:rsidRPr="0040283D" w:rsidRDefault="003E7D46" w:rsidP="000F4C92">
            <w:pPr>
              <w:pStyle w:val="naisc"/>
              <w:spacing w:line="256" w:lineRule="auto"/>
              <w:jc w:val="both"/>
            </w:pPr>
            <w:r w:rsidRPr="0040283D">
              <w:t xml:space="preserve">ES tiesību akta vienība tiek </w:t>
            </w:r>
            <w:r w:rsidR="00416E73">
              <w:t>ieviesta</w:t>
            </w:r>
            <w:r w:rsidRPr="0040283D">
              <w:t xml:space="preserve"> pilnībā.</w:t>
            </w:r>
          </w:p>
        </w:tc>
        <w:tc>
          <w:tcPr>
            <w:tcW w:w="105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4F694" w14:textId="7769945B" w:rsidR="003E7D46" w:rsidRPr="0040283D" w:rsidRDefault="003E7D46" w:rsidP="000F4C92">
            <w:pPr>
              <w:pStyle w:val="naisc"/>
              <w:spacing w:line="256" w:lineRule="auto"/>
              <w:jc w:val="both"/>
            </w:pPr>
            <w:r w:rsidRPr="0040283D">
              <w:t>Attiecīgais noteikumu projekta punkts neparedz stingrākas prasības kā ES tiesību aktā.</w:t>
            </w:r>
          </w:p>
        </w:tc>
      </w:tr>
      <w:tr w:rsidR="003E7D46" w14:paraId="0283A142" w14:textId="77777777" w:rsidTr="003E7D46">
        <w:tc>
          <w:tcPr>
            <w:tcW w:w="1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F20054" w14:textId="77777777" w:rsidR="003E7D46" w:rsidRDefault="003E7D46" w:rsidP="000F4C92">
            <w:pPr>
              <w:jc w:val="both"/>
            </w:pPr>
            <w:r>
              <w:t>Kā ir izmantota ES tiesību aktā paredzētā rīcības brīvība dalībvalstij pārņemt vai ieviest noteiktas ES tiesību akta normas.</w:t>
            </w:r>
          </w:p>
          <w:p w14:paraId="0603692A" w14:textId="77777777" w:rsidR="003E7D46" w:rsidRDefault="003E7D46" w:rsidP="000F4C92">
            <w:pPr>
              <w:jc w:val="both"/>
            </w:pPr>
            <w:r>
              <w:t>Kādēļ?</w:t>
            </w:r>
          </w:p>
        </w:tc>
        <w:tc>
          <w:tcPr>
            <w:tcW w:w="3374"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F1E24E" w14:textId="7A70E228" w:rsidR="003E7D46" w:rsidRDefault="00416E73" w:rsidP="000F4C92">
            <w:pPr>
              <w:pStyle w:val="naisc"/>
              <w:spacing w:line="256" w:lineRule="auto"/>
              <w:jc w:val="both"/>
            </w:pPr>
            <w:r w:rsidRPr="00FD1E59">
              <w:t>Projekts šo jomu neskar.</w:t>
            </w:r>
          </w:p>
        </w:tc>
      </w:tr>
      <w:tr w:rsidR="003E7D46" w14:paraId="27797793" w14:textId="77777777" w:rsidTr="003E7D46">
        <w:tc>
          <w:tcPr>
            <w:tcW w:w="1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ECE0911" w14:textId="77777777" w:rsidR="003E7D46" w:rsidRDefault="003E7D46" w:rsidP="000F4C92">
            <w:pPr>
              <w:pStyle w:val="naisc"/>
              <w:spacing w:line="256" w:lineRule="auto"/>
              <w:jc w:val="both"/>
            </w:pPr>
            <w: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374"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3E8B7A" w14:textId="77777777" w:rsidR="003E7D46" w:rsidRDefault="003E7D46" w:rsidP="000F4C92">
            <w:pPr>
              <w:pStyle w:val="naisc"/>
              <w:spacing w:line="256" w:lineRule="auto"/>
              <w:jc w:val="both"/>
              <w:rPr>
                <w:lang w:val="en-GB"/>
              </w:rPr>
            </w:pPr>
            <w:r w:rsidRPr="00FD1E59">
              <w:t>Projekts šo jomu neskar.</w:t>
            </w:r>
          </w:p>
        </w:tc>
      </w:tr>
      <w:tr w:rsidR="003E7D46" w:rsidRPr="00FD1E59" w14:paraId="2A3A9CB2" w14:textId="77777777" w:rsidTr="003E7D46">
        <w:tc>
          <w:tcPr>
            <w:tcW w:w="1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ED1B57" w14:textId="77777777" w:rsidR="003E7D46" w:rsidRDefault="003E7D46" w:rsidP="000F4C92">
            <w:pPr>
              <w:pStyle w:val="naisc"/>
              <w:spacing w:line="256" w:lineRule="auto"/>
              <w:jc w:val="both"/>
            </w:pPr>
            <w:r>
              <w:t>Cita informācija</w:t>
            </w:r>
          </w:p>
        </w:tc>
        <w:tc>
          <w:tcPr>
            <w:tcW w:w="3374"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468A76" w14:textId="56EDE428" w:rsidR="003E7D46" w:rsidRPr="00FD1E59" w:rsidRDefault="00416E73" w:rsidP="003E7D46">
            <w:pPr>
              <w:pStyle w:val="naisc"/>
              <w:spacing w:line="256" w:lineRule="auto"/>
              <w:jc w:val="both"/>
            </w:pPr>
            <w:r w:rsidRPr="00FD1E59">
              <w:t>Projekts šo jomu neskar.</w:t>
            </w:r>
          </w:p>
        </w:tc>
      </w:tr>
      <w:tr w:rsidR="003E7D46" w14:paraId="45206338" w14:textId="77777777" w:rsidTr="003E7D46">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9A2B9D" w14:textId="77777777" w:rsidR="003E7D46" w:rsidRDefault="003E7D46" w:rsidP="000F4C92">
            <w:pPr>
              <w:jc w:val="center"/>
              <w:rPr>
                <w:b/>
              </w:rPr>
            </w:pPr>
            <w:r>
              <w:rPr>
                <w:b/>
              </w:rPr>
              <w:t>2.tabula</w:t>
            </w:r>
          </w:p>
          <w:p w14:paraId="2687DC6F" w14:textId="77777777" w:rsidR="003E7D46" w:rsidRDefault="003E7D46" w:rsidP="000F4C92">
            <w:pPr>
              <w:jc w:val="center"/>
              <w:rPr>
                <w:b/>
              </w:rPr>
            </w:pPr>
            <w:r>
              <w:rPr>
                <w:b/>
              </w:rPr>
              <w:t>Ar tiesību akta projektu uzņemtās saistības, kas izriet no starptautiskajiem tiesību aktiem vai starptautiskas institūcijas vai organizācijas dokumentiem</w:t>
            </w:r>
          </w:p>
        </w:tc>
      </w:tr>
      <w:tr w:rsidR="003E7D46" w14:paraId="245C0B12" w14:textId="77777777" w:rsidTr="003E7D46">
        <w:tc>
          <w:tcPr>
            <w:tcW w:w="5000" w:type="pct"/>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8B2D78" w14:textId="77777777" w:rsidR="003E7D46" w:rsidRDefault="003E7D46" w:rsidP="000F4C92">
            <w:pPr>
              <w:pStyle w:val="naisc"/>
              <w:spacing w:before="0" w:after="0" w:line="256" w:lineRule="auto"/>
            </w:pPr>
            <w:r>
              <w:t>Projekts šo jomu neskar.</w:t>
            </w:r>
          </w:p>
        </w:tc>
      </w:tr>
    </w:tbl>
    <w:p w14:paraId="22663EAC" w14:textId="77777777" w:rsidR="00416E73" w:rsidRPr="00A834F4" w:rsidRDefault="00416E73" w:rsidP="00E5323B">
      <w:pPr>
        <w:rPr>
          <w:iCs/>
          <w:lang w:eastAsia="lv-LV"/>
        </w:rPr>
      </w:pPr>
    </w:p>
    <w:tbl>
      <w:tblPr>
        <w:tblStyle w:val="Reatabula"/>
        <w:tblW w:w="5000" w:type="pct"/>
        <w:tblLook w:val="04A0" w:firstRow="1" w:lastRow="0" w:firstColumn="1" w:lastColumn="0" w:noHBand="0" w:noVBand="1"/>
      </w:tblPr>
      <w:tblGrid>
        <w:gridCol w:w="543"/>
        <w:gridCol w:w="3081"/>
        <w:gridCol w:w="5437"/>
      </w:tblGrid>
      <w:tr w:rsidR="00E5323B" w:rsidRPr="00885D42" w14:paraId="2B95CC7A" w14:textId="77777777" w:rsidTr="00A834F4">
        <w:tc>
          <w:tcPr>
            <w:tcW w:w="0" w:type="auto"/>
            <w:gridSpan w:val="3"/>
            <w:hideMark/>
          </w:tcPr>
          <w:p w14:paraId="18F5DFC2" w14:textId="78B03C06" w:rsidR="00655F2C" w:rsidRPr="00394379" w:rsidRDefault="00E5323B" w:rsidP="00212ECB">
            <w:pPr>
              <w:jc w:val="center"/>
              <w:rPr>
                <w:b/>
                <w:bCs/>
                <w:iCs/>
                <w:color w:val="414142"/>
                <w:lang w:eastAsia="lv-LV"/>
              </w:rPr>
            </w:pPr>
            <w:r w:rsidRPr="00212ECB">
              <w:rPr>
                <w:b/>
                <w:bCs/>
                <w:iCs/>
                <w:lang w:eastAsia="lv-LV"/>
              </w:rPr>
              <w:t>VI. Sabiedrības līdzdalība un komunikācijas aktivitātes</w:t>
            </w:r>
          </w:p>
        </w:tc>
      </w:tr>
      <w:tr w:rsidR="00C75B06" w:rsidRPr="00394379" w14:paraId="297F143F" w14:textId="77777777" w:rsidTr="00A834F4">
        <w:tc>
          <w:tcPr>
            <w:tcW w:w="296" w:type="pct"/>
            <w:hideMark/>
          </w:tcPr>
          <w:p w14:paraId="2CD2243C" w14:textId="77777777" w:rsidR="00C75B06" w:rsidRPr="00394379" w:rsidRDefault="00C75B06" w:rsidP="00C75B06">
            <w:pPr>
              <w:rPr>
                <w:iCs/>
                <w:color w:val="414142"/>
                <w:lang w:eastAsia="lv-LV"/>
              </w:rPr>
            </w:pPr>
            <w:r w:rsidRPr="00394379">
              <w:rPr>
                <w:iCs/>
                <w:color w:val="414142"/>
                <w:lang w:eastAsia="lv-LV"/>
              </w:rPr>
              <w:t>1.</w:t>
            </w:r>
          </w:p>
        </w:tc>
        <w:tc>
          <w:tcPr>
            <w:tcW w:w="1678" w:type="pct"/>
            <w:hideMark/>
          </w:tcPr>
          <w:p w14:paraId="14C4E951" w14:textId="77777777" w:rsidR="00C75B06" w:rsidRPr="00394379" w:rsidRDefault="00C75B06" w:rsidP="00212ECB">
            <w:pPr>
              <w:jc w:val="both"/>
              <w:rPr>
                <w:iCs/>
                <w:color w:val="000000" w:themeColor="text1"/>
                <w:lang w:eastAsia="lv-LV"/>
              </w:rPr>
            </w:pPr>
            <w:r w:rsidRPr="00394379">
              <w:rPr>
                <w:iCs/>
                <w:color w:val="000000" w:themeColor="text1"/>
                <w:lang w:eastAsia="lv-LV"/>
              </w:rPr>
              <w:t>Plānotās sabiedrības līdzdalības un komunikācijas aktivitātes saistībā ar projektu</w:t>
            </w:r>
          </w:p>
        </w:tc>
        <w:tc>
          <w:tcPr>
            <w:tcW w:w="2960" w:type="pct"/>
            <w:hideMark/>
          </w:tcPr>
          <w:p w14:paraId="613781E5" w14:textId="5FB65EBB" w:rsidR="00C75B06" w:rsidRPr="00394379" w:rsidRDefault="000D5708" w:rsidP="000D5708">
            <w:pPr>
              <w:jc w:val="both"/>
              <w:rPr>
                <w:iCs/>
                <w:color w:val="A6A6A6" w:themeColor="background1" w:themeShade="A6"/>
                <w:lang w:eastAsia="lv-LV"/>
              </w:rPr>
            </w:pPr>
            <w:r>
              <w:rPr>
                <w:lang w:eastAsia="lv-LV"/>
              </w:rPr>
              <w:t>S</w:t>
            </w:r>
            <w:r w:rsidR="00C75B06" w:rsidRPr="00394379">
              <w:rPr>
                <w:lang w:eastAsia="lv-LV"/>
              </w:rPr>
              <w:t>abiedrības līdzdalība</w:t>
            </w:r>
            <w:r>
              <w:rPr>
                <w:lang w:eastAsia="lv-LV"/>
              </w:rPr>
              <w:t xml:space="preserve"> tiks </w:t>
            </w:r>
            <w:r>
              <w:t>nodrošināta saskaņā ar Ministru kabineta 2009. gada 25. augusta noteikumiem Nr. 970 “Sabiedrības līdzdalības kārtība attīstības plānošanas procesā”, sagatavojot un publicējot paziņojumu par līdzdalības procesu</w:t>
            </w:r>
            <w:r w:rsidR="00C75B06" w:rsidRPr="00394379">
              <w:rPr>
                <w:lang w:eastAsia="lv-LV"/>
              </w:rPr>
              <w:t>.</w:t>
            </w:r>
          </w:p>
        </w:tc>
      </w:tr>
      <w:tr w:rsidR="00C75B06" w:rsidRPr="00885D42" w14:paraId="1AAE3661" w14:textId="77777777" w:rsidTr="00A834F4">
        <w:tc>
          <w:tcPr>
            <w:tcW w:w="296" w:type="pct"/>
            <w:hideMark/>
          </w:tcPr>
          <w:p w14:paraId="0B387780" w14:textId="77777777" w:rsidR="00C75B06" w:rsidRPr="009B6150" w:rsidRDefault="00C75B06" w:rsidP="00C75B06">
            <w:pPr>
              <w:rPr>
                <w:iCs/>
                <w:color w:val="414142"/>
                <w:lang w:eastAsia="lv-LV"/>
              </w:rPr>
            </w:pPr>
            <w:r w:rsidRPr="009B6150">
              <w:rPr>
                <w:iCs/>
                <w:color w:val="414142"/>
                <w:lang w:eastAsia="lv-LV"/>
              </w:rPr>
              <w:lastRenderedPageBreak/>
              <w:t>2.</w:t>
            </w:r>
          </w:p>
        </w:tc>
        <w:tc>
          <w:tcPr>
            <w:tcW w:w="1678" w:type="pct"/>
            <w:hideMark/>
          </w:tcPr>
          <w:p w14:paraId="104D2F56" w14:textId="77777777" w:rsidR="00C75B06" w:rsidRPr="009B6150" w:rsidRDefault="00C75B06" w:rsidP="00212ECB">
            <w:pPr>
              <w:jc w:val="both"/>
              <w:rPr>
                <w:iCs/>
                <w:color w:val="000000" w:themeColor="text1"/>
                <w:lang w:eastAsia="lv-LV"/>
              </w:rPr>
            </w:pPr>
            <w:r w:rsidRPr="009B6150">
              <w:rPr>
                <w:iCs/>
                <w:color w:val="000000" w:themeColor="text1"/>
                <w:lang w:eastAsia="lv-LV"/>
              </w:rPr>
              <w:t>Sabiedrības līdzdalība projekta izstrādē</w:t>
            </w:r>
          </w:p>
        </w:tc>
        <w:tc>
          <w:tcPr>
            <w:tcW w:w="2960" w:type="pct"/>
            <w:hideMark/>
          </w:tcPr>
          <w:p w14:paraId="6EC98A66" w14:textId="40CDFCDC" w:rsidR="00C75B06" w:rsidRPr="00BB51F2" w:rsidRDefault="00C75B06" w:rsidP="00D02E94">
            <w:pPr>
              <w:jc w:val="both"/>
            </w:pPr>
            <w:r w:rsidRPr="00394379">
              <w:rPr>
                <w:lang w:eastAsia="lv-LV"/>
              </w:rPr>
              <w:t xml:space="preserve">Informācija par noteikumu projektu </w:t>
            </w:r>
            <w:r w:rsidR="00CA4685">
              <w:rPr>
                <w:lang w:eastAsia="lv-LV"/>
              </w:rPr>
              <w:t>bija</w:t>
            </w:r>
            <w:r w:rsidRPr="00394379">
              <w:rPr>
                <w:lang w:eastAsia="lv-LV"/>
              </w:rPr>
              <w:t xml:space="preserve"> ievietota Zemkopības ministrijas tīmekļvietnes </w:t>
            </w:r>
            <w:hyperlink r:id="rId8" w:history="1">
              <w:r w:rsidR="00360303" w:rsidRPr="000603D1">
                <w:rPr>
                  <w:rStyle w:val="Hipersaite"/>
                  <w:lang w:eastAsia="lv-LV"/>
                </w:rPr>
                <w:t>www.zm.gov.lv</w:t>
              </w:r>
            </w:hyperlink>
            <w:r w:rsidR="00360303">
              <w:rPr>
                <w:lang w:eastAsia="lv-LV"/>
              </w:rPr>
              <w:t xml:space="preserve"> sadaļā </w:t>
            </w:r>
            <w:r w:rsidR="00360303">
              <w:t>“Sabiedr</w:t>
            </w:r>
            <w:r w:rsidR="003174B6">
              <w:t>ības līdzdalība</w:t>
            </w:r>
            <w:r w:rsidR="00360303">
              <w:t>”</w:t>
            </w:r>
            <w:r w:rsidR="00360303">
              <w:rPr>
                <w:rStyle w:val="Komentraatsauce"/>
                <w:sz w:val="24"/>
                <w:szCs w:val="24"/>
              </w:rPr>
              <w:t xml:space="preserve"> un</w:t>
            </w:r>
            <w:r w:rsidR="00F27652" w:rsidRPr="00AA5D90">
              <w:rPr>
                <w:rStyle w:val="Komentraatsauce"/>
                <w:sz w:val="24"/>
                <w:szCs w:val="24"/>
              </w:rPr>
              <w:t xml:space="preserve"> </w:t>
            </w:r>
            <w:r w:rsidR="00360303">
              <w:t xml:space="preserve">Ministru kabineta tīmekļvietnes </w:t>
            </w:r>
            <w:hyperlink r:id="rId9" w:history="1">
              <w:r w:rsidR="00360303" w:rsidRPr="000603D1">
                <w:rPr>
                  <w:rStyle w:val="Hipersaite"/>
                </w:rPr>
                <w:t>www.mk.gov.lv</w:t>
              </w:r>
            </w:hyperlink>
            <w:r w:rsidR="00360303">
              <w:t xml:space="preserve"> sadaļā “Sabiedrības līdzdalība” no 2021. gada </w:t>
            </w:r>
            <w:r w:rsidR="00A834F4">
              <w:t>26.</w:t>
            </w:r>
            <w:r w:rsidR="003174B6">
              <w:t xml:space="preserve"> </w:t>
            </w:r>
            <w:r w:rsidR="00232912">
              <w:t>februār</w:t>
            </w:r>
            <w:r w:rsidR="00A834F4">
              <w:t>a</w:t>
            </w:r>
            <w:r w:rsidR="00360303" w:rsidRPr="00BB51F2">
              <w:t xml:space="preserve"> līdz </w:t>
            </w:r>
            <w:r w:rsidR="00A834F4">
              <w:t>1</w:t>
            </w:r>
            <w:r w:rsidR="003174B6">
              <w:t>2</w:t>
            </w:r>
            <w:r w:rsidR="00A834F4">
              <w:t>.</w:t>
            </w:r>
            <w:r w:rsidR="003174B6">
              <w:t xml:space="preserve"> </w:t>
            </w:r>
            <w:r w:rsidR="00442AB7">
              <w:t>martam</w:t>
            </w:r>
          </w:p>
          <w:p w14:paraId="7C1DB4CE" w14:textId="7100C0DB" w:rsidR="00E90880" w:rsidRPr="00D02E94" w:rsidRDefault="00AA263A" w:rsidP="00EB3DFF">
            <w:pPr>
              <w:jc w:val="both"/>
            </w:pPr>
            <w:hyperlink r:id="rId10" w:history="1">
              <w:r w:rsidR="003174B6" w:rsidRPr="009951A3">
                <w:rPr>
                  <w:rStyle w:val="Hipersaite"/>
                  <w:lang w:eastAsia="lv-LV"/>
                </w:rPr>
                <w:t>https://www.zm.gov.lv/zemkopibas-ministrija/apspriesanas/ministru-kabineta-noteikumu-projekts-noteikumi-par-ipasajam-veterinara?id=1005</w:t>
              </w:r>
            </w:hyperlink>
            <w:r w:rsidR="003174B6">
              <w:rPr>
                <w:lang w:eastAsia="lv-LV"/>
              </w:rPr>
              <w:t xml:space="preserve"> </w:t>
            </w:r>
            <w:r w:rsidR="00754A4B" w:rsidRPr="00BB51F2">
              <w:rPr>
                <w:lang w:eastAsia="lv-LV"/>
              </w:rPr>
              <w:t xml:space="preserve">Noteikumu projekts </w:t>
            </w:r>
            <w:r w:rsidR="00036D1B">
              <w:rPr>
                <w:lang w:eastAsia="lv-LV"/>
              </w:rPr>
              <w:t>ir</w:t>
            </w:r>
            <w:r w:rsidR="003174B6">
              <w:rPr>
                <w:lang w:eastAsia="lv-LV"/>
              </w:rPr>
              <w:t xml:space="preserve"> </w:t>
            </w:r>
            <w:r w:rsidR="009224FC">
              <w:rPr>
                <w:lang w:eastAsia="lv-LV"/>
              </w:rPr>
              <w:t>saskaņot</w:t>
            </w:r>
            <w:r w:rsidR="003174B6">
              <w:rPr>
                <w:lang w:eastAsia="lv-LV"/>
              </w:rPr>
              <w:t>s ar</w:t>
            </w:r>
            <w:r w:rsidR="009224FC">
              <w:rPr>
                <w:lang w:eastAsia="lv-LV"/>
              </w:rPr>
              <w:t xml:space="preserve"> </w:t>
            </w:r>
            <w:r w:rsidR="00754A4B" w:rsidRPr="00BB51F2">
              <w:rPr>
                <w:lang w:eastAsia="lv-LV"/>
              </w:rPr>
              <w:t xml:space="preserve">biedrībām </w:t>
            </w:r>
            <w:r w:rsidR="002C64DC">
              <w:rPr>
                <w:lang w:eastAsia="lv-LV"/>
              </w:rPr>
              <w:t>“</w:t>
            </w:r>
            <w:r w:rsidR="00754A4B" w:rsidRPr="00B514A9">
              <w:rPr>
                <w:lang w:eastAsia="lv-LV"/>
              </w:rPr>
              <w:t>Latvijas Veterinārārstu biedrība</w:t>
            </w:r>
            <w:r w:rsidR="002C64DC">
              <w:rPr>
                <w:lang w:eastAsia="lv-LV"/>
              </w:rPr>
              <w:t>”</w:t>
            </w:r>
            <w:r w:rsidR="00754A4B" w:rsidRPr="00B514A9">
              <w:rPr>
                <w:lang w:eastAsia="lv-LV"/>
              </w:rPr>
              <w:t xml:space="preserve">, </w:t>
            </w:r>
            <w:r w:rsidR="002C64DC">
              <w:rPr>
                <w:lang w:eastAsia="lv-LV"/>
              </w:rPr>
              <w:t>“</w:t>
            </w:r>
            <w:r w:rsidR="00754A4B" w:rsidRPr="00B514A9">
              <w:rPr>
                <w:lang w:eastAsia="lv-LV"/>
              </w:rPr>
              <w:t>Lauksaimnieku organizāciju sadarbības padome</w:t>
            </w:r>
            <w:r w:rsidR="002C64DC">
              <w:rPr>
                <w:lang w:eastAsia="lv-LV"/>
              </w:rPr>
              <w:t>” un</w:t>
            </w:r>
            <w:r w:rsidR="00754A4B" w:rsidRPr="00B514A9">
              <w:rPr>
                <w:lang w:eastAsia="lv-LV"/>
              </w:rPr>
              <w:t xml:space="preserve"> </w:t>
            </w:r>
            <w:r w:rsidR="002C64DC">
              <w:rPr>
                <w:lang w:eastAsia="lv-LV"/>
              </w:rPr>
              <w:t>“</w:t>
            </w:r>
            <w:r w:rsidR="00754A4B" w:rsidRPr="00B514A9">
              <w:rPr>
                <w:lang w:eastAsia="lv-LV"/>
              </w:rPr>
              <w:t>Zemnieku saeima</w:t>
            </w:r>
            <w:r w:rsidR="002C64DC">
              <w:rPr>
                <w:lang w:eastAsia="lv-LV"/>
              </w:rPr>
              <w:t>”</w:t>
            </w:r>
            <w:r w:rsidR="00B514A9" w:rsidRPr="00B514A9">
              <w:rPr>
                <w:lang w:eastAsia="lv-LV"/>
              </w:rPr>
              <w:t>.</w:t>
            </w:r>
            <w:r w:rsidR="006D2E4A" w:rsidRPr="00B514A9">
              <w:rPr>
                <w:lang w:eastAsia="lv-LV"/>
              </w:rPr>
              <w:t xml:space="preserve"> </w:t>
            </w:r>
            <w:r w:rsidR="002E0F18">
              <w:rPr>
                <w:iCs/>
                <w:color w:val="000000" w:themeColor="text1"/>
                <w:lang w:eastAsia="lv-LV"/>
              </w:rPr>
              <w:t>N</w:t>
            </w:r>
            <w:r w:rsidR="00F12550">
              <w:rPr>
                <w:iCs/>
                <w:color w:val="000000" w:themeColor="text1"/>
                <w:lang w:eastAsia="lv-LV"/>
              </w:rPr>
              <w:t>oteikumu projekts n</w:t>
            </w:r>
            <w:r w:rsidR="002E0F18">
              <w:rPr>
                <w:iCs/>
                <w:color w:val="000000" w:themeColor="text1"/>
                <w:lang w:eastAsia="lv-LV"/>
              </w:rPr>
              <w:t>osūtīts saskaņošanai 2021.</w:t>
            </w:r>
            <w:r w:rsidR="002C64DC">
              <w:rPr>
                <w:iCs/>
                <w:color w:val="000000" w:themeColor="text1"/>
                <w:lang w:eastAsia="lv-LV"/>
              </w:rPr>
              <w:t xml:space="preserve"> </w:t>
            </w:r>
            <w:r w:rsidR="002E0F18">
              <w:rPr>
                <w:iCs/>
                <w:color w:val="000000" w:themeColor="text1"/>
                <w:lang w:eastAsia="lv-LV"/>
              </w:rPr>
              <w:t>gada 26.</w:t>
            </w:r>
            <w:r w:rsidR="002C64DC">
              <w:rPr>
                <w:iCs/>
                <w:color w:val="000000" w:themeColor="text1"/>
                <w:lang w:eastAsia="lv-LV"/>
              </w:rPr>
              <w:t> </w:t>
            </w:r>
            <w:r w:rsidR="002E0F18">
              <w:rPr>
                <w:iCs/>
                <w:color w:val="000000" w:themeColor="text1"/>
                <w:lang w:eastAsia="lv-LV"/>
              </w:rPr>
              <w:t>februārī.</w:t>
            </w:r>
          </w:p>
        </w:tc>
      </w:tr>
      <w:tr w:rsidR="00C75B06" w:rsidRPr="00394379" w14:paraId="799B5FEE" w14:textId="77777777" w:rsidTr="00A834F4">
        <w:tc>
          <w:tcPr>
            <w:tcW w:w="296" w:type="pct"/>
            <w:hideMark/>
          </w:tcPr>
          <w:p w14:paraId="2868DE50" w14:textId="77777777" w:rsidR="00C75B06" w:rsidRPr="00394379" w:rsidRDefault="00C75B06" w:rsidP="00C75B06">
            <w:pPr>
              <w:rPr>
                <w:iCs/>
                <w:color w:val="414142"/>
                <w:lang w:eastAsia="lv-LV"/>
              </w:rPr>
            </w:pPr>
            <w:r w:rsidRPr="00394379">
              <w:rPr>
                <w:iCs/>
                <w:color w:val="414142"/>
                <w:lang w:eastAsia="lv-LV"/>
              </w:rPr>
              <w:t>3.</w:t>
            </w:r>
          </w:p>
        </w:tc>
        <w:tc>
          <w:tcPr>
            <w:tcW w:w="1678" w:type="pct"/>
            <w:hideMark/>
          </w:tcPr>
          <w:p w14:paraId="5A2569F2" w14:textId="77777777" w:rsidR="00C75B06" w:rsidRPr="00394379" w:rsidRDefault="00C75B06" w:rsidP="00FA7E60">
            <w:pPr>
              <w:jc w:val="both"/>
              <w:rPr>
                <w:iCs/>
                <w:color w:val="000000" w:themeColor="text1"/>
                <w:lang w:eastAsia="lv-LV"/>
              </w:rPr>
            </w:pPr>
            <w:r w:rsidRPr="00394379">
              <w:rPr>
                <w:iCs/>
                <w:color w:val="000000" w:themeColor="text1"/>
                <w:lang w:eastAsia="lv-LV"/>
              </w:rPr>
              <w:t>Sabiedrības līdzdalības rezultāti</w:t>
            </w:r>
          </w:p>
        </w:tc>
        <w:tc>
          <w:tcPr>
            <w:tcW w:w="2960" w:type="pct"/>
            <w:hideMark/>
          </w:tcPr>
          <w:p w14:paraId="010CC30F" w14:textId="4C394235" w:rsidR="00F23D26" w:rsidRDefault="00B63CEF" w:rsidP="00F23D26">
            <w:pPr>
              <w:jc w:val="both"/>
            </w:pPr>
            <w:r>
              <w:rPr>
                <w:iCs/>
                <w:color w:val="000000" w:themeColor="text1"/>
                <w:lang w:eastAsia="lv-LV"/>
              </w:rPr>
              <w:t>Par tīmekļvietnē ievietoto noteikumu projektu iebildumi un priekšlikumi nav saņemti</w:t>
            </w:r>
            <w:r w:rsidR="00F23D26">
              <w:t>.</w:t>
            </w:r>
          </w:p>
          <w:p w14:paraId="6676E0CF" w14:textId="2983A84F" w:rsidR="003174B6" w:rsidRPr="009224FC" w:rsidRDefault="00F23D26">
            <w:pPr>
              <w:jc w:val="both"/>
              <w:rPr>
                <w:iCs/>
                <w:color w:val="000000" w:themeColor="text1"/>
                <w:lang w:eastAsia="lv-LV"/>
              </w:rPr>
            </w:pPr>
            <w:r>
              <w:t xml:space="preserve">Biedrības </w:t>
            </w:r>
            <w:r w:rsidR="002C64DC">
              <w:t xml:space="preserve">noteikumu projektu </w:t>
            </w:r>
            <w:r>
              <w:t>saskaņo</w:t>
            </w:r>
            <w:r w:rsidR="002C64DC">
              <w:t>ja</w:t>
            </w:r>
            <w:r>
              <w:t xml:space="preserve"> bez iebildumiem</w:t>
            </w:r>
            <w:r w:rsidR="00DC269F">
              <w:rPr>
                <w:iCs/>
                <w:color w:val="000000" w:themeColor="text1"/>
                <w:lang w:eastAsia="lv-LV"/>
              </w:rPr>
              <w:t xml:space="preserve"> un atbalstīja tā tālāku virzību</w:t>
            </w:r>
            <w:r w:rsidR="00C561ED">
              <w:rPr>
                <w:iCs/>
                <w:color w:val="000000" w:themeColor="text1"/>
                <w:lang w:eastAsia="lv-LV"/>
              </w:rPr>
              <w:t>.</w:t>
            </w:r>
          </w:p>
        </w:tc>
      </w:tr>
      <w:tr w:rsidR="00C75B06" w:rsidRPr="00394379" w14:paraId="07054D1B" w14:textId="77777777" w:rsidTr="00A834F4">
        <w:tc>
          <w:tcPr>
            <w:tcW w:w="296" w:type="pct"/>
            <w:hideMark/>
          </w:tcPr>
          <w:p w14:paraId="58BC3288" w14:textId="77777777" w:rsidR="00C75B06" w:rsidRPr="00394379" w:rsidRDefault="00C75B06" w:rsidP="00C75B06">
            <w:pPr>
              <w:rPr>
                <w:iCs/>
                <w:color w:val="414142"/>
                <w:lang w:eastAsia="lv-LV"/>
              </w:rPr>
            </w:pPr>
            <w:r w:rsidRPr="00394379">
              <w:rPr>
                <w:iCs/>
                <w:color w:val="414142"/>
                <w:lang w:eastAsia="lv-LV"/>
              </w:rPr>
              <w:t>4.</w:t>
            </w:r>
          </w:p>
        </w:tc>
        <w:tc>
          <w:tcPr>
            <w:tcW w:w="1678" w:type="pct"/>
            <w:hideMark/>
          </w:tcPr>
          <w:p w14:paraId="46EB7C06" w14:textId="77777777" w:rsidR="00C75B06" w:rsidRPr="00394379" w:rsidRDefault="00C75B06" w:rsidP="00FA7E60">
            <w:pPr>
              <w:jc w:val="both"/>
              <w:rPr>
                <w:iCs/>
                <w:color w:val="000000" w:themeColor="text1"/>
                <w:lang w:eastAsia="lv-LV"/>
              </w:rPr>
            </w:pPr>
            <w:r w:rsidRPr="00394379">
              <w:rPr>
                <w:iCs/>
                <w:color w:val="000000" w:themeColor="text1"/>
                <w:lang w:eastAsia="lv-LV"/>
              </w:rPr>
              <w:t>Cita informācija</w:t>
            </w:r>
          </w:p>
        </w:tc>
        <w:tc>
          <w:tcPr>
            <w:tcW w:w="2960" w:type="pct"/>
            <w:hideMark/>
          </w:tcPr>
          <w:p w14:paraId="5301CC3E" w14:textId="276DA3C1" w:rsidR="000C4397" w:rsidRPr="00B514A9" w:rsidRDefault="00F23D26" w:rsidP="00EB3DFF">
            <w:pPr>
              <w:jc w:val="both"/>
              <w:rPr>
                <w:color w:val="000000" w:themeColor="text1"/>
                <w:lang w:eastAsia="lv-LV"/>
              </w:rPr>
            </w:pPr>
            <w:r>
              <w:rPr>
                <w:color w:val="000000" w:themeColor="text1"/>
                <w:lang w:eastAsia="lv-LV"/>
              </w:rPr>
              <w:t>Nav</w:t>
            </w:r>
            <w:r w:rsidR="002C64DC">
              <w:rPr>
                <w:color w:val="000000" w:themeColor="text1"/>
                <w:lang w:eastAsia="lv-LV"/>
              </w:rPr>
              <w:t>.</w:t>
            </w:r>
          </w:p>
        </w:tc>
      </w:tr>
    </w:tbl>
    <w:p w14:paraId="716BAB78" w14:textId="05D2B857" w:rsidR="00E5323B" w:rsidRPr="00394379" w:rsidRDefault="00E5323B" w:rsidP="00E5323B">
      <w:pPr>
        <w:rPr>
          <w:iCs/>
          <w:color w:val="414142"/>
          <w:lang w:eastAsia="lv-LV"/>
        </w:rPr>
      </w:pPr>
    </w:p>
    <w:tbl>
      <w:tblPr>
        <w:tblStyle w:val="Reatabula"/>
        <w:tblW w:w="5000" w:type="pct"/>
        <w:tblLook w:val="04A0" w:firstRow="1" w:lastRow="0" w:firstColumn="1" w:lastColumn="0" w:noHBand="0" w:noVBand="1"/>
      </w:tblPr>
      <w:tblGrid>
        <w:gridCol w:w="543"/>
        <w:gridCol w:w="3081"/>
        <w:gridCol w:w="5437"/>
      </w:tblGrid>
      <w:tr w:rsidR="00E5323B" w:rsidRPr="00885D42" w14:paraId="2CE467F7" w14:textId="77777777" w:rsidTr="00A834F4">
        <w:tc>
          <w:tcPr>
            <w:tcW w:w="0" w:type="auto"/>
            <w:gridSpan w:val="3"/>
            <w:hideMark/>
          </w:tcPr>
          <w:p w14:paraId="4A9E104E" w14:textId="77777777" w:rsidR="00655F2C" w:rsidRPr="00394379" w:rsidRDefault="00E5323B" w:rsidP="00E5323B">
            <w:pPr>
              <w:rPr>
                <w:b/>
                <w:bCs/>
                <w:iCs/>
                <w:color w:val="414142"/>
                <w:lang w:eastAsia="lv-LV"/>
              </w:rPr>
            </w:pPr>
            <w:r w:rsidRPr="00394379">
              <w:rPr>
                <w:b/>
                <w:bCs/>
                <w:iCs/>
                <w:color w:val="414142"/>
                <w:lang w:eastAsia="lv-LV"/>
              </w:rPr>
              <w:t>VII. Tiesību akta projekta izpildes nodrošināšana un tās ietekme uz institūcijām</w:t>
            </w:r>
          </w:p>
        </w:tc>
      </w:tr>
      <w:tr w:rsidR="00E5323B" w:rsidRPr="00885D42" w14:paraId="7EC4D454" w14:textId="77777777" w:rsidTr="00A834F4">
        <w:tc>
          <w:tcPr>
            <w:tcW w:w="300" w:type="pct"/>
            <w:hideMark/>
          </w:tcPr>
          <w:p w14:paraId="51752A39" w14:textId="77777777" w:rsidR="00655F2C" w:rsidRPr="00394379" w:rsidRDefault="00E5323B" w:rsidP="00E5323B">
            <w:pPr>
              <w:rPr>
                <w:iCs/>
                <w:color w:val="414142"/>
                <w:lang w:eastAsia="lv-LV"/>
              </w:rPr>
            </w:pPr>
            <w:r w:rsidRPr="00394379">
              <w:rPr>
                <w:iCs/>
                <w:color w:val="414142"/>
                <w:lang w:eastAsia="lv-LV"/>
              </w:rPr>
              <w:t>1.</w:t>
            </w:r>
          </w:p>
        </w:tc>
        <w:tc>
          <w:tcPr>
            <w:tcW w:w="1700" w:type="pct"/>
            <w:hideMark/>
          </w:tcPr>
          <w:p w14:paraId="16E1AF17" w14:textId="77777777" w:rsidR="00E5323B" w:rsidRPr="004626A0" w:rsidRDefault="00E5323B" w:rsidP="00FA7E60">
            <w:pPr>
              <w:jc w:val="both"/>
              <w:rPr>
                <w:iCs/>
                <w:lang w:eastAsia="lv-LV"/>
              </w:rPr>
            </w:pPr>
            <w:r w:rsidRPr="004626A0">
              <w:rPr>
                <w:iCs/>
                <w:lang w:eastAsia="lv-LV"/>
              </w:rPr>
              <w:t>Projekta izpildē iesaistītās institūcijas</w:t>
            </w:r>
          </w:p>
        </w:tc>
        <w:tc>
          <w:tcPr>
            <w:tcW w:w="3000" w:type="pct"/>
            <w:hideMark/>
          </w:tcPr>
          <w:p w14:paraId="6B06CBC9" w14:textId="0C018620" w:rsidR="00E5323B" w:rsidRPr="001B523E" w:rsidRDefault="007C6D34" w:rsidP="00FA7E60">
            <w:pPr>
              <w:jc w:val="both"/>
              <w:rPr>
                <w:color w:val="000000" w:themeColor="text1"/>
                <w:lang w:eastAsia="lv-LV"/>
              </w:rPr>
            </w:pPr>
            <w:r w:rsidRPr="001B523E">
              <w:rPr>
                <w:iCs/>
                <w:color w:val="000000" w:themeColor="text1"/>
                <w:lang w:eastAsia="lv-LV"/>
              </w:rPr>
              <w:t>Pārtikas un veterinārais dienests</w:t>
            </w:r>
          </w:p>
        </w:tc>
      </w:tr>
      <w:tr w:rsidR="00E5323B" w:rsidRPr="00394379" w14:paraId="467AD279" w14:textId="77777777" w:rsidTr="00A834F4">
        <w:tc>
          <w:tcPr>
            <w:tcW w:w="300" w:type="pct"/>
            <w:hideMark/>
          </w:tcPr>
          <w:p w14:paraId="60129386" w14:textId="77777777" w:rsidR="00655F2C" w:rsidRPr="00394379" w:rsidRDefault="00E5323B" w:rsidP="00E5323B">
            <w:pPr>
              <w:rPr>
                <w:iCs/>
                <w:color w:val="414142"/>
                <w:lang w:eastAsia="lv-LV"/>
              </w:rPr>
            </w:pPr>
            <w:r w:rsidRPr="00394379">
              <w:rPr>
                <w:iCs/>
                <w:color w:val="414142"/>
                <w:lang w:eastAsia="lv-LV"/>
              </w:rPr>
              <w:t>2.</w:t>
            </w:r>
          </w:p>
        </w:tc>
        <w:tc>
          <w:tcPr>
            <w:tcW w:w="1700" w:type="pct"/>
            <w:hideMark/>
          </w:tcPr>
          <w:p w14:paraId="43B26302" w14:textId="77777777" w:rsidR="00E5323B" w:rsidRPr="004626A0" w:rsidRDefault="00E5323B" w:rsidP="00FA7E60">
            <w:pPr>
              <w:jc w:val="both"/>
              <w:rPr>
                <w:iCs/>
                <w:lang w:eastAsia="lv-LV"/>
              </w:rPr>
            </w:pPr>
            <w:r w:rsidRPr="004626A0">
              <w:rPr>
                <w:iCs/>
                <w:lang w:eastAsia="lv-LV"/>
              </w:rPr>
              <w:t>Projekta izpildes ietekme uz pārvaldes funkcijām un institucionālo struktūru.</w:t>
            </w:r>
            <w:r w:rsidRPr="004626A0">
              <w:rPr>
                <w:iCs/>
                <w:lang w:eastAsia="lv-LV"/>
              </w:rPr>
              <w:br/>
              <w:t>Jaunu institūciju izveide, esošu institūciju likvidācija vai reorganizācija, to ietekme uz institūcijas cilvēkresursiem</w:t>
            </w:r>
          </w:p>
        </w:tc>
        <w:tc>
          <w:tcPr>
            <w:tcW w:w="3000" w:type="pct"/>
            <w:hideMark/>
          </w:tcPr>
          <w:p w14:paraId="4D8FD84B" w14:textId="77777777" w:rsidR="00D563DC" w:rsidRPr="00394379" w:rsidRDefault="00D563DC" w:rsidP="00D563DC">
            <w:pPr>
              <w:pStyle w:val="Bezatstarpm"/>
              <w:jc w:val="both"/>
              <w:rPr>
                <w:rFonts w:ascii="Times New Roman" w:hAnsi="Times New Roman"/>
                <w:sz w:val="24"/>
                <w:szCs w:val="24"/>
                <w:lang w:eastAsia="lv-LV"/>
              </w:rPr>
            </w:pPr>
            <w:r w:rsidRPr="00394379">
              <w:rPr>
                <w:rFonts w:ascii="Times New Roman" w:hAnsi="Times New Roman"/>
                <w:sz w:val="24"/>
                <w:szCs w:val="24"/>
                <w:lang w:eastAsia="lv-LV"/>
              </w:rPr>
              <w:t>Nav ietekmes uz pārvaldes funkcijām un institucionālo struktūru.</w:t>
            </w:r>
          </w:p>
          <w:p w14:paraId="1F9AC90E" w14:textId="77777777" w:rsidR="00D563DC" w:rsidRPr="00394379" w:rsidRDefault="00D563DC" w:rsidP="00FA7E60">
            <w:pPr>
              <w:jc w:val="both"/>
              <w:rPr>
                <w:lang w:eastAsia="lv-LV"/>
              </w:rPr>
            </w:pPr>
            <w:r w:rsidRPr="00394379">
              <w:rPr>
                <w:lang w:eastAsia="lv-LV"/>
              </w:rPr>
              <w:t>Nav paredzēta jaunu institūciju izveide, esošu institūciju likvidācija vai reorganizācija, ne arī to ietekme uz institūcijas cilvēkresursiem.</w:t>
            </w:r>
          </w:p>
          <w:p w14:paraId="22698E0A" w14:textId="7FF68EB5" w:rsidR="00677102" w:rsidRPr="00A834F4" w:rsidRDefault="00677102" w:rsidP="00A834F4">
            <w:pPr>
              <w:jc w:val="both"/>
              <w:rPr>
                <w:iCs/>
              </w:rPr>
            </w:pPr>
            <w:r w:rsidRPr="00394379">
              <w:rPr>
                <w:iCs/>
              </w:rPr>
              <w:t>Projekts tiks izpildīts par esošajiem resursiem</w:t>
            </w:r>
            <w:r w:rsidR="00C75B06" w:rsidRPr="00394379">
              <w:rPr>
                <w:iCs/>
              </w:rPr>
              <w:t>.</w:t>
            </w:r>
          </w:p>
        </w:tc>
      </w:tr>
      <w:tr w:rsidR="00E5323B" w:rsidRPr="00394379" w14:paraId="4C3C3303" w14:textId="77777777" w:rsidTr="00A834F4">
        <w:tc>
          <w:tcPr>
            <w:tcW w:w="300" w:type="pct"/>
            <w:hideMark/>
          </w:tcPr>
          <w:p w14:paraId="70E958AD" w14:textId="77777777" w:rsidR="00655F2C" w:rsidRPr="00394379" w:rsidRDefault="00E5323B" w:rsidP="00E5323B">
            <w:pPr>
              <w:rPr>
                <w:iCs/>
                <w:color w:val="414142"/>
                <w:lang w:eastAsia="lv-LV"/>
              </w:rPr>
            </w:pPr>
            <w:r w:rsidRPr="00394379">
              <w:rPr>
                <w:iCs/>
                <w:color w:val="414142"/>
                <w:lang w:eastAsia="lv-LV"/>
              </w:rPr>
              <w:t>3.</w:t>
            </w:r>
          </w:p>
        </w:tc>
        <w:tc>
          <w:tcPr>
            <w:tcW w:w="1700" w:type="pct"/>
            <w:hideMark/>
          </w:tcPr>
          <w:p w14:paraId="42FBD431" w14:textId="77777777" w:rsidR="00E5323B" w:rsidRPr="00394379" w:rsidRDefault="00E5323B" w:rsidP="00E5323B">
            <w:pPr>
              <w:rPr>
                <w:iCs/>
                <w:color w:val="000000" w:themeColor="text1"/>
                <w:lang w:eastAsia="lv-LV"/>
              </w:rPr>
            </w:pPr>
            <w:r w:rsidRPr="00394379">
              <w:rPr>
                <w:iCs/>
                <w:color w:val="000000" w:themeColor="text1"/>
                <w:lang w:eastAsia="lv-LV"/>
              </w:rPr>
              <w:t>Cita informācija</w:t>
            </w:r>
          </w:p>
        </w:tc>
        <w:tc>
          <w:tcPr>
            <w:tcW w:w="3000" w:type="pct"/>
            <w:hideMark/>
          </w:tcPr>
          <w:p w14:paraId="1F8BAB6D" w14:textId="77FC5C4B" w:rsidR="00E5323B" w:rsidRPr="00394379" w:rsidRDefault="00593F2C" w:rsidP="00E5323B">
            <w:pPr>
              <w:rPr>
                <w:iCs/>
                <w:color w:val="000000" w:themeColor="text1"/>
                <w:lang w:eastAsia="lv-LV"/>
              </w:rPr>
            </w:pPr>
            <w:r w:rsidRPr="00394379">
              <w:rPr>
                <w:iCs/>
                <w:color w:val="000000" w:themeColor="text1"/>
                <w:lang w:eastAsia="lv-LV"/>
              </w:rPr>
              <w:t>Nav</w:t>
            </w:r>
            <w:r w:rsidR="002C64DC">
              <w:rPr>
                <w:iCs/>
                <w:color w:val="000000" w:themeColor="text1"/>
                <w:lang w:eastAsia="lv-LV"/>
              </w:rPr>
              <w:t>.</w:t>
            </w:r>
          </w:p>
        </w:tc>
      </w:tr>
    </w:tbl>
    <w:p w14:paraId="3C7DDFB1" w14:textId="77777777" w:rsidR="00C25B49" w:rsidRPr="00394379" w:rsidRDefault="00C25B49" w:rsidP="00894C55">
      <w:pPr>
        <w:rPr>
          <w:sz w:val="28"/>
          <w:szCs w:val="28"/>
        </w:rPr>
      </w:pPr>
    </w:p>
    <w:p w14:paraId="43FB6ED4" w14:textId="5E793E9E" w:rsidR="00E5323B" w:rsidRDefault="00E5323B" w:rsidP="00894C55">
      <w:pPr>
        <w:rPr>
          <w:sz w:val="28"/>
          <w:szCs w:val="28"/>
        </w:rPr>
      </w:pPr>
    </w:p>
    <w:p w14:paraId="6C640F1C" w14:textId="77777777" w:rsidR="00AA263A" w:rsidRPr="00394379" w:rsidRDefault="00AA263A" w:rsidP="00894C55">
      <w:pPr>
        <w:rPr>
          <w:sz w:val="28"/>
          <w:szCs w:val="28"/>
        </w:rPr>
      </w:pPr>
    </w:p>
    <w:p w14:paraId="1FD79994" w14:textId="1EA93C65" w:rsidR="00894C55" w:rsidRPr="00394379" w:rsidRDefault="00D51D81" w:rsidP="00AA263A">
      <w:pPr>
        <w:ind w:firstLine="720"/>
        <w:rPr>
          <w:sz w:val="28"/>
          <w:szCs w:val="28"/>
        </w:rPr>
      </w:pPr>
      <w:r w:rsidRPr="00394379">
        <w:rPr>
          <w:sz w:val="28"/>
          <w:szCs w:val="28"/>
        </w:rPr>
        <w:t>Zemkopības</w:t>
      </w:r>
      <w:r w:rsidR="00894C55" w:rsidRPr="00394379">
        <w:rPr>
          <w:sz w:val="28"/>
          <w:szCs w:val="28"/>
        </w:rPr>
        <w:t xml:space="preserve"> ministrs</w:t>
      </w:r>
      <w:r w:rsidR="004626A0">
        <w:rPr>
          <w:sz w:val="28"/>
          <w:szCs w:val="28"/>
        </w:rPr>
        <w:tab/>
      </w:r>
      <w:r w:rsidR="00894C55" w:rsidRPr="00394379">
        <w:rPr>
          <w:sz w:val="28"/>
          <w:szCs w:val="28"/>
        </w:rPr>
        <w:tab/>
      </w:r>
      <w:r w:rsidR="00AA263A">
        <w:rPr>
          <w:sz w:val="28"/>
          <w:szCs w:val="28"/>
        </w:rPr>
        <w:tab/>
      </w:r>
      <w:r w:rsidR="00AA263A">
        <w:rPr>
          <w:sz w:val="28"/>
          <w:szCs w:val="28"/>
        </w:rPr>
        <w:tab/>
      </w:r>
      <w:r w:rsidR="00AA263A">
        <w:rPr>
          <w:sz w:val="28"/>
          <w:szCs w:val="28"/>
        </w:rPr>
        <w:tab/>
      </w:r>
      <w:r w:rsidR="00AA263A">
        <w:rPr>
          <w:sz w:val="28"/>
          <w:szCs w:val="28"/>
        </w:rPr>
        <w:tab/>
      </w:r>
      <w:r w:rsidRPr="00394379">
        <w:rPr>
          <w:sz w:val="28"/>
          <w:szCs w:val="28"/>
        </w:rPr>
        <w:t>K.</w:t>
      </w:r>
      <w:r w:rsidR="002C64DC">
        <w:rPr>
          <w:sz w:val="28"/>
          <w:szCs w:val="28"/>
        </w:rPr>
        <w:t> </w:t>
      </w:r>
      <w:r w:rsidRPr="00394379">
        <w:rPr>
          <w:sz w:val="28"/>
          <w:szCs w:val="28"/>
        </w:rPr>
        <w:t>Gerhards</w:t>
      </w:r>
    </w:p>
    <w:p w14:paraId="2D2B7F16" w14:textId="77777777" w:rsidR="00894C55" w:rsidRPr="00394379" w:rsidRDefault="00894C55" w:rsidP="00894C55">
      <w:pPr>
        <w:ind w:firstLine="720"/>
        <w:rPr>
          <w:sz w:val="28"/>
          <w:szCs w:val="28"/>
        </w:rPr>
      </w:pPr>
    </w:p>
    <w:p w14:paraId="78B72AEF" w14:textId="77777777" w:rsidR="00894C55" w:rsidRPr="00394379" w:rsidRDefault="00894C55" w:rsidP="00894C55">
      <w:pPr>
        <w:ind w:firstLine="720"/>
        <w:rPr>
          <w:sz w:val="28"/>
          <w:szCs w:val="28"/>
        </w:rPr>
      </w:pPr>
    </w:p>
    <w:p w14:paraId="25F6F8A7" w14:textId="77777777" w:rsidR="00894C55" w:rsidRPr="00394379" w:rsidRDefault="00894C55" w:rsidP="00894C55">
      <w:pPr>
        <w:tabs>
          <w:tab w:val="left" w:pos="6237"/>
        </w:tabs>
        <w:ind w:firstLine="720"/>
        <w:rPr>
          <w:sz w:val="28"/>
          <w:szCs w:val="28"/>
        </w:rPr>
      </w:pPr>
    </w:p>
    <w:p w14:paraId="0EADF2D1" w14:textId="5D7EC0E3" w:rsidR="00894C55" w:rsidRDefault="00894C55" w:rsidP="00894C55">
      <w:pPr>
        <w:tabs>
          <w:tab w:val="left" w:pos="6237"/>
        </w:tabs>
        <w:ind w:firstLine="720"/>
        <w:rPr>
          <w:sz w:val="28"/>
          <w:szCs w:val="28"/>
        </w:rPr>
      </w:pPr>
    </w:p>
    <w:p w14:paraId="62BAA844" w14:textId="2DD636CF" w:rsidR="00AA263A" w:rsidRDefault="00AA263A" w:rsidP="00894C55">
      <w:pPr>
        <w:tabs>
          <w:tab w:val="left" w:pos="6237"/>
        </w:tabs>
        <w:ind w:firstLine="720"/>
        <w:rPr>
          <w:sz w:val="28"/>
          <w:szCs w:val="28"/>
        </w:rPr>
      </w:pPr>
    </w:p>
    <w:p w14:paraId="0E017194" w14:textId="686EEE17" w:rsidR="00AA263A" w:rsidRDefault="00AA263A" w:rsidP="00894C55">
      <w:pPr>
        <w:tabs>
          <w:tab w:val="left" w:pos="6237"/>
        </w:tabs>
        <w:ind w:firstLine="720"/>
        <w:rPr>
          <w:sz w:val="28"/>
          <w:szCs w:val="28"/>
        </w:rPr>
      </w:pPr>
    </w:p>
    <w:p w14:paraId="02B0D275" w14:textId="54868DC5" w:rsidR="00AA263A" w:rsidRDefault="00AA263A" w:rsidP="00894C55">
      <w:pPr>
        <w:tabs>
          <w:tab w:val="left" w:pos="6237"/>
        </w:tabs>
        <w:ind w:firstLine="720"/>
        <w:rPr>
          <w:sz w:val="28"/>
          <w:szCs w:val="28"/>
        </w:rPr>
      </w:pPr>
    </w:p>
    <w:p w14:paraId="48F9B268" w14:textId="2E3E2995" w:rsidR="00AA263A" w:rsidRDefault="00AA263A" w:rsidP="00894C55">
      <w:pPr>
        <w:tabs>
          <w:tab w:val="left" w:pos="6237"/>
        </w:tabs>
        <w:ind w:firstLine="720"/>
        <w:rPr>
          <w:sz w:val="28"/>
          <w:szCs w:val="28"/>
        </w:rPr>
      </w:pPr>
    </w:p>
    <w:p w14:paraId="11F3AEE6" w14:textId="77777777" w:rsidR="00AA263A" w:rsidRPr="00394379" w:rsidRDefault="00AA263A" w:rsidP="00894C55">
      <w:pPr>
        <w:tabs>
          <w:tab w:val="left" w:pos="6237"/>
        </w:tabs>
        <w:ind w:firstLine="720"/>
        <w:rPr>
          <w:sz w:val="28"/>
          <w:szCs w:val="28"/>
        </w:rPr>
      </w:pPr>
      <w:bookmarkStart w:id="9" w:name="_GoBack"/>
      <w:bookmarkEnd w:id="9"/>
    </w:p>
    <w:p w14:paraId="4248EEBA" w14:textId="77777777" w:rsidR="00894C55" w:rsidRPr="00394379" w:rsidRDefault="00894C55" w:rsidP="00894C55">
      <w:pPr>
        <w:tabs>
          <w:tab w:val="left" w:pos="6237"/>
        </w:tabs>
        <w:ind w:firstLine="720"/>
        <w:rPr>
          <w:sz w:val="28"/>
          <w:szCs w:val="28"/>
        </w:rPr>
      </w:pPr>
    </w:p>
    <w:p w14:paraId="02FB3542" w14:textId="77777777" w:rsidR="00894C55" w:rsidRPr="00394379" w:rsidRDefault="00D51D81" w:rsidP="00894C55">
      <w:pPr>
        <w:tabs>
          <w:tab w:val="left" w:pos="6237"/>
        </w:tabs>
        <w:rPr>
          <w:szCs w:val="28"/>
        </w:rPr>
      </w:pPr>
      <w:r w:rsidRPr="00394379">
        <w:rPr>
          <w:szCs w:val="28"/>
        </w:rPr>
        <w:t>Broka</w:t>
      </w:r>
      <w:r w:rsidR="00D133F8" w:rsidRPr="00394379">
        <w:rPr>
          <w:szCs w:val="28"/>
        </w:rPr>
        <w:t xml:space="preserve"> </w:t>
      </w:r>
      <w:r w:rsidRPr="00394379">
        <w:rPr>
          <w:szCs w:val="28"/>
        </w:rPr>
        <w:t>67027363</w:t>
      </w:r>
    </w:p>
    <w:p w14:paraId="7A36D6BA" w14:textId="77777777" w:rsidR="00894C55" w:rsidRPr="00394379" w:rsidRDefault="00D51D81" w:rsidP="00894C55">
      <w:pPr>
        <w:tabs>
          <w:tab w:val="left" w:pos="6237"/>
        </w:tabs>
        <w:rPr>
          <w:szCs w:val="28"/>
        </w:rPr>
      </w:pPr>
      <w:r w:rsidRPr="00394379">
        <w:rPr>
          <w:szCs w:val="28"/>
        </w:rPr>
        <w:t>Ketija.broka</w:t>
      </w:r>
      <w:r w:rsidR="00894C55" w:rsidRPr="00394379">
        <w:rPr>
          <w:szCs w:val="28"/>
        </w:rPr>
        <w:t>@</w:t>
      </w:r>
      <w:r w:rsidRPr="00394379">
        <w:rPr>
          <w:szCs w:val="28"/>
        </w:rPr>
        <w:t>zm</w:t>
      </w:r>
      <w:r w:rsidR="00894C55" w:rsidRPr="00394379">
        <w:rPr>
          <w:szCs w:val="28"/>
        </w:rPr>
        <w:t>.gov.lv</w:t>
      </w:r>
    </w:p>
    <w:sectPr w:rsidR="00894C55" w:rsidRPr="00394379" w:rsidSect="00AA5D9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4F59F" w14:textId="77777777" w:rsidR="00B51E39" w:rsidRDefault="00B51E39" w:rsidP="00894C55">
      <w:r>
        <w:separator/>
      </w:r>
    </w:p>
  </w:endnote>
  <w:endnote w:type="continuationSeparator" w:id="0">
    <w:p w14:paraId="164726F2" w14:textId="77777777" w:rsidR="00B51E39" w:rsidRDefault="00B51E39"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1DF4" w14:textId="19975A8B" w:rsidR="00893BFC" w:rsidRPr="00AA263A" w:rsidRDefault="00AA263A" w:rsidP="00AA263A">
    <w:pPr>
      <w:pStyle w:val="Kjene"/>
    </w:pPr>
    <w:r w:rsidRPr="00AA263A">
      <w:rPr>
        <w:sz w:val="20"/>
        <w:szCs w:val="20"/>
      </w:rPr>
      <w:t>ZManot_010621_vetrecept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0D41" w14:textId="160D7544" w:rsidR="00893BFC" w:rsidRPr="00AA263A" w:rsidRDefault="00AA263A" w:rsidP="00AA263A">
    <w:pPr>
      <w:pStyle w:val="Kjene"/>
    </w:pPr>
    <w:r w:rsidRPr="00AA263A">
      <w:rPr>
        <w:sz w:val="20"/>
        <w:szCs w:val="20"/>
      </w:rPr>
      <w:t>ZManot_010621_vetrecept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A8580" w14:textId="77777777" w:rsidR="00B51E39" w:rsidRDefault="00B51E39" w:rsidP="00894C55">
      <w:r>
        <w:separator/>
      </w:r>
    </w:p>
  </w:footnote>
  <w:footnote w:type="continuationSeparator" w:id="0">
    <w:p w14:paraId="73CE2E35" w14:textId="77777777" w:rsidR="00B51E39" w:rsidRDefault="00B51E39"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6DD6F3EE" w14:textId="77777777" w:rsidR="00893BFC" w:rsidRPr="00C25B49" w:rsidRDefault="00893BFC">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CA4685">
          <w:rPr>
            <w:noProof/>
            <w:szCs w:val="20"/>
          </w:rPr>
          <w:t>10</w:t>
        </w:r>
        <w:r w:rsidRPr="00C25B49">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B3441"/>
    <w:multiLevelType w:val="hybridMultilevel"/>
    <w:tmpl w:val="DDF8F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42C6BED"/>
    <w:multiLevelType w:val="hybridMultilevel"/>
    <w:tmpl w:val="110A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554AA"/>
    <w:multiLevelType w:val="hybridMultilevel"/>
    <w:tmpl w:val="D47413B8"/>
    <w:lvl w:ilvl="0" w:tplc="30D4C234">
      <w:start w:val="1"/>
      <w:numFmt w:val="decimal"/>
      <w:lvlText w:val="%1)"/>
      <w:lvlJc w:val="left"/>
      <w:pPr>
        <w:ind w:left="84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02CAC"/>
    <w:multiLevelType w:val="hybridMultilevel"/>
    <w:tmpl w:val="CC64A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7EB3975"/>
    <w:multiLevelType w:val="hybridMultilevel"/>
    <w:tmpl w:val="05D634B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1">
    <w:nsid w:val="4D475AB7"/>
    <w:multiLevelType w:val="hybridMultilevel"/>
    <w:tmpl w:val="B4128C90"/>
    <w:lvl w:ilvl="0" w:tplc="78221890">
      <w:start w:val="1"/>
      <w:numFmt w:val="decimal"/>
      <w:lvlText w:val="%1)"/>
      <w:lvlJc w:val="left"/>
      <w:pPr>
        <w:ind w:left="1080" w:hanging="360"/>
      </w:pPr>
      <w:rPr>
        <w:rFonts w:hint="default"/>
      </w:rPr>
    </w:lvl>
    <w:lvl w:ilvl="1" w:tplc="9454D7A4" w:tentative="1">
      <w:start w:val="1"/>
      <w:numFmt w:val="lowerLetter"/>
      <w:lvlText w:val="%2."/>
      <w:lvlJc w:val="left"/>
      <w:pPr>
        <w:ind w:left="1800" w:hanging="360"/>
      </w:pPr>
    </w:lvl>
    <w:lvl w:ilvl="2" w:tplc="3F6C7262" w:tentative="1">
      <w:start w:val="1"/>
      <w:numFmt w:val="lowerRoman"/>
      <w:lvlText w:val="%3."/>
      <w:lvlJc w:val="right"/>
      <w:pPr>
        <w:ind w:left="2520" w:hanging="180"/>
      </w:pPr>
    </w:lvl>
    <w:lvl w:ilvl="3" w:tplc="9170119C" w:tentative="1">
      <w:start w:val="1"/>
      <w:numFmt w:val="decimal"/>
      <w:lvlText w:val="%4."/>
      <w:lvlJc w:val="left"/>
      <w:pPr>
        <w:ind w:left="3240" w:hanging="360"/>
      </w:pPr>
    </w:lvl>
    <w:lvl w:ilvl="4" w:tplc="0A908910" w:tentative="1">
      <w:start w:val="1"/>
      <w:numFmt w:val="lowerLetter"/>
      <w:lvlText w:val="%5."/>
      <w:lvlJc w:val="left"/>
      <w:pPr>
        <w:ind w:left="3960" w:hanging="360"/>
      </w:pPr>
    </w:lvl>
    <w:lvl w:ilvl="5" w:tplc="8EEC91A0" w:tentative="1">
      <w:start w:val="1"/>
      <w:numFmt w:val="lowerRoman"/>
      <w:lvlText w:val="%6."/>
      <w:lvlJc w:val="right"/>
      <w:pPr>
        <w:ind w:left="4680" w:hanging="180"/>
      </w:pPr>
    </w:lvl>
    <w:lvl w:ilvl="6" w:tplc="5192C904" w:tentative="1">
      <w:start w:val="1"/>
      <w:numFmt w:val="decimal"/>
      <w:lvlText w:val="%7."/>
      <w:lvlJc w:val="left"/>
      <w:pPr>
        <w:ind w:left="5400" w:hanging="360"/>
      </w:pPr>
    </w:lvl>
    <w:lvl w:ilvl="7" w:tplc="1AD8129C" w:tentative="1">
      <w:start w:val="1"/>
      <w:numFmt w:val="lowerLetter"/>
      <w:lvlText w:val="%8."/>
      <w:lvlJc w:val="left"/>
      <w:pPr>
        <w:ind w:left="6120" w:hanging="360"/>
      </w:pPr>
    </w:lvl>
    <w:lvl w:ilvl="8" w:tplc="557CF296" w:tentative="1">
      <w:start w:val="1"/>
      <w:numFmt w:val="lowerRoman"/>
      <w:lvlText w:val="%9."/>
      <w:lvlJc w:val="right"/>
      <w:pPr>
        <w:ind w:left="6840" w:hanging="180"/>
      </w:pPr>
    </w:lvl>
  </w:abstractNum>
  <w:abstractNum w:abstractNumId="6" w15:restartNumberingAfterBreak="0">
    <w:nsid w:val="4D9E7504"/>
    <w:multiLevelType w:val="hybridMultilevel"/>
    <w:tmpl w:val="0B681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4820"/>
    <w:rsid w:val="00005758"/>
    <w:rsid w:val="00011057"/>
    <w:rsid w:val="000143AD"/>
    <w:rsid w:val="000174AF"/>
    <w:rsid w:val="00020811"/>
    <w:rsid w:val="0002171C"/>
    <w:rsid w:val="00022113"/>
    <w:rsid w:val="000226B3"/>
    <w:rsid w:val="00026F0B"/>
    <w:rsid w:val="00032104"/>
    <w:rsid w:val="00036D1B"/>
    <w:rsid w:val="00037D9D"/>
    <w:rsid w:val="000436C2"/>
    <w:rsid w:val="00050961"/>
    <w:rsid w:val="00054D6D"/>
    <w:rsid w:val="00057324"/>
    <w:rsid w:val="00060E75"/>
    <w:rsid w:val="00062FB8"/>
    <w:rsid w:val="00066EAE"/>
    <w:rsid w:val="00071E77"/>
    <w:rsid w:val="000771AC"/>
    <w:rsid w:val="000856D7"/>
    <w:rsid w:val="00086341"/>
    <w:rsid w:val="00093A3F"/>
    <w:rsid w:val="00093E13"/>
    <w:rsid w:val="00094686"/>
    <w:rsid w:val="00095C8A"/>
    <w:rsid w:val="00096982"/>
    <w:rsid w:val="000A661F"/>
    <w:rsid w:val="000B13F7"/>
    <w:rsid w:val="000B7A56"/>
    <w:rsid w:val="000C3F14"/>
    <w:rsid w:val="000C4397"/>
    <w:rsid w:val="000C5A26"/>
    <w:rsid w:val="000D4E2F"/>
    <w:rsid w:val="000D5708"/>
    <w:rsid w:val="000E33DB"/>
    <w:rsid w:val="000F4B92"/>
    <w:rsid w:val="000F6806"/>
    <w:rsid w:val="000F6B9E"/>
    <w:rsid w:val="0010047F"/>
    <w:rsid w:val="00101838"/>
    <w:rsid w:val="0010199A"/>
    <w:rsid w:val="00107B60"/>
    <w:rsid w:val="00110255"/>
    <w:rsid w:val="00117A91"/>
    <w:rsid w:val="001268EF"/>
    <w:rsid w:val="001348C8"/>
    <w:rsid w:val="00137E99"/>
    <w:rsid w:val="001403DE"/>
    <w:rsid w:val="00140FCD"/>
    <w:rsid w:val="00147A38"/>
    <w:rsid w:val="001514DF"/>
    <w:rsid w:val="001565CF"/>
    <w:rsid w:val="00166B3B"/>
    <w:rsid w:val="001723E0"/>
    <w:rsid w:val="001726B2"/>
    <w:rsid w:val="00183107"/>
    <w:rsid w:val="0019246F"/>
    <w:rsid w:val="001950C8"/>
    <w:rsid w:val="00195946"/>
    <w:rsid w:val="0019623F"/>
    <w:rsid w:val="001A121D"/>
    <w:rsid w:val="001A43E0"/>
    <w:rsid w:val="001A6929"/>
    <w:rsid w:val="001A7414"/>
    <w:rsid w:val="001B42FE"/>
    <w:rsid w:val="001B523E"/>
    <w:rsid w:val="001C381D"/>
    <w:rsid w:val="001C5D5B"/>
    <w:rsid w:val="001C6825"/>
    <w:rsid w:val="001D4A67"/>
    <w:rsid w:val="001E3327"/>
    <w:rsid w:val="001E44DE"/>
    <w:rsid w:val="001E6987"/>
    <w:rsid w:val="001F07A8"/>
    <w:rsid w:val="001F35B6"/>
    <w:rsid w:val="00200572"/>
    <w:rsid w:val="00202679"/>
    <w:rsid w:val="002038A9"/>
    <w:rsid w:val="002049DA"/>
    <w:rsid w:val="002062EF"/>
    <w:rsid w:val="00211129"/>
    <w:rsid w:val="00212ECB"/>
    <w:rsid w:val="00220980"/>
    <w:rsid w:val="002262C2"/>
    <w:rsid w:val="00226568"/>
    <w:rsid w:val="00227DAA"/>
    <w:rsid w:val="00232912"/>
    <w:rsid w:val="00233209"/>
    <w:rsid w:val="00234232"/>
    <w:rsid w:val="00234A34"/>
    <w:rsid w:val="00243426"/>
    <w:rsid w:val="00245626"/>
    <w:rsid w:val="0024763C"/>
    <w:rsid w:val="00256ABB"/>
    <w:rsid w:val="0026458E"/>
    <w:rsid w:val="00271AF4"/>
    <w:rsid w:val="002729C5"/>
    <w:rsid w:val="00276898"/>
    <w:rsid w:val="002776B1"/>
    <w:rsid w:val="002779F7"/>
    <w:rsid w:val="00280F0C"/>
    <w:rsid w:val="00282925"/>
    <w:rsid w:val="002952E6"/>
    <w:rsid w:val="00295ED1"/>
    <w:rsid w:val="002A7EAB"/>
    <w:rsid w:val="002B4B7C"/>
    <w:rsid w:val="002B6725"/>
    <w:rsid w:val="002C06D2"/>
    <w:rsid w:val="002C3FD0"/>
    <w:rsid w:val="002C64DC"/>
    <w:rsid w:val="002C7016"/>
    <w:rsid w:val="002D18A7"/>
    <w:rsid w:val="002D257D"/>
    <w:rsid w:val="002D6309"/>
    <w:rsid w:val="002D67EE"/>
    <w:rsid w:val="002E0F18"/>
    <w:rsid w:val="002E1C05"/>
    <w:rsid w:val="002E2B3F"/>
    <w:rsid w:val="002F6356"/>
    <w:rsid w:val="002F7124"/>
    <w:rsid w:val="0030076D"/>
    <w:rsid w:val="003025BE"/>
    <w:rsid w:val="003104C1"/>
    <w:rsid w:val="0031099A"/>
    <w:rsid w:val="003109C6"/>
    <w:rsid w:val="00314821"/>
    <w:rsid w:val="003174B6"/>
    <w:rsid w:val="003227F7"/>
    <w:rsid w:val="00322E59"/>
    <w:rsid w:val="00324AF2"/>
    <w:rsid w:val="0033015D"/>
    <w:rsid w:val="003326D4"/>
    <w:rsid w:val="00335F0B"/>
    <w:rsid w:val="0034021C"/>
    <w:rsid w:val="00356445"/>
    <w:rsid w:val="003568DD"/>
    <w:rsid w:val="00360303"/>
    <w:rsid w:val="00361CA9"/>
    <w:rsid w:val="00362255"/>
    <w:rsid w:val="00365C4B"/>
    <w:rsid w:val="003677FA"/>
    <w:rsid w:val="00367DD9"/>
    <w:rsid w:val="0037121B"/>
    <w:rsid w:val="00371BBE"/>
    <w:rsid w:val="00371CA6"/>
    <w:rsid w:val="003742BC"/>
    <w:rsid w:val="00383220"/>
    <w:rsid w:val="00387389"/>
    <w:rsid w:val="00394379"/>
    <w:rsid w:val="003A06DD"/>
    <w:rsid w:val="003A0753"/>
    <w:rsid w:val="003B0BF9"/>
    <w:rsid w:val="003B1F18"/>
    <w:rsid w:val="003B22C8"/>
    <w:rsid w:val="003B6D4D"/>
    <w:rsid w:val="003B7D93"/>
    <w:rsid w:val="003C5AA4"/>
    <w:rsid w:val="003C7E0B"/>
    <w:rsid w:val="003D54D2"/>
    <w:rsid w:val="003E0791"/>
    <w:rsid w:val="003E1345"/>
    <w:rsid w:val="003E2442"/>
    <w:rsid w:val="003E2F44"/>
    <w:rsid w:val="003E3B63"/>
    <w:rsid w:val="003E4871"/>
    <w:rsid w:val="003E7D46"/>
    <w:rsid w:val="003F28AC"/>
    <w:rsid w:val="003F3014"/>
    <w:rsid w:val="003F48FE"/>
    <w:rsid w:val="003F7810"/>
    <w:rsid w:val="0040283D"/>
    <w:rsid w:val="00404689"/>
    <w:rsid w:val="004161D6"/>
    <w:rsid w:val="00416E73"/>
    <w:rsid w:val="00420A16"/>
    <w:rsid w:val="00427887"/>
    <w:rsid w:val="00427CA5"/>
    <w:rsid w:val="00430A14"/>
    <w:rsid w:val="00435AAD"/>
    <w:rsid w:val="00442AB7"/>
    <w:rsid w:val="00442ED9"/>
    <w:rsid w:val="00444860"/>
    <w:rsid w:val="004454FE"/>
    <w:rsid w:val="00451AE5"/>
    <w:rsid w:val="00451BE5"/>
    <w:rsid w:val="0045584C"/>
    <w:rsid w:val="00456BA0"/>
    <w:rsid w:val="00456E40"/>
    <w:rsid w:val="004626A0"/>
    <w:rsid w:val="00463DAB"/>
    <w:rsid w:val="00465241"/>
    <w:rsid w:val="0047155A"/>
    <w:rsid w:val="00471F27"/>
    <w:rsid w:val="00473F61"/>
    <w:rsid w:val="00475150"/>
    <w:rsid w:val="004771B2"/>
    <w:rsid w:val="004807A4"/>
    <w:rsid w:val="0048156B"/>
    <w:rsid w:val="0048184E"/>
    <w:rsid w:val="00481DE2"/>
    <w:rsid w:val="00482859"/>
    <w:rsid w:val="00482A4F"/>
    <w:rsid w:val="00496279"/>
    <w:rsid w:val="004A07FD"/>
    <w:rsid w:val="004B1850"/>
    <w:rsid w:val="004B2D6E"/>
    <w:rsid w:val="004C2E83"/>
    <w:rsid w:val="004C2EAF"/>
    <w:rsid w:val="004D3ABC"/>
    <w:rsid w:val="004E37B9"/>
    <w:rsid w:val="004E4FEB"/>
    <w:rsid w:val="004F3BD8"/>
    <w:rsid w:val="004F51DC"/>
    <w:rsid w:val="0050178F"/>
    <w:rsid w:val="005079BF"/>
    <w:rsid w:val="00507A47"/>
    <w:rsid w:val="00507D85"/>
    <w:rsid w:val="00527018"/>
    <w:rsid w:val="00530F5C"/>
    <w:rsid w:val="00546334"/>
    <w:rsid w:val="005470CA"/>
    <w:rsid w:val="00550FE8"/>
    <w:rsid w:val="0055223E"/>
    <w:rsid w:val="005563B1"/>
    <w:rsid w:val="00560AF4"/>
    <w:rsid w:val="0056281F"/>
    <w:rsid w:val="005645C2"/>
    <w:rsid w:val="0057076A"/>
    <w:rsid w:val="00574B79"/>
    <w:rsid w:val="005757AE"/>
    <w:rsid w:val="00575A5C"/>
    <w:rsid w:val="0058250F"/>
    <w:rsid w:val="00584E06"/>
    <w:rsid w:val="0058559A"/>
    <w:rsid w:val="005911DB"/>
    <w:rsid w:val="00592848"/>
    <w:rsid w:val="00593F2C"/>
    <w:rsid w:val="00597BAE"/>
    <w:rsid w:val="005A0D18"/>
    <w:rsid w:val="005A1020"/>
    <w:rsid w:val="005A14AF"/>
    <w:rsid w:val="005A3A90"/>
    <w:rsid w:val="005A7B86"/>
    <w:rsid w:val="005B0EF8"/>
    <w:rsid w:val="005B2BA4"/>
    <w:rsid w:val="005B504F"/>
    <w:rsid w:val="005B749D"/>
    <w:rsid w:val="005C0E72"/>
    <w:rsid w:val="005D042E"/>
    <w:rsid w:val="005D4B01"/>
    <w:rsid w:val="005E4CFF"/>
    <w:rsid w:val="005E590E"/>
    <w:rsid w:val="005F0579"/>
    <w:rsid w:val="005F0C14"/>
    <w:rsid w:val="005F2E76"/>
    <w:rsid w:val="005F37CB"/>
    <w:rsid w:val="005F4FCB"/>
    <w:rsid w:val="0060256F"/>
    <w:rsid w:val="006027DB"/>
    <w:rsid w:val="00603BC2"/>
    <w:rsid w:val="00610D4C"/>
    <w:rsid w:val="006135B0"/>
    <w:rsid w:val="00620350"/>
    <w:rsid w:val="00624B67"/>
    <w:rsid w:val="006256A7"/>
    <w:rsid w:val="00627CF6"/>
    <w:rsid w:val="006301AA"/>
    <w:rsid w:val="00634630"/>
    <w:rsid w:val="00643538"/>
    <w:rsid w:val="0064695E"/>
    <w:rsid w:val="00654C55"/>
    <w:rsid w:val="00654C74"/>
    <w:rsid w:val="00655F2C"/>
    <w:rsid w:val="00660649"/>
    <w:rsid w:val="006760A2"/>
    <w:rsid w:val="00677102"/>
    <w:rsid w:val="00680511"/>
    <w:rsid w:val="006828E7"/>
    <w:rsid w:val="006A1015"/>
    <w:rsid w:val="006A37C3"/>
    <w:rsid w:val="006A53B1"/>
    <w:rsid w:val="006B6EEE"/>
    <w:rsid w:val="006C125F"/>
    <w:rsid w:val="006C12FE"/>
    <w:rsid w:val="006C1588"/>
    <w:rsid w:val="006C2B2F"/>
    <w:rsid w:val="006C43D9"/>
    <w:rsid w:val="006D0130"/>
    <w:rsid w:val="006D246A"/>
    <w:rsid w:val="006D2E4A"/>
    <w:rsid w:val="006D2F80"/>
    <w:rsid w:val="006D3C51"/>
    <w:rsid w:val="006D5A69"/>
    <w:rsid w:val="006E1081"/>
    <w:rsid w:val="006E3F77"/>
    <w:rsid w:val="006F242D"/>
    <w:rsid w:val="006F3382"/>
    <w:rsid w:val="006F78DC"/>
    <w:rsid w:val="007041EE"/>
    <w:rsid w:val="0070528F"/>
    <w:rsid w:val="007107C4"/>
    <w:rsid w:val="0071168A"/>
    <w:rsid w:val="00713DCD"/>
    <w:rsid w:val="00714CA1"/>
    <w:rsid w:val="007171CD"/>
    <w:rsid w:val="00717D12"/>
    <w:rsid w:val="00720585"/>
    <w:rsid w:val="007209A5"/>
    <w:rsid w:val="00723111"/>
    <w:rsid w:val="00731E0F"/>
    <w:rsid w:val="00740C89"/>
    <w:rsid w:val="00752A27"/>
    <w:rsid w:val="00754A4B"/>
    <w:rsid w:val="00757A6E"/>
    <w:rsid w:val="00761818"/>
    <w:rsid w:val="007657A1"/>
    <w:rsid w:val="00766346"/>
    <w:rsid w:val="00773AF6"/>
    <w:rsid w:val="00774BF7"/>
    <w:rsid w:val="00780D39"/>
    <w:rsid w:val="007817F2"/>
    <w:rsid w:val="0078218F"/>
    <w:rsid w:val="0079167F"/>
    <w:rsid w:val="00795F71"/>
    <w:rsid w:val="00797317"/>
    <w:rsid w:val="007A086E"/>
    <w:rsid w:val="007A3E6D"/>
    <w:rsid w:val="007A4A8F"/>
    <w:rsid w:val="007A4D24"/>
    <w:rsid w:val="007B044F"/>
    <w:rsid w:val="007B6895"/>
    <w:rsid w:val="007C3179"/>
    <w:rsid w:val="007C3810"/>
    <w:rsid w:val="007C6D34"/>
    <w:rsid w:val="007E5F7A"/>
    <w:rsid w:val="007E73AB"/>
    <w:rsid w:val="007F4CBA"/>
    <w:rsid w:val="007F7603"/>
    <w:rsid w:val="008019F1"/>
    <w:rsid w:val="00812583"/>
    <w:rsid w:val="008153E8"/>
    <w:rsid w:val="00816C11"/>
    <w:rsid w:val="00820BB2"/>
    <w:rsid w:val="00820C27"/>
    <w:rsid w:val="00833A14"/>
    <w:rsid w:val="00834C26"/>
    <w:rsid w:val="00853D8B"/>
    <w:rsid w:val="008566DC"/>
    <w:rsid w:val="00862300"/>
    <w:rsid w:val="00871DA0"/>
    <w:rsid w:val="008749CA"/>
    <w:rsid w:val="00874EB1"/>
    <w:rsid w:val="00874F00"/>
    <w:rsid w:val="00877CA1"/>
    <w:rsid w:val="00884343"/>
    <w:rsid w:val="00885D42"/>
    <w:rsid w:val="00887888"/>
    <w:rsid w:val="00893BFC"/>
    <w:rsid w:val="00894C55"/>
    <w:rsid w:val="008A14F7"/>
    <w:rsid w:val="008A24A5"/>
    <w:rsid w:val="008A5AE4"/>
    <w:rsid w:val="008B2357"/>
    <w:rsid w:val="008C4B8D"/>
    <w:rsid w:val="008E1C2F"/>
    <w:rsid w:val="008E201D"/>
    <w:rsid w:val="008E51A6"/>
    <w:rsid w:val="008F1856"/>
    <w:rsid w:val="008F59B1"/>
    <w:rsid w:val="008F6BA3"/>
    <w:rsid w:val="00902892"/>
    <w:rsid w:val="0091203E"/>
    <w:rsid w:val="009224FC"/>
    <w:rsid w:val="00940A97"/>
    <w:rsid w:val="00942030"/>
    <w:rsid w:val="009458CD"/>
    <w:rsid w:val="009506E2"/>
    <w:rsid w:val="009544F8"/>
    <w:rsid w:val="00962952"/>
    <w:rsid w:val="009711BB"/>
    <w:rsid w:val="00972566"/>
    <w:rsid w:val="00974574"/>
    <w:rsid w:val="009776B0"/>
    <w:rsid w:val="009778E4"/>
    <w:rsid w:val="00977A74"/>
    <w:rsid w:val="00981AE7"/>
    <w:rsid w:val="00990384"/>
    <w:rsid w:val="00997F2A"/>
    <w:rsid w:val="009A2654"/>
    <w:rsid w:val="009A32B0"/>
    <w:rsid w:val="009A5482"/>
    <w:rsid w:val="009A614B"/>
    <w:rsid w:val="009B1561"/>
    <w:rsid w:val="009B6150"/>
    <w:rsid w:val="009B669B"/>
    <w:rsid w:val="009C1C83"/>
    <w:rsid w:val="009C3E75"/>
    <w:rsid w:val="009C5EAB"/>
    <w:rsid w:val="009D0617"/>
    <w:rsid w:val="009D24AE"/>
    <w:rsid w:val="009D2C53"/>
    <w:rsid w:val="009E1A44"/>
    <w:rsid w:val="009E1D62"/>
    <w:rsid w:val="009F7E5C"/>
    <w:rsid w:val="00A02F1D"/>
    <w:rsid w:val="00A04B45"/>
    <w:rsid w:val="00A10FC3"/>
    <w:rsid w:val="00A129AB"/>
    <w:rsid w:val="00A21037"/>
    <w:rsid w:val="00A213F6"/>
    <w:rsid w:val="00A33528"/>
    <w:rsid w:val="00A34444"/>
    <w:rsid w:val="00A40309"/>
    <w:rsid w:val="00A43B46"/>
    <w:rsid w:val="00A453C1"/>
    <w:rsid w:val="00A458F0"/>
    <w:rsid w:val="00A52229"/>
    <w:rsid w:val="00A6073E"/>
    <w:rsid w:val="00A72018"/>
    <w:rsid w:val="00A752EA"/>
    <w:rsid w:val="00A77084"/>
    <w:rsid w:val="00A8211F"/>
    <w:rsid w:val="00A834F4"/>
    <w:rsid w:val="00A84866"/>
    <w:rsid w:val="00A90A90"/>
    <w:rsid w:val="00A92FD6"/>
    <w:rsid w:val="00A93719"/>
    <w:rsid w:val="00A937D8"/>
    <w:rsid w:val="00A968CC"/>
    <w:rsid w:val="00A969B7"/>
    <w:rsid w:val="00AA263A"/>
    <w:rsid w:val="00AA36E5"/>
    <w:rsid w:val="00AA5D90"/>
    <w:rsid w:val="00AB049F"/>
    <w:rsid w:val="00AC2AA2"/>
    <w:rsid w:val="00AC3D68"/>
    <w:rsid w:val="00AC483E"/>
    <w:rsid w:val="00AC4A2E"/>
    <w:rsid w:val="00AD3C18"/>
    <w:rsid w:val="00AD75E5"/>
    <w:rsid w:val="00AE0E94"/>
    <w:rsid w:val="00AE3A6B"/>
    <w:rsid w:val="00AE5567"/>
    <w:rsid w:val="00AE7061"/>
    <w:rsid w:val="00AF1239"/>
    <w:rsid w:val="00B0193F"/>
    <w:rsid w:val="00B023DF"/>
    <w:rsid w:val="00B05029"/>
    <w:rsid w:val="00B056F3"/>
    <w:rsid w:val="00B05D37"/>
    <w:rsid w:val="00B06407"/>
    <w:rsid w:val="00B0698D"/>
    <w:rsid w:val="00B07DF3"/>
    <w:rsid w:val="00B13B52"/>
    <w:rsid w:val="00B15D76"/>
    <w:rsid w:val="00B16480"/>
    <w:rsid w:val="00B2165C"/>
    <w:rsid w:val="00B23FDE"/>
    <w:rsid w:val="00B30CB4"/>
    <w:rsid w:val="00B364F1"/>
    <w:rsid w:val="00B367C9"/>
    <w:rsid w:val="00B37356"/>
    <w:rsid w:val="00B374C5"/>
    <w:rsid w:val="00B37D60"/>
    <w:rsid w:val="00B408FA"/>
    <w:rsid w:val="00B42867"/>
    <w:rsid w:val="00B50935"/>
    <w:rsid w:val="00B514A9"/>
    <w:rsid w:val="00B51E39"/>
    <w:rsid w:val="00B56AD9"/>
    <w:rsid w:val="00B622DD"/>
    <w:rsid w:val="00B63CEF"/>
    <w:rsid w:val="00B67F99"/>
    <w:rsid w:val="00B7583E"/>
    <w:rsid w:val="00B813DE"/>
    <w:rsid w:val="00B8220E"/>
    <w:rsid w:val="00B8619F"/>
    <w:rsid w:val="00B870C4"/>
    <w:rsid w:val="00B9190C"/>
    <w:rsid w:val="00B963A6"/>
    <w:rsid w:val="00BA20AA"/>
    <w:rsid w:val="00BB03FE"/>
    <w:rsid w:val="00BB2016"/>
    <w:rsid w:val="00BB51F2"/>
    <w:rsid w:val="00BC3656"/>
    <w:rsid w:val="00BC49F5"/>
    <w:rsid w:val="00BD1B6F"/>
    <w:rsid w:val="00BD20DC"/>
    <w:rsid w:val="00BD4425"/>
    <w:rsid w:val="00BD57CF"/>
    <w:rsid w:val="00BE1407"/>
    <w:rsid w:val="00BE32CF"/>
    <w:rsid w:val="00BE4D50"/>
    <w:rsid w:val="00BF3750"/>
    <w:rsid w:val="00BF7955"/>
    <w:rsid w:val="00BF7E5A"/>
    <w:rsid w:val="00C0069C"/>
    <w:rsid w:val="00C00A32"/>
    <w:rsid w:val="00C02FFD"/>
    <w:rsid w:val="00C049E5"/>
    <w:rsid w:val="00C10390"/>
    <w:rsid w:val="00C10F6F"/>
    <w:rsid w:val="00C152C7"/>
    <w:rsid w:val="00C17C6C"/>
    <w:rsid w:val="00C20E5A"/>
    <w:rsid w:val="00C221A1"/>
    <w:rsid w:val="00C2524B"/>
    <w:rsid w:val="00C25B49"/>
    <w:rsid w:val="00C25EA7"/>
    <w:rsid w:val="00C27307"/>
    <w:rsid w:val="00C51D67"/>
    <w:rsid w:val="00C547ED"/>
    <w:rsid w:val="00C561ED"/>
    <w:rsid w:val="00C57080"/>
    <w:rsid w:val="00C57D57"/>
    <w:rsid w:val="00C64166"/>
    <w:rsid w:val="00C64896"/>
    <w:rsid w:val="00C66978"/>
    <w:rsid w:val="00C66CE2"/>
    <w:rsid w:val="00C70613"/>
    <w:rsid w:val="00C707A6"/>
    <w:rsid w:val="00C7472C"/>
    <w:rsid w:val="00C75B06"/>
    <w:rsid w:val="00C86D06"/>
    <w:rsid w:val="00C9162A"/>
    <w:rsid w:val="00C945BF"/>
    <w:rsid w:val="00C9602F"/>
    <w:rsid w:val="00C97923"/>
    <w:rsid w:val="00CA4685"/>
    <w:rsid w:val="00CA6DB1"/>
    <w:rsid w:val="00CB6048"/>
    <w:rsid w:val="00CB6A88"/>
    <w:rsid w:val="00CC0D2D"/>
    <w:rsid w:val="00CD1F68"/>
    <w:rsid w:val="00CD2F5D"/>
    <w:rsid w:val="00CD6255"/>
    <w:rsid w:val="00CE3AB8"/>
    <w:rsid w:val="00CE5657"/>
    <w:rsid w:val="00CE7E41"/>
    <w:rsid w:val="00CF3F48"/>
    <w:rsid w:val="00CF5152"/>
    <w:rsid w:val="00CF7FB3"/>
    <w:rsid w:val="00D0038F"/>
    <w:rsid w:val="00D02E94"/>
    <w:rsid w:val="00D133F8"/>
    <w:rsid w:val="00D1399A"/>
    <w:rsid w:val="00D14A3E"/>
    <w:rsid w:val="00D22992"/>
    <w:rsid w:val="00D256A5"/>
    <w:rsid w:val="00D31D54"/>
    <w:rsid w:val="00D36A3D"/>
    <w:rsid w:val="00D41392"/>
    <w:rsid w:val="00D44B86"/>
    <w:rsid w:val="00D4584F"/>
    <w:rsid w:val="00D46DFB"/>
    <w:rsid w:val="00D5166D"/>
    <w:rsid w:val="00D51D81"/>
    <w:rsid w:val="00D5293F"/>
    <w:rsid w:val="00D55F84"/>
    <w:rsid w:val="00D563DC"/>
    <w:rsid w:val="00D61B5B"/>
    <w:rsid w:val="00D66F8B"/>
    <w:rsid w:val="00D7306C"/>
    <w:rsid w:val="00D82BB0"/>
    <w:rsid w:val="00D972B7"/>
    <w:rsid w:val="00DA12F3"/>
    <w:rsid w:val="00DA2034"/>
    <w:rsid w:val="00DA45E8"/>
    <w:rsid w:val="00DB1DB1"/>
    <w:rsid w:val="00DB52DE"/>
    <w:rsid w:val="00DC269F"/>
    <w:rsid w:val="00DC355C"/>
    <w:rsid w:val="00DD2F3B"/>
    <w:rsid w:val="00DD4916"/>
    <w:rsid w:val="00DD6EDA"/>
    <w:rsid w:val="00DE1175"/>
    <w:rsid w:val="00DE2DC2"/>
    <w:rsid w:val="00DE2E5E"/>
    <w:rsid w:val="00DF0CFA"/>
    <w:rsid w:val="00DF144D"/>
    <w:rsid w:val="00DF16CC"/>
    <w:rsid w:val="00DF61F3"/>
    <w:rsid w:val="00DF7B53"/>
    <w:rsid w:val="00E003CE"/>
    <w:rsid w:val="00E03AE8"/>
    <w:rsid w:val="00E05664"/>
    <w:rsid w:val="00E12D09"/>
    <w:rsid w:val="00E15280"/>
    <w:rsid w:val="00E223B8"/>
    <w:rsid w:val="00E30F89"/>
    <w:rsid w:val="00E33878"/>
    <w:rsid w:val="00E3716B"/>
    <w:rsid w:val="00E439DB"/>
    <w:rsid w:val="00E51721"/>
    <w:rsid w:val="00E5323B"/>
    <w:rsid w:val="00E56ACE"/>
    <w:rsid w:val="00E73E1A"/>
    <w:rsid w:val="00E7746B"/>
    <w:rsid w:val="00E77999"/>
    <w:rsid w:val="00E81C50"/>
    <w:rsid w:val="00E825FD"/>
    <w:rsid w:val="00E84F26"/>
    <w:rsid w:val="00E856B7"/>
    <w:rsid w:val="00E8749E"/>
    <w:rsid w:val="00E90880"/>
    <w:rsid w:val="00E90C01"/>
    <w:rsid w:val="00EA1C0A"/>
    <w:rsid w:val="00EA21B8"/>
    <w:rsid w:val="00EA486E"/>
    <w:rsid w:val="00EB0789"/>
    <w:rsid w:val="00EB3DFF"/>
    <w:rsid w:val="00EB68C5"/>
    <w:rsid w:val="00EC21EE"/>
    <w:rsid w:val="00EC5C70"/>
    <w:rsid w:val="00EC7929"/>
    <w:rsid w:val="00ED5EF8"/>
    <w:rsid w:val="00ED686D"/>
    <w:rsid w:val="00ED6CA8"/>
    <w:rsid w:val="00EE08CF"/>
    <w:rsid w:val="00EE4389"/>
    <w:rsid w:val="00EE4E34"/>
    <w:rsid w:val="00EE53C2"/>
    <w:rsid w:val="00EE7E53"/>
    <w:rsid w:val="00EF2648"/>
    <w:rsid w:val="00F0113C"/>
    <w:rsid w:val="00F0285D"/>
    <w:rsid w:val="00F07E67"/>
    <w:rsid w:val="00F12550"/>
    <w:rsid w:val="00F12B14"/>
    <w:rsid w:val="00F1434C"/>
    <w:rsid w:val="00F1594D"/>
    <w:rsid w:val="00F159DF"/>
    <w:rsid w:val="00F21D0B"/>
    <w:rsid w:val="00F232D8"/>
    <w:rsid w:val="00F23D26"/>
    <w:rsid w:val="00F24A01"/>
    <w:rsid w:val="00F257CB"/>
    <w:rsid w:val="00F27652"/>
    <w:rsid w:val="00F32D16"/>
    <w:rsid w:val="00F3364E"/>
    <w:rsid w:val="00F36993"/>
    <w:rsid w:val="00F4516F"/>
    <w:rsid w:val="00F51661"/>
    <w:rsid w:val="00F529AF"/>
    <w:rsid w:val="00F549BC"/>
    <w:rsid w:val="00F57B0C"/>
    <w:rsid w:val="00F57FD9"/>
    <w:rsid w:val="00F7669F"/>
    <w:rsid w:val="00F874C0"/>
    <w:rsid w:val="00FA0EF9"/>
    <w:rsid w:val="00FA1481"/>
    <w:rsid w:val="00FA2ECC"/>
    <w:rsid w:val="00FA4490"/>
    <w:rsid w:val="00FA7E60"/>
    <w:rsid w:val="00FB2D00"/>
    <w:rsid w:val="00FC4961"/>
    <w:rsid w:val="00FC60B3"/>
    <w:rsid w:val="00FC6977"/>
    <w:rsid w:val="00FD1E59"/>
    <w:rsid w:val="00FD4351"/>
    <w:rsid w:val="00FE17BD"/>
    <w:rsid w:val="00FE430D"/>
    <w:rsid w:val="00FF018D"/>
    <w:rsid w:val="00FF0695"/>
    <w:rsid w:val="00FF2381"/>
    <w:rsid w:val="00FF2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86E9F"/>
  <w15:docId w15:val="{AFBEBC46-A9A5-48CC-BFC2-A7AC60C3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AC4A2E"/>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CA6DB1"/>
    <w:pPr>
      <w:ind w:left="720"/>
      <w:contextualSpacing/>
    </w:pPr>
  </w:style>
  <w:style w:type="character" w:styleId="Komentraatsauce">
    <w:name w:val="annotation reference"/>
    <w:basedOn w:val="Noklusjumarindkopasfonts"/>
    <w:uiPriority w:val="99"/>
    <w:semiHidden/>
    <w:unhideWhenUsed/>
    <w:rsid w:val="00E03AE8"/>
    <w:rPr>
      <w:sz w:val="16"/>
      <w:szCs w:val="16"/>
    </w:rPr>
  </w:style>
  <w:style w:type="paragraph" w:styleId="Komentrateksts">
    <w:name w:val="annotation text"/>
    <w:basedOn w:val="Parasts"/>
    <w:link w:val="KomentratekstsRakstz"/>
    <w:uiPriority w:val="99"/>
    <w:unhideWhenUsed/>
    <w:rsid w:val="00E03AE8"/>
    <w:rPr>
      <w:sz w:val="20"/>
      <w:szCs w:val="20"/>
    </w:rPr>
  </w:style>
  <w:style w:type="character" w:customStyle="1" w:styleId="KomentratekstsRakstz">
    <w:name w:val="Komentāra teksts Rakstz."/>
    <w:basedOn w:val="Noklusjumarindkopasfonts"/>
    <w:link w:val="Komentrateksts"/>
    <w:uiPriority w:val="99"/>
    <w:rsid w:val="00E03AE8"/>
    <w:rPr>
      <w:sz w:val="20"/>
      <w:szCs w:val="20"/>
    </w:rPr>
  </w:style>
  <w:style w:type="paragraph" w:styleId="Komentratma">
    <w:name w:val="annotation subject"/>
    <w:basedOn w:val="Komentrateksts"/>
    <w:next w:val="Komentrateksts"/>
    <w:link w:val="KomentratmaRakstz"/>
    <w:uiPriority w:val="99"/>
    <w:semiHidden/>
    <w:unhideWhenUsed/>
    <w:rsid w:val="00E03AE8"/>
    <w:rPr>
      <w:b/>
      <w:bCs/>
    </w:rPr>
  </w:style>
  <w:style w:type="character" w:customStyle="1" w:styleId="KomentratmaRakstz">
    <w:name w:val="Komentāra tēma Rakstz."/>
    <w:basedOn w:val="KomentratekstsRakstz"/>
    <w:link w:val="Komentratma"/>
    <w:uiPriority w:val="99"/>
    <w:semiHidden/>
    <w:rsid w:val="00E03AE8"/>
    <w:rPr>
      <w:b/>
      <w:bCs/>
      <w:sz w:val="20"/>
      <w:szCs w:val="20"/>
    </w:rPr>
  </w:style>
  <w:style w:type="paragraph" w:styleId="Bezatstarpm">
    <w:name w:val="No Spacing"/>
    <w:uiPriority w:val="99"/>
    <w:qFormat/>
    <w:rsid w:val="00D563DC"/>
    <w:pPr>
      <w:spacing w:after="0" w:line="240" w:lineRule="auto"/>
    </w:pPr>
    <w:rPr>
      <w:rFonts w:ascii="Calibri" w:eastAsia="Calibri" w:hAnsi="Calibri" w:cs="Times New Roman"/>
    </w:rPr>
  </w:style>
  <w:style w:type="paragraph" w:customStyle="1" w:styleId="Default">
    <w:name w:val="Default"/>
    <w:rsid w:val="00575A5C"/>
    <w:pPr>
      <w:autoSpaceDE w:val="0"/>
      <w:autoSpaceDN w:val="0"/>
      <w:adjustRightInd w:val="0"/>
      <w:spacing w:after="0" w:line="240" w:lineRule="auto"/>
    </w:pPr>
    <w:rPr>
      <w:rFonts w:ascii="EUAlbertina" w:hAnsi="EUAlbertina" w:cs="EUAlbertina"/>
      <w:color w:val="000000"/>
      <w:sz w:val="24"/>
      <w:szCs w:val="24"/>
    </w:rPr>
  </w:style>
  <w:style w:type="paragraph" w:customStyle="1" w:styleId="tv213">
    <w:name w:val="tv213"/>
    <w:basedOn w:val="Parasts"/>
    <w:rsid w:val="003E4871"/>
    <w:pPr>
      <w:spacing w:before="100" w:beforeAutospacing="1" w:after="100" w:afterAutospacing="1"/>
    </w:pPr>
    <w:rPr>
      <w:lang w:eastAsia="lv-LV"/>
    </w:rPr>
  </w:style>
  <w:style w:type="paragraph" w:customStyle="1" w:styleId="naisc">
    <w:name w:val="naisc"/>
    <w:basedOn w:val="Parasts"/>
    <w:rsid w:val="00B42867"/>
    <w:pPr>
      <w:spacing w:before="75" w:after="75"/>
      <w:jc w:val="center"/>
    </w:pPr>
    <w:rPr>
      <w:lang w:eastAsia="lv-LV"/>
    </w:rPr>
  </w:style>
  <w:style w:type="table" w:styleId="Reatabula">
    <w:name w:val="Table Grid"/>
    <w:basedOn w:val="Parastatabula"/>
    <w:uiPriority w:val="39"/>
    <w:rsid w:val="0081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360303"/>
    <w:rPr>
      <w:color w:val="605E5C"/>
      <w:shd w:val="clear" w:color="auto" w:fill="E1DFDD"/>
    </w:rPr>
  </w:style>
  <w:style w:type="paragraph" w:styleId="Paraststmeklis">
    <w:name w:val="Normal (Web)"/>
    <w:basedOn w:val="Parasts"/>
    <w:uiPriority w:val="99"/>
    <w:rsid w:val="007107C4"/>
    <w:pPr>
      <w:spacing w:before="100" w:beforeAutospacing="1" w:after="100" w:afterAutospacing="1"/>
    </w:pPr>
    <w:rPr>
      <w:rFonts w:eastAsia="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092">
      <w:bodyDiv w:val="1"/>
      <w:marLeft w:val="0"/>
      <w:marRight w:val="0"/>
      <w:marTop w:val="0"/>
      <w:marBottom w:val="0"/>
      <w:divBdr>
        <w:top w:val="none" w:sz="0" w:space="0" w:color="auto"/>
        <w:left w:val="none" w:sz="0" w:space="0" w:color="auto"/>
        <w:bottom w:val="none" w:sz="0" w:space="0" w:color="auto"/>
        <w:right w:val="none" w:sz="0" w:space="0" w:color="auto"/>
      </w:divBdr>
    </w:div>
    <w:div w:id="1188842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47144448">
      <w:bodyDiv w:val="1"/>
      <w:marLeft w:val="0"/>
      <w:marRight w:val="0"/>
      <w:marTop w:val="0"/>
      <w:marBottom w:val="0"/>
      <w:divBdr>
        <w:top w:val="none" w:sz="0" w:space="0" w:color="auto"/>
        <w:left w:val="none" w:sz="0" w:space="0" w:color="auto"/>
        <w:bottom w:val="none" w:sz="0" w:space="0" w:color="auto"/>
        <w:right w:val="none" w:sz="0" w:space="0" w:color="auto"/>
      </w:divBdr>
    </w:div>
    <w:div w:id="673846455">
      <w:bodyDiv w:val="1"/>
      <w:marLeft w:val="0"/>
      <w:marRight w:val="0"/>
      <w:marTop w:val="0"/>
      <w:marBottom w:val="0"/>
      <w:divBdr>
        <w:top w:val="none" w:sz="0" w:space="0" w:color="auto"/>
        <w:left w:val="none" w:sz="0" w:space="0" w:color="auto"/>
        <w:bottom w:val="none" w:sz="0" w:space="0" w:color="auto"/>
        <w:right w:val="none" w:sz="0" w:space="0" w:color="auto"/>
      </w:divBdr>
    </w:div>
    <w:div w:id="710612780">
      <w:bodyDiv w:val="1"/>
      <w:marLeft w:val="0"/>
      <w:marRight w:val="0"/>
      <w:marTop w:val="0"/>
      <w:marBottom w:val="0"/>
      <w:divBdr>
        <w:top w:val="none" w:sz="0" w:space="0" w:color="auto"/>
        <w:left w:val="none" w:sz="0" w:space="0" w:color="auto"/>
        <w:bottom w:val="none" w:sz="0" w:space="0" w:color="auto"/>
        <w:right w:val="none" w:sz="0" w:space="0" w:color="auto"/>
      </w:divBdr>
    </w:div>
    <w:div w:id="964776355">
      <w:bodyDiv w:val="1"/>
      <w:marLeft w:val="0"/>
      <w:marRight w:val="0"/>
      <w:marTop w:val="0"/>
      <w:marBottom w:val="0"/>
      <w:divBdr>
        <w:top w:val="none" w:sz="0" w:space="0" w:color="auto"/>
        <w:left w:val="none" w:sz="0" w:space="0" w:color="auto"/>
        <w:bottom w:val="none" w:sz="0" w:space="0" w:color="auto"/>
        <w:right w:val="none" w:sz="0" w:space="0" w:color="auto"/>
      </w:divBdr>
    </w:div>
    <w:div w:id="1093013100">
      <w:bodyDiv w:val="1"/>
      <w:marLeft w:val="0"/>
      <w:marRight w:val="0"/>
      <w:marTop w:val="0"/>
      <w:marBottom w:val="0"/>
      <w:divBdr>
        <w:top w:val="none" w:sz="0" w:space="0" w:color="auto"/>
        <w:left w:val="none" w:sz="0" w:space="0" w:color="auto"/>
        <w:bottom w:val="none" w:sz="0" w:space="0" w:color="auto"/>
        <w:right w:val="none" w:sz="0" w:space="0" w:color="auto"/>
      </w:divBdr>
    </w:div>
    <w:div w:id="1120957485">
      <w:bodyDiv w:val="1"/>
      <w:marLeft w:val="0"/>
      <w:marRight w:val="0"/>
      <w:marTop w:val="0"/>
      <w:marBottom w:val="0"/>
      <w:divBdr>
        <w:top w:val="none" w:sz="0" w:space="0" w:color="auto"/>
        <w:left w:val="none" w:sz="0" w:space="0" w:color="auto"/>
        <w:bottom w:val="none" w:sz="0" w:space="0" w:color="auto"/>
        <w:right w:val="none" w:sz="0" w:space="0" w:color="auto"/>
      </w:divBdr>
    </w:div>
    <w:div w:id="12485371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250675">
      <w:bodyDiv w:val="1"/>
      <w:marLeft w:val="0"/>
      <w:marRight w:val="0"/>
      <w:marTop w:val="0"/>
      <w:marBottom w:val="0"/>
      <w:divBdr>
        <w:top w:val="none" w:sz="0" w:space="0" w:color="auto"/>
        <w:left w:val="none" w:sz="0" w:space="0" w:color="auto"/>
        <w:bottom w:val="none" w:sz="0" w:space="0" w:color="auto"/>
        <w:right w:val="none" w:sz="0" w:space="0" w:color="auto"/>
      </w:divBdr>
    </w:div>
    <w:div w:id="1416390765">
      <w:bodyDiv w:val="1"/>
      <w:marLeft w:val="0"/>
      <w:marRight w:val="0"/>
      <w:marTop w:val="0"/>
      <w:marBottom w:val="0"/>
      <w:divBdr>
        <w:top w:val="none" w:sz="0" w:space="0" w:color="auto"/>
        <w:left w:val="none" w:sz="0" w:space="0" w:color="auto"/>
        <w:bottom w:val="none" w:sz="0" w:space="0" w:color="auto"/>
        <w:right w:val="none" w:sz="0" w:space="0" w:color="auto"/>
      </w:divBdr>
    </w:div>
    <w:div w:id="1478842856">
      <w:bodyDiv w:val="1"/>
      <w:marLeft w:val="0"/>
      <w:marRight w:val="0"/>
      <w:marTop w:val="0"/>
      <w:marBottom w:val="0"/>
      <w:divBdr>
        <w:top w:val="none" w:sz="0" w:space="0" w:color="auto"/>
        <w:left w:val="none" w:sz="0" w:space="0" w:color="auto"/>
        <w:bottom w:val="none" w:sz="0" w:space="0" w:color="auto"/>
        <w:right w:val="none" w:sz="0" w:space="0" w:color="auto"/>
      </w:divBdr>
    </w:div>
    <w:div w:id="1491285462">
      <w:bodyDiv w:val="1"/>
      <w:marLeft w:val="0"/>
      <w:marRight w:val="0"/>
      <w:marTop w:val="0"/>
      <w:marBottom w:val="0"/>
      <w:divBdr>
        <w:top w:val="none" w:sz="0" w:space="0" w:color="auto"/>
        <w:left w:val="none" w:sz="0" w:space="0" w:color="auto"/>
        <w:bottom w:val="none" w:sz="0" w:space="0" w:color="auto"/>
        <w:right w:val="none" w:sz="0" w:space="0" w:color="auto"/>
      </w:divBdr>
    </w:div>
    <w:div w:id="1554733581">
      <w:bodyDiv w:val="1"/>
      <w:marLeft w:val="0"/>
      <w:marRight w:val="0"/>
      <w:marTop w:val="0"/>
      <w:marBottom w:val="0"/>
      <w:divBdr>
        <w:top w:val="none" w:sz="0" w:space="0" w:color="auto"/>
        <w:left w:val="none" w:sz="0" w:space="0" w:color="auto"/>
        <w:bottom w:val="none" w:sz="0" w:space="0" w:color="auto"/>
        <w:right w:val="none" w:sz="0" w:space="0" w:color="auto"/>
      </w:divBdr>
    </w:div>
    <w:div w:id="1561012320">
      <w:bodyDiv w:val="1"/>
      <w:marLeft w:val="0"/>
      <w:marRight w:val="0"/>
      <w:marTop w:val="0"/>
      <w:marBottom w:val="0"/>
      <w:divBdr>
        <w:top w:val="none" w:sz="0" w:space="0" w:color="auto"/>
        <w:left w:val="none" w:sz="0" w:space="0" w:color="auto"/>
        <w:bottom w:val="none" w:sz="0" w:space="0" w:color="auto"/>
        <w:right w:val="none" w:sz="0" w:space="0" w:color="auto"/>
      </w:divBdr>
    </w:div>
    <w:div w:id="1765299567">
      <w:bodyDiv w:val="1"/>
      <w:marLeft w:val="0"/>
      <w:marRight w:val="0"/>
      <w:marTop w:val="0"/>
      <w:marBottom w:val="0"/>
      <w:divBdr>
        <w:top w:val="none" w:sz="0" w:space="0" w:color="auto"/>
        <w:left w:val="none" w:sz="0" w:space="0" w:color="auto"/>
        <w:bottom w:val="none" w:sz="0" w:space="0" w:color="auto"/>
        <w:right w:val="none" w:sz="0" w:space="0" w:color="auto"/>
      </w:divBdr>
    </w:div>
    <w:div w:id="18865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m.gov.lv/zemkopibas-ministrija/apspriesanas/ministru-kabineta-noteikumu-projekts-noteikumi-par-ipasajam-veterinara?id=1005" TargetMode="Externa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BE0E0-17D7-470F-A400-DBDAD34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14315</Words>
  <Characters>8160</Characters>
  <Application>Microsoft Office Word</Application>
  <DocSecurity>0</DocSecurity>
  <Lines>68</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Ketija Broka</dc:creator>
  <dc:description>Broka 67027363 ketija.broka@zm.gov.lv</dc:description>
  <cp:lastModifiedBy>Sanita Papinova</cp:lastModifiedBy>
  <cp:revision>3</cp:revision>
  <cp:lastPrinted>2021-04-28T07:43:00Z</cp:lastPrinted>
  <dcterms:created xsi:type="dcterms:W3CDTF">2021-06-02T10:14:00Z</dcterms:created>
  <dcterms:modified xsi:type="dcterms:W3CDTF">2021-06-03T07:38:00Z</dcterms:modified>
</cp:coreProperties>
</file>