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E189" w14:textId="77777777" w:rsidR="00AB2DA8" w:rsidRPr="00E52A31" w:rsidRDefault="00AB2DA8" w:rsidP="00AB2DA8">
      <w:pPr>
        <w:pStyle w:val="Bezatstarpm"/>
        <w:jc w:val="center"/>
        <w:rPr>
          <w:rFonts w:ascii="Times New Roman" w:hAnsi="Times New Roman" w:cs="Times New Roman"/>
          <w:b/>
          <w:sz w:val="28"/>
          <w:szCs w:val="24"/>
          <w:lang w:eastAsia="lv-LV"/>
        </w:rPr>
      </w:pPr>
      <w:r w:rsidRPr="00E52A31">
        <w:rPr>
          <w:rFonts w:ascii="Times New Roman" w:hAnsi="Times New Roman" w:cs="Times New Roman"/>
          <w:b/>
          <w:sz w:val="28"/>
          <w:szCs w:val="24"/>
          <w:lang w:eastAsia="lv-LV"/>
        </w:rPr>
        <w:t>Ministru kabineta rīkojuma projekta “Par finanšu līdzekļu piešķiršanu no valsts budžeta programmas “Līdzekļi neparedzētiem gadījumiem”” sākotnējās ietekmes novērtējuma ziņojums (anotācija)</w:t>
      </w:r>
    </w:p>
    <w:p w14:paraId="048320C9" w14:textId="77777777" w:rsidR="00EC6E12" w:rsidRPr="00E52A31" w:rsidRDefault="00EC6E12" w:rsidP="00EC6E12">
      <w:pPr>
        <w:pStyle w:val="Bezatstarpm"/>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0"/>
        <w:gridCol w:w="6946"/>
      </w:tblGrid>
      <w:tr w:rsidR="006F193F" w:rsidRPr="00E52A31" w14:paraId="0EBEC031" w14:textId="77777777" w:rsidTr="00253AF4">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58D7498" w14:textId="77777777" w:rsidR="006F193F" w:rsidRPr="00E52A31" w:rsidRDefault="006F193F" w:rsidP="006F193F">
            <w:pPr>
              <w:spacing w:before="100" w:beforeAutospacing="1" w:after="100" w:afterAutospacing="1" w:line="293" w:lineRule="atLeast"/>
              <w:jc w:val="center"/>
              <w:rPr>
                <w:b/>
                <w:bCs/>
              </w:rPr>
            </w:pPr>
            <w:r w:rsidRPr="00E52A31">
              <w:rPr>
                <w:b/>
                <w:bCs/>
              </w:rPr>
              <w:t>Tiesību akta projekta anotācijas kopsavilkums</w:t>
            </w:r>
          </w:p>
        </w:tc>
      </w:tr>
      <w:tr w:rsidR="006F193F" w:rsidRPr="00E52A31" w14:paraId="72D76FB6" w14:textId="77777777" w:rsidTr="00975284">
        <w:trPr>
          <w:trHeight w:val="1168"/>
        </w:trPr>
        <w:tc>
          <w:tcPr>
            <w:tcW w:w="1288" w:type="pct"/>
            <w:tcBorders>
              <w:top w:val="outset" w:sz="6" w:space="0" w:color="414142"/>
              <w:left w:val="outset" w:sz="6" w:space="0" w:color="414142"/>
              <w:bottom w:val="outset" w:sz="6" w:space="0" w:color="414142"/>
              <w:right w:val="outset" w:sz="6" w:space="0" w:color="414142"/>
            </w:tcBorders>
            <w:hideMark/>
          </w:tcPr>
          <w:p w14:paraId="46DFCA87" w14:textId="77777777" w:rsidR="006F193F" w:rsidRPr="00E52A31" w:rsidRDefault="006F193F" w:rsidP="007B5E48">
            <w:pPr>
              <w:spacing w:before="100" w:beforeAutospacing="1" w:after="100" w:afterAutospacing="1" w:line="293" w:lineRule="atLeast"/>
              <w:jc w:val="both"/>
            </w:pPr>
            <w:r w:rsidRPr="00E52A31">
              <w:rPr>
                <w:iCs/>
              </w:rPr>
              <w:t>Mērķis, risinājums un projekta spēkā stāšanās laiks (500 zīmes bez atstarpēm)</w:t>
            </w:r>
          </w:p>
        </w:tc>
        <w:tc>
          <w:tcPr>
            <w:tcW w:w="3712" w:type="pct"/>
            <w:tcBorders>
              <w:top w:val="outset" w:sz="6" w:space="0" w:color="414142"/>
              <w:left w:val="outset" w:sz="6" w:space="0" w:color="414142"/>
              <w:bottom w:val="outset" w:sz="6" w:space="0" w:color="414142"/>
              <w:right w:val="outset" w:sz="6" w:space="0" w:color="414142"/>
            </w:tcBorders>
          </w:tcPr>
          <w:p w14:paraId="126975C3" w14:textId="407CF972" w:rsidR="006F193F" w:rsidRPr="00744E31" w:rsidRDefault="00744E31" w:rsidP="00744E31">
            <w:pPr>
              <w:jc w:val="both"/>
            </w:pPr>
            <w:r>
              <w:rPr>
                <w:iCs/>
              </w:rPr>
              <w:t xml:space="preserve">Ministru kabineta rīkojuma projekts </w:t>
            </w:r>
            <w:r w:rsidR="006B406C">
              <w:rPr>
                <w:iCs/>
              </w:rPr>
              <w:t>“</w:t>
            </w:r>
            <w:r>
              <w:t xml:space="preserve">Par finanšu līdzekļu piešķiršanu no valsts budžeta programmas </w:t>
            </w:r>
            <w:r w:rsidR="006B406C">
              <w:t>“</w:t>
            </w:r>
            <w:r>
              <w:t>Līdzekļi neparedzētiem gadījumiem””</w:t>
            </w:r>
            <w:r>
              <w:rPr>
                <w:iCs/>
              </w:rPr>
              <w:t xml:space="preserve"> </w:t>
            </w:r>
            <w:r>
              <w:t>(turpmāk – rīkojuma projekts) sagatavots, lai nodrošinātu papildu finansējumu v</w:t>
            </w:r>
            <w:r w:rsidRPr="00E52A31">
              <w:rPr>
                <w:shd w:val="clear" w:color="auto" w:fill="FFFFFF"/>
              </w:rPr>
              <w:t>alsts zinātniska</w:t>
            </w:r>
            <w:r>
              <w:rPr>
                <w:shd w:val="clear" w:color="auto" w:fill="FFFFFF"/>
              </w:rPr>
              <w:t>jam</w:t>
            </w:r>
            <w:r w:rsidRPr="00E52A31">
              <w:rPr>
                <w:shd w:val="clear" w:color="auto" w:fill="FFFFFF"/>
              </w:rPr>
              <w:t xml:space="preserve"> institūt</w:t>
            </w:r>
            <w:r>
              <w:rPr>
                <w:shd w:val="clear" w:color="auto" w:fill="FFFFFF"/>
              </w:rPr>
              <w:t>am</w:t>
            </w:r>
            <w:r w:rsidRPr="00E52A31">
              <w:rPr>
                <w:shd w:val="clear" w:color="auto" w:fill="FFFFFF"/>
              </w:rPr>
              <w:t xml:space="preserve"> “Pārtikas drošības, dzīvnieku veselības un </w:t>
            </w:r>
            <w:r w:rsidRPr="00565E99">
              <w:rPr>
                <w:shd w:val="clear" w:color="auto" w:fill="FFFFFF"/>
              </w:rPr>
              <w:t xml:space="preserve">vides zinātniskajam institūtam “BIOR”” (turpmāk – institūts BIOR) </w:t>
            </w:r>
            <w:r w:rsidRPr="00565E99">
              <w:t xml:space="preserve">notekūdeņu monitoringa </w:t>
            </w:r>
            <w:proofErr w:type="spellStart"/>
            <w:r w:rsidRPr="00565E99">
              <w:t>Covid-19</w:t>
            </w:r>
            <w:proofErr w:type="spellEnd"/>
            <w:r w:rsidRPr="00565E99">
              <w:t xml:space="preserve"> riska faktoru uzraudzības un kontroles nodrošināšanai.</w:t>
            </w:r>
          </w:p>
        </w:tc>
      </w:tr>
    </w:tbl>
    <w:p w14:paraId="4DE589F5" w14:textId="77777777" w:rsidR="00EC6E12" w:rsidRPr="00E52A31" w:rsidRDefault="00EC6E12" w:rsidP="006F193F">
      <w:pPr>
        <w:pStyle w:val="Bezatstarpm"/>
        <w:rPr>
          <w:rFonts w:ascii="Times New Roman" w:hAnsi="Times New Roman" w:cs="Times New Roman"/>
          <w:sz w:val="24"/>
          <w:szCs w:val="24"/>
          <w:lang w:eastAsia="lv-LV"/>
        </w:rPr>
      </w:pPr>
    </w:p>
    <w:tbl>
      <w:tblPr>
        <w:tblStyle w:val="Reatabula"/>
        <w:tblW w:w="9356" w:type="dxa"/>
        <w:tblInd w:w="-147" w:type="dxa"/>
        <w:tblLayout w:type="fixed"/>
        <w:tblLook w:val="04A0" w:firstRow="1" w:lastRow="0" w:firstColumn="1" w:lastColumn="0" w:noHBand="0" w:noVBand="1"/>
      </w:tblPr>
      <w:tblGrid>
        <w:gridCol w:w="568"/>
        <w:gridCol w:w="1134"/>
        <w:gridCol w:w="850"/>
        <w:gridCol w:w="142"/>
        <w:gridCol w:w="1268"/>
        <w:gridCol w:w="575"/>
        <w:gridCol w:w="425"/>
        <w:gridCol w:w="1276"/>
        <w:gridCol w:w="850"/>
        <w:gridCol w:w="992"/>
        <w:gridCol w:w="1276"/>
      </w:tblGrid>
      <w:tr w:rsidR="00EC6E12" w:rsidRPr="00E52A31" w14:paraId="311C6C6A" w14:textId="77777777" w:rsidTr="0079260F">
        <w:tc>
          <w:tcPr>
            <w:tcW w:w="9356" w:type="dxa"/>
            <w:gridSpan w:val="11"/>
          </w:tcPr>
          <w:p w14:paraId="79EA6B1F" w14:textId="77777777" w:rsidR="00EC6E12" w:rsidRPr="00E52A31" w:rsidRDefault="00EC6E12" w:rsidP="00981D7F">
            <w:pPr>
              <w:pStyle w:val="Bezatstarpm"/>
              <w:jc w:val="center"/>
              <w:rPr>
                <w:rFonts w:ascii="Times New Roman" w:hAnsi="Times New Roman" w:cs="Times New Roman"/>
                <w:b/>
                <w:sz w:val="24"/>
                <w:szCs w:val="24"/>
                <w:lang w:eastAsia="lv-LV"/>
              </w:rPr>
            </w:pPr>
            <w:r w:rsidRPr="00E52A31">
              <w:rPr>
                <w:rFonts w:ascii="Times New Roman" w:hAnsi="Times New Roman" w:cs="Times New Roman"/>
                <w:b/>
                <w:iCs/>
                <w:sz w:val="24"/>
                <w:szCs w:val="24"/>
                <w:lang w:eastAsia="lv-LV"/>
              </w:rPr>
              <w:t>I. Tiesību akta projekta izstrādes nepieciešamība</w:t>
            </w:r>
          </w:p>
        </w:tc>
      </w:tr>
      <w:tr w:rsidR="00130487" w:rsidRPr="00E52A31" w14:paraId="4AF3C4F1" w14:textId="77777777" w:rsidTr="00137BAC">
        <w:tc>
          <w:tcPr>
            <w:tcW w:w="568" w:type="dxa"/>
          </w:tcPr>
          <w:p w14:paraId="2A77E491" w14:textId="77777777" w:rsidR="00130487" w:rsidRPr="00E52A31" w:rsidRDefault="00130487" w:rsidP="00981D7F">
            <w:pPr>
              <w:pStyle w:val="Bezatstarpm"/>
              <w:jc w:val="center"/>
              <w:rPr>
                <w:rFonts w:ascii="Times New Roman" w:hAnsi="Times New Roman" w:cs="Times New Roman"/>
                <w:sz w:val="24"/>
                <w:szCs w:val="24"/>
                <w:lang w:eastAsia="lv-LV"/>
              </w:rPr>
            </w:pPr>
            <w:r w:rsidRPr="00E52A31">
              <w:rPr>
                <w:rFonts w:ascii="Times New Roman" w:hAnsi="Times New Roman" w:cs="Times New Roman"/>
                <w:sz w:val="24"/>
                <w:szCs w:val="24"/>
                <w:lang w:eastAsia="lv-LV"/>
              </w:rPr>
              <w:t>1.</w:t>
            </w:r>
          </w:p>
        </w:tc>
        <w:tc>
          <w:tcPr>
            <w:tcW w:w="1984" w:type="dxa"/>
            <w:gridSpan w:val="2"/>
          </w:tcPr>
          <w:p w14:paraId="54886225" w14:textId="77777777" w:rsidR="00130487" w:rsidRPr="00E52A31" w:rsidRDefault="00130487" w:rsidP="00981D7F">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Pamatojums</w:t>
            </w:r>
          </w:p>
        </w:tc>
        <w:tc>
          <w:tcPr>
            <w:tcW w:w="6804" w:type="dxa"/>
            <w:gridSpan w:val="8"/>
          </w:tcPr>
          <w:p w14:paraId="05189C91" w14:textId="157A60F6" w:rsidR="00F417B9" w:rsidRDefault="00F417B9" w:rsidP="00981D7F">
            <w:pPr>
              <w:pStyle w:val="Paraststmeklis"/>
              <w:spacing w:before="0" w:beforeAutospacing="0" w:after="0" w:afterAutospacing="0"/>
              <w:jc w:val="both"/>
              <w:rPr>
                <w:shd w:val="clear" w:color="auto" w:fill="FFFFFF"/>
              </w:rPr>
            </w:pPr>
            <w:r w:rsidRPr="00B12926">
              <w:t xml:space="preserve">1. </w:t>
            </w:r>
            <w:r w:rsidR="00B12926" w:rsidRPr="00B12926">
              <w:rPr>
                <w:bCs/>
              </w:rPr>
              <w:t xml:space="preserve">Eiropas Komisijas </w:t>
            </w:r>
            <w:r w:rsidR="00B12926" w:rsidRPr="00B12926">
              <w:rPr>
                <w:shd w:val="clear" w:color="auto" w:fill="FFFFFF"/>
              </w:rPr>
              <w:t>2021. gada 17. marta</w:t>
            </w:r>
            <w:r w:rsidR="00B12926" w:rsidRPr="00B12926">
              <w:rPr>
                <w:bCs/>
              </w:rPr>
              <w:t xml:space="preserve"> ieteikums</w:t>
            </w:r>
            <w:r w:rsidR="00B12926" w:rsidRPr="00B12926">
              <w:rPr>
                <w:shd w:val="clear" w:color="auto" w:fill="FFFFFF"/>
              </w:rPr>
              <w:t xml:space="preserve"> (ES) 2021/472 par kopīgu pieeju, ar ko izveido SARS-</w:t>
            </w:r>
            <w:proofErr w:type="spellStart"/>
            <w:r w:rsidR="00B12926" w:rsidRPr="00B12926">
              <w:rPr>
                <w:shd w:val="clear" w:color="auto" w:fill="FFFFFF"/>
              </w:rPr>
              <w:t>CoV-2</w:t>
            </w:r>
            <w:proofErr w:type="spellEnd"/>
            <w:r w:rsidR="00B12926" w:rsidRPr="00B12926">
              <w:rPr>
                <w:shd w:val="clear" w:color="auto" w:fill="FFFFFF"/>
              </w:rPr>
              <w:t xml:space="preserve"> un tā variantu sistemātisku uzraudzību notekūdeņos Eiropas Savienībā</w:t>
            </w:r>
          </w:p>
          <w:p w14:paraId="2E0FF599" w14:textId="12E668FB" w:rsidR="00744E31" w:rsidRPr="00B12926" w:rsidRDefault="00744E31" w:rsidP="00981D7F">
            <w:pPr>
              <w:pStyle w:val="Paraststmeklis"/>
              <w:spacing w:before="0" w:beforeAutospacing="0" w:after="0" w:afterAutospacing="0"/>
              <w:jc w:val="both"/>
            </w:pPr>
            <w:r>
              <w:rPr>
                <w:shd w:val="clear" w:color="auto" w:fill="FFFFFF"/>
              </w:rPr>
              <w:t>2. I</w:t>
            </w:r>
            <w:r w:rsidRPr="00387CAE">
              <w:t>nformatīv</w:t>
            </w:r>
            <w:r>
              <w:t>ais</w:t>
            </w:r>
            <w:r w:rsidRPr="00387CAE">
              <w:t xml:space="preserve"> ziņojum</w:t>
            </w:r>
            <w:r>
              <w:t>s</w:t>
            </w:r>
            <w:r w:rsidRPr="00387CAE">
              <w:t xml:space="preserve"> </w:t>
            </w:r>
            <w:r w:rsidR="003954D7">
              <w:t>“P</w:t>
            </w:r>
            <w:r w:rsidRPr="00387CAE">
              <w:t xml:space="preserve">ar notekūdeņu monitoringu </w:t>
            </w:r>
            <w:proofErr w:type="spellStart"/>
            <w:r w:rsidRPr="00387CAE">
              <w:t>Covid-19</w:t>
            </w:r>
            <w:proofErr w:type="spellEnd"/>
            <w:r w:rsidRPr="00387CAE">
              <w:t xml:space="preserve"> un citu riska faktoru uzraudzībai un kontrolei</w:t>
            </w:r>
            <w:r w:rsidR="003954D7">
              <w:t>”</w:t>
            </w:r>
          </w:p>
          <w:p w14:paraId="34F5F519" w14:textId="7C592FF2" w:rsidR="00400292" w:rsidRPr="00B1297B" w:rsidRDefault="00744E31" w:rsidP="00981D7F">
            <w:pPr>
              <w:pStyle w:val="Paraststmeklis"/>
              <w:spacing w:before="0" w:beforeAutospacing="0" w:after="0" w:afterAutospacing="0"/>
              <w:jc w:val="both"/>
            </w:pPr>
            <w:r>
              <w:t>3</w:t>
            </w:r>
            <w:r w:rsidR="00F417B9">
              <w:t xml:space="preserve">. </w:t>
            </w:r>
            <w:r w:rsidR="00400292" w:rsidRPr="00E52A31">
              <w:t>Ministru kabineta 2018. gada 17. jūlija noteikumu Nr.</w:t>
            </w:r>
            <w:r w:rsidR="00527DB3">
              <w:t xml:space="preserve"> </w:t>
            </w:r>
            <w:r w:rsidR="00400292" w:rsidRPr="00E52A31">
              <w:t xml:space="preserve">421 “Kārtība, kādā veic gadskārtējā valsts budžeta likumā noteiktās apropriācijas </w:t>
            </w:r>
            <w:r w:rsidR="00400292" w:rsidRPr="00B1297B">
              <w:t>izmaiņas” 43.</w:t>
            </w:r>
            <w:r w:rsidR="00527DB3" w:rsidRPr="00B1297B">
              <w:t xml:space="preserve"> </w:t>
            </w:r>
            <w:r w:rsidR="00400292" w:rsidRPr="00B1297B">
              <w:t>punkt</w:t>
            </w:r>
            <w:r w:rsidR="006B406C">
              <w:t>s</w:t>
            </w:r>
          </w:p>
          <w:p w14:paraId="5B32E7CF" w14:textId="04914A88" w:rsidR="00E564AE" w:rsidRPr="009A0760" w:rsidRDefault="00E564AE" w:rsidP="00981D7F">
            <w:pPr>
              <w:pStyle w:val="Paraststmeklis"/>
              <w:spacing w:before="0" w:beforeAutospacing="0" w:after="0" w:afterAutospacing="0"/>
              <w:jc w:val="both"/>
            </w:pPr>
            <w:r w:rsidRPr="00B1297B">
              <w:t xml:space="preserve">4. </w:t>
            </w:r>
            <w:bookmarkStart w:id="0" w:name="_Hlk71300489"/>
            <w:r w:rsidRPr="00B1297B">
              <w:t xml:space="preserve">Vadības grupas </w:t>
            </w:r>
            <w:proofErr w:type="spellStart"/>
            <w:r w:rsidRPr="00B1297B">
              <w:t>Covid-19</w:t>
            </w:r>
            <w:proofErr w:type="spellEnd"/>
            <w:r w:rsidRPr="00B1297B">
              <w:t xml:space="preserve"> radīto ekonomisko seku operatīvai novēršanai uzņēmējdarbībā un nodarbināto atbalstam (izveidota ar Ministru prezidenta 2020. gada 16. marta rīkojumu Nr. </w:t>
            </w:r>
            <w:r w:rsidRPr="00B1297B">
              <w:rPr>
                <w:shd w:val="clear" w:color="auto" w:fill="FFFFFF"/>
              </w:rPr>
              <w:t>2020/1.2.1.-62)</w:t>
            </w:r>
            <w:r w:rsidRPr="00B1297B">
              <w:t xml:space="preserve"> 2021. gada 11. februāra sēdes lēmums</w:t>
            </w:r>
            <w:bookmarkEnd w:id="0"/>
          </w:p>
        </w:tc>
      </w:tr>
      <w:tr w:rsidR="005A4EC1" w:rsidRPr="00E52A31" w14:paraId="53E11E43" w14:textId="77777777" w:rsidTr="00137BAC">
        <w:tc>
          <w:tcPr>
            <w:tcW w:w="568" w:type="dxa"/>
          </w:tcPr>
          <w:p w14:paraId="04D73C1A" w14:textId="77777777" w:rsidR="005A4EC1" w:rsidRPr="00E52A31" w:rsidRDefault="005A4EC1" w:rsidP="00981D7F">
            <w:pPr>
              <w:pStyle w:val="Bezatstarpm"/>
              <w:jc w:val="center"/>
              <w:rPr>
                <w:rFonts w:ascii="Times New Roman" w:hAnsi="Times New Roman" w:cs="Times New Roman"/>
                <w:sz w:val="24"/>
                <w:szCs w:val="24"/>
                <w:lang w:eastAsia="lv-LV"/>
              </w:rPr>
            </w:pPr>
            <w:r w:rsidRPr="00E52A31">
              <w:rPr>
                <w:rFonts w:ascii="Times New Roman" w:hAnsi="Times New Roman" w:cs="Times New Roman"/>
                <w:sz w:val="24"/>
                <w:szCs w:val="24"/>
                <w:lang w:eastAsia="lv-LV"/>
              </w:rPr>
              <w:t>2.</w:t>
            </w:r>
          </w:p>
        </w:tc>
        <w:tc>
          <w:tcPr>
            <w:tcW w:w="1984" w:type="dxa"/>
            <w:gridSpan w:val="2"/>
          </w:tcPr>
          <w:p w14:paraId="4A4898BE" w14:textId="674BF473" w:rsidR="005A4EC1" w:rsidRPr="00981D7F" w:rsidRDefault="005A4EC1" w:rsidP="00981D7F">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Pašreizējā situācija un problēmas, kuru risināšanai tiesību akta projekts izstrādāts, tiesiskā regulējuma mērķis un būtība</w:t>
            </w:r>
          </w:p>
        </w:tc>
        <w:tc>
          <w:tcPr>
            <w:tcW w:w="6804" w:type="dxa"/>
            <w:gridSpan w:val="8"/>
          </w:tcPr>
          <w:p w14:paraId="591DE5F5" w14:textId="2C73EEB2" w:rsidR="00EF0391" w:rsidRPr="00613AFE" w:rsidRDefault="00EF0391" w:rsidP="009E34A9">
            <w:pPr>
              <w:jc w:val="both"/>
              <w:rPr>
                <w:shd w:val="clear" w:color="auto" w:fill="FFFFFF"/>
              </w:rPr>
            </w:pPr>
            <w:r w:rsidRPr="00613AFE">
              <w:t xml:space="preserve">Pasaules Veselības organizācija </w:t>
            </w:r>
            <w:r w:rsidR="009E34A9">
              <w:t xml:space="preserve">(PVO) </w:t>
            </w:r>
            <w:r w:rsidRPr="00613AFE">
              <w:t>2020. gada 11. martā pasludināja SARS-</w:t>
            </w:r>
            <w:proofErr w:type="spellStart"/>
            <w:r w:rsidRPr="00613AFE">
              <w:t>CoV-2</w:t>
            </w:r>
            <w:proofErr w:type="spellEnd"/>
            <w:r w:rsidRPr="00613AFE">
              <w:t xml:space="preserve"> uzliesmojumu par globālu pandēmiju. </w:t>
            </w:r>
            <w:r w:rsidR="006B406C">
              <w:t>Tā kā</w:t>
            </w:r>
            <w:r w:rsidRPr="00613AFE">
              <w:t xml:space="preserve"> vīruss turpina izplatīties</w:t>
            </w:r>
            <w:r w:rsidR="006B406C">
              <w:t>, p</w:t>
            </w:r>
            <w:r w:rsidRPr="00613AFE">
              <w:t xml:space="preserve">atlaban </w:t>
            </w:r>
            <w:r w:rsidR="006B406C">
              <w:t xml:space="preserve">ir </w:t>
            </w:r>
            <w:r w:rsidRPr="00613AFE">
              <w:t>inficēti vairāk nekā 1</w:t>
            </w:r>
            <w:r w:rsidR="00F61F5E">
              <w:t>6</w:t>
            </w:r>
            <w:r w:rsidR="000E2708">
              <w:t>7</w:t>
            </w:r>
            <w:r w:rsidRPr="00613AFE">
              <w:t xml:space="preserve"> miljoni </w:t>
            </w:r>
            <w:r w:rsidR="000E2708">
              <w:t>5</w:t>
            </w:r>
            <w:r w:rsidRPr="00613AFE">
              <w:t>00 tūkstoši pasaules iedzīvotāju</w:t>
            </w:r>
            <w:r w:rsidR="006B406C">
              <w:t xml:space="preserve"> un</w:t>
            </w:r>
            <w:r w:rsidRPr="00613AFE">
              <w:t xml:space="preserve"> reģistrēti vairāk nekā </w:t>
            </w:r>
            <w:r w:rsidR="00F61F5E">
              <w:t>trīs</w:t>
            </w:r>
            <w:r w:rsidRPr="00613AFE">
              <w:t xml:space="preserve"> miljoni </w:t>
            </w:r>
            <w:r w:rsidR="000E2708">
              <w:t>4</w:t>
            </w:r>
            <w:r w:rsidRPr="00613AFE">
              <w:t>00 tūkstoši SARS-</w:t>
            </w:r>
            <w:proofErr w:type="spellStart"/>
            <w:r w:rsidRPr="00613AFE">
              <w:t>CoV-2</w:t>
            </w:r>
            <w:proofErr w:type="spellEnd"/>
            <w:r w:rsidRPr="00613AFE">
              <w:t xml:space="preserve"> izraisītu nāves gadījumu</w:t>
            </w:r>
            <w:r w:rsidRPr="00613AFE">
              <w:rPr>
                <w:rStyle w:val="Vresatsauce"/>
              </w:rPr>
              <w:footnoteReference w:id="1"/>
            </w:r>
            <w:r w:rsidRPr="00613AFE">
              <w:t xml:space="preserve">. Saskaņā ar Slimību un profilakses centra datiem </w:t>
            </w:r>
            <w:r w:rsidR="006B406C">
              <w:t xml:space="preserve">Latvijā </w:t>
            </w:r>
            <w:r w:rsidRPr="00613AFE">
              <w:t xml:space="preserve">laikā no 2020. gada 29. janvāra līdz 2021. gada </w:t>
            </w:r>
            <w:r w:rsidR="000E2708">
              <w:t>1</w:t>
            </w:r>
            <w:r w:rsidRPr="00613AFE">
              <w:t>. </w:t>
            </w:r>
            <w:r w:rsidR="000E2708">
              <w:t>jūnijam</w:t>
            </w:r>
            <w:r w:rsidRPr="00613AFE">
              <w:t xml:space="preserve"> ar </w:t>
            </w:r>
            <w:proofErr w:type="spellStart"/>
            <w:r w:rsidRPr="00613AFE">
              <w:t>Covid-19</w:t>
            </w:r>
            <w:proofErr w:type="spellEnd"/>
            <w:r w:rsidRPr="00613AFE">
              <w:t xml:space="preserve"> saslimuši 1</w:t>
            </w:r>
            <w:r w:rsidR="0025108C">
              <w:t>3</w:t>
            </w:r>
            <w:r w:rsidR="000E2708">
              <w:t>3 </w:t>
            </w:r>
            <w:r w:rsidR="0025108C">
              <w:t>51</w:t>
            </w:r>
            <w:r w:rsidR="000E2708">
              <w:t>8</w:t>
            </w:r>
            <w:r w:rsidRPr="00613AFE">
              <w:t xml:space="preserve"> cilvēki un </w:t>
            </w:r>
            <w:r w:rsidR="006B406C" w:rsidRPr="00613AFE">
              <w:t>mir</w:t>
            </w:r>
            <w:r w:rsidR="006B406C">
              <w:t>uši</w:t>
            </w:r>
            <w:r w:rsidR="006B406C" w:rsidRPr="00613AFE">
              <w:t xml:space="preserve"> </w:t>
            </w:r>
            <w:r w:rsidRPr="00613AFE">
              <w:t>2</w:t>
            </w:r>
            <w:r w:rsidR="0025108C">
              <w:t>3</w:t>
            </w:r>
            <w:r w:rsidR="000E2708">
              <w:t>79</w:t>
            </w:r>
            <w:r w:rsidRPr="00613AFE">
              <w:t>.</w:t>
            </w:r>
            <w:r w:rsidR="009E34A9">
              <w:t xml:space="preserve"> </w:t>
            </w:r>
            <w:r w:rsidRPr="00613AFE">
              <w:rPr>
                <w:shd w:val="clear" w:color="auto" w:fill="FFFFFF"/>
              </w:rPr>
              <w:t xml:space="preserve">Attīstās jauni vīrusa varianti, kas izplatās </w:t>
            </w:r>
            <w:r w:rsidR="006B406C" w:rsidRPr="00613AFE">
              <w:rPr>
                <w:shd w:val="clear" w:color="auto" w:fill="FFFFFF"/>
              </w:rPr>
              <w:t>visā pasaulē</w:t>
            </w:r>
            <w:r w:rsidR="006B406C">
              <w:rPr>
                <w:shd w:val="clear" w:color="auto" w:fill="FFFFFF"/>
              </w:rPr>
              <w:t>, tostarp</w:t>
            </w:r>
            <w:r w:rsidR="006B406C" w:rsidRPr="00613AFE">
              <w:rPr>
                <w:shd w:val="clear" w:color="auto" w:fill="FFFFFF"/>
              </w:rPr>
              <w:t xml:space="preserve"> </w:t>
            </w:r>
            <w:r w:rsidRPr="00613AFE">
              <w:rPr>
                <w:shd w:val="clear" w:color="auto" w:fill="FFFFFF"/>
              </w:rPr>
              <w:t>Eiropā. Daži no tiem ir lipīgāki</w:t>
            </w:r>
            <w:r w:rsidR="006B406C">
              <w:rPr>
                <w:shd w:val="clear" w:color="auto" w:fill="FFFFFF"/>
              </w:rPr>
              <w:t>, un, tā kā</w:t>
            </w:r>
            <w:r w:rsidRPr="00613AFE">
              <w:rPr>
                <w:shd w:val="clear" w:color="auto" w:fill="FFFFFF"/>
              </w:rPr>
              <w:t xml:space="preserve"> tiem ir lielāks smagāku slimības simptomu risks, tie apdraud </w:t>
            </w:r>
            <w:r w:rsidR="006B406C">
              <w:rPr>
                <w:shd w:val="clear" w:color="auto" w:fill="FFFFFF"/>
              </w:rPr>
              <w:t>cilvēku</w:t>
            </w:r>
            <w:r w:rsidRPr="00613AFE">
              <w:rPr>
                <w:shd w:val="clear" w:color="auto" w:fill="FFFFFF"/>
              </w:rPr>
              <w:t xml:space="preserve"> pretreakciju uz vīrusu</w:t>
            </w:r>
            <w:r w:rsidR="006B406C">
              <w:rPr>
                <w:shd w:val="clear" w:color="auto" w:fill="FFFFFF"/>
              </w:rPr>
              <w:t>, t</w:t>
            </w:r>
            <w:r w:rsidRPr="00613AFE">
              <w:rPr>
                <w:shd w:val="clear" w:color="auto" w:fill="FFFFFF"/>
              </w:rPr>
              <w:t xml:space="preserve">āpēc ir svarīgi ar visiem pieejamajiem līdzekļiem šo variantus pēc iespējas ātrāk atklāt, lai varētu atbilstoši un </w:t>
            </w:r>
            <w:r w:rsidR="006B406C">
              <w:rPr>
                <w:shd w:val="clear" w:color="auto" w:fill="FFFFFF"/>
              </w:rPr>
              <w:t>laikus</w:t>
            </w:r>
            <w:r w:rsidRPr="00613AFE">
              <w:rPr>
                <w:shd w:val="clear" w:color="auto" w:fill="FFFFFF"/>
              </w:rPr>
              <w:t xml:space="preserve"> rīkoties.</w:t>
            </w:r>
          </w:p>
          <w:p w14:paraId="3F17F61F" w14:textId="7698F47C" w:rsidR="00EF0391" w:rsidRPr="00613AFE" w:rsidRDefault="00EF0391" w:rsidP="00613AFE">
            <w:pPr>
              <w:jc w:val="both"/>
            </w:pPr>
            <w:r w:rsidRPr="00613AFE">
              <w:rPr>
                <w:shd w:val="clear" w:color="auto" w:fill="FFFFFF"/>
              </w:rPr>
              <w:t>2020. gada 30. novembrī P</w:t>
            </w:r>
            <w:r w:rsidR="009E34A9">
              <w:rPr>
                <w:shd w:val="clear" w:color="auto" w:fill="FFFFFF"/>
              </w:rPr>
              <w:t>VO</w:t>
            </w:r>
            <w:r w:rsidRPr="00613AFE">
              <w:rPr>
                <w:shd w:val="clear" w:color="auto" w:fill="FFFFFF"/>
              </w:rPr>
              <w:t xml:space="preserve"> rīkoja ekspertu apsprie</w:t>
            </w:r>
            <w:r w:rsidR="006B406C">
              <w:rPr>
                <w:shd w:val="clear" w:color="auto" w:fill="FFFFFF"/>
              </w:rPr>
              <w:t>di</w:t>
            </w:r>
            <w:r w:rsidRPr="00613AFE">
              <w:rPr>
                <w:shd w:val="clear" w:color="auto" w:fill="FFFFFF"/>
              </w:rPr>
              <w:t xml:space="preserve"> par sabiedrības veselības vajadzībām saistībā ar SARS-</w:t>
            </w:r>
            <w:proofErr w:type="spellStart"/>
            <w:r w:rsidRPr="00613AFE">
              <w:rPr>
                <w:shd w:val="clear" w:color="auto" w:fill="FFFFFF"/>
              </w:rPr>
              <w:t>CoV-2</w:t>
            </w:r>
            <w:proofErr w:type="spellEnd"/>
            <w:r w:rsidRPr="00613AFE">
              <w:rPr>
                <w:shd w:val="clear" w:color="auto" w:fill="FFFFFF"/>
              </w:rPr>
              <w:t xml:space="preserve"> uzraudzību notekūdeņos un secināja, ka SARS-</w:t>
            </w:r>
            <w:proofErr w:type="spellStart"/>
            <w:r w:rsidRPr="00613AFE">
              <w:rPr>
                <w:shd w:val="clear" w:color="auto" w:fill="FFFFFF"/>
              </w:rPr>
              <w:t>CoV-2</w:t>
            </w:r>
            <w:proofErr w:type="spellEnd"/>
            <w:r w:rsidRPr="00613AFE">
              <w:rPr>
                <w:shd w:val="clear" w:color="auto" w:fill="FFFFFF"/>
              </w:rPr>
              <w:t xml:space="preserve"> uzraudzība notekūdeņos sabiedrības veselības iestādēm var sniegt svarīgu papildu un neatkarīgu informāciju.</w:t>
            </w:r>
          </w:p>
          <w:p w14:paraId="1549D802" w14:textId="64E8205F" w:rsidR="00EF0391" w:rsidRPr="00613AFE" w:rsidRDefault="00EF0391" w:rsidP="00613AFE">
            <w:pPr>
              <w:jc w:val="both"/>
            </w:pPr>
            <w:r w:rsidRPr="00613AFE">
              <w:rPr>
                <w:shd w:val="clear" w:color="auto" w:fill="FFFFFF"/>
              </w:rPr>
              <w:t xml:space="preserve">2021. gada 17. februārī </w:t>
            </w:r>
            <w:r w:rsidR="009E34A9">
              <w:rPr>
                <w:shd w:val="clear" w:color="auto" w:fill="FFFFFF"/>
              </w:rPr>
              <w:t xml:space="preserve">Eiropas </w:t>
            </w:r>
            <w:r w:rsidRPr="00613AFE">
              <w:rPr>
                <w:shd w:val="clear" w:color="auto" w:fill="FFFFFF"/>
              </w:rPr>
              <w:t xml:space="preserve">Komisija </w:t>
            </w:r>
            <w:r w:rsidR="00D8153D">
              <w:rPr>
                <w:shd w:val="clear" w:color="auto" w:fill="FFFFFF"/>
              </w:rPr>
              <w:t xml:space="preserve">(turpmāk – EK) </w:t>
            </w:r>
            <w:r w:rsidRPr="00613AFE">
              <w:rPr>
                <w:shd w:val="clear" w:color="auto" w:fill="FFFFFF"/>
              </w:rPr>
              <w:t xml:space="preserve">pieņēma paziņojumu, kurā ierosina tūlītēju rīcību, </w:t>
            </w:r>
            <w:r w:rsidR="006B406C">
              <w:rPr>
                <w:shd w:val="clear" w:color="auto" w:fill="FFFFFF"/>
              </w:rPr>
              <w:t>lai</w:t>
            </w:r>
            <w:r w:rsidRPr="00613AFE">
              <w:rPr>
                <w:shd w:val="clear" w:color="auto" w:fill="FFFFFF"/>
              </w:rPr>
              <w:t xml:space="preserve"> sagatavot</w:t>
            </w:r>
            <w:r w:rsidR="006B406C">
              <w:rPr>
                <w:shd w:val="clear" w:color="auto" w:fill="FFFFFF"/>
              </w:rPr>
              <w:t>u</w:t>
            </w:r>
            <w:r w:rsidRPr="00613AFE">
              <w:rPr>
                <w:shd w:val="clear" w:color="auto" w:fill="FFFFFF"/>
              </w:rPr>
              <w:t xml:space="preserve"> Eiropu paaugstinātam </w:t>
            </w:r>
            <w:proofErr w:type="spellStart"/>
            <w:r w:rsidRPr="00613AFE">
              <w:rPr>
                <w:shd w:val="clear" w:color="auto" w:fill="FFFFFF"/>
              </w:rPr>
              <w:t>koronavīrusa</w:t>
            </w:r>
            <w:proofErr w:type="spellEnd"/>
            <w:r w:rsidRPr="00613AFE">
              <w:rPr>
                <w:shd w:val="clear" w:color="auto" w:fill="FFFFFF"/>
              </w:rPr>
              <w:t xml:space="preserve"> variantu radītam apdraudējumam. Jauna</w:t>
            </w:r>
            <w:r w:rsidR="00D8153D">
              <w:rPr>
                <w:shd w:val="clear" w:color="auto" w:fill="FFFFFF"/>
              </w:rPr>
              <w:t>is</w:t>
            </w:r>
            <w:r w:rsidRPr="00613AFE">
              <w:rPr>
                <w:shd w:val="clear" w:color="auto" w:fill="FFFFFF"/>
              </w:rPr>
              <w:t xml:space="preserve"> </w:t>
            </w:r>
            <w:r w:rsidRPr="00613AFE">
              <w:rPr>
                <w:rStyle w:val="Izteiksmgs"/>
                <w:b w:val="0"/>
                <w:bCs w:val="0"/>
                <w:shd w:val="clear" w:color="auto" w:fill="FFFFFF"/>
              </w:rPr>
              <w:t xml:space="preserve">Eiropas </w:t>
            </w:r>
            <w:proofErr w:type="spellStart"/>
            <w:r w:rsidRPr="00613AFE">
              <w:rPr>
                <w:rStyle w:val="Izteiksmgs"/>
                <w:b w:val="0"/>
                <w:bCs w:val="0"/>
                <w:shd w:val="clear" w:color="auto" w:fill="FFFFFF"/>
              </w:rPr>
              <w:t>bioaizsardzības</w:t>
            </w:r>
            <w:proofErr w:type="spellEnd"/>
            <w:r w:rsidRPr="00613AFE">
              <w:rPr>
                <w:rStyle w:val="Izteiksmgs"/>
                <w:b w:val="0"/>
                <w:bCs w:val="0"/>
                <w:shd w:val="clear" w:color="auto" w:fill="FFFFFF"/>
              </w:rPr>
              <w:t xml:space="preserve"> sagatavotības plān</w:t>
            </w:r>
            <w:r w:rsidR="00D8153D">
              <w:rPr>
                <w:rStyle w:val="Izteiksmgs"/>
                <w:b w:val="0"/>
                <w:bCs w:val="0"/>
                <w:shd w:val="clear" w:color="auto" w:fill="FFFFFF"/>
              </w:rPr>
              <w:t>s</w:t>
            </w:r>
            <w:r w:rsidRPr="00613AFE">
              <w:rPr>
                <w:rStyle w:val="Izteiksmgs"/>
                <w:b w:val="0"/>
                <w:bCs w:val="0"/>
                <w:shd w:val="clear" w:color="auto" w:fill="FFFFFF"/>
              </w:rPr>
              <w:t xml:space="preserve"> cīņai pret </w:t>
            </w:r>
            <w:proofErr w:type="spellStart"/>
            <w:r w:rsidRPr="00613AFE">
              <w:rPr>
                <w:rStyle w:val="Izteiksmgs"/>
                <w:b w:val="0"/>
                <w:bCs w:val="0"/>
                <w:shd w:val="clear" w:color="auto" w:fill="FFFFFF"/>
              </w:rPr>
              <w:t>Covid-</w:t>
            </w:r>
            <w:r w:rsidRPr="00613AFE">
              <w:rPr>
                <w:rStyle w:val="Izteiksmgs"/>
                <w:b w:val="0"/>
                <w:bCs w:val="0"/>
                <w:shd w:val="clear" w:color="auto" w:fill="FFFFFF"/>
              </w:rPr>
              <w:lastRenderedPageBreak/>
              <w:t>19</w:t>
            </w:r>
            <w:proofErr w:type="spellEnd"/>
            <w:r w:rsidRPr="00613AFE">
              <w:rPr>
                <w:rStyle w:val="Izteiksmgs"/>
                <w:b w:val="0"/>
                <w:bCs w:val="0"/>
                <w:shd w:val="clear" w:color="auto" w:fill="FFFFFF"/>
              </w:rPr>
              <w:t xml:space="preserve"> variantiem </w:t>
            </w:r>
            <w:r w:rsidRPr="00613AFE">
              <w:rPr>
                <w:shd w:val="clear" w:color="auto" w:fill="FFFFFF"/>
              </w:rPr>
              <w:t>sadarbībā ar zinātniekiem, biotehnoloģiju uzņēmumiem, ražotājiem un publiskajām iestādēm Eiropas Savienībā un visā pasaulē ļaus atklāt jaunus vīrusa variantus, radī</w:t>
            </w:r>
            <w:r w:rsidR="00D8153D">
              <w:rPr>
                <w:shd w:val="clear" w:color="auto" w:fill="FFFFFF"/>
              </w:rPr>
              <w:t>s</w:t>
            </w:r>
            <w:r w:rsidRPr="00613AFE">
              <w:rPr>
                <w:shd w:val="clear" w:color="auto" w:fill="FFFFFF"/>
              </w:rPr>
              <w:t xml:space="preserve"> stimulus jaunu un pielāgotu vakcīnu izstrādei, paātrinā</w:t>
            </w:r>
            <w:r w:rsidR="00D8153D">
              <w:rPr>
                <w:shd w:val="clear" w:color="auto" w:fill="FFFFFF"/>
              </w:rPr>
              <w:t>s</w:t>
            </w:r>
            <w:r w:rsidRPr="00613AFE">
              <w:rPr>
                <w:shd w:val="clear" w:color="auto" w:fill="FFFFFF"/>
              </w:rPr>
              <w:t xml:space="preserve"> šo vakcīnu apstiprināšanas procesu un nodrošinā</w:t>
            </w:r>
            <w:r w:rsidR="00D8153D">
              <w:rPr>
                <w:shd w:val="clear" w:color="auto" w:fill="FFFFFF"/>
              </w:rPr>
              <w:t>s</w:t>
            </w:r>
            <w:r w:rsidRPr="00613AFE">
              <w:rPr>
                <w:shd w:val="clear" w:color="auto" w:fill="FFFFFF"/>
              </w:rPr>
              <w:t xml:space="preserve"> ražošanas jaudu palielināšanu.</w:t>
            </w:r>
          </w:p>
          <w:p w14:paraId="4F2C3C67" w14:textId="08525179" w:rsidR="008521C6" w:rsidRPr="00613AFE" w:rsidRDefault="00EF0391" w:rsidP="00EF0391">
            <w:pPr>
              <w:jc w:val="both"/>
              <w:rPr>
                <w:bCs/>
                <w:highlight w:val="yellow"/>
              </w:rPr>
            </w:pPr>
            <w:r w:rsidRPr="00613AFE">
              <w:rPr>
                <w:bCs/>
              </w:rPr>
              <w:t>E</w:t>
            </w:r>
            <w:r w:rsidR="00D8153D">
              <w:rPr>
                <w:bCs/>
              </w:rPr>
              <w:t>K</w:t>
            </w:r>
            <w:r w:rsidRPr="00613AFE">
              <w:rPr>
                <w:bCs/>
              </w:rPr>
              <w:t xml:space="preserve"> </w:t>
            </w:r>
            <w:r w:rsidRPr="00613AFE">
              <w:rPr>
                <w:shd w:val="clear" w:color="auto" w:fill="FFFFFF"/>
              </w:rPr>
              <w:t>2021. gada 17. martā pieņēma</w:t>
            </w:r>
            <w:r w:rsidRPr="00613AFE">
              <w:rPr>
                <w:bCs/>
              </w:rPr>
              <w:t xml:space="preserve"> ieteikumu</w:t>
            </w:r>
            <w:r w:rsidRPr="00613AFE">
              <w:rPr>
                <w:shd w:val="clear" w:color="auto" w:fill="FFFFFF"/>
              </w:rPr>
              <w:t xml:space="preserve"> (ES) 2021/472 par kopīgu pieeju, ar ko izveido SARS-</w:t>
            </w:r>
            <w:proofErr w:type="spellStart"/>
            <w:r w:rsidRPr="00613AFE">
              <w:rPr>
                <w:shd w:val="clear" w:color="auto" w:fill="FFFFFF"/>
              </w:rPr>
              <w:t>CoV-2</w:t>
            </w:r>
            <w:proofErr w:type="spellEnd"/>
            <w:r w:rsidRPr="00613AFE">
              <w:rPr>
                <w:shd w:val="clear" w:color="auto" w:fill="FFFFFF"/>
              </w:rPr>
              <w:t xml:space="preserve"> un tā variantu sistemātisku uzraudzību notekūdeņos Eiropas Savienībā</w:t>
            </w:r>
            <w:r w:rsidR="00B1306B">
              <w:rPr>
                <w:shd w:val="clear" w:color="auto" w:fill="FFFFFF"/>
              </w:rPr>
              <w:t xml:space="preserve"> (turpmāk – Komisijas ieteikums 2021/472)</w:t>
            </w:r>
            <w:r w:rsidRPr="00613AFE">
              <w:rPr>
                <w:rStyle w:val="Vresatsauce"/>
                <w:shd w:val="clear" w:color="auto" w:fill="FFFFFF"/>
              </w:rPr>
              <w:footnoteReference w:id="2"/>
            </w:r>
            <w:r w:rsidRPr="00613AFE">
              <w:rPr>
                <w:shd w:val="clear" w:color="auto" w:fill="FFFFFF"/>
              </w:rPr>
              <w:t>.</w:t>
            </w:r>
          </w:p>
          <w:p w14:paraId="7692960F" w14:textId="1F216A33" w:rsidR="002A22B7" w:rsidRPr="00E526EA" w:rsidRDefault="002A22B7" w:rsidP="00D8153D">
            <w:pPr>
              <w:pStyle w:val="mt-translation"/>
              <w:spacing w:after="0" w:afterAutospacing="0"/>
              <w:jc w:val="both"/>
              <w:rPr>
                <w:rFonts w:eastAsia="Calibri"/>
                <w:lang w:val="lv-LV"/>
              </w:rPr>
            </w:pPr>
            <w:r w:rsidRPr="00613AFE">
              <w:rPr>
                <w:lang w:val="lv-LV"/>
              </w:rPr>
              <w:t xml:space="preserve">2020. gada 30. jūnijā </w:t>
            </w:r>
            <w:r w:rsidRPr="00E526EA">
              <w:rPr>
                <w:lang w:val="lv-LV"/>
              </w:rPr>
              <w:t xml:space="preserve">Latvijas Zinātnes padomes komisija apstiprināja </w:t>
            </w:r>
            <w:r w:rsidR="006B406C">
              <w:rPr>
                <w:lang w:val="lv-LV"/>
              </w:rPr>
              <w:t>v</w:t>
            </w:r>
            <w:r w:rsidRPr="00E526EA">
              <w:rPr>
                <w:lang w:val="lv-LV"/>
              </w:rPr>
              <w:t>alsts pētījuma programmas “</w:t>
            </w:r>
            <w:proofErr w:type="spellStart"/>
            <w:r w:rsidRPr="00E526EA">
              <w:rPr>
                <w:lang w:val="lv-LV"/>
              </w:rPr>
              <w:t>C</w:t>
            </w:r>
            <w:r w:rsidR="006B406C">
              <w:rPr>
                <w:lang w:val="lv-LV"/>
              </w:rPr>
              <w:t>ovid</w:t>
            </w:r>
            <w:r w:rsidRPr="00E526EA">
              <w:rPr>
                <w:lang w:val="lv-LV"/>
              </w:rPr>
              <w:t>-19</w:t>
            </w:r>
            <w:proofErr w:type="spellEnd"/>
            <w:r w:rsidRPr="00E526EA">
              <w:rPr>
                <w:lang w:val="lv-LV"/>
              </w:rPr>
              <w:t xml:space="preserve"> seku mazināšana” projektu</w:t>
            </w:r>
            <w:r w:rsidRPr="00E526EA">
              <w:rPr>
                <w:b/>
                <w:bCs/>
                <w:lang w:val="lv-LV"/>
              </w:rPr>
              <w:t xml:space="preserve"> </w:t>
            </w:r>
            <w:r w:rsidRPr="00E526EA">
              <w:rPr>
                <w:rStyle w:val="Izteiksmgs"/>
                <w:b w:val="0"/>
                <w:bCs w:val="0"/>
                <w:lang w:val="lv-LV"/>
              </w:rPr>
              <w:t>Nr. VPP-COVID-2020/1-0008 “</w:t>
            </w:r>
            <w:proofErr w:type="spellStart"/>
            <w:r w:rsidRPr="00E526EA">
              <w:rPr>
                <w:rStyle w:val="Izteiksmgs"/>
                <w:b w:val="0"/>
                <w:bCs w:val="0"/>
                <w:lang w:val="lv-LV"/>
              </w:rPr>
              <w:t>Multidisciplināra</w:t>
            </w:r>
            <w:proofErr w:type="spellEnd"/>
            <w:r w:rsidRPr="00E526EA">
              <w:rPr>
                <w:rStyle w:val="Izteiksmgs"/>
                <w:b w:val="0"/>
                <w:bCs w:val="0"/>
                <w:lang w:val="lv-LV"/>
              </w:rPr>
              <w:t xml:space="preserve"> pieeja </w:t>
            </w:r>
            <w:proofErr w:type="spellStart"/>
            <w:r w:rsidRPr="00E526EA">
              <w:rPr>
                <w:rStyle w:val="Izteiksmgs"/>
                <w:b w:val="0"/>
                <w:bCs w:val="0"/>
                <w:lang w:val="lv-LV"/>
              </w:rPr>
              <w:t>C</w:t>
            </w:r>
            <w:r w:rsidR="006B406C">
              <w:rPr>
                <w:rStyle w:val="Izteiksmgs"/>
                <w:b w:val="0"/>
                <w:bCs w:val="0"/>
                <w:lang w:val="lv-LV"/>
              </w:rPr>
              <w:t>ovid-</w:t>
            </w:r>
            <w:r w:rsidRPr="00E526EA">
              <w:rPr>
                <w:rStyle w:val="Izteiksmgs"/>
                <w:b w:val="0"/>
                <w:bCs w:val="0"/>
                <w:lang w:val="lv-LV"/>
              </w:rPr>
              <w:t>19</w:t>
            </w:r>
            <w:proofErr w:type="spellEnd"/>
            <w:r w:rsidRPr="00E526EA">
              <w:rPr>
                <w:rStyle w:val="Izteiksmgs"/>
                <w:b w:val="0"/>
                <w:bCs w:val="0"/>
                <w:lang w:val="lv-LV"/>
              </w:rPr>
              <w:t xml:space="preserve"> un citu nākotnes epidēmiju </w:t>
            </w:r>
            <w:proofErr w:type="spellStart"/>
            <w:r w:rsidRPr="00E526EA">
              <w:rPr>
                <w:rStyle w:val="Izteiksmgs"/>
                <w:b w:val="0"/>
                <w:bCs w:val="0"/>
                <w:lang w:val="lv-LV"/>
              </w:rPr>
              <w:t>monitorēšanai</w:t>
            </w:r>
            <w:proofErr w:type="spellEnd"/>
            <w:r w:rsidRPr="00E526EA">
              <w:rPr>
                <w:rStyle w:val="Izteiksmgs"/>
                <w:b w:val="0"/>
                <w:bCs w:val="0"/>
                <w:lang w:val="lv-LV"/>
              </w:rPr>
              <w:t>, kontrolei un ierobežošanai Latvijā”.</w:t>
            </w:r>
            <w:r w:rsidR="00613AFE" w:rsidRPr="00E526EA">
              <w:rPr>
                <w:rStyle w:val="Izteiksmgs"/>
                <w:b w:val="0"/>
                <w:bCs w:val="0"/>
                <w:lang w:val="lv-LV"/>
              </w:rPr>
              <w:t xml:space="preserve"> </w:t>
            </w:r>
            <w:r w:rsidRPr="00E526EA">
              <w:rPr>
                <w:lang w:val="lv-LV"/>
              </w:rPr>
              <w:t xml:space="preserve">Projekta mērķis – izmantojot </w:t>
            </w:r>
            <w:proofErr w:type="spellStart"/>
            <w:r w:rsidRPr="00E526EA">
              <w:rPr>
                <w:lang w:val="lv-LV"/>
              </w:rPr>
              <w:t>multidisciplināru</w:t>
            </w:r>
            <w:proofErr w:type="spellEnd"/>
            <w:r w:rsidRPr="00E526EA">
              <w:rPr>
                <w:lang w:val="lv-LV"/>
              </w:rPr>
              <w:t xml:space="preserve"> pieeju, raksturot SARS-COV-2 epidemioloģisko izplatību Latvijā, radīt zināšanu bāzi un izstrādāt efektīvas </w:t>
            </w:r>
            <w:r w:rsidR="006B406C">
              <w:rPr>
                <w:lang w:val="lv-LV"/>
              </w:rPr>
              <w:t>iespējamo</w:t>
            </w:r>
            <w:r w:rsidR="006B406C" w:rsidRPr="00E526EA">
              <w:rPr>
                <w:lang w:val="lv-LV"/>
              </w:rPr>
              <w:t xml:space="preserve"> </w:t>
            </w:r>
            <w:r w:rsidRPr="00E526EA">
              <w:rPr>
                <w:lang w:val="lv-LV"/>
              </w:rPr>
              <w:t>epidēmiju kontroles stratēģijas. Pētījums īstenots laikā no 2020. gada 1. jūlija līdz 2021.</w:t>
            </w:r>
            <w:r w:rsidR="006B406C">
              <w:rPr>
                <w:lang w:val="lv-LV"/>
              </w:rPr>
              <w:t> </w:t>
            </w:r>
            <w:r w:rsidRPr="00E526EA">
              <w:rPr>
                <w:lang w:val="lv-LV"/>
              </w:rPr>
              <w:t>gada 31. martam.</w:t>
            </w:r>
            <w:r w:rsidR="00D8153D" w:rsidRPr="00E526EA">
              <w:rPr>
                <w:lang w:val="lv-LV"/>
              </w:rPr>
              <w:t xml:space="preserve"> </w:t>
            </w:r>
            <w:r w:rsidR="006B406C">
              <w:rPr>
                <w:lang w:val="lv-LV"/>
              </w:rPr>
              <w:t xml:space="preserve">Īstenojot </w:t>
            </w:r>
            <w:r w:rsidR="006B406C">
              <w:rPr>
                <w:rFonts w:eastAsia="Calibri"/>
                <w:lang w:val="lv-LV"/>
              </w:rPr>
              <w:t>p</w:t>
            </w:r>
            <w:r w:rsidRPr="00E526EA">
              <w:rPr>
                <w:rFonts w:eastAsia="Calibri"/>
                <w:lang w:val="lv-LV"/>
              </w:rPr>
              <w:t>ētījumu programm</w:t>
            </w:r>
            <w:r w:rsidR="006B406C">
              <w:rPr>
                <w:rFonts w:eastAsia="Calibri"/>
                <w:lang w:val="lv-LV"/>
              </w:rPr>
              <w:t>u,</w:t>
            </w:r>
            <w:r w:rsidRPr="00E526EA">
              <w:rPr>
                <w:rFonts w:eastAsia="Calibri"/>
                <w:lang w:val="lv-LV"/>
              </w:rPr>
              <w:t xml:space="preserve"> </w:t>
            </w:r>
            <w:r w:rsidR="006B406C">
              <w:rPr>
                <w:rFonts w:eastAsia="Calibri"/>
                <w:lang w:val="lv-LV"/>
              </w:rPr>
              <w:t>no</w:t>
            </w:r>
            <w:r w:rsidRPr="00E526EA">
              <w:rPr>
                <w:rFonts w:eastAsia="Calibri"/>
                <w:lang w:val="lv-LV"/>
              </w:rPr>
              <w:t xml:space="preserve">tika pētījums, </w:t>
            </w:r>
            <w:r w:rsidR="006B406C">
              <w:rPr>
                <w:rFonts w:eastAsia="Calibri"/>
                <w:lang w:val="lv-LV"/>
              </w:rPr>
              <w:t>lai</w:t>
            </w:r>
            <w:r w:rsidRPr="00E526EA">
              <w:rPr>
                <w:rFonts w:eastAsia="Calibri"/>
                <w:lang w:val="lv-LV"/>
              </w:rPr>
              <w:t xml:space="preserve"> izstrādāt</w:t>
            </w:r>
            <w:r w:rsidR="006B406C">
              <w:rPr>
                <w:rFonts w:eastAsia="Calibri"/>
                <w:lang w:val="lv-LV"/>
              </w:rPr>
              <w:t>u</w:t>
            </w:r>
            <w:r w:rsidRPr="00E526EA">
              <w:rPr>
                <w:rFonts w:eastAsia="Calibri"/>
                <w:lang w:val="lv-LV"/>
              </w:rPr>
              <w:t xml:space="preserve"> jaunu monitoringa metodi, kas ļautu noteikt </w:t>
            </w:r>
            <w:proofErr w:type="spellStart"/>
            <w:r w:rsidRPr="00E526EA">
              <w:rPr>
                <w:rFonts w:eastAsia="Calibri"/>
                <w:lang w:val="lv-LV"/>
              </w:rPr>
              <w:t>Covid-19</w:t>
            </w:r>
            <w:proofErr w:type="spellEnd"/>
            <w:r w:rsidRPr="00E526EA">
              <w:rPr>
                <w:rFonts w:eastAsia="Calibri"/>
                <w:lang w:val="lv-LV"/>
              </w:rPr>
              <w:t xml:space="preserve"> koncentrāciju notekūdeņos un prognozēt saslimšanas uzliesmojumu.</w:t>
            </w:r>
          </w:p>
          <w:p w14:paraId="7093C118" w14:textId="5FF3E8D6" w:rsidR="002A22B7" w:rsidRPr="00613AFE" w:rsidRDefault="002A22B7" w:rsidP="00613AFE">
            <w:pPr>
              <w:jc w:val="both"/>
            </w:pPr>
            <w:r w:rsidRPr="00E526EA">
              <w:t xml:space="preserve">Pētījumā </w:t>
            </w:r>
            <w:r w:rsidR="006B406C">
              <w:t xml:space="preserve">ir </w:t>
            </w:r>
            <w:r w:rsidRPr="00E526EA">
              <w:t>iesaistīt</w:t>
            </w:r>
            <w:r w:rsidR="006B406C">
              <w:t>i</w:t>
            </w:r>
            <w:r w:rsidRPr="00E526EA">
              <w:t xml:space="preserve"> Pārtikas drošības, dzīvnieku</w:t>
            </w:r>
            <w:r w:rsidRPr="00613AFE">
              <w:t xml:space="preserve"> veselības un vides zinātniskais institūts “BIOR”, Rīgas Tehniskā universitāte un Latvijas Biomedicīnas pētījumu un studiju centrs.</w:t>
            </w:r>
          </w:p>
          <w:p w14:paraId="40292F23" w14:textId="36861440" w:rsidR="00DE4D1C" w:rsidRPr="006B406C" w:rsidRDefault="006B406C" w:rsidP="00613AFE">
            <w:pPr>
              <w:jc w:val="both"/>
              <w:rPr>
                <w:i/>
              </w:rPr>
            </w:pPr>
            <w:r w:rsidRPr="006B406C">
              <w:t>Uz notekūdeņu monitoringu balstīto epidemioloģisko (</w:t>
            </w:r>
            <w:proofErr w:type="spellStart"/>
            <w:r w:rsidRPr="006B406C">
              <w:rPr>
                <w:i/>
              </w:rPr>
              <w:t>Wastewater-based</w:t>
            </w:r>
            <w:proofErr w:type="spellEnd"/>
            <w:r w:rsidRPr="006B406C">
              <w:rPr>
                <w:i/>
              </w:rPr>
              <w:t xml:space="preserve"> </w:t>
            </w:r>
            <w:proofErr w:type="spellStart"/>
            <w:r w:rsidRPr="006B406C">
              <w:rPr>
                <w:i/>
              </w:rPr>
              <w:t>epidemiology</w:t>
            </w:r>
            <w:proofErr w:type="spellEnd"/>
            <w:r w:rsidRPr="006B406C">
              <w:rPr>
                <w:i/>
              </w:rPr>
              <w:t xml:space="preserve"> – WBE) </w:t>
            </w:r>
            <w:r w:rsidRPr="006B406C">
              <w:t xml:space="preserve">pieeju </w:t>
            </w:r>
            <w:r w:rsidRPr="006B406C">
              <w:rPr>
                <w:iCs/>
              </w:rPr>
              <w:t xml:space="preserve">izmanto par agrīnas brīdināšanas sistēmu, kas sniedz iespēju laikus apzināties </w:t>
            </w:r>
            <w:proofErr w:type="spellStart"/>
            <w:r w:rsidRPr="006B406C">
              <w:rPr>
                <w:iCs/>
              </w:rPr>
              <w:t>Covid-19</w:t>
            </w:r>
            <w:proofErr w:type="spellEnd"/>
            <w:r w:rsidRPr="006B406C">
              <w:rPr>
                <w:iCs/>
              </w:rPr>
              <w:t xml:space="preserve"> uzliesmojuma mērogu konkrētā populācijā vai reģionā.</w:t>
            </w:r>
          </w:p>
          <w:p w14:paraId="79921C2F" w14:textId="50C3B636" w:rsidR="00613AFE" w:rsidRDefault="00613AFE" w:rsidP="00613AFE">
            <w:pPr>
              <w:pBdr>
                <w:top w:val="nil"/>
                <w:left w:val="nil"/>
                <w:bottom w:val="nil"/>
                <w:right w:val="nil"/>
                <w:between w:val="nil"/>
              </w:pBdr>
              <w:jc w:val="both"/>
            </w:pPr>
            <w:r>
              <w:t xml:space="preserve">Pētījuma </w:t>
            </w:r>
            <w:r w:rsidR="006B406C">
              <w:t>laikā</w:t>
            </w:r>
            <w:r>
              <w:t>:</w:t>
            </w:r>
          </w:p>
          <w:p w14:paraId="15DBAA42" w14:textId="0EE6965C" w:rsidR="006A5B7E" w:rsidRPr="00613AFE" w:rsidRDefault="006A5B7E" w:rsidP="00613AFE">
            <w:pPr>
              <w:pBdr>
                <w:top w:val="nil"/>
                <w:left w:val="nil"/>
                <w:bottom w:val="nil"/>
                <w:right w:val="nil"/>
                <w:between w:val="nil"/>
              </w:pBdr>
              <w:jc w:val="both"/>
            </w:pPr>
            <w:r w:rsidRPr="00613AFE">
              <w:t>1</w:t>
            </w:r>
            <w:r w:rsidR="006965C4">
              <w:t>)</w:t>
            </w:r>
            <w:r w:rsidRPr="00613AFE">
              <w:t xml:space="preserve"> </w:t>
            </w:r>
            <w:r w:rsidR="006B406C" w:rsidRPr="006B406C">
              <w:t>Latvijā paraugi tika ievākt</w:t>
            </w:r>
            <w:r w:rsidR="00BC4402">
              <w:t>i 13</w:t>
            </w:r>
            <w:r w:rsidR="006B406C" w:rsidRPr="006B406C">
              <w:t xml:space="preserve"> pilsētās visas </w:t>
            </w:r>
            <w:proofErr w:type="spellStart"/>
            <w:r w:rsidR="006B406C" w:rsidRPr="006B406C">
              <w:t>Covid-19</w:t>
            </w:r>
            <w:proofErr w:type="spellEnd"/>
            <w:r w:rsidR="006B406C" w:rsidRPr="006B406C">
              <w:t xml:space="preserve"> epidēmijas periodā un divās pilsētās vīrusa īstermiņa uzliesmojumu laikā (Kuldīgā un Jūrmalā). Rezultāti liecināja, ka saslimušo skaits korelē ar SARS-</w:t>
            </w:r>
            <w:proofErr w:type="spellStart"/>
            <w:r w:rsidR="006B406C" w:rsidRPr="006B406C">
              <w:t>CoV-2</w:t>
            </w:r>
            <w:proofErr w:type="spellEnd"/>
            <w:r w:rsidR="006B406C" w:rsidRPr="006B406C">
              <w:t xml:space="preserve"> ģenētiskā materiāla koncentrāciju notekūdeņos. Kopumā tika analizēti vairāk nekā 80 notekūdens paraugu 15 pilsētās vairākos Latvijas reģionos</w:t>
            </w:r>
            <w:r w:rsidR="006965C4">
              <w:t>;</w:t>
            </w:r>
          </w:p>
          <w:p w14:paraId="271F5CE7" w14:textId="025DFA3A" w:rsidR="006A5B7E" w:rsidRPr="006B406C" w:rsidRDefault="006A5B7E" w:rsidP="00613AFE">
            <w:pPr>
              <w:pBdr>
                <w:top w:val="nil"/>
                <w:left w:val="nil"/>
                <w:bottom w:val="nil"/>
                <w:right w:val="nil"/>
                <w:between w:val="nil"/>
              </w:pBdr>
              <w:jc w:val="both"/>
            </w:pPr>
            <w:r w:rsidRPr="00613AFE">
              <w:t>2</w:t>
            </w:r>
            <w:r w:rsidR="006965C4">
              <w:t xml:space="preserve">) </w:t>
            </w:r>
            <w:r w:rsidR="006B406C" w:rsidRPr="006B406C">
              <w:t xml:space="preserve">notekūdeņu 24 stundu </w:t>
            </w:r>
            <w:proofErr w:type="spellStart"/>
            <w:r w:rsidR="006B406C" w:rsidRPr="006B406C">
              <w:t>kompozītparaugi</w:t>
            </w:r>
            <w:proofErr w:type="spellEnd"/>
            <w:r w:rsidR="006B406C" w:rsidRPr="006B406C">
              <w:t xml:space="preserve"> tika ievākti notekūdeņu stacijās vai kanalizācijas </w:t>
            </w:r>
            <w:proofErr w:type="spellStart"/>
            <w:r w:rsidR="006B406C" w:rsidRPr="006B406C">
              <w:t>skatakās</w:t>
            </w:r>
            <w:proofErr w:type="spellEnd"/>
            <w:r w:rsidR="006B406C" w:rsidRPr="006B406C">
              <w:t>, izmantojot automatizētas paraugu ievākšanas iekārtas</w:t>
            </w:r>
            <w:r w:rsidR="006965C4" w:rsidRPr="006B406C">
              <w:t>;</w:t>
            </w:r>
            <w:r w:rsidRPr="006B406C">
              <w:t xml:space="preserve"> </w:t>
            </w:r>
          </w:p>
          <w:p w14:paraId="793BC2DC" w14:textId="22CE63C2" w:rsidR="006A5B7E" w:rsidRPr="00613AFE" w:rsidRDefault="006A5B7E" w:rsidP="00613AFE">
            <w:pPr>
              <w:jc w:val="both"/>
              <w:rPr>
                <w:rFonts w:eastAsia="Arial"/>
              </w:rPr>
            </w:pPr>
            <w:r w:rsidRPr="00613AFE">
              <w:t>3</w:t>
            </w:r>
            <w:r w:rsidR="006965C4">
              <w:t>) i</w:t>
            </w:r>
            <w:r w:rsidRPr="00613AFE">
              <w:t xml:space="preserve">zstrādāta augstas precizitātes vīrusa klātbūtnes noteikšanas metodoloģija. </w:t>
            </w:r>
          </w:p>
          <w:p w14:paraId="7B54D2B1" w14:textId="5736403F" w:rsidR="009748EE" w:rsidRPr="006B406C" w:rsidRDefault="006B406C" w:rsidP="00613AFE">
            <w:pPr>
              <w:jc w:val="both"/>
              <w:rPr>
                <w:i/>
                <w:iCs/>
              </w:rPr>
            </w:pPr>
            <w:proofErr w:type="spellStart"/>
            <w:r w:rsidRPr="006B406C">
              <w:rPr>
                <w:shd w:val="clear" w:color="auto" w:fill="FFFFFF"/>
              </w:rPr>
              <w:t>Covid-19</w:t>
            </w:r>
            <w:proofErr w:type="spellEnd"/>
            <w:r w:rsidRPr="006B406C">
              <w:rPr>
                <w:shd w:val="clear" w:color="auto" w:fill="FFFFFF"/>
              </w:rPr>
              <w:t xml:space="preserve"> notekūdeņos tika konstatēts piecas līdz sešas dienas, pirms attiecīgajā teritorijā novērots saslimstības pieaugums, kā arī, salīdzinot kvantitatīvos rādītājus, ir novērojama </w:t>
            </w:r>
            <w:r w:rsidRPr="006B406C">
              <w:t>izteikta korelācija starp saslimušo skaitu un vīrusa RNS koncentrāciju notekūdenī. Tātad iegūtie rezultāti ir izmantojami ne tikai agrīnai vīrusa uzplaiksnījumu identificēšanai, bet arī situācijas reāllaika novērojumiem. Izmantojot šo pieeju, ir iespējams pārliecināties par to, ka klīniskie dati atbilst realitātei un konkrētajā reģionā tik tiešām ir novērojama epidemioloģiskās situācijas stabilizācija</w:t>
            </w:r>
            <w:r w:rsidR="009748EE" w:rsidRPr="006B406C">
              <w:t>.</w:t>
            </w:r>
          </w:p>
          <w:p w14:paraId="2A638CF8" w14:textId="31B028E9" w:rsidR="006B406C" w:rsidRPr="006B406C" w:rsidRDefault="006B406C" w:rsidP="00D621FE">
            <w:pPr>
              <w:shd w:val="clear" w:color="auto" w:fill="FFFFFF"/>
              <w:jc w:val="both"/>
            </w:pPr>
            <w:r w:rsidRPr="006B406C">
              <w:lastRenderedPageBreak/>
              <w:t>Ņemot vērā epidemioloģisko situāciju un dažādo SARS-</w:t>
            </w:r>
            <w:proofErr w:type="spellStart"/>
            <w:r w:rsidRPr="006B406C">
              <w:t>CoV-2</w:t>
            </w:r>
            <w:proofErr w:type="spellEnd"/>
            <w:r w:rsidRPr="006B406C">
              <w:t xml:space="preserve"> variantu (piemēram, lipīgākā Lielbritānijas varianta, ko raksturo S proteīna N501Y mutācija un kas nu sastopams jau vairāk nekā pusē paraugu, vai imunoloģiski atšķirīgā Dienvidāfrikas varianta, kuru raksturo S proteīna K417N un E484K mutācijas un kura uzplaiksnījums Latvijā tika apturēts pašos pirmsākumos) izplatību pasaulē un Latvijā, šī vīrusa genoma sekvences monitorings notekūdeņos var arī agrīni signalizēt par bīstamo variantu izplatību vai, iespējams, jaunu variantu parādīšanos kādā no pašvaldībām vai plašākā reģionā.</w:t>
            </w:r>
          </w:p>
          <w:p w14:paraId="4823D811" w14:textId="4E1E4417" w:rsidR="006B406C" w:rsidRPr="006B406C" w:rsidRDefault="006B406C" w:rsidP="00D621FE">
            <w:pPr>
              <w:shd w:val="clear" w:color="auto" w:fill="FFFFFF"/>
              <w:jc w:val="both"/>
            </w:pPr>
            <w:r w:rsidRPr="006B406C">
              <w:t>SARS-</w:t>
            </w:r>
            <w:proofErr w:type="spellStart"/>
            <w:r w:rsidRPr="006B406C">
              <w:t>CoV-2</w:t>
            </w:r>
            <w:proofErr w:type="spellEnd"/>
            <w:r w:rsidRPr="006B406C">
              <w:t xml:space="preserve"> vīrusa izplatības analīze notekūdens sistēmās sniegs papildu informāciju Slimību profilakses un kontroles centram un citām veselības iestādēm, lai varētu prognozēt vīrusa izplatības dinamiku.</w:t>
            </w:r>
          </w:p>
          <w:p w14:paraId="167E2E46" w14:textId="71568362" w:rsidR="00E7330E" w:rsidRPr="006B406C" w:rsidRDefault="006B406C" w:rsidP="006B406C">
            <w:pPr>
              <w:shd w:val="clear" w:color="auto" w:fill="FFFFFF"/>
              <w:jc w:val="both"/>
            </w:pPr>
            <w:r w:rsidRPr="006B406C">
              <w:t xml:space="preserve">Šādas notekūdens monitoringa sistēmas izveide Latvijā ilgtermiņā sniegs atbalstu citu iespējamu infekciju uzliesmojumu monitoringam un sabiedrības veselības pētījumiem. Latvija ir viena no nedaudzajām Eiropas valstīm, kurā </w:t>
            </w:r>
            <w:proofErr w:type="spellStart"/>
            <w:r w:rsidRPr="006B406C">
              <w:t>Covid-19</w:t>
            </w:r>
            <w:proofErr w:type="spellEnd"/>
            <w:r w:rsidRPr="006B406C">
              <w:t xml:space="preserve"> pandēmijas laikā tika izstrādāta jauna pieeja notekūdens monitoringam, lai gūtu papildinformāciju par šo vīrusu</w:t>
            </w:r>
            <w:r w:rsidR="00E7330E" w:rsidRPr="006B406C">
              <w:t>.</w:t>
            </w:r>
          </w:p>
          <w:p w14:paraId="243A10EF" w14:textId="607BB1FF" w:rsidR="00613AFE" w:rsidRPr="00613AFE" w:rsidRDefault="006B406C" w:rsidP="00613AFE">
            <w:pPr>
              <w:jc w:val="both"/>
            </w:pPr>
            <w:r w:rsidRPr="006B406C">
              <w:t xml:space="preserve">Pilsētu notekūdeņu ķīmiskā analīze var sniegt noderīgu epidemioloģisko informāciju par dzīvesveida ieradumiem, sabiedrības veselību un labklājību. </w:t>
            </w:r>
            <w:r w:rsidRPr="00D621FE">
              <w:t>Uz notekūdeņu monitoringu balstītās epidemioloģisk</w:t>
            </w:r>
            <w:r w:rsidRPr="006B406C">
              <w:t>ās</w:t>
            </w:r>
            <w:r w:rsidRPr="00D621FE" w:rsidDel="00E8611C">
              <w:t xml:space="preserve"> </w:t>
            </w:r>
            <w:r w:rsidRPr="00D621FE">
              <w:t>pieejas pamatā ir</w:t>
            </w:r>
            <w:r w:rsidRPr="006B406C">
              <w:t xml:space="preserve"> īpaša cilvēka metabolisko izdalīšanās produktu (</w:t>
            </w:r>
            <w:proofErr w:type="spellStart"/>
            <w:r w:rsidRPr="006B406C">
              <w:t>biomarķieru</w:t>
            </w:r>
            <w:proofErr w:type="spellEnd"/>
            <w:r w:rsidRPr="006B406C">
              <w:t xml:space="preserve">) analīze notekūdeņos kā iedzīvotāju patēriņa vai iedarbības indikators. </w:t>
            </w:r>
            <w:r w:rsidR="00D621FE" w:rsidRPr="00D621FE">
              <w:t>Uz notekūdeņu monitoringu balstītā epidemioloģisk</w:t>
            </w:r>
            <w:r w:rsidR="00D621FE" w:rsidRPr="006B406C">
              <w:t>ā</w:t>
            </w:r>
            <w:r w:rsidR="00D621FE" w:rsidRPr="00D621FE" w:rsidDel="00E8611C">
              <w:t xml:space="preserve"> </w:t>
            </w:r>
            <w:r w:rsidR="00D621FE" w:rsidRPr="00D621FE">
              <w:t xml:space="preserve">pieeja </w:t>
            </w:r>
            <w:r w:rsidRPr="006B406C">
              <w:t xml:space="preserve">ir </w:t>
            </w:r>
            <w:proofErr w:type="spellStart"/>
            <w:r w:rsidRPr="006B406C">
              <w:t>transdisciplinārā</w:t>
            </w:r>
            <w:proofErr w:type="spellEnd"/>
            <w:r w:rsidRPr="006B406C">
              <w:t xml:space="preserve"> pētījumu joma. Tā paredz, ka notekūdeņu paraugs tiek savākts notekūdeņu attīrīšanas iekārtā un analizēts attiecībā uz vielām, kas saistītas ar sabiedrības veselības aspektiem. Salīdzinot rezultātus laika gaitā un dažādās vietās, pētnieki var objektīvi saskatīt tendences un atšķirības. Uz notekūdeņu monitoringu balstītā epidemioloģiskā</w:t>
            </w:r>
            <w:r w:rsidRPr="006B406C" w:rsidDel="00E8611C">
              <w:t xml:space="preserve"> </w:t>
            </w:r>
            <w:r w:rsidRPr="006B406C">
              <w:t>pieej</w:t>
            </w:r>
            <w:r w:rsidR="00D621FE">
              <w:t>a</w:t>
            </w:r>
            <w:r w:rsidRPr="006B406C">
              <w:t xml:space="preserve"> ir veiksmīgi izmantota arī nelegālo narkotiku patēriņa novērtēšanai, taču to var izmantot, lai novērtētu citus ar dzīvesveidu saistītus faktorus, piemēram, alkohola un jaunu psihoaktīvo vielu patēriņa novērtēšanai. Tāpat uz notekūdeņu monitoringu balstītā epidemioloģiskā</w:t>
            </w:r>
            <w:r w:rsidRPr="006B406C" w:rsidDel="00E8611C">
              <w:t xml:space="preserve"> </w:t>
            </w:r>
            <w:r w:rsidRPr="006B406C">
              <w:t>pieeja tikusi izmantota, lai pārbaudītu, vai ir novērojama sabiedrības ekspozīcija ar endokrīno sistēmu traucējošiem preparātiem, kā arī antibakteriāliem līdzekļiem. Plašais informācijas klāsts, ko var savākt no notekūdeņiem, paver iespēju paplašināt uz notekūdeņu monitoringu balstīto epidemioloģisko</w:t>
            </w:r>
            <w:r w:rsidRPr="006B406C" w:rsidDel="00E8611C">
              <w:t xml:space="preserve"> </w:t>
            </w:r>
            <w:r w:rsidRPr="006B406C">
              <w:t xml:space="preserve">pieeju ar citiem cilvēka </w:t>
            </w:r>
            <w:proofErr w:type="spellStart"/>
            <w:r w:rsidRPr="006B406C">
              <w:t>biomarķ</w:t>
            </w:r>
            <w:r w:rsidR="00042FCF">
              <w:t>i</w:t>
            </w:r>
            <w:r w:rsidRPr="006B406C">
              <w:t>eriem</w:t>
            </w:r>
            <w:proofErr w:type="spellEnd"/>
            <w:r w:rsidRPr="006B406C">
              <w:t>, sniedzot norādes par uzturu, veselību, slimībām un piesārņotāju iedarbību, piemēram, sasaistot vides vai pārtikas piesārņotāju iedarbību ar tādiem veselības traucējumiem kā diabēts vai vēzis</w:t>
            </w:r>
            <w:r w:rsidR="00F95EA0" w:rsidRPr="00613AFE">
              <w:t xml:space="preserve">. </w:t>
            </w:r>
            <w:r w:rsidR="00613AFE">
              <w:t>Secinājumi:</w:t>
            </w:r>
          </w:p>
          <w:p w14:paraId="26325B7C" w14:textId="289A73D8" w:rsidR="00613AFE" w:rsidRPr="006B406C" w:rsidRDefault="00613AFE" w:rsidP="006965C4">
            <w:pPr>
              <w:pBdr>
                <w:top w:val="nil"/>
                <w:left w:val="nil"/>
                <w:bottom w:val="nil"/>
                <w:right w:val="nil"/>
                <w:between w:val="nil"/>
              </w:pBdr>
              <w:jc w:val="both"/>
            </w:pPr>
            <w:r w:rsidRPr="00613AFE">
              <w:t>1</w:t>
            </w:r>
            <w:r w:rsidR="006965C4">
              <w:t xml:space="preserve">) </w:t>
            </w:r>
            <w:r w:rsidR="006B406C" w:rsidRPr="006B406C">
              <w:t xml:space="preserve">notekūdeņu monitoringam ir būtiska nozīme vīrusu epidemioloģijā. Tā izmantošana var veicināt savlaicīgāku un pamatotāku lēmumu pieņemšanu </w:t>
            </w:r>
            <w:proofErr w:type="spellStart"/>
            <w:r w:rsidR="006B406C" w:rsidRPr="006B406C">
              <w:t>Covid-19</w:t>
            </w:r>
            <w:proofErr w:type="spellEnd"/>
            <w:r w:rsidR="006B406C" w:rsidRPr="006B406C">
              <w:t xml:space="preserve"> uzraudzībā un kontrolē</w:t>
            </w:r>
            <w:r w:rsidR="006965C4" w:rsidRPr="006B406C">
              <w:t>;</w:t>
            </w:r>
          </w:p>
          <w:p w14:paraId="74EC63A8" w14:textId="5725C6FC" w:rsidR="00613AFE" w:rsidRPr="006B406C" w:rsidRDefault="00613AFE" w:rsidP="006965C4">
            <w:pPr>
              <w:pBdr>
                <w:top w:val="nil"/>
                <w:left w:val="nil"/>
                <w:bottom w:val="nil"/>
                <w:right w:val="nil"/>
                <w:between w:val="nil"/>
              </w:pBdr>
              <w:jc w:val="both"/>
            </w:pPr>
            <w:r w:rsidRPr="00613AFE">
              <w:t>2</w:t>
            </w:r>
            <w:r w:rsidR="006965C4">
              <w:t>)</w:t>
            </w:r>
            <w:r w:rsidRPr="00613AFE">
              <w:t xml:space="preserve"> </w:t>
            </w:r>
            <w:r w:rsidR="006B406C" w:rsidRPr="006B406C">
              <w:t>uz notekūdeņu monitoringu balstītās epidemioloģiskās</w:t>
            </w:r>
            <w:r w:rsidR="006B406C" w:rsidRPr="006B406C" w:rsidDel="00E8611C">
              <w:t xml:space="preserve"> </w:t>
            </w:r>
            <w:r w:rsidR="006B406C" w:rsidRPr="006B406C">
              <w:t xml:space="preserve">pieejas izmantošanai Latvijā kritiski nozīmīga ir pašvaldību (notekūdeņu apsaimniekotāju), Slimību profilakses un kontroles centra, Pārtikas </w:t>
            </w:r>
            <w:r w:rsidR="006B406C" w:rsidRPr="006B406C">
              <w:lastRenderedPageBreak/>
              <w:t>un veterinārā dienesta un pētniecības organizāciju sadarbības nodrošināšana</w:t>
            </w:r>
            <w:r w:rsidR="006965C4" w:rsidRPr="006B406C">
              <w:t>;</w:t>
            </w:r>
          </w:p>
          <w:p w14:paraId="2BB82C67" w14:textId="23D4FEF1" w:rsidR="00613AFE" w:rsidRPr="006B406C" w:rsidRDefault="00613AFE" w:rsidP="006965C4">
            <w:pPr>
              <w:pBdr>
                <w:top w:val="nil"/>
                <w:left w:val="nil"/>
                <w:bottom w:val="nil"/>
                <w:right w:val="nil"/>
                <w:between w:val="nil"/>
              </w:pBdr>
              <w:jc w:val="both"/>
            </w:pPr>
            <w:r w:rsidRPr="006B406C">
              <w:t>3</w:t>
            </w:r>
            <w:r w:rsidR="006965C4" w:rsidRPr="006B406C">
              <w:t>)</w:t>
            </w:r>
            <w:r w:rsidRPr="006B406C">
              <w:t xml:space="preserve"> </w:t>
            </w:r>
            <w:r w:rsidR="006B406C" w:rsidRPr="006B406C">
              <w:t>ilgtermiņā uz notekūdeņu monitoringu balstīt</w:t>
            </w:r>
            <w:r w:rsidR="007C74C9">
              <w:t>o</w:t>
            </w:r>
            <w:r w:rsidR="006B406C" w:rsidRPr="006B406C">
              <w:t xml:space="preserve"> epidemioloģisk</w:t>
            </w:r>
            <w:r w:rsidR="007C74C9">
              <w:t>o</w:t>
            </w:r>
            <w:r w:rsidR="006B406C" w:rsidRPr="006B406C" w:rsidDel="00E8611C">
              <w:t xml:space="preserve"> </w:t>
            </w:r>
            <w:r w:rsidR="006B406C" w:rsidRPr="006B406C">
              <w:t>pieej</w:t>
            </w:r>
            <w:r w:rsidR="007C74C9">
              <w:t>u</w:t>
            </w:r>
            <w:r w:rsidR="006B406C" w:rsidRPr="006B406C">
              <w:t xml:space="preserve"> var izmantota ne tikai </w:t>
            </w:r>
            <w:proofErr w:type="spellStart"/>
            <w:r w:rsidR="006B406C" w:rsidRPr="006B406C">
              <w:t>Covid-19,</w:t>
            </w:r>
            <w:proofErr w:type="spellEnd"/>
            <w:r w:rsidR="006B406C" w:rsidRPr="006B406C">
              <w:t xml:space="preserve"> bet arī citu slimību monitoringā vai sabiedrības veselības pētījumos</w:t>
            </w:r>
            <w:r w:rsidR="006965C4" w:rsidRPr="006B406C">
              <w:t>;</w:t>
            </w:r>
          </w:p>
          <w:p w14:paraId="538C355F" w14:textId="0BB4A3DF" w:rsidR="00613AFE" w:rsidRPr="006B406C" w:rsidRDefault="00613AFE" w:rsidP="006965C4">
            <w:pPr>
              <w:pBdr>
                <w:top w:val="nil"/>
                <w:left w:val="nil"/>
                <w:bottom w:val="nil"/>
                <w:right w:val="nil"/>
                <w:between w:val="nil"/>
              </w:pBdr>
              <w:jc w:val="both"/>
            </w:pPr>
            <w:r w:rsidRPr="006B406C">
              <w:t>4</w:t>
            </w:r>
            <w:r w:rsidR="006965C4" w:rsidRPr="006B406C">
              <w:t xml:space="preserve">) </w:t>
            </w:r>
            <w:r w:rsidR="006B406C" w:rsidRPr="006B406C">
              <w:t>izmantojot uz notekūdeņu monitoringu balstīto epidemioloģisko</w:t>
            </w:r>
            <w:r w:rsidR="006B406C" w:rsidRPr="006B406C" w:rsidDel="00E8611C">
              <w:t xml:space="preserve"> </w:t>
            </w:r>
            <w:r w:rsidR="006B406C" w:rsidRPr="006B406C">
              <w:t>pieeju, var būtiski samazināt inficēto cilvēku skaitu un monitoringa izmaksas, jo šādi iegūtā informācija dod iespēju laikus identificēt uzliesmojumus, operatīvi informēt attiecīgā reģiona (rajona) sabiedrību un veselības aprūpes speciālistus un fokusēt (citādi visas valsts mēroga) izdevumus problemātisko teritoriju iedzīvotāju masveida diagnostikai</w:t>
            </w:r>
            <w:r w:rsidRPr="006B406C">
              <w:t>.</w:t>
            </w:r>
          </w:p>
          <w:p w14:paraId="13E13603" w14:textId="000ED09A" w:rsidR="00613AFE" w:rsidRPr="00613AFE" w:rsidRDefault="006852A7" w:rsidP="009E34A9">
            <w:pPr>
              <w:jc w:val="both"/>
              <w:rPr>
                <w:shd w:val="clear" w:color="auto" w:fill="FFFFFF"/>
              </w:rPr>
            </w:pPr>
            <w:r>
              <w:rPr>
                <w:shd w:val="clear" w:color="auto" w:fill="FFFFFF"/>
              </w:rPr>
              <w:t>M</w:t>
            </w:r>
            <w:r w:rsidRPr="00613AFE">
              <w:rPr>
                <w:shd w:val="clear" w:color="auto" w:fill="FFFFFF"/>
              </w:rPr>
              <w:t>ērķis</w:t>
            </w:r>
            <w:r>
              <w:rPr>
                <w:bCs/>
              </w:rPr>
              <w:t xml:space="preserve"> </w:t>
            </w:r>
            <w:r w:rsidR="00B1306B">
              <w:rPr>
                <w:bCs/>
              </w:rPr>
              <w:t>Komisijas</w:t>
            </w:r>
            <w:r w:rsidR="00613AFE" w:rsidRPr="00613AFE">
              <w:rPr>
                <w:bCs/>
              </w:rPr>
              <w:t xml:space="preserve"> ieteikum</w:t>
            </w:r>
            <w:r>
              <w:rPr>
                <w:bCs/>
              </w:rPr>
              <w:t>am</w:t>
            </w:r>
            <w:r w:rsidR="00613AFE" w:rsidRPr="00613AFE">
              <w:rPr>
                <w:shd w:val="clear" w:color="auto" w:fill="FFFFFF"/>
              </w:rPr>
              <w:t xml:space="preserve"> 2021/472 ir atbalstīt dalībvalstis notekūdeņu uzraudzības sistēmu izveidē visā Eiropas Savienībā kā papildu datu vākšanas un pārraudzības rīku </w:t>
            </w:r>
            <w:proofErr w:type="spellStart"/>
            <w:r w:rsidR="00613AFE" w:rsidRPr="00613AFE">
              <w:rPr>
                <w:shd w:val="clear" w:color="auto" w:fill="FFFFFF"/>
              </w:rPr>
              <w:t>Covid-19</w:t>
            </w:r>
            <w:proofErr w:type="spellEnd"/>
            <w:r w:rsidR="00613AFE" w:rsidRPr="00613AFE">
              <w:rPr>
                <w:shd w:val="clear" w:color="auto" w:fill="FFFFFF"/>
              </w:rPr>
              <w:t xml:space="preserve"> pandēmijā, koncentrējot uzmanību uz SARS-</w:t>
            </w:r>
            <w:proofErr w:type="spellStart"/>
            <w:r w:rsidR="00613AFE" w:rsidRPr="00613AFE">
              <w:rPr>
                <w:shd w:val="clear" w:color="auto" w:fill="FFFFFF"/>
              </w:rPr>
              <w:t>CoV-2</w:t>
            </w:r>
            <w:proofErr w:type="spellEnd"/>
            <w:r w:rsidR="00613AFE" w:rsidRPr="00613AFE">
              <w:rPr>
                <w:shd w:val="clear" w:color="auto" w:fill="FFFFFF"/>
              </w:rPr>
              <w:t xml:space="preserve"> variantu parādīšanos un izplatīšanos.</w:t>
            </w:r>
          </w:p>
          <w:p w14:paraId="41E1BF2C" w14:textId="77777777" w:rsidR="00613AFE" w:rsidRPr="00613AFE" w:rsidRDefault="00613AFE" w:rsidP="009E34A9">
            <w:pPr>
              <w:shd w:val="clear" w:color="auto" w:fill="FFFFFF"/>
              <w:jc w:val="both"/>
              <w:rPr>
                <w:shd w:val="clear" w:color="auto" w:fill="FFFFFF"/>
              </w:rPr>
            </w:pPr>
            <w:r w:rsidRPr="00613AFE">
              <w:rPr>
                <w:shd w:val="clear" w:color="auto" w:fill="FFFFFF"/>
              </w:rPr>
              <w:t>Viena no rīcības jomām, uz ko jākoncentrējas, ir pašreizējo un nākamo problemātisko SARS-</w:t>
            </w:r>
            <w:proofErr w:type="spellStart"/>
            <w:r w:rsidRPr="00613AFE">
              <w:rPr>
                <w:shd w:val="clear" w:color="auto" w:fill="FFFFFF"/>
              </w:rPr>
              <w:t>CoV-2</w:t>
            </w:r>
            <w:proofErr w:type="spellEnd"/>
            <w:r w:rsidRPr="00613AFE">
              <w:rPr>
                <w:shd w:val="clear" w:color="auto" w:fill="FFFFFF"/>
              </w:rPr>
              <w:t xml:space="preserve"> variantu ātra atklāšana. Dalībvalstu pieredze šajā jomā ir parādījusi, ka SARS-</w:t>
            </w:r>
            <w:proofErr w:type="spellStart"/>
            <w:r w:rsidRPr="00613AFE">
              <w:rPr>
                <w:shd w:val="clear" w:color="auto" w:fill="FFFFFF"/>
              </w:rPr>
              <w:t>CoV-2</w:t>
            </w:r>
            <w:proofErr w:type="spellEnd"/>
            <w:r w:rsidRPr="00613AFE">
              <w:rPr>
                <w:shd w:val="clear" w:color="auto" w:fill="FFFFFF"/>
              </w:rPr>
              <w:t xml:space="preserve"> un tā variantu uzraudzība notekūdeņos var būt veids, kā rentabli un ātri iegūt uzticamu informāciju par SARS-</w:t>
            </w:r>
            <w:proofErr w:type="spellStart"/>
            <w:r w:rsidRPr="00613AFE">
              <w:rPr>
                <w:shd w:val="clear" w:color="auto" w:fill="FFFFFF"/>
              </w:rPr>
              <w:t>CoV-2</w:t>
            </w:r>
            <w:proofErr w:type="spellEnd"/>
            <w:r w:rsidRPr="00613AFE">
              <w:rPr>
                <w:shd w:val="clear" w:color="auto" w:fill="FFFFFF"/>
              </w:rPr>
              <w:t xml:space="preserve"> izplatību iedzīvotāju vidū, un ka tā var būt vērtīgs elements pastiprinātā </w:t>
            </w:r>
            <w:proofErr w:type="spellStart"/>
            <w:r w:rsidRPr="00613AFE">
              <w:rPr>
                <w:shd w:val="clear" w:color="auto" w:fill="FFFFFF"/>
              </w:rPr>
              <w:t>genomiskajā</w:t>
            </w:r>
            <w:proofErr w:type="spellEnd"/>
            <w:r w:rsidRPr="00613AFE">
              <w:rPr>
                <w:shd w:val="clear" w:color="auto" w:fill="FFFFFF"/>
              </w:rPr>
              <w:t xml:space="preserve"> un epidemioloģiskajā uzraudzībā. Notekūdeņu monitorings būtu jāuzskata par papildinošu un neatkarīgu pieeju </w:t>
            </w:r>
            <w:proofErr w:type="spellStart"/>
            <w:r w:rsidRPr="00613AFE">
              <w:rPr>
                <w:shd w:val="clear" w:color="auto" w:fill="FFFFFF"/>
              </w:rPr>
              <w:t>Covid-19</w:t>
            </w:r>
            <w:proofErr w:type="spellEnd"/>
            <w:r w:rsidRPr="00613AFE">
              <w:rPr>
                <w:shd w:val="clear" w:color="auto" w:fill="FFFFFF"/>
              </w:rPr>
              <w:t xml:space="preserve"> uzraudzības un testēšanas stratēģijām.</w:t>
            </w:r>
          </w:p>
          <w:p w14:paraId="0C6FC9AA" w14:textId="77777777" w:rsidR="00613AFE" w:rsidRPr="00613AFE" w:rsidRDefault="00613AFE" w:rsidP="009E34A9">
            <w:pPr>
              <w:shd w:val="clear" w:color="auto" w:fill="FFFFFF"/>
              <w:jc w:val="both"/>
              <w:rPr>
                <w:highlight w:val="yellow"/>
              </w:rPr>
            </w:pPr>
            <w:r w:rsidRPr="00613AFE">
              <w:rPr>
                <w:shd w:val="clear" w:color="auto" w:fill="FFFFFF"/>
              </w:rPr>
              <w:t>SARS-</w:t>
            </w:r>
            <w:proofErr w:type="spellStart"/>
            <w:r w:rsidRPr="00613AFE">
              <w:rPr>
                <w:shd w:val="clear" w:color="auto" w:fill="FFFFFF"/>
              </w:rPr>
              <w:t>CoV-2</w:t>
            </w:r>
            <w:proofErr w:type="spellEnd"/>
            <w:r w:rsidRPr="00613AFE">
              <w:rPr>
                <w:shd w:val="clear" w:color="auto" w:fill="FFFFFF"/>
              </w:rPr>
              <w:t xml:space="preserve"> uzraudzība notekūdeņos var sniegt svarīgu papildu un neatkarīgu informāciju sabiedrības veselības lēmumu pieņemšanas procesā tagadējās </w:t>
            </w:r>
            <w:proofErr w:type="spellStart"/>
            <w:r w:rsidRPr="00613AFE">
              <w:rPr>
                <w:shd w:val="clear" w:color="auto" w:fill="FFFFFF"/>
              </w:rPr>
              <w:t>Covid-19</w:t>
            </w:r>
            <w:proofErr w:type="spellEnd"/>
            <w:r w:rsidRPr="00613AFE">
              <w:rPr>
                <w:shd w:val="clear" w:color="auto" w:fill="FFFFFF"/>
              </w:rPr>
              <w:t xml:space="preserve"> pandēmijas kontekstā. Līdz ar to notekūdeņu monitorings sistemātiskāk jāiekļauj nacionālajās testēšanas stratēģijās SARS-</w:t>
            </w:r>
            <w:proofErr w:type="spellStart"/>
            <w:r w:rsidRPr="00613AFE">
              <w:rPr>
                <w:shd w:val="clear" w:color="auto" w:fill="FFFFFF"/>
              </w:rPr>
              <w:t>CoV-2</w:t>
            </w:r>
            <w:proofErr w:type="spellEnd"/>
            <w:r w:rsidRPr="00613AFE">
              <w:rPr>
                <w:shd w:val="clear" w:color="auto" w:fill="FFFFFF"/>
              </w:rPr>
              <w:t xml:space="preserve"> vīrusa atklāšanai.</w:t>
            </w:r>
          </w:p>
          <w:p w14:paraId="5C4104F0" w14:textId="77B63CA3" w:rsidR="006852A7" w:rsidRPr="006852A7" w:rsidRDefault="006852A7" w:rsidP="008D7099">
            <w:pPr>
              <w:shd w:val="clear" w:color="auto" w:fill="FFFFFF"/>
              <w:jc w:val="both"/>
              <w:rPr>
                <w:shd w:val="clear" w:color="auto" w:fill="FFFFFF"/>
              </w:rPr>
            </w:pPr>
            <w:r w:rsidRPr="006852A7">
              <w:rPr>
                <w:shd w:val="clear" w:color="auto" w:fill="FFFFFF"/>
              </w:rPr>
              <w:t>Dalībvalstis tiek uzstājīgi mudinātas pēc iespējas ātrāk, bet ne vēlāk kā līdz 2021. gada 1. oktobrim ieviest valsts notekūdeņu uzraudzības sistēmu, kuras mērķis ir vākt datus par SARS-</w:t>
            </w:r>
            <w:proofErr w:type="spellStart"/>
            <w:r w:rsidRPr="006852A7">
              <w:rPr>
                <w:shd w:val="clear" w:color="auto" w:fill="FFFFFF"/>
              </w:rPr>
              <w:t>CoV-2</w:t>
            </w:r>
            <w:proofErr w:type="spellEnd"/>
            <w:r w:rsidRPr="006852A7">
              <w:rPr>
                <w:shd w:val="clear" w:color="auto" w:fill="FFFFFF"/>
              </w:rPr>
              <w:t xml:space="preserve"> un tā variantiem notekūdeņos.</w:t>
            </w:r>
          </w:p>
          <w:p w14:paraId="6333CBD5" w14:textId="254134EC" w:rsidR="00613AFE" w:rsidRPr="006852A7" w:rsidRDefault="006852A7" w:rsidP="008D7099">
            <w:pPr>
              <w:shd w:val="clear" w:color="auto" w:fill="FFFFFF"/>
              <w:jc w:val="both"/>
              <w:rPr>
                <w:highlight w:val="yellow"/>
              </w:rPr>
            </w:pPr>
            <w:r w:rsidRPr="006852A7">
              <w:rPr>
                <w:shd w:val="clear" w:color="auto" w:fill="FFFFFF"/>
              </w:rPr>
              <w:t>Dalībvalstīm būtu jānodrošina, lai notekūdeņu monitoringa rezultāti tiek nekavējoties elektroniski nosūtīti kompetentajām sabiedrības veselības iestādēm un pēc tam ievadīti Eiropas apmaiņas platformā, kad tā būs sākusi darboties</w:t>
            </w:r>
            <w:r w:rsidR="00613AFE" w:rsidRPr="006852A7">
              <w:rPr>
                <w:shd w:val="clear" w:color="auto" w:fill="FFFFFF"/>
              </w:rPr>
              <w:t>. </w:t>
            </w:r>
          </w:p>
          <w:p w14:paraId="571E0DA9" w14:textId="51981760" w:rsidR="00DB0D8F" w:rsidRPr="00613AFE" w:rsidRDefault="00613AFE" w:rsidP="008D7099">
            <w:pPr>
              <w:pStyle w:val="Paraststmeklis"/>
              <w:shd w:val="clear" w:color="auto" w:fill="FFFFFF"/>
              <w:spacing w:before="0" w:beforeAutospacing="0" w:after="0" w:afterAutospacing="0"/>
              <w:jc w:val="both"/>
              <w:rPr>
                <w:shd w:val="clear" w:color="auto" w:fill="FFFFFF"/>
              </w:rPr>
            </w:pPr>
            <w:r w:rsidRPr="00613AFE">
              <w:rPr>
                <w:shd w:val="clear" w:color="auto" w:fill="FFFFFF"/>
              </w:rPr>
              <w:t xml:space="preserve">Dalībvalstis tiek mudinātas līdz 2021. gada 15. maijam ziņot Eiropas Komisijai par darbībām, kas </w:t>
            </w:r>
            <w:r w:rsidR="006852A7">
              <w:rPr>
                <w:shd w:val="clear" w:color="auto" w:fill="FFFFFF"/>
              </w:rPr>
              <w:t>īsteno</w:t>
            </w:r>
            <w:r w:rsidRPr="00613AFE">
              <w:rPr>
                <w:shd w:val="clear" w:color="auto" w:fill="FFFFFF"/>
              </w:rPr>
              <w:t xml:space="preserve">tas saistībā ar </w:t>
            </w:r>
            <w:r w:rsidR="00B1306B">
              <w:rPr>
                <w:shd w:val="clear" w:color="auto" w:fill="FFFFFF"/>
              </w:rPr>
              <w:t>Komisijas ieteikumu 2021/472</w:t>
            </w:r>
            <w:r w:rsidRPr="00613AFE">
              <w:rPr>
                <w:shd w:val="clear" w:color="auto" w:fill="FFFFFF"/>
              </w:rPr>
              <w:t>.</w:t>
            </w:r>
          </w:p>
          <w:p w14:paraId="1C3351EA" w14:textId="0FDB99D0" w:rsidR="008307BA" w:rsidRPr="008900D6" w:rsidRDefault="006852A7" w:rsidP="008D7099">
            <w:pPr>
              <w:jc w:val="both"/>
            </w:pPr>
            <w:r w:rsidRPr="006852A7">
              <w:t xml:space="preserve">Lai turpinātu notekūdeņu monitoringu un izpildītu Eiropas Komisijas ieteikumu 2021/427, nepieciešams īstenot virkni pasākumu, kas saistīti ar vajadzīgo iegādi, t.i., iegādāties specializētas notekūdeņu (kanalizācijas) paraugu ņemšanas iekārtas, </w:t>
            </w:r>
            <w:r w:rsidRPr="006852A7">
              <w:rPr>
                <w:color w:val="000000"/>
              </w:rPr>
              <w:t>kuras ievietot notekūdeņu attīrīšanas stacijās,</w:t>
            </w:r>
            <w:r w:rsidRPr="006852A7">
              <w:t xml:space="preserve"> notekūdeņu paraugu uzglabāšanas sistēmas (saldētavas ar –80 </w:t>
            </w:r>
            <w:proofErr w:type="spellStart"/>
            <w:r w:rsidRPr="006852A7">
              <w:t>ºC</w:t>
            </w:r>
            <w:proofErr w:type="spellEnd"/>
            <w:r w:rsidRPr="006852A7">
              <w:t xml:space="preserve"> uzglabāšanas temperatūru), tīklam pievienojamu datu glabātavu ar 120TB ietilpību</w:t>
            </w:r>
            <w:r w:rsidR="00613AFE" w:rsidRPr="006852A7">
              <w:t>.</w:t>
            </w:r>
            <w:r w:rsidR="00524964">
              <w:t xml:space="preserve"> </w:t>
            </w:r>
            <w:r w:rsidR="00613AFE" w:rsidRPr="00613AFE">
              <w:t>Jāturpina pasākumi notekūde</w:t>
            </w:r>
            <w:r>
              <w:t>ņu</w:t>
            </w:r>
            <w:r w:rsidR="00613AFE" w:rsidRPr="00613AFE">
              <w:t xml:space="preserve"> </w:t>
            </w:r>
            <w:r w:rsidR="00613AFE" w:rsidRPr="008900D6">
              <w:t>monitoringam un notekūde</w:t>
            </w:r>
            <w:r>
              <w:t>ņu</w:t>
            </w:r>
            <w:r w:rsidR="00613AFE" w:rsidRPr="008900D6">
              <w:t xml:space="preserve"> “</w:t>
            </w:r>
            <w:proofErr w:type="spellStart"/>
            <w:r w:rsidR="00613AFE" w:rsidRPr="008900D6">
              <w:t>biobankas</w:t>
            </w:r>
            <w:proofErr w:type="spellEnd"/>
            <w:r w:rsidR="00613AFE" w:rsidRPr="008900D6">
              <w:t xml:space="preserve">” izveidošanai </w:t>
            </w:r>
            <w:r w:rsidR="00613AFE" w:rsidRPr="008900D6">
              <w:lastRenderedPageBreak/>
              <w:t>– notekūde</w:t>
            </w:r>
            <w:r>
              <w:t>ņu</w:t>
            </w:r>
            <w:r w:rsidR="00613AFE" w:rsidRPr="008900D6">
              <w:t xml:space="preserve"> paraugu ņemšana</w:t>
            </w:r>
            <w:r>
              <w:t>i</w:t>
            </w:r>
            <w:r w:rsidR="00613AFE" w:rsidRPr="008900D6">
              <w:t>, savākšana</w:t>
            </w:r>
            <w:r>
              <w:t>i</w:t>
            </w:r>
            <w:r w:rsidR="00613AFE" w:rsidRPr="008900D6">
              <w:t>, testēšana</w:t>
            </w:r>
            <w:r>
              <w:t>i un</w:t>
            </w:r>
            <w:r w:rsidR="00613AFE" w:rsidRPr="008900D6">
              <w:t xml:space="preserve"> </w:t>
            </w:r>
            <w:proofErr w:type="spellStart"/>
            <w:r w:rsidR="00613AFE" w:rsidRPr="008900D6">
              <w:t>sekvenēšana</w:t>
            </w:r>
            <w:r>
              <w:t>i</w:t>
            </w:r>
            <w:proofErr w:type="spellEnd"/>
            <w:r w:rsidR="00613AFE" w:rsidRPr="008900D6">
              <w:t xml:space="preserve">. </w:t>
            </w:r>
          </w:p>
          <w:p w14:paraId="4A9B06F7" w14:textId="6D72D099" w:rsidR="006852A7" w:rsidRPr="006852A7" w:rsidRDefault="006852A7" w:rsidP="008D7099">
            <w:pPr>
              <w:tabs>
                <w:tab w:val="left" w:pos="8647"/>
              </w:tabs>
              <w:jc w:val="both"/>
            </w:pPr>
            <w:r w:rsidRPr="006852A7">
              <w:t>Pēc Eiropas Komisijas ieteikuma 2021/472, minimālais paraugu ņemšanas biežums un ģeogrāfiskais aptvērums būtu jāpielāgo atbilstoši epidemioloģiskajai situācijai. Sistēmai ir jāaptver ievērojama attiecīgās dalībvalsts iedzīvotāju daļa. Vēlams, lai tiktu ņemti vismaz divi paraugi nedēļā. Pēc vajadzības drīkst izvēlēties vēl citas paraugu ņemšanas vietas, lai sistēmā aptvertu pietiekamu iedzīvotāju daļu vai labāk izprastu vīrusa apriti iespējamās iedzīvotāju pārvietošanās dēļ pa dažādiem apgabaliem (piemēram, tūristu iecienītās vietās vasaras sezonā).</w:t>
            </w:r>
          </w:p>
          <w:p w14:paraId="0CCB0421" w14:textId="29F14BBA" w:rsidR="008307BA" w:rsidRPr="008900D6" w:rsidRDefault="006852A7" w:rsidP="008D7099">
            <w:pPr>
              <w:jc w:val="both"/>
            </w:pPr>
            <w:r w:rsidRPr="006852A7">
              <w:t>Ņemot vērā pētījuma īstenošanā iegūto pieredzi un izstrādāto augstas precizitātes vīrusa klātbūtnes noteikšanas metodoloģiju, kā arī šajā ziņojumā aprakstīto iestāžu kompetenci, darbu notekūdeņu monitoringā ir lietderīgi turpināt</w:t>
            </w:r>
            <w:r w:rsidR="008307BA" w:rsidRPr="008900D6">
              <w:t xml:space="preserve"> </w:t>
            </w:r>
            <w:bookmarkStart w:id="1" w:name="_Hlk72931572"/>
            <w:r w:rsidR="008307BA" w:rsidRPr="008900D6">
              <w:t>Pārtikas drošības, dzīvnieku veselības un vides zinātniska</w:t>
            </w:r>
            <w:r>
              <w:t>jam</w:t>
            </w:r>
            <w:r w:rsidR="008307BA" w:rsidRPr="008900D6">
              <w:t xml:space="preserve"> institūtam “BIOR” sadarbībā ar Rīgas Tehnisko universitāti un Latvijas Biomedicīnas pētījumu un studiju centr</w:t>
            </w:r>
            <w:bookmarkEnd w:id="1"/>
            <w:r w:rsidR="008307BA" w:rsidRPr="008900D6">
              <w:t>u.</w:t>
            </w:r>
          </w:p>
          <w:p w14:paraId="2083993C" w14:textId="0520B8B6" w:rsidR="00FA6DEA" w:rsidRPr="006852A7" w:rsidRDefault="00FA6DEA" w:rsidP="008D7099">
            <w:pPr>
              <w:shd w:val="clear" w:color="auto" w:fill="FFFFFF"/>
              <w:jc w:val="both"/>
            </w:pPr>
            <w:r w:rsidRPr="008900D6">
              <w:t xml:space="preserve">Rīgas Tehniskās universitātes (RTU) </w:t>
            </w:r>
            <w:r w:rsidR="006852A7" w:rsidRPr="006852A7">
              <w:rPr>
                <w:shd w:val="clear" w:color="auto" w:fill="FFFFFF"/>
              </w:rPr>
              <w:t xml:space="preserve">Ūdens sistēmu un biotehnoloģiju institūta </w:t>
            </w:r>
            <w:r w:rsidR="006852A7" w:rsidRPr="006852A7">
              <w:t>Ūdens pētniecības un vides biotehnoloģiju laboratorija vairāk nekā 20 gadus piedalās starptautiskos (FP5, FP6, H2020, FET-OPEN u.c.) pētniecības projektos par ūdens apgādes un kanalizācijas tematiku, pētot mikroorganismu (baktēriju, sēnīšu, aļģu, vīrusu) dinamiku (vairošanās, transports, dezinfekcija) cauruļvados un citās ūdens sistēmās. Tādējādi laboratorijai ir kompetences par kanalizācijas sistēmu uzbūvi un to hidrauliskiem, ķīmiskiem un mikrobioloģiskiem aspektiem. Laboratorija sadarbojas ar Latvijas ūdenssaimniecības uzņēmumiem, pārzina kanalizācijas sistēmu darbību un spēj veikt nepieciešamos aprēķinus (piemēram, vīrusa transporta modelēšanu).</w:t>
            </w:r>
            <w:r w:rsidRPr="006852A7">
              <w:t xml:space="preserve">   </w:t>
            </w:r>
          </w:p>
          <w:p w14:paraId="5B6594BA" w14:textId="0A7EE81C" w:rsidR="00FA6DEA" w:rsidRPr="006852A7" w:rsidRDefault="00FA6DEA" w:rsidP="008D7099">
            <w:pPr>
              <w:jc w:val="both"/>
            </w:pPr>
            <w:r w:rsidRPr="008900D6">
              <w:t>Latvijas Biomedicīnas pētījumu un studiju centrs (LBMC)</w:t>
            </w:r>
            <w:r w:rsidR="009E7284" w:rsidRPr="008900D6">
              <w:t xml:space="preserve"> </w:t>
            </w:r>
            <w:r w:rsidR="006852A7" w:rsidRPr="00A37CD2">
              <w:rPr>
                <w:color w:val="000000"/>
                <w:sz w:val="28"/>
                <w:szCs w:val="28"/>
              </w:rPr>
              <w:t xml:space="preserve">ir </w:t>
            </w:r>
            <w:r w:rsidR="006852A7" w:rsidRPr="006852A7">
              <w:rPr>
                <w:color w:val="000000"/>
              </w:rPr>
              <w:t xml:space="preserve">Latvijas vadošā pētniecības iestāde molekulārajā bioloģijā, biomedicīnā un biotehnoloģijā. To apliecina daudzie publicētie zinātniskie raksti (2020. gadā vien publicēti 72 raksti) un augstākais </w:t>
            </w:r>
            <w:proofErr w:type="spellStart"/>
            <w:r w:rsidR="006852A7" w:rsidRPr="006852A7">
              <w:rPr>
                <w:color w:val="000000"/>
              </w:rPr>
              <w:t>citējamības</w:t>
            </w:r>
            <w:proofErr w:type="spellEnd"/>
            <w:r w:rsidR="006852A7" w:rsidRPr="006852A7">
              <w:rPr>
                <w:color w:val="000000"/>
              </w:rPr>
              <w:t xml:space="preserve"> rādītājs uz vienu publikāciju starp visām Latvijas zinātniskajām iestādēm. Kopš dibināšanas 1993. gadā LBMC ir izveidojies par spēcīgu zinātnisko centru, kurā tiek veikti gan fundamentālie, gan lietišķie pētījumi piecos galvenajos virzienos</w:t>
            </w:r>
            <w:r w:rsidR="006852A7" w:rsidRPr="006852A7">
              <w:rPr>
                <w:b/>
                <w:bCs/>
                <w:color w:val="000000"/>
              </w:rPr>
              <w:t xml:space="preserve"> – </w:t>
            </w:r>
            <w:r w:rsidR="006852A7" w:rsidRPr="006852A7">
              <w:rPr>
                <w:rStyle w:val="Izteiksmgs"/>
                <w:b w:val="0"/>
                <w:color w:val="000000"/>
              </w:rPr>
              <w:t>cilvēka ģenētika un slimību patoģenēzes mehānismi, vēža izpēte, biotehnoloģija un strukturālā bioloģija, molekulārā mikrobioloģija un virusoloģija, molekulārā farmakoloģija</w:t>
            </w:r>
            <w:r w:rsidR="006852A7" w:rsidRPr="006852A7">
              <w:rPr>
                <w:bCs/>
                <w:color w:val="000000"/>
              </w:rPr>
              <w:t xml:space="preserve">. Lai arī virzieni ir dažādi no mērķa viedokļa, </w:t>
            </w:r>
            <w:r w:rsidR="006852A7" w:rsidRPr="006852A7">
              <w:t>tos vieno nukleīnskābju jeb ģenētiskā materiāla daudzpusīga izpēte un pielietošana izvirzīto mērķu sasniegšanā, tāpēc LBMC darbinieki ir uzkrājuši ievērojamu pieredzi jaunu nukleīnskābju saturošu paraugu apstrādes un noteikšanas metožu izstrādē, kā arī LBMC ir pieejama visa nepieciešamā infrastruktūra un nozares jaudīgākās nukleīnskābju izpētes tehnoloģijas. Papildus minētajam LBMC ir nozīmīgas SARS-</w:t>
            </w:r>
            <w:proofErr w:type="spellStart"/>
            <w:r w:rsidR="006852A7" w:rsidRPr="006852A7">
              <w:t>CoV-2</w:t>
            </w:r>
            <w:proofErr w:type="spellEnd"/>
            <w:r w:rsidR="006852A7" w:rsidRPr="006852A7">
              <w:t xml:space="preserve"> ģenētiskās uzraudzības darba grupas dalībnieks un grupā nodrošina pacientu paraugos atrastā vīrusa pilna genoma sekvencēšanu</w:t>
            </w:r>
            <w:r w:rsidRPr="006852A7">
              <w:t>.</w:t>
            </w:r>
          </w:p>
          <w:p w14:paraId="0B052BC5" w14:textId="3BBF7161" w:rsidR="006852A7" w:rsidRPr="006852A7" w:rsidRDefault="00FA6DEA" w:rsidP="008D7099">
            <w:pPr>
              <w:autoSpaceDE w:val="0"/>
              <w:autoSpaceDN w:val="0"/>
              <w:adjustRightInd w:val="0"/>
              <w:jc w:val="both"/>
            </w:pPr>
            <w:r w:rsidRPr="00290380">
              <w:lastRenderedPageBreak/>
              <w:t>Pārtikas drošības, dzīvnieku veselības un vides zinātniskais institūts “BIOR” (BIOR)</w:t>
            </w:r>
            <w:r w:rsidR="009E7284" w:rsidRPr="00290380">
              <w:t xml:space="preserve"> </w:t>
            </w:r>
            <w:r w:rsidR="006852A7" w:rsidRPr="006852A7">
              <w:t>ir Zemkopības ministrijas pārraudzībā esošs valsts zinātniskais institūts ar daudzveidīgu zinātnisko darbību, kas ietver fundamentālus un lietišķus pētījumus, kā arī metožu un tehnoloģiju izstrādi, lai sekmētu cilvēku, dzīvnieku un vides veselību, dzīvnieku labturību, drošas pārtikas apriti, zivju un ūdens resursu saglabāšanu. Institūta darbības virzieni ir ķīmijas zinātnes, vides zinātnes, sabiedrības un vides veselība, zivsaimniecība un veterinārmedicīnas zinātnes</w:t>
            </w:r>
            <w:r w:rsidRPr="006852A7">
              <w:t>.</w:t>
            </w:r>
            <w:r w:rsidR="009E7284" w:rsidRPr="00290380">
              <w:t xml:space="preserve"> </w:t>
            </w:r>
            <w:r w:rsidRPr="00290380">
              <w:t>Ar 2010. gada 1. janvāri izveidojot BIOR</w:t>
            </w:r>
            <w:r w:rsidRPr="00290380">
              <w:rPr>
                <w:rStyle w:val="Vresatsauce"/>
              </w:rPr>
              <w:footnoteReference w:id="3"/>
            </w:r>
            <w:r w:rsidRPr="00290380">
              <w:t xml:space="preserve">, </w:t>
            </w:r>
            <w:r w:rsidR="006852A7" w:rsidRPr="006852A7">
              <w:t xml:space="preserve">par vienu no galvenajām institūta funkcijām zinātniskās darbības jomā noteikta funkcija veikt zinātnisko darbību veterinārmedicīnas, pārtikas kvalitātes un nekaitīguma, zivsaimniecības un sabiedrības veselības jomā, īstenot pētījumu projektus, lai novērtētu risku pārtikas nekaitīguma un dzīvnieku infekcijas slimību (arī </w:t>
            </w:r>
            <w:proofErr w:type="spellStart"/>
            <w:r w:rsidR="006852A7" w:rsidRPr="006852A7">
              <w:t>zoonožu</w:t>
            </w:r>
            <w:proofErr w:type="spellEnd"/>
            <w:r w:rsidR="006852A7" w:rsidRPr="006852A7">
              <w:t xml:space="preserve"> – slimību, ar kurām slimo gan dzīvnieki, gan cilvēki) jomā, nodrošinot efektīvu sadarbību ar minētās jomas institūcijām, citām zinātniskajām iestādēm un organizācijām, un sniegt informāciju riska vadības nodrošināšanai dzīvnieku infekcijas slimību (arī </w:t>
            </w:r>
            <w:proofErr w:type="spellStart"/>
            <w:r w:rsidR="006852A7" w:rsidRPr="006852A7">
              <w:t>zoonožu</w:t>
            </w:r>
            <w:proofErr w:type="spellEnd"/>
            <w:r w:rsidR="006852A7" w:rsidRPr="006852A7">
              <w:t>) jomā, kā arī atbilstoši kompetencei pārstāvēt Latvijas intereses un īstenot starptautisko zinātnisko sadarbību.</w:t>
            </w:r>
          </w:p>
          <w:p w14:paraId="7085F083" w14:textId="3A6D64C4" w:rsidR="00FA6DEA" w:rsidRPr="006852A7" w:rsidRDefault="006852A7" w:rsidP="006852A7">
            <w:pPr>
              <w:shd w:val="clear" w:color="auto" w:fill="FFFFFF"/>
              <w:jc w:val="both"/>
            </w:pPr>
            <w:r w:rsidRPr="006852A7">
              <w:t>BIOR pilda virkni valsts deleģētu funkciju un valsts pārvaldes uzdevumu, kas noteikti Pārtikas aprites uzraudzības likumā, Veterinārmedicīnas likumā, Ģenētiski modificēto organismu aprites likumā, Zvejniecības likumā u.c. normatīvajos aktos, tostarp</w:t>
            </w:r>
            <w:r w:rsidR="00FA6DEA" w:rsidRPr="006852A7">
              <w:t>:</w:t>
            </w:r>
          </w:p>
          <w:p w14:paraId="5D68D5FD" w14:textId="77777777" w:rsidR="00FA6DEA" w:rsidRPr="00290380" w:rsidRDefault="00FA6DEA" w:rsidP="009E7284">
            <w:pPr>
              <w:shd w:val="clear" w:color="auto" w:fill="FFFFFF"/>
              <w:jc w:val="both"/>
            </w:pPr>
            <w:r w:rsidRPr="00290380">
              <w:t>1) kā oficiālās kontroles laboratorija veic laboratoriskos un diagnostiskos izmeklējumus un ar tiem saistītās darbības valsts uzraudzības un kontroles nodrošināšanai pārtikas un dzīvnieku barības aprites, veterinārmedicīnas un robežkontroles jomā;</w:t>
            </w:r>
          </w:p>
          <w:p w14:paraId="19E62341" w14:textId="77777777" w:rsidR="00FA6DEA" w:rsidRPr="00290380" w:rsidRDefault="00FA6DEA" w:rsidP="009E7284">
            <w:pPr>
              <w:shd w:val="clear" w:color="auto" w:fill="FFFFFF"/>
              <w:jc w:val="both"/>
            </w:pPr>
            <w:r w:rsidRPr="00290380">
              <w:t>2) veic riska zinātnisko novērtēšanu pārtikas aprites, ģenētiski modificēto organismu aprites un dzīvnieku veselības un sabiedrības veselības jomā;</w:t>
            </w:r>
          </w:p>
          <w:p w14:paraId="2CE32E03" w14:textId="77777777" w:rsidR="00FA6DEA" w:rsidRPr="00290380" w:rsidRDefault="00FA6DEA" w:rsidP="009E7284">
            <w:pPr>
              <w:shd w:val="clear" w:color="auto" w:fill="FFFFFF"/>
              <w:jc w:val="both"/>
            </w:pPr>
            <w:r w:rsidRPr="00290380">
              <w:rPr>
                <w:shd w:val="clear" w:color="auto" w:fill="FFFFFF"/>
              </w:rPr>
              <w:t>3) ir kompetentā iestāde dzeramā ūdens riska novērtējumā dzeramā ūdens apgādes sistēmās;</w:t>
            </w:r>
          </w:p>
          <w:p w14:paraId="2268E1D0" w14:textId="77777777" w:rsidR="00FA6DEA" w:rsidRPr="00290380" w:rsidRDefault="00FA6DEA" w:rsidP="009E7284">
            <w:pPr>
              <w:shd w:val="clear" w:color="auto" w:fill="FFFFFF"/>
              <w:jc w:val="both"/>
            </w:pPr>
            <w:r w:rsidRPr="00290380">
              <w:t xml:space="preserve">4) vāc valsts uzraudzības un kontroles iestādēm nepieciešamos datus sabiedrības veselības, vides, pārtikas kvalitātes un nekaitīguma, zivsaimniecības un dzīvnieku veselības, tostarp infekcijas slimību un </w:t>
            </w:r>
            <w:proofErr w:type="spellStart"/>
            <w:r w:rsidRPr="00290380">
              <w:t>zoonožu</w:t>
            </w:r>
            <w:proofErr w:type="spellEnd"/>
            <w:r w:rsidRPr="00290380">
              <w:t xml:space="preserve"> jomās;</w:t>
            </w:r>
          </w:p>
          <w:p w14:paraId="13976776" w14:textId="11BF7478" w:rsidR="006852A7" w:rsidRPr="006852A7" w:rsidRDefault="006852A7" w:rsidP="006852A7">
            <w:pPr>
              <w:pStyle w:val="Virsraksts3"/>
              <w:shd w:val="clear" w:color="auto" w:fill="FFFFFF"/>
              <w:spacing w:before="0" w:beforeAutospacing="0" w:after="0" w:afterAutospacing="0"/>
              <w:jc w:val="both"/>
              <w:outlineLvl w:val="2"/>
              <w:rPr>
                <w:b w:val="0"/>
                <w:bCs w:val="0"/>
                <w:sz w:val="24"/>
                <w:szCs w:val="24"/>
              </w:rPr>
            </w:pPr>
            <w:r w:rsidRPr="006852A7">
              <w:rPr>
                <w:b w:val="0"/>
                <w:bCs w:val="0"/>
                <w:sz w:val="24"/>
                <w:szCs w:val="24"/>
              </w:rPr>
              <w:t xml:space="preserve">5) </w:t>
            </w:r>
            <w:r w:rsidRPr="006852A7">
              <w:rPr>
                <w:b w:val="0"/>
                <w:bCs w:val="0"/>
                <w:sz w:val="24"/>
                <w:szCs w:val="24"/>
                <w:shd w:val="clear" w:color="auto" w:fill="FFFFFF"/>
              </w:rPr>
              <w:t>pilda Eiropas Pārtikas nekaitīguma iestādes (</w:t>
            </w:r>
            <w:r w:rsidRPr="008D7099">
              <w:rPr>
                <w:b w:val="0"/>
                <w:bCs w:val="0"/>
                <w:i/>
                <w:sz w:val="24"/>
                <w:szCs w:val="24"/>
                <w:shd w:val="clear" w:color="auto" w:fill="FFFFFF"/>
              </w:rPr>
              <w:t>EFSA</w:t>
            </w:r>
            <w:r w:rsidRPr="006852A7">
              <w:rPr>
                <w:b w:val="0"/>
                <w:bCs w:val="0"/>
                <w:sz w:val="24"/>
                <w:szCs w:val="24"/>
                <w:shd w:val="clear" w:color="auto" w:fill="FFFFFF"/>
              </w:rPr>
              <w:t xml:space="preserve">) nacionālā kontaktpunkta funkcijas Latvijā. </w:t>
            </w:r>
            <w:r w:rsidRPr="006852A7">
              <w:rPr>
                <w:b w:val="0"/>
                <w:bCs w:val="0"/>
                <w:sz w:val="24"/>
                <w:szCs w:val="24"/>
              </w:rPr>
              <w:t xml:space="preserve">Nacionālais kontaktpunkts nodrošina informācijas apmaiņu un sadarbību starp nacionālajām institūcijām, kā arī interesentu konsultēšanu un informēšanu par </w:t>
            </w:r>
            <w:r w:rsidRPr="008D7099">
              <w:rPr>
                <w:b w:val="0"/>
                <w:bCs w:val="0"/>
                <w:i/>
                <w:sz w:val="24"/>
                <w:szCs w:val="24"/>
              </w:rPr>
              <w:t>EFSA</w:t>
            </w:r>
            <w:r w:rsidRPr="006852A7">
              <w:rPr>
                <w:b w:val="0"/>
                <w:bCs w:val="0"/>
                <w:sz w:val="24"/>
                <w:szCs w:val="24"/>
              </w:rPr>
              <w:t xml:space="preserve"> misijas jomām (</w:t>
            </w:r>
            <w:r w:rsidRPr="006852A7">
              <w:rPr>
                <w:rFonts w:eastAsiaTheme="minorHAnsi"/>
                <w:b w:val="0"/>
                <w:bCs w:val="0"/>
                <w:sz w:val="24"/>
                <w:szCs w:val="24"/>
              </w:rPr>
              <w:t>veicināt augstu cilvēku dzīvības un veselības aizsardzības līmeni, saistībā ar iekšējā tirgus darbību ņemot vērā dzīvnieku veselību un labturību, augu veselību un vidi);</w:t>
            </w:r>
          </w:p>
          <w:p w14:paraId="5170BC11" w14:textId="78E3DB15" w:rsidR="00FA6DEA" w:rsidRPr="006852A7" w:rsidRDefault="006852A7" w:rsidP="006852A7">
            <w:pPr>
              <w:pStyle w:val="Virsraksts3"/>
              <w:shd w:val="clear" w:color="auto" w:fill="FFFFFF"/>
              <w:spacing w:before="0" w:beforeAutospacing="0" w:after="0" w:afterAutospacing="0"/>
              <w:jc w:val="both"/>
              <w:outlineLvl w:val="2"/>
              <w:rPr>
                <w:b w:val="0"/>
                <w:bCs w:val="0"/>
                <w:sz w:val="24"/>
                <w:szCs w:val="24"/>
              </w:rPr>
            </w:pPr>
            <w:r w:rsidRPr="006852A7">
              <w:rPr>
                <w:b w:val="0"/>
                <w:bCs w:val="0"/>
                <w:sz w:val="24"/>
                <w:szCs w:val="24"/>
              </w:rPr>
              <w:t xml:space="preserve">6) nodrošina nacionālās references laboratorijas funkciju tādās jomās kā pārtika, materiāli un priekšmeti, kas nonāk saskarē ar pārtiku, dzīvnieku barība, atliekvielas, tostarp pesticīdu atliekvielas un slimību ierosinātāju </w:t>
            </w:r>
            <w:proofErr w:type="spellStart"/>
            <w:r w:rsidRPr="006852A7">
              <w:rPr>
                <w:b w:val="0"/>
                <w:bCs w:val="0"/>
                <w:sz w:val="24"/>
                <w:szCs w:val="24"/>
              </w:rPr>
              <w:t>antimikrobiālā</w:t>
            </w:r>
            <w:proofErr w:type="spellEnd"/>
            <w:r w:rsidRPr="006852A7">
              <w:rPr>
                <w:b w:val="0"/>
                <w:bCs w:val="0"/>
                <w:sz w:val="24"/>
                <w:szCs w:val="24"/>
              </w:rPr>
              <w:t xml:space="preserve"> rezistence (22 jomas), dzīvnieku </w:t>
            </w:r>
            <w:r w:rsidRPr="006852A7">
              <w:rPr>
                <w:b w:val="0"/>
                <w:bCs w:val="0"/>
                <w:sz w:val="24"/>
                <w:szCs w:val="24"/>
              </w:rPr>
              <w:lastRenderedPageBreak/>
              <w:t>veselība un dzīvnieku infekcijas slimību diagnostika, un diagnozes standartu un metožu kontrole un uzraudzība (19 jomas)</w:t>
            </w:r>
            <w:r w:rsidR="00FA6DEA" w:rsidRPr="006852A7">
              <w:rPr>
                <w:b w:val="0"/>
                <w:bCs w:val="0"/>
                <w:sz w:val="24"/>
                <w:szCs w:val="24"/>
              </w:rPr>
              <w:t>.</w:t>
            </w:r>
          </w:p>
          <w:p w14:paraId="5B0A2A0D" w14:textId="6044D084" w:rsidR="006852A7" w:rsidRPr="006852A7" w:rsidRDefault="006852A7" w:rsidP="008D7099">
            <w:pPr>
              <w:pStyle w:val="Paraststmeklis"/>
              <w:shd w:val="clear" w:color="auto" w:fill="FFFFFF"/>
              <w:spacing w:before="0" w:beforeAutospacing="0" w:after="0" w:afterAutospacing="0"/>
              <w:jc w:val="both"/>
            </w:pPr>
            <w:r w:rsidRPr="006852A7">
              <w:t>BIOR laboratorijas ir novērtētas un akreditētas atbilstoši LVS EN ISO/IEC 17025:2017 “Testēšanas un kalibrēšanas laboratoriju kompetences vispārīgās prasības” un LVS EN ISO 15189:2013 “Medicīnas laboratorijas. Kvalitātes un kompetences prasības” standartu prasībām. Pašlaik institūta laboratoriju akreditācijas sfērā ietilpst vairāk nekā 350 testēšanas metožu, kas aptver dažādus analīžu veidus.</w:t>
            </w:r>
          </w:p>
          <w:p w14:paraId="2B499BE8" w14:textId="658DDBDC" w:rsidR="00FA6DEA" w:rsidRPr="006852A7" w:rsidRDefault="006852A7" w:rsidP="008D7099">
            <w:pPr>
              <w:shd w:val="clear" w:color="auto" w:fill="FFFFFF"/>
              <w:jc w:val="both"/>
            </w:pPr>
            <w:r w:rsidRPr="006852A7">
              <w:t>BIOR jau vairākus gadus strādā pie pētījumiem saistībā ar farmaceitisko vielu un to metabolītu, kā arī citu piesārņotāju izplatību notekūdens sistēmās un vidē. Šī pieeja ir izmantota arī 2020. gadā SARS-</w:t>
            </w:r>
            <w:proofErr w:type="spellStart"/>
            <w:r w:rsidRPr="006852A7">
              <w:t>CoV-2</w:t>
            </w:r>
            <w:proofErr w:type="spellEnd"/>
            <w:r w:rsidRPr="006852A7">
              <w:t xml:space="preserve"> vīrusa monitoringam</w:t>
            </w:r>
            <w:r w:rsidR="00FA6DEA" w:rsidRPr="006852A7">
              <w:t>.</w:t>
            </w:r>
          </w:p>
          <w:p w14:paraId="53C9079D" w14:textId="23E33842" w:rsidR="005A4EC1" w:rsidRDefault="00613AFE" w:rsidP="008D7099">
            <w:pPr>
              <w:jc w:val="both"/>
            </w:pPr>
            <w:r w:rsidRPr="00613AFE">
              <w:t>Notekūdeņu monitoring</w:t>
            </w:r>
            <w:r w:rsidR="00D753CC">
              <w:t>s</w:t>
            </w:r>
            <w:r w:rsidRPr="00613AFE">
              <w:t xml:space="preserve"> un paraugu ņemšan</w:t>
            </w:r>
            <w:r w:rsidR="00D753CC">
              <w:t>a</w:t>
            </w:r>
            <w:r w:rsidRPr="00613AFE">
              <w:t xml:space="preserve"> būtu lietderīg</w:t>
            </w:r>
            <w:r w:rsidR="00D753CC">
              <w:t>a</w:t>
            </w:r>
            <w:r w:rsidRPr="00613AFE">
              <w:t xml:space="preserve"> vienlaikus 12 pašvaldību administratīvajās teritorijās. Teritoriju izvēle </w:t>
            </w:r>
            <w:r w:rsidR="00D753CC">
              <w:t xml:space="preserve">ir </w:t>
            </w:r>
            <w:r w:rsidRPr="00613AFE">
              <w:t xml:space="preserve">atkarīga no epidemioloģiskās situācijas, </w:t>
            </w:r>
            <w:r w:rsidR="00D753CC">
              <w:t xml:space="preserve">un </w:t>
            </w:r>
            <w:r w:rsidRPr="00613AFE">
              <w:t>izvēles algoritms un rotācijas principi jāizstrādā sadarbībā ar Slimību profilakses un kontroles centru.</w:t>
            </w:r>
          </w:p>
          <w:p w14:paraId="3EDBA400" w14:textId="1CB89250" w:rsidR="00561FEA" w:rsidRPr="00290380" w:rsidRDefault="00561FEA" w:rsidP="00524964">
            <w:pPr>
              <w:jc w:val="both"/>
            </w:pPr>
            <w:r w:rsidRPr="00290380">
              <w:t>Nepieciešamā aprīkojuma ie</w:t>
            </w:r>
            <w:r w:rsidR="007F79DE" w:rsidRPr="00290380">
              <w:t xml:space="preserve">pirkumu </w:t>
            </w:r>
            <w:r w:rsidR="00D753CC">
              <w:t>organizēs</w:t>
            </w:r>
            <w:r w:rsidRPr="00290380">
              <w:t xml:space="preserve"> institūts BIOR, pēc tam RTU nododot lietošanā specializētās notekūde</w:t>
            </w:r>
            <w:r w:rsidR="00D753CC">
              <w:t>ņu (</w:t>
            </w:r>
            <w:r w:rsidRPr="00290380">
              <w:t>kanalizācijas</w:t>
            </w:r>
            <w:r w:rsidR="00D753CC">
              <w:t>)</w:t>
            </w:r>
            <w:r w:rsidRPr="00290380">
              <w:t xml:space="preserve"> paraugu ņemšanas iekārtas un LBMC – tīklam pievienojamo datu glabātavu.</w:t>
            </w:r>
            <w:r w:rsidR="00C46E72" w:rsidRPr="00290380">
              <w:t xml:space="preserve"> Līdz paraugu ņemšanas aprīkojuma iepirkuma pabeigšanai sākotnējā posmā paraugi tiks noņemti ar alternatīvu metodi, kas ir atbilstoša, lai nodrošinātu materiālu izmeklējum</w:t>
            </w:r>
            <w:r w:rsidR="00D753CC">
              <w:t>iem</w:t>
            </w:r>
            <w:r w:rsidR="00C46E72" w:rsidRPr="00290380">
              <w:t>, bet nav piemērota kā ilgtermiņa risinājums.</w:t>
            </w:r>
          </w:p>
          <w:p w14:paraId="17094212" w14:textId="748F0E01" w:rsidR="00201275" w:rsidRPr="00290380" w:rsidRDefault="00D753CC" w:rsidP="00201275">
            <w:pPr>
              <w:tabs>
                <w:tab w:val="left" w:pos="8647"/>
              </w:tabs>
              <w:jc w:val="both"/>
              <w:rPr>
                <w:shd w:val="clear" w:color="auto" w:fill="FFFFFF"/>
              </w:rPr>
            </w:pPr>
            <w:r w:rsidRPr="00D753CC">
              <w:t>Notekūdeņu paraugu ņemšanu organizēs un koordinēs RTU Ūdens pētniecības un biotehnoloģiju laboratorija, un paraugus objektos (notekūdeņu attīrīšanas iekārtās) ņems atbilstošās ūdenssaimniecības darbinieki. Monitoringa laikā tiks ievākti kombinētie 24 stundu paraugi, kuru transportēšanu uz laboratoriju koordinēs BIOR</w:t>
            </w:r>
            <w:r w:rsidR="00201275" w:rsidRPr="00D753CC">
              <w:t>.</w:t>
            </w:r>
            <w:r w:rsidR="00201275" w:rsidRPr="00290380">
              <w:t xml:space="preserve"> Institūts BIOR ar esošajiem resursiem nodrošinās reģionālo infrastruktūru, izmantojot darbojošos paraugu pieņemšanas kabinetus.</w:t>
            </w:r>
          </w:p>
          <w:p w14:paraId="6F784740" w14:textId="58EE1E3E" w:rsidR="007D7A41" w:rsidRPr="00290380" w:rsidRDefault="007D7A41" w:rsidP="007D7A41">
            <w:pPr>
              <w:tabs>
                <w:tab w:val="left" w:pos="8647"/>
              </w:tabs>
              <w:jc w:val="both"/>
            </w:pPr>
            <w:r w:rsidRPr="00290380">
              <w:t>SARS-</w:t>
            </w:r>
            <w:proofErr w:type="spellStart"/>
            <w:r w:rsidRPr="00290380">
              <w:t>CoV-2</w:t>
            </w:r>
            <w:proofErr w:type="spellEnd"/>
            <w:r w:rsidRPr="00290380">
              <w:t xml:space="preserve"> klātbūtne notekūdeņu paraugos </w:t>
            </w:r>
            <w:r w:rsidR="00D753CC">
              <w:t>tiks noteikta</w:t>
            </w:r>
            <w:r w:rsidR="00D753CC" w:rsidRPr="00290380">
              <w:t xml:space="preserve"> </w:t>
            </w:r>
            <w:r w:rsidRPr="00290380">
              <w:t>institūta BIOR laboratorijā, savukārt SARS-</w:t>
            </w:r>
            <w:proofErr w:type="spellStart"/>
            <w:r w:rsidRPr="00290380">
              <w:t>CoV-2</w:t>
            </w:r>
            <w:proofErr w:type="spellEnd"/>
            <w:r w:rsidRPr="00290380">
              <w:t xml:space="preserve"> mērķēta genoma sekvencēšanu </w:t>
            </w:r>
            <w:r w:rsidR="00D753CC">
              <w:t>nodrošinās</w:t>
            </w:r>
            <w:r w:rsidRPr="00290380">
              <w:t xml:space="preserve"> Latvijas Biomedicīnas pētījumu un studiju centr</w:t>
            </w:r>
            <w:r w:rsidR="00D753CC">
              <w:t>s</w:t>
            </w:r>
            <w:r w:rsidRPr="00290380">
              <w:t>.</w:t>
            </w:r>
          </w:p>
          <w:p w14:paraId="33CCD3AB" w14:textId="4157488C" w:rsidR="009E34A9" w:rsidRPr="00613AFE" w:rsidRDefault="009E34A9">
            <w:pPr>
              <w:tabs>
                <w:tab w:val="left" w:pos="8647"/>
              </w:tabs>
              <w:jc w:val="both"/>
              <w:rPr>
                <w:sz w:val="28"/>
                <w:szCs w:val="28"/>
              </w:rPr>
            </w:pPr>
            <w:r w:rsidRPr="009E34A9">
              <w:t xml:space="preserve">Lai nodrošinātu notekūdeņu izpēti gan </w:t>
            </w:r>
            <w:proofErr w:type="spellStart"/>
            <w:r w:rsidRPr="009E34A9">
              <w:t>Covid-19</w:t>
            </w:r>
            <w:proofErr w:type="spellEnd"/>
            <w:r w:rsidRPr="009E34A9">
              <w:t xml:space="preserve"> infekcijas savlaicīgā atklāšanā noteiktās administratīvajās teritorijās, nepieciešams piešķirt papildu finanšu līdzekļus </w:t>
            </w:r>
            <w:r w:rsidR="00D753CC" w:rsidRPr="007B2A08">
              <w:t xml:space="preserve">339 430 </w:t>
            </w:r>
            <w:proofErr w:type="spellStart"/>
            <w:r w:rsidR="00D753CC" w:rsidRPr="007B2A08">
              <w:rPr>
                <w:i/>
                <w:iCs/>
              </w:rPr>
              <w:t>euro</w:t>
            </w:r>
            <w:proofErr w:type="spellEnd"/>
            <w:r w:rsidR="00D753CC" w:rsidRPr="007B2A08">
              <w:t xml:space="preserve"> apmērā</w:t>
            </w:r>
            <w:r w:rsidR="00D753CC" w:rsidRPr="009E34A9">
              <w:t xml:space="preserve"> </w:t>
            </w:r>
            <w:r w:rsidRPr="009E34A9">
              <w:t xml:space="preserve">Pārtikas </w:t>
            </w:r>
            <w:r w:rsidRPr="007B2A08">
              <w:t xml:space="preserve">drošības, dzīvnieku veselības un vides zinātniskajam institūtam “BIOR” no valsts budžeta programmas </w:t>
            </w:r>
            <w:r w:rsidR="00D753CC">
              <w:t>“</w:t>
            </w:r>
            <w:r w:rsidRPr="007B2A08">
              <w:t>Līdzekļi neparedzētiem gadījumiem”.</w:t>
            </w:r>
          </w:p>
        </w:tc>
      </w:tr>
      <w:tr w:rsidR="005A4EC1" w:rsidRPr="00E52A31" w14:paraId="6A87C81E" w14:textId="77777777" w:rsidTr="00137BAC">
        <w:tc>
          <w:tcPr>
            <w:tcW w:w="568" w:type="dxa"/>
          </w:tcPr>
          <w:p w14:paraId="7E52D3B1" w14:textId="77777777" w:rsidR="005A4EC1" w:rsidRPr="00E52A31" w:rsidRDefault="005A4EC1" w:rsidP="00981D7F">
            <w:pPr>
              <w:pStyle w:val="Bezatstarpm"/>
              <w:jc w:val="center"/>
              <w:rPr>
                <w:rFonts w:ascii="Times New Roman" w:hAnsi="Times New Roman" w:cs="Times New Roman"/>
                <w:sz w:val="24"/>
                <w:szCs w:val="24"/>
                <w:lang w:eastAsia="lv-LV"/>
              </w:rPr>
            </w:pPr>
            <w:r w:rsidRPr="00E52A31">
              <w:rPr>
                <w:rFonts w:ascii="Times New Roman" w:hAnsi="Times New Roman" w:cs="Times New Roman"/>
                <w:sz w:val="24"/>
                <w:szCs w:val="24"/>
                <w:lang w:eastAsia="lv-LV"/>
              </w:rPr>
              <w:lastRenderedPageBreak/>
              <w:t>3.</w:t>
            </w:r>
          </w:p>
        </w:tc>
        <w:tc>
          <w:tcPr>
            <w:tcW w:w="1984" w:type="dxa"/>
            <w:gridSpan w:val="2"/>
          </w:tcPr>
          <w:p w14:paraId="4A9027F5" w14:textId="77777777" w:rsidR="005A4EC1" w:rsidRPr="00E52A31" w:rsidRDefault="005A4EC1" w:rsidP="00981D7F">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Projekta izstrādē iesaistītās institūcijas un publiskas personas kapitālsabiedrības</w:t>
            </w:r>
          </w:p>
        </w:tc>
        <w:tc>
          <w:tcPr>
            <w:tcW w:w="6804" w:type="dxa"/>
            <w:gridSpan w:val="8"/>
          </w:tcPr>
          <w:p w14:paraId="1759C92F" w14:textId="6ED61083" w:rsidR="005A4EC1" w:rsidRPr="00E52A31" w:rsidRDefault="00717EBA" w:rsidP="00981D7F">
            <w:pPr>
              <w:pStyle w:val="Bezatstarpm"/>
              <w:jc w:val="both"/>
              <w:rPr>
                <w:rFonts w:ascii="Times New Roman" w:hAnsi="Times New Roman" w:cs="Times New Roman"/>
                <w:sz w:val="24"/>
                <w:szCs w:val="24"/>
                <w:lang w:eastAsia="lv-LV"/>
              </w:rPr>
            </w:pPr>
            <w:r w:rsidRPr="00E52A31">
              <w:rPr>
                <w:rFonts w:ascii="Times New Roman" w:eastAsia="Times New Roman" w:hAnsi="Times New Roman" w:cs="Times New Roman"/>
                <w:bCs/>
                <w:sz w:val="24"/>
                <w:szCs w:val="24"/>
              </w:rPr>
              <w:t xml:space="preserve">Zemkopības </w:t>
            </w:r>
            <w:r w:rsidRPr="007B5E48">
              <w:rPr>
                <w:rFonts w:ascii="Times New Roman" w:eastAsia="Times New Roman" w:hAnsi="Times New Roman" w:cs="Times New Roman"/>
                <w:bCs/>
                <w:sz w:val="24"/>
                <w:szCs w:val="24"/>
              </w:rPr>
              <w:t xml:space="preserve">ministrija, </w:t>
            </w:r>
            <w:r w:rsidR="007B5E48" w:rsidRPr="007B5E48">
              <w:rPr>
                <w:rFonts w:ascii="Times New Roman" w:hAnsi="Times New Roman" w:cs="Times New Roman"/>
                <w:sz w:val="24"/>
                <w:szCs w:val="24"/>
                <w:shd w:val="clear" w:color="auto" w:fill="FFFFFF"/>
              </w:rPr>
              <w:t>Pārtikas drošības, dzīvnieku veselības un vides zinātniskajam institūtam “</w:t>
            </w:r>
            <w:r w:rsidRPr="008B4BB2">
              <w:rPr>
                <w:rFonts w:ascii="Times New Roman" w:hAnsi="Times New Roman" w:cs="Times New Roman"/>
                <w:sz w:val="24"/>
                <w:szCs w:val="24"/>
              </w:rPr>
              <w:t>BIOR</w:t>
            </w:r>
            <w:r w:rsidR="007B5E48" w:rsidRPr="008B4BB2">
              <w:rPr>
                <w:rFonts w:ascii="Times New Roman" w:hAnsi="Times New Roman" w:cs="Times New Roman"/>
                <w:sz w:val="24"/>
                <w:szCs w:val="24"/>
              </w:rPr>
              <w:t>”</w:t>
            </w:r>
            <w:r w:rsidR="008B4BB2" w:rsidRPr="008B4BB2">
              <w:rPr>
                <w:rFonts w:ascii="Times New Roman" w:hAnsi="Times New Roman" w:cs="Times New Roman"/>
                <w:sz w:val="24"/>
                <w:szCs w:val="24"/>
              </w:rPr>
              <w:t>, Rīgas Tehnisk</w:t>
            </w:r>
            <w:r w:rsidR="008B4BB2">
              <w:rPr>
                <w:rFonts w:ascii="Times New Roman" w:hAnsi="Times New Roman" w:cs="Times New Roman"/>
                <w:sz w:val="24"/>
                <w:szCs w:val="24"/>
              </w:rPr>
              <w:t>ās</w:t>
            </w:r>
            <w:r w:rsidR="008B4BB2" w:rsidRPr="008B4BB2">
              <w:rPr>
                <w:rFonts w:ascii="Times New Roman" w:hAnsi="Times New Roman" w:cs="Times New Roman"/>
                <w:sz w:val="24"/>
                <w:szCs w:val="24"/>
              </w:rPr>
              <w:t xml:space="preserve"> universitāt</w:t>
            </w:r>
            <w:r w:rsidR="008B4BB2">
              <w:rPr>
                <w:rFonts w:ascii="Times New Roman" w:hAnsi="Times New Roman" w:cs="Times New Roman"/>
                <w:sz w:val="24"/>
                <w:szCs w:val="24"/>
              </w:rPr>
              <w:t>es</w:t>
            </w:r>
            <w:r w:rsidR="008B4BB2" w:rsidRPr="008B4BB2">
              <w:rPr>
                <w:rFonts w:ascii="Times New Roman" w:hAnsi="Times New Roman" w:cs="Times New Roman"/>
                <w:sz w:val="24"/>
                <w:szCs w:val="24"/>
              </w:rPr>
              <w:t xml:space="preserve"> Ūdens pētniecības un biotehnoloģiju laboratorija</w:t>
            </w:r>
            <w:r w:rsidR="00D753CC">
              <w:rPr>
                <w:rFonts w:ascii="Times New Roman" w:hAnsi="Times New Roman" w:cs="Times New Roman"/>
                <w:sz w:val="24"/>
                <w:szCs w:val="24"/>
              </w:rPr>
              <w:t xml:space="preserve"> un</w:t>
            </w:r>
            <w:r w:rsidR="008B4BB2" w:rsidRPr="008B4BB2">
              <w:rPr>
                <w:rFonts w:ascii="Times New Roman" w:hAnsi="Times New Roman" w:cs="Times New Roman"/>
                <w:sz w:val="24"/>
                <w:szCs w:val="24"/>
              </w:rPr>
              <w:t xml:space="preserve"> Latvijas Biomedicīnas pētījumu un studiju centr</w:t>
            </w:r>
            <w:r w:rsidR="008B4BB2">
              <w:rPr>
                <w:rFonts w:ascii="Times New Roman" w:hAnsi="Times New Roman" w:cs="Times New Roman"/>
                <w:sz w:val="24"/>
                <w:szCs w:val="24"/>
              </w:rPr>
              <w:t>s</w:t>
            </w:r>
          </w:p>
        </w:tc>
      </w:tr>
      <w:tr w:rsidR="005A4EC1" w:rsidRPr="00E52A31" w14:paraId="3D51C110" w14:textId="77777777" w:rsidTr="00137BAC">
        <w:tc>
          <w:tcPr>
            <w:tcW w:w="568" w:type="dxa"/>
          </w:tcPr>
          <w:p w14:paraId="76152201" w14:textId="77777777" w:rsidR="005A4EC1" w:rsidRPr="00E52A31" w:rsidRDefault="005A4EC1" w:rsidP="00981D7F">
            <w:pPr>
              <w:pStyle w:val="Bezatstarpm"/>
              <w:jc w:val="center"/>
              <w:rPr>
                <w:rFonts w:ascii="Times New Roman" w:hAnsi="Times New Roman" w:cs="Times New Roman"/>
                <w:sz w:val="24"/>
                <w:szCs w:val="24"/>
                <w:lang w:eastAsia="lv-LV"/>
              </w:rPr>
            </w:pPr>
            <w:r w:rsidRPr="00E52A31">
              <w:rPr>
                <w:rFonts w:ascii="Times New Roman" w:hAnsi="Times New Roman" w:cs="Times New Roman"/>
                <w:sz w:val="24"/>
                <w:szCs w:val="24"/>
                <w:lang w:eastAsia="lv-LV"/>
              </w:rPr>
              <w:t>4.</w:t>
            </w:r>
          </w:p>
        </w:tc>
        <w:tc>
          <w:tcPr>
            <w:tcW w:w="1984" w:type="dxa"/>
            <w:gridSpan w:val="2"/>
          </w:tcPr>
          <w:p w14:paraId="23C66AEA" w14:textId="77777777" w:rsidR="005A4EC1" w:rsidRPr="00E52A31" w:rsidRDefault="005A4EC1" w:rsidP="00981D7F">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Cita informācija</w:t>
            </w:r>
          </w:p>
        </w:tc>
        <w:tc>
          <w:tcPr>
            <w:tcW w:w="6804" w:type="dxa"/>
            <w:gridSpan w:val="8"/>
          </w:tcPr>
          <w:p w14:paraId="0E0051E0" w14:textId="290114FC" w:rsidR="005A4EC1" w:rsidRPr="00E52A31" w:rsidRDefault="007860EA" w:rsidP="00981D7F">
            <w:pPr>
              <w:jc w:val="both"/>
            </w:pPr>
            <w:r w:rsidRPr="00E52A31">
              <w:t xml:space="preserve">Rīkojuma projekta tiesiskais regulējums attiecas uz institūtu BIOR. Rīkojuma projekts tieši un būtiski neietekmē uzņēmējdarbības vidi – </w:t>
            </w:r>
            <w:r w:rsidRPr="00E52A31">
              <w:lastRenderedPageBreak/>
              <w:t xml:space="preserve">mazos un vidējos uzņēmumus, mikrouzņēmumus un </w:t>
            </w:r>
            <w:proofErr w:type="spellStart"/>
            <w:r w:rsidRPr="00E52A31">
              <w:t>jaunveidotus</w:t>
            </w:r>
            <w:proofErr w:type="spellEnd"/>
            <w:r w:rsidRPr="00E52A31">
              <w:t xml:space="preserve"> uzņēmumus, ne arī konkurenci, vidi un nevalstisko organizāciju darbību, tāpēc uz šīm jomām tas nav attiecināms. </w:t>
            </w:r>
          </w:p>
        </w:tc>
      </w:tr>
      <w:tr w:rsidR="00EC6E12" w:rsidRPr="00E52A31" w14:paraId="47E99E05" w14:textId="77777777" w:rsidTr="006936E5">
        <w:tc>
          <w:tcPr>
            <w:tcW w:w="9356" w:type="dxa"/>
            <w:gridSpan w:val="11"/>
          </w:tcPr>
          <w:p w14:paraId="30C31AD8" w14:textId="77777777" w:rsidR="00EC6E12" w:rsidRPr="00E52A31" w:rsidRDefault="00842AD1" w:rsidP="003903BF">
            <w:pPr>
              <w:pStyle w:val="Bezatstarpm"/>
              <w:jc w:val="center"/>
              <w:rPr>
                <w:rFonts w:ascii="Times New Roman" w:hAnsi="Times New Roman" w:cs="Times New Roman"/>
                <w:b/>
                <w:sz w:val="24"/>
                <w:szCs w:val="24"/>
                <w:lang w:eastAsia="lv-LV"/>
              </w:rPr>
            </w:pPr>
            <w:r w:rsidRPr="00E52A31">
              <w:rPr>
                <w:rFonts w:ascii="Times New Roman" w:hAnsi="Times New Roman" w:cs="Times New Roman"/>
                <w:b/>
                <w:iCs/>
                <w:sz w:val="24"/>
                <w:szCs w:val="24"/>
                <w:lang w:eastAsia="lv-LV"/>
              </w:rPr>
              <w:lastRenderedPageBreak/>
              <w:t>II. Tiesību akta projekta ietekme uz sabiedrību, tautsaimniecības attīstību un administratīvo slogu</w:t>
            </w:r>
          </w:p>
        </w:tc>
      </w:tr>
      <w:tr w:rsidR="00155578" w:rsidRPr="00E52A31" w14:paraId="45DCC1D5" w14:textId="77777777" w:rsidTr="006936E5">
        <w:tc>
          <w:tcPr>
            <w:tcW w:w="9356" w:type="dxa"/>
            <w:gridSpan w:val="11"/>
          </w:tcPr>
          <w:p w14:paraId="685FFF94" w14:textId="77777777" w:rsidR="00155578" w:rsidRPr="00E52A31" w:rsidRDefault="00155578" w:rsidP="003903BF">
            <w:pPr>
              <w:pStyle w:val="Bezatstarpm"/>
              <w:jc w:val="center"/>
              <w:rPr>
                <w:rFonts w:ascii="Times New Roman" w:hAnsi="Times New Roman" w:cs="Times New Roman"/>
                <w:b/>
                <w:iCs/>
                <w:sz w:val="24"/>
                <w:szCs w:val="24"/>
                <w:lang w:eastAsia="lv-LV"/>
              </w:rPr>
            </w:pPr>
            <w:r w:rsidRPr="00E52A31">
              <w:rPr>
                <w:rFonts w:ascii="Times New Roman" w:hAnsi="Times New Roman" w:cs="Times New Roman"/>
                <w:sz w:val="24"/>
                <w:szCs w:val="24"/>
              </w:rPr>
              <w:t>Projekts šo jomu neskar</w:t>
            </w:r>
          </w:p>
        </w:tc>
      </w:tr>
      <w:tr w:rsidR="00842AD1" w:rsidRPr="00E52A31" w14:paraId="78EFC77B" w14:textId="77777777" w:rsidTr="006936E5">
        <w:tc>
          <w:tcPr>
            <w:tcW w:w="9356" w:type="dxa"/>
            <w:gridSpan w:val="11"/>
          </w:tcPr>
          <w:p w14:paraId="73F429AD" w14:textId="2DD6BD11" w:rsidR="00842AD1" w:rsidRPr="00E52A31" w:rsidRDefault="00E5323B" w:rsidP="00842AD1">
            <w:pPr>
              <w:pStyle w:val="Bezatstarpm"/>
              <w:jc w:val="center"/>
              <w:rPr>
                <w:rFonts w:ascii="Times New Roman" w:hAnsi="Times New Roman" w:cs="Times New Roman"/>
                <w:b/>
                <w:iCs/>
                <w:sz w:val="24"/>
                <w:szCs w:val="24"/>
                <w:lang w:eastAsia="lv-LV"/>
              </w:rPr>
            </w:pPr>
            <w:r w:rsidRPr="00E52A31">
              <w:rPr>
                <w:rFonts w:ascii="Times New Roman" w:hAnsi="Times New Roman" w:cs="Times New Roman"/>
                <w:iCs/>
                <w:sz w:val="24"/>
                <w:szCs w:val="24"/>
                <w:lang w:eastAsia="lv-LV"/>
              </w:rPr>
              <w:t xml:space="preserve">  </w:t>
            </w:r>
            <w:r w:rsidR="00842AD1" w:rsidRPr="00E52A31">
              <w:rPr>
                <w:rFonts w:ascii="Times New Roman" w:hAnsi="Times New Roman" w:cs="Times New Roman"/>
                <w:b/>
                <w:iCs/>
                <w:sz w:val="24"/>
                <w:szCs w:val="24"/>
                <w:lang w:eastAsia="lv-LV"/>
              </w:rPr>
              <w:t>III. Tiesību akta projekta ietekme uz valsts budžetu un pašvaldību budžetiem</w:t>
            </w:r>
          </w:p>
        </w:tc>
      </w:tr>
      <w:tr w:rsidR="00842AD1" w:rsidRPr="00E52A31" w14:paraId="280A7195" w14:textId="77777777" w:rsidTr="00AD521B">
        <w:tc>
          <w:tcPr>
            <w:tcW w:w="1702" w:type="dxa"/>
            <w:gridSpan w:val="2"/>
            <w:vMerge w:val="restart"/>
            <w:vAlign w:val="center"/>
          </w:tcPr>
          <w:p w14:paraId="21C4C0C8"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Rādītāji</w:t>
            </w:r>
          </w:p>
        </w:tc>
        <w:tc>
          <w:tcPr>
            <w:tcW w:w="2260" w:type="dxa"/>
            <w:gridSpan w:val="3"/>
            <w:vMerge w:val="restart"/>
            <w:vAlign w:val="center"/>
          </w:tcPr>
          <w:p w14:paraId="14247F51" w14:textId="103552B8" w:rsidR="00842AD1" w:rsidRPr="00E52A31" w:rsidRDefault="00037CA6"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20</w:t>
            </w:r>
            <w:r w:rsidR="00335899" w:rsidRPr="00E52A31">
              <w:rPr>
                <w:rFonts w:ascii="Times New Roman" w:hAnsi="Times New Roman" w:cs="Times New Roman"/>
                <w:iCs/>
                <w:sz w:val="24"/>
                <w:szCs w:val="24"/>
                <w:lang w:eastAsia="lv-LV"/>
              </w:rPr>
              <w:t>2</w:t>
            </w:r>
            <w:r w:rsidR="007E695B" w:rsidRPr="00E52A31">
              <w:rPr>
                <w:rFonts w:ascii="Times New Roman" w:hAnsi="Times New Roman" w:cs="Times New Roman"/>
                <w:iCs/>
                <w:sz w:val="24"/>
                <w:szCs w:val="24"/>
                <w:lang w:eastAsia="lv-LV"/>
              </w:rPr>
              <w:t>1</w:t>
            </w:r>
            <w:r w:rsidRPr="00E52A31">
              <w:rPr>
                <w:rFonts w:ascii="Times New Roman" w:hAnsi="Times New Roman" w:cs="Times New Roman"/>
                <w:iCs/>
                <w:sz w:val="24"/>
                <w:szCs w:val="24"/>
                <w:lang w:eastAsia="lv-LV"/>
              </w:rPr>
              <w:t>.</w:t>
            </w:r>
            <w:r w:rsidR="00AD521B">
              <w:rPr>
                <w:rFonts w:ascii="Times New Roman" w:hAnsi="Times New Roman" w:cs="Times New Roman"/>
                <w:iCs/>
                <w:sz w:val="24"/>
                <w:szCs w:val="24"/>
                <w:lang w:eastAsia="lv-LV"/>
              </w:rPr>
              <w:t> </w:t>
            </w:r>
            <w:r w:rsidRPr="00E52A31">
              <w:rPr>
                <w:rFonts w:ascii="Times New Roman" w:hAnsi="Times New Roman" w:cs="Times New Roman"/>
                <w:iCs/>
                <w:sz w:val="24"/>
                <w:szCs w:val="24"/>
                <w:lang w:eastAsia="lv-LV"/>
              </w:rPr>
              <w:t>gads</w:t>
            </w:r>
          </w:p>
        </w:tc>
        <w:tc>
          <w:tcPr>
            <w:tcW w:w="5394" w:type="dxa"/>
            <w:gridSpan w:val="6"/>
            <w:vAlign w:val="center"/>
          </w:tcPr>
          <w:p w14:paraId="573504EA"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Turpmākie trīs gadi (</w:t>
            </w:r>
            <w:proofErr w:type="spellStart"/>
            <w:r w:rsidRPr="00E52A31">
              <w:rPr>
                <w:rFonts w:ascii="Times New Roman" w:hAnsi="Times New Roman" w:cs="Times New Roman"/>
                <w:i/>
                <w:iCs/>
                <w:sz w:val="24"/>
                <w:szCs w:val="24"/>
                <w:lang w:eastAsia="lv-LV"/>
              </w:rPr>
              <w:t>euro</w:t>
            </w:r>
            <w:proofErr w:type="spellEnd"/>
            <w:r w:rsidRPr="00E52A31">
              <w:rPr>
                <w:rFonts w:ascii="Times New Roman" w:hAnsi="Times New Roman" w:cs="Times New Roman"/>
                <w:iCs/>
                <w:sz w:val="24"/>
                <w:szCs w:val="24"/>
                <w:lang w:eastAsia="lv-LV"/>
              </w:rPr>
              <w:t>)</w:t>
            </w:r>
          </w:p>
        </w:tc>
      </w:tr>
      <w:tr w:rsidR="00842AD1" w:rsidRPr="00E52A31" w14:paraId="66E7420D" w14:textId="77777777" w:rsidTr="00AD521B">
        <w:tc>
          <w:tcPr>
            <w:tcW w:w="1702" w:type="dxa"/>
            <w:gridSpan w:val="2"/>
            <w:vMerge/>
            <w:vAlign w:val="center"/>
          </w:tcPr>
          <w:p w14:paraId="33B41C2C" w14:textId="77777777" w:rsidR="00842AD1" w:rsidRPr="00E52A31" w:rsidRDefault="00842AD1" w:rsidP="00AD521B">
            <w:pPr>
              <w:pStyle w:val="Bezatstarpm"/>
              <w:jc w:val="center"/>
              <w:rPr>
                <w:rFonts w:ascii="Times New Roman" w:hAnsi="Times New Roman" w:cs="Times New Roman"/>
                <w:iCs/>
                <w:sz w:val="24"/>
                <w:szCs w:val="24"/>
                <w:lang w:eastAsia="lv-LV"/>
              </w:rPr>
            </w:pPr>
          </w:p>
        </w:tc>
        <w:tc>
          <w:tcPr>
            <w:tcW w:w="2260" w:type="dxa"/>
            <w:gridSpan w:val="3"/>
            <w:vMerge/>
            <w:vAlign w:val="center"/>
          </w:tcPr>
          <w:p w14:paraId="1FA9A2EC" w14:textId="77777777" w:rsidR="00842AD1" w:rsidRPr="00E52A31" w:rsidRDefault="00842AD1" w:rsidP="00AD521B">
            <w:pPr>
              <w:pStyle w:val="Bezatstarpm"/>
              <w:jc w:val="center"/>
              <w:rPr>
                <w:rFonts w:ascii="Times New Roman" w:hAnsi="Times New Roman" w:cs="Times New Roman"/>
                <w:iCs/>
                <w:sz w:val="24"/>
                <w:szCs w:val="24"/>
                <w:lang w:eastAsia="lv-LV"/>
              </w:rPr>
            </w:pPr>
          </w:p>
        </w:tc>
        <w:tc>
          <w:tcPr>
            <w:tcW w:w="2276" w:type="dxa"/>
            <w:gridSpan w:val="3"/>
            <w:vAlign w:val="center"/>
          </w:tcPr>
          <w:p w14:paraId="49DBF088" w14:textId="68B3115E" w:rsidR="00842AD1" w:rsidRPr="00E52A31" w:rsidRDefault="00037CA6"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20</w:t>
            </w:r>
            <w:r w:rsidR="006C12A6" w:rsidRPr="00E52A31">
              <w:rPr>
                <w:rFonts w:ascii="Times New Roman" w:hAnsi="Times New Roman" w:cs="Times New Roman"/>
                <w:iCs/>
                <w:sz w:val="24"/>
                <w:szCs w:val="24"/>
                <w:lang w:eastAsia="lv-LV"/>
              </w:rPr>
              <w:t>2</w:t>
            </w:r>
            <w:r w:rsidR="007E695B" w:rsidRPr="00E52A31">
              <w:rPr>
                <w:rFonts w:ascii="Times New Roman" w:hAnsi="Times New Roman" w:cs="Times New Roman"/>
                <w:iCs/>
                <w:sz w:val="24"/>
                <w:szCs w:val="24"/>
                <w:lang w:eastAsia="lv-LV"/>
              </w:rPr>
              <w:t>2</w:t>
            </w:r>
            <w:r w:rsidRPr="00E52A31">
              <w:rPr>
                <w:rFonts w:ascii="Times New Roman" w:hAnsi="Times New Roman" w:cs="Times New Roman"/>
                <w:iCs/>
                <w:sz w:val="24"/>
                <w:szCs w:val="24"/>
                <w:lang w:eastAsia="lv-LV"/>
              </w:rPr>
              <w:t>.</w:t>
            </w:r>
            <w:r w:rsidR="00AD521B">
              <w:rPr>
                <w:rFonts w:ascii="Times New Roman" w:hAnsi="Times New Roman" w:cs="Times New Roman"/>
                <w:iCs/>
                <w:sz w:val="24"/>
                <w:szCs w:val="24"/>
                <w:lang w:eastAsia="lv-LV"/>
              </w:rPr>
              <w:t> </w:t>
            </w:r>
            <w:r w:rsidRPr="00E52A31">
              <w:rPr>
                <w:rFonts w:ascii="Times New Roman" w:hAnsi="Times New Roman" w:cs="Times New Roman"/>
                <w:iCs/>
                <w:sz w:val="24"/>
                <w:szCs w:val="24"/>
                <w:lang w:eastAsia="lv-LV"/>
              </w:rPr>
              <w:t>gads</w:t>
            </w:r>
          </w:p>
        </w:tc>
        <w:tc>
          <w:tcPr>
            <w:tcW w:w="1842" w:type="dxa"/>
            <w:gridSpan w:val="2"/>
            <w:vAlign w:val="center"/>
          </w:tcPr>
          <w:p w14:paraId="15A75F1C" w14:textId="38AE29A7" w:rsidR="00842AD1" w:rsidRPr="00E52A31" w:rsidRDefault="00037CA6"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202</w:t>
            </w:r>
            <w:r w:rsidR="007E695B" w:rsidRPr="00E52A31">
              <w:rPr>
                <w:rFonts w:ascii="Times New Roman" w:hAnsi="Times New Roman" w:cs="Times New Roman"/>
                <w:iCs/>
                <w:sz w:val="24"/>
                <w:szCs w:val="24"/>
                <w:lang w:eastAsia="lv-LV"/>
              </w:rPr>
              <w:t>3</w:t>
            </w:r>
            <w:r w:rsidRPr="00E52A31">
              <w:rPr>
                <w:rFonts w:ascii="Times New Roman" w:hAnsi="Times New Roman" w:cs="Times New Roman"/>
                <w:iCs/>
                <w:sz w:val="24"/>
                <w:szCs w:val="24"/>
                <w:lang w:eastAsia="lv-LV"/>
              </w:rPr>
              <w:t>.</w:t>
            </w:r>
            <w:r w:rsidR="00AD521B">
              <w:rPr>
                <w:rFonts w:ascii="Times New Roman" w:hAnsi="Times New Roman" w:cs="Times New Roman"/>
                <w:iCs/>
                <w:sz w:val="24"/>
                <w:szCs w:val="24"/>
                <w:lang w:eastAsia="lv-LV"/>
              </w:rPr>
              <w:t> </w:t>
            </w:r>
            <w:r w:rsidRPr="00E52A31">
              <w:rPr>
                <w:rFonts w:ascii="Times New Roman" w:hAnsi="Times New Roman" w:cs="Times New Roman"/>
                <w:iCs/>
                <w:sz w:val="24"/>
                <w:szCs w:val="24"/>
                <w:lang w:eastAsia="lv-LV"/>
              </w:rPr>
              <w:t>gads</w:t>
            </w:r>
          </w:p>
        </w:tc>
        <w:tc>
          <w:tcPr>
            <w:tcW w:w="1276" w:type="dxa"/>
            <w:vAlign w:val="center"/>
          </w:tcPr>
          <w:p w14:paraId="50F87682" w14:textId="0C80B1BB" w:rsidR="00842AD1" w:rsidRPr="00E52A31" w:rsidRDefault="00037CA6"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202</w:t>
            </w:r>
            <w:r w:rsidR="007E695B" w:rsidRPr="00E52A31">
              <w:rPr>
                <w:rFonts w:ascii="Times New Roman" w:hAnsi="Times New Roman" w:cs="Times New Roman"/>
                <w:iCs/>
                <w:sz w:val="24"/>
                <w:szCs w:val="24"/>
                <w:lang w:eastAsia="lv-LV"/>
              </w:rPr>
              <w:t>4</w:t>
            </w:r>
            <w:r w:rsidRPr="00E52A31">
              <w:rPr>
                <w:rFonts w:ascii="Times New Roman" w:hAnsi="Times New Roman" w:cs="Times New Roman"/>
                <w:iCs/>
                <w:sz w:val="24"/>
                <w:szCs w:val="24"/>
                <w:lang w:eastAsia="lv-LV"/>
              </w:rPr>
              <w:t>.</w:t>
            </w:r>
            <w:r w:rsidR="00AD521B">
              <w:rPr>
                <w:rFonts w:ascii="Times New Roman" w:hAnsi="Times New Roman" w:cs="Times New Roman"/>
                <w:iCs/>
                <w:sz w:val="24"/>
                <w:szCs w:val="24"/>
                <w:lang w:eastAsia="lv-LV"/>
              </w:rPr>
              <w:t> </w:t>
            </w:r>
            <w:r w:rsidRPr="00E52A31">
              <w:rPr>
                <w:rFonts w:ascii="Times New Roman" w:hAnsi="Times New Roman" w:cs="Times New Roman"/>
                <w:iCs/>
                <w:sz w:val="24"/>
                <w:szCs w:val="24"/>
                <w:lang w:eastAsia="lv-LV"/>
              </w:rPr>
              <w:t>gads</w:t>
            </w:r>
          </w:p>
        </w:tc>
      </w:tr>
      <w:tr w:rsidR="006E71F7" w:rsidRPr="00E52A31" w14:paraId="067970EE" w14:textId="77777777" w:rsidTr="00AD521B">
        <w:tc>
          <w:tcPr>
            <w:tcW w:w="1702" w:type="dxa"/>
            <w:gridSpan w:val="2"/>
            <w:vMerge/>
            <w:vAlign w:val="center"/>
          </w:tcPr>
          <w:p w14:paraId="50DDCAFB" w14:textId="77777777" w:rsidR="00842AD1" w:rsidRPr="00E52A31" w:rsidRDefault="00842AD1" w:rsidP="00AD521B">
            <w:pPr>
              <w:pStyle w:val="Bezatstarpm"/>
              <w:jc w:val="center"/>
              <w:rPr>
                <w:rFonts w:ascii="Times New Roman" w:hAnsi="Times New Roman" w:cs="Times New Roman"/>
                <w:iCs/>
                <w:sz w:val="24"/>
                <w:szCs w:val="24"/>
                <w:lang w:eastAsia="lv-LV"/>
              </w:rPr>
            </w:pPr>
          </w:p>
        </w:tc>
        <w:tc>
          <w:tcPr>
            <w:tcW w:w="992" w:type="dxa"/>
            <w:gridSpan w:val="2"/>
            <w:vAlign w:val="center"/>
          </w:tcPr>
          <w:p w14:paraId="67C0EC5A"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saskaņā ar valsts budžetu kārtējam gadam</w:t>
            </w:r>
          </w:p>
        </w:tc>
        <w:tc>
          <w:tcPr>
            <w:tcW w:w="1268" w:type="dxa"/>
            <w:vAlign w:val="center"/>
          </w:tcPr>
          <w:p w14:paraId="6F382B7C"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izmaiņas kārtējā gadā, salīdzinot ar valsts budžetu kārtējam gadam</w:t>
            </w:r>
          </w:p>
        </w:tc>
        <w:tc>
          <w:tcPr>
            <w:tcW w:w="1000" w:type="dxa"/>
            <w:gridSpan w:val="2"/>
            <w:vAlign w:val="center"/>
          </w:tcPr>
          <w:p w14:paraId="58E91860"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saskaņā ar vidēja termiņa budžeta ietvaru</w:t>
            </w:r>
          </w:p>
        </w:tc>
        <w:tc>
          <w:tcPr>
            <w:tcW w:w="1276" w:type="dxa"/>
            <w:vAlign w:val="center"/>
          </w:tcPr>
          <w:p w14:paraId="0158FD1C" w14:textId="77777777" w:rsidR="006E71F7"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izmaiņas, salīdzi</w:t>
            </w:r>
            <w:r w:rsidR="006E71F7" w:rsidRPr="00E52A31">
              <w:rPr>
                <w:rFonts w:ascii="Times New Roman" w:hAnsi="Times New Roman" w:cs="Times New Roman"/>
                <w:iCs/>
                <w:sz w:val="24"/>
                <w:szCs w:val="24"/>
                <w:lang w:eastAsia="lv-LV"/>
              </w:rPr>
              <w:t>-</w:t>
            </w:r>
          </w:p>
          <w:p w14:paraId="4DF2D3AB" w14:textId="77777777" w:rsidR="00842AD1" w:rsidRPr="00E52A31" w:rsidRDefault="00842AD1" w:rsidP="00AD521B">
            <w:pPr>
              <w:pStyle w:val="Bezatstarpm"/>
              <w:jc w:val="center"/>
              <w:rPr>
                <w:rFonts w:ascii="Times New Roman" w:hAnsi="Times New Roman" w:cs="Times New Roman"/>
                <w:iCs/>
                <w:sz w:val="24"/>
                <w:szCs w:val="24"/>
                <w:lang w:eastAsia="lv-LV"/>
              </w:rPr>
            </w:pPr>
            <w:proofErr w:type="spellStart"/>
            <w:r w:rsidRPr="00E52A31">
              <w:rPr>
                <w:rFonts w:ascii="Times New Roman" w:hAnsi="Times New Roman" w:cs="Times New Roman"/>
                <w:iCs/>
                <w:sz w:val="24"/>
                <w:szCs w:val="24"/>
                <w:lang w:eastAsia="lv-LV"/>
              </w:rPr>
              <w:t>not</w:t>
            </w:r>
            <w:proofErr w:type="spellEnd"/>
            <w:r w:rsidRPr="00E52A31">
              <w:rPr>
                <w:rFonts w:ascii="Times New Roman" w:hAnsi="Times New Roman" w:cs="Times New Roman"/>
                <w:iCs/>
                <w:sz w:val="24"/>
                <w:szCs w:val="24"/>
                <w:lang w:eastAsia="lv-LV"/>
              </w:rPr>
              <w:t xml:space="preserve"> ar vidēja termiņa budžeta ietvaru </w:t>
            </w:r>
            <w:r w:rsidR="00037CA6" w:rsidRPr="00E52A31">
              <w:rPr>
                <w:rFonts w:ascii="Times New Roman" w:hAnsi="Times New Roman" w:cs="Times New Roman"/>
                <w:iCs/>
                <w:sz w:val="24"/>
                <w:szCs w:val="24"/>
                <w:lang w:eastAsia="lv-LV"/>
              </w:rPr>
              <w:t>20</w:t>
            </w:r>
            <w:r w:rsidR="00335899" w:rsidRPr="00E52A31">
              <w:rPr>
                <w:rFonts w:ascii="Times New Roman" w:hAnsi="Times New Roman" w:cs="Times New Roman"/>
                <w:iCs/>
                <w:sz w:val="24"/>
                <w:szCs w:val="24"/>
                <w:lang w:eastAsia="lv-LV"/>
              </w:rPr>
              <w:t>2</w:t>
            </w:r>
            <w:r w:rsidR="007E695B" w:rsidRPr="00E52A31">
              <w:rPr>
                <w:rFonts w:ascii="Times New Roman" w:hAnsi="Times New Roman" w:cs="Times New Roman"/>
                <w:iCs/>
                <w:sz w:val="24"/>
                <w:szCs w:val="24"/>
                <w:lang w:eastAsia="lv-LV"/>
              </w:rPr>
              <w:t>2</w:t>
            </w:r>
            <w:r w:rsidR="00037CA6" w:rsidRPr="00E52A31">
              <w:rPr>
                <w:rFonts w:ascii="Times New Roman" w:hAnsi="Times New Roman" w:cs="Times New Roman"/>
                <w:iCs/>
                <w:sz w:val="24"/>
                <w:szCs w:val="24"/>
                <w:lang w:eastAsia="lv-LV"/>
              </w:rPr>
              <w:t>.</w:t>
            </w:r>
            <w:r w:rsidRPr="00E52A31">
              <w:rPr>
                <w:rFonts w:ascii="Times New Roman" w:hAnsi="Times New Roman" w:cs="Times New Roman"/>
                <w:iCs/>
                <w:sz w:val="24"/>
                <w:szCs w:val="24"/>
                <w:lang w:eastAsia="lv-LV"/>
              </w:rPr>
              <w:t xml:space="preserve"> gadam</w:t>
            </w:r>
          </w:p>
        </w:tc>
        <w:tc>
          <w:tcPr>
            <w:tcW w:w="850" w:type="dxa"/>
            <w:vAlign w:val="center"/>
          </w:tcPr>
          <w:p w14:paraId="77AF1F4F"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saskaņā ar vidēja termiņa budžeta ietvaru</w:t>
            </w:r>
          </w:p>
        </w:tc>
        <w:tc>
          <w:tcPr>
            <w:tcW w:w="992" w:type="dxa"/>
            <w:vAlign w:val="center"/>
          </w:tcPr>
          <w:p w14:paraId="14511D5A" w14:textId="77777777" w:rsidR="00037CA6" w:rsidRPr="00E52A31" w:rsidRDefault="0004685C" w:rsidP="00AD521B">
            <w:pPr>
              <w:pStyle w:val="Bezatstarpm"/>
              <w:jc w:val="center"/>
              <w:rPr>
                <w:rFonts w:ascii="Times New Roman" w:hAnsi="Times New Roman" w:cs="Times New Roman"/>
                <w:iCs/>
                <w:sz w:val="24"/>
                <w:szCs w:val="24"/>
                <w:lang w:eastAsia="lv-LV"/>
              </w:rPr>
            </w:pPr>
            <w:proofErr w:type="spellStart"/>
            <w:r w:rsidRPr="00E52A31">
              <w:rPr>
                <w:rFonts w:ascii="Times New Roman" w:hAnsi="Times New Roman" w:cs="Times New Roman"/>
                <w:iCs/>
                <w:sz w:val="24"/>
                <w:szCs w:val="24"/>
                <w:lang w:eastAsia="lv-LV"/>
              </w:rPr>
              <w:t>i</w:t>
            </w:r>
            <w:r w:rsidR="00842AD1" w:rsidRPr="00E52A31">
              <w:rPr>
                <w:rFonts w:ascii="Times New Roman" w:hAnsi="Times New Roman" w:cs="Times New Roman"/>
                <w:iCs/>
                <w:sz w:val="24"/>
                <w:szCs w:val="24"/>
                <w:lang w:eastAsia="lv-LV"/>
              </w:rPr>
              <w:t>zmai</w:t>
            </w:r>
            <w:r w:rsidR="00037CA6" w:rsidRPr="00E52A31">
              <w:rPr>
                <w:rFonts w:ascii="Times New Roman" w:hAnsi="Times New Roman" w:cs="Times New Roman"/>
                <w:iCs/>
                <w:sz w:val="24"/>
                <w:szCs w:val="24"/>
                <w:lang w:eastAsia="lv-LV"/>
              </w:rPr>
              <w:t>-</w:t>
            </w:r>
            <w:proofErr w:type="spellEnd"/>
          </w:p>
          <w:p w14:paraId="06DFBEB8" w14:textId="77777777" w:rsidR="006E71F7" w:rsidRPr="00E52A31" w:rsidRDefault="00842AD1" w:rsidP="00AD521B">
            <w:pPr>
              <w:pStyle w:val="Bezatstarpm"/>
              <w:jc w:val="center"/>
              <w:rPr>
                <w:rFonts w:ascii="Times New Roman" w:hAnsi="Times New Roman" w:cs="Times New Roman"/>
                <w:iCs/>
                <w:sz w:val="24"/>
                <w:szCs w:val="24"/>
                <w:lang w:eastAsia="lv-LV"/>
              </w:rPr>
            </w:pPr>
            <w:proofErr w:type="spellStart"/>
            <w:r w:rsidRPr="00E52A31">
              <w:rPr>
                <w:rFonts w:ascii="Times New Roman" w:hAnsi="Times New Roman" w:cs="Times New Roman"/>
                <w:iCs/>
                <w:sz w:val="24"/>
                <w:szCs w:val="24"/>
                <w:lang w:eastAsia="lv-LV"/>
              </w:rPr>
              <w:t>ņas</w:t>
            </w:r>
            <w:proofErr w:type="spellEnd"/>
            <w:r w:rsidRPr="00E52A31">
              <w:rPr>
                <w:rFonts w:ascii="Times New Roman" w:hAnsi="Times New Roman" w:cs="Times New Roman"/>
                <w:iCs/>
                <w:sz w:val="24"/>
                <w:szCs w:val="24"/>
                <w:lang w:eastAsia="lv-LV"/>
              </w:rPr>
              <w:t>, salīdzi</w:t>
            </w:r>
            <w:r w:rsidR="006E71F7" w:rsidRPr="00E52A31">
              <w:rPr>
                <w:rFonts w:ascii="Times New Roman" w:hAnsi="Times New Roman" w:cs="Times New Roman"/>
                <w:iCs/>
                <w:sz w:val="24"/>
                <w:szCs w:val="24"/>
                <w:lang w:eastAsia="lv-LV"/>
              </w:rPr>
              <w:t>-</w:t>
            </w:r>
          </w:p>
          <w:p w14:paraId="50A45516" w14:textId="77777777" w:rsidR="00842AD1" w:rsidRPr="00E52A31" w:rsidRDefault="00842AD1" w:rsidP="00AD521B">
            <w:pPr>
              <w:pStyle w:val="Bezatstarpm"/>
              <w:jc w:val="center"/>
              <w:rPr>
                <w:rFonts w:ascii="Times New Roman" w:hAnsi="Times New Roman" w:cs="Times New Roman"/>
                <w:iCs/>
                <w:sz w:val="24"/>
                <w:szCs w:val="24"/>
                <w:lang w:eastAsia="lv-LV"/>
              </w:rPr>
            </w:pPr>
            <w:proofErr w:type="spellStart"/>
            <w:r w:rsidRPr="00E52A31">
              <w:rPr>
                <w:rFonts w:ascii="Times New Roman" w:hAnsi="Times New Roman" w:cs="Times New Roman"/>
                <w:iCs/>
                <w:sz w:val="24"/>
                <w:szCs w:val="24"/>
                <w:lang w:eastAsia="lv-LV"/>
              </w:rPr>
              <w:t>not</w:t>
            </w:r>
            <w:proofErr w:type="spellEnd"/>
            <w:r w:rsidRPr="00E52A31">
              <w:rPr>
                <w:rFonts w:ascii="Times New Roman" w:hAnsi="Times New Roman" w:cs="Times New Roman"/>
                <w:iCs/>
                <w:sz w:val="24"/>
                <w:szCs w:val="24"/>
                <w:lang w:eastAsia="lv-LV"/>
              </w:rPr>
              <w:t xml:space="preserve"> ar vidēja termiņa budžeta ietvaru </w:t>
            </w:r>
            <w:r w:rsidR="00037CA6" w:rsidRPr="00E52A31">
              <w:rPr>
                <w:rFonts w:ascii="Times New Roman" w:hAnsi="Times New Roman" w:cs="Times New Roman"/>
                <w:iCs/>
                <w:sz w:val="24"/>
                <w:szCs w:val="24"/>
                <w:lang w:eastAsia="lv-LV"/>
              </w:rPr>
              <w:t>202</w:t>
            </w:r>
            <w:r w:rsidR="007E695B" w:rsidRPr="00E52A31">
              <w:rPr>
                <w:rFonts w:ascii="Times New Roman" w:hAnsi="Times New Roman" w:cs="Times New Roman"/>
                <w:iCs/>
                <w:sz w:val="24"/>
                <w:szCs w:val="24"/>
                <w:lang w:eastAsia="lv-LV"/>
              </w:rPr>
              <w:t>3</w:t>
            </w:r>
            <w:r w:rsidR="00037CA6" w:rsidRPr="00E52A31">
              <w:rPr>
                <w:rFonts w:ascii="Times New Roman" w:hAnsi="Times New Roman" w:cs="Times New Roman"/>
                <w:iCs/>
                <w:sz w:val="24"/>
                <w:szCs w:val="24"/>
                <w:lang w:eastAsia="lv-LV"/>
              </w:rPr>
              <w:t>.</w:t>
            </w:r>
            <w:r w:rsidRPr="00E52A31">
              <w:rPr>
                <w:rFonts w:ascii="Times New Roman" w:hAnsi="Times New Roman" w:cs="Times New Roman"/>
                <w:iCs/>
                <w:sz w:val="24"/>
                <w:szCs w:val="24"/>
                <w:lang w:eastAsia="lv-LV"/>
              </w:rPr>
              <w:t xml:space="preserve"> gadam</w:t>
            </w:r>
          </w:p>
        </w:tc>
        <w:tc>
          <w:tcPr>
            <w:tcW w:w="1276" w:type="dxa"/>
            <w:vAlign w:val="center"/>
          </w:tcPr>
          <w:p w14:paraId="4B610854" w14:textId="77777777" w:rsidR="006E71F7"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izmaiņas, salīdzi</w:t>
            </w:r>
            <w:r w:rsidR="006E71F7" w:rsidRPr="00E52A31">
              <w:rPr>
                <w:rFonts w:ascii="Times New Roman" w:hAnsi="Times New Roman" w:cs="Times New Roman"/>
                <w:iCs/>
                <w:sz w:val="24"/>
                <w:szCs w:val="24"/>
                <w:lang w:eastAsia="lv-LV"/>
              </w:rPr>
              <w:t>-</w:t>
            </w:r>
          </w:p>
          <w:p w14:paraId="64896876" w14:textId="77777777" w:rsidR="00842AD1" w:rsidRPr="00E52A31" w:rsidRDefault="00842AD1" w:rsidP="00AD521B">
            <w:pPr>
              <w:pStyle w:val="Bezatstarpm"/>
              <w:jc w:val="center"/>
              <w:rPr>
                <w:rFonts w:ascii="Times New Roman" w:hAnsi="Times New Roman" w:cs="Times New Roman"/>
                <w:iCs/>
                <w:sz w:val="24"/>
                <w:szCs w:val="24"/>
                <w:lang w:eastAsia="lv-LV"/>
              </w:rPr>
            </w:pPr>
            <w:proofErr w:type="spellStart"/>
            <w:r w:rsidRPr="00E52A31">
              <w:rPr>
                <w:rFonts w:ascii="Times New Roman" w:hAnsi="Times New Roman" w:cs="Times New Roman"/>
                <w:iCs/>
                <w:sz w:val="24"/>
                <w:szCs w:val="24"/>
                <w:lang w:eastAsia="lv-LV"/>
              </w:rPr>
              <w:t>not</w:t>
            </w:r>
            <w:proofErr w:type="spellEnd"/>
            <w:r w:rsidRPr="00E52A31">
              <w:rPr>
                <w:rFonts w:ascii="Times New Roman" w:hAnsi="Times New Roman" w:cs="Times New Roman"/>
                <w:iCs/>
                <w:sz w:val="24"/>
                <w:szCs w:val="24"/>
                <w:lang w:eastAsia="lv-LV"/>
              </w:rPr>
              <w:t xml:space="preserve"> ar vidēja termiņa budžeta ietvaru </w:t>
            </w:r>
            <w:r w:rsidR="00037CA6" w:rsidRPr="00E52A31">
              <w:rPr>
                <w:rFonts w:ascii="Times New Roman" w:hAnsi="Times New Roman" w:cs="Times New Roman"/>
                <w:iCs/>
                <w:sz w:val="24"/>
                <w:szCs w:val="24"/>
                <w:lang w:eastAsia="lv-LV"/>
              </w:rPr>
              <w:t>202</w:t>
            </w:r>
            <w:r w:rsidR="007E695B" w:rsidRPr="00E52A31">
              <w:rPr>
                <w:rFonts w:ascii="Times New Roman" w:hAnsi="Times New Roman" w:cs="Times New Roman"/>
                <w:iCs/>
                <w:sz w:val="24"/>
                <w:szCs w:val="24"/>
                <w:lang w:eastAsia="lv-LV"/>
              </w:rPr>
              <w:t>3</w:t>
            </w:r>
            <w:r w:rsidR="00037CA6" w:rsidRPr="00E52A31">
              <w:rPr>
                <w:rFonts w:ascii="Times New Roman" w:hAnsi="Times New Roman" w:cs="Times New Roman"/>
                <w:iCs/>
                <w:sz w:val="24"/>
                <w:szCs w:val="24"/>
                <w:lang w:eastAsia="lv-LV"/>
              </w:rPr>
              <w:t>.</w:t>
            </w:r>
            <w:r w:rsidRPr="00E52A31">
              <w:rPr>
                <w:rFonts w:ascii="Times New Roman" w:hAnsi="Times New Roman" w:cs="Times New Roman"/>
                <w:iCs/>
                <w:sz w:val="24"/>
                <w:szCs w:val="24"/>
                <w:lang w:eastAsia="lv-LV"/>
              </w:rPr>
              <w:t xml:space="preserve"> gadam</w:t>
            </w:r>
          </w:p>
        </w:tc>
      </w:tr>
      <w:tr w:rsidR="006E71F7" w:rsidRPr="00E52A31" w14:paraId="2A79AC8B" w14:textId="77777777" w:rsidTr="00104839">
        <w:tc>
          <w:tcPr>
            <w:tcW w:w="1702" w:type="dxa"/>
            <w:gridSpan w:val="2"/>
            <w:vAlign w:val="center"/>
          </w:tcPr>
          <w:p w14:paraId="7BEE09D0"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1</w:t>
            </w:r>
          </w:p>
        </w:tc>
        <w:tc>
          <w:tcPr>
            <w:tcW w:w="992" w:type="dxa"/>
            <w:gridSpan w:val="2"/>
            <w:vAlign w:val="center"/>
          </w:tcPr>
          <w:p w14:paraId="75FB68F8"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2</w:t>
            </w:r>
          </w:p>
        </w:tc>
        <w:tc>
          <w:tcPr>
            <w:tcW w:w="1268" w:type="dxa"/>
            <w:vAlign w:val="center"/>
          </w:tcPr>
          <w:p w14:paraId="48F6EE66"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3</w:t>
            </w:r>
          </w:p>
        </w:tc>
        <w:tc>
          <w:tcPr>
            <w:tcW w:w="1000" w:type="dxa"/>
            <w:gridSpan w:val="2"/>
            <w:vAlign w:val="center"/>
          </w:tcPr>
          <w:p w14:paraId="4424A615"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4</w:t>
            </w:r>
          </w:p>
        </w:tc>
        <w:tc>
          <w:tcPr>
            <w:tcW w:w="1276" w:type="dxa"/>
            <w:vAlign w:val="center"/>
          </w:tcPr>
          <w:p w14:paraId="4D04441A"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5</w:t>
            </w:r>
          </w:p>
        </w:tc>
        <w:tc>
          <w:tcPr>
            <w:tcW w:w="850" w:type="dxa"/>
            <w:vAlign w:val="center"/>
          </w:tcPr>
          <w:p w14:paraId="37B5766F"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6</w:t>
            </w:r>
          </w:p>
        </w:tc>
        <w:tc>
          <w:tcPr>
            <w:tcW w:w="992" w:type="dxa"/>
            <w:vAlign w:val="center"/>
          </w:tcPr>
          <w:p w14:paraId="478D43C2"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7</w:t>
            </w:r>
          </w:p>
        </w:tc>
        <w:tc>
          <w:tcPr>
            <w:tcW w:w="1276" w:type="dxa"/>
            <w:vAlign w:val="center"/>
          </w:tcPr>
          <w:p w14:paraId="116D559A" w14:textId="77777777" w:rsidR="00842AD1" w:rsidRPr="00E52A31" w:rsidRDefault="00842AD1" w:rsidP="00AD521B">
            <w:pPr>
              <w:pStyle w:val="Bezatstarpm"/>
              <w:jc w:val="center"/>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8</w:t>
            </w:r>
          </w:p>
        </w:tc>
      </w:tr>
      <w:tr w:rsidR="006C12A6" w:rsidRPr="00E52A31" w14:paraId="2C0F4C5B" w14:textId="77777777" w:rsidTr="00104839">
        <w:tc>
          <w:tcPr>
            <w:tcW w:w="1702" w:type="dxa"/>
            <w:gridSpan w:val="2"/>
            <w:vAlign w:val="center"/>
          </w:tcPr>
          <w:p w14:paraId="18DD21CC" w14:textId="77777777" w:rsidR="006C12A6" w:rsidRPr="00E52A31" w:rsidRDefault="006C12A6" w:rsidP="006C12A6">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1. Budžeta ieņēmumi</w:t>
            </w:r>
          </w:p>
        </w:tc>
        <w:tc>
          <w:tcPr>
            <w:tcW w:w="992" w:type="dxa"/>
            <w:gridSpan w:val="2"/>
            <w:vAlign w:val="center"/>
          </w:tcPr>
          <w:p w14:paraId="766645A7" w14:textId="77777777" w:rsidR="006C12A6" w:rsidRPr="00EF60AF" w:rsidRDefault="006C12A6" w:rsidP="00AD521B">
            <w:pPr>
              <w:pStyle w:val="Bezatstarpm"/>
              <w:jc w:val="center"/>
              <w:rPr>
                <w:rFonts w:ascii="Times New Roman" w:hAnsi="Times New Roman" w:cs="Times New Roman"/>
                <w:b/>
                <w:bCs/>
                <w:iCs/>
                <w:lang w:eastAsia="lv-LV"/>
              </w:rPr>
            </w:pPr>
            <w:r w:rsidRPr="00EF60AF">
              <w:rPr>
                <w:rFonts w:ascii="Times New Roman" w:hAnsi="Times New Roman" w:cs="Times New Roman"/>
                <w:b/>
                <w:bCs/>
                <w:iCs/>
                <w:lang w:eastAsia="lv-LV"/>
              </w:rPr>
              <w:t>0</w:t>
            </w:r>
          </w:p>
        </w:tc>
        <w:tc>
          <w:tcPr>
            <w:tcW w:w="1268" w:type="dxa"/>
            <w:vAlign w:val="center"/>
          </w:tcPr>
          <w:p w14:paraId="4C8B20DC" w14:textId="77777777" w:rsidR="006C12A6" w:rsidRPr="00EF60AF" w:rsidRDefault="006C12A6" w:rsidP="00AD521B">
            <w:pPr>
              <w:pStyle w:val="Bezatstarpm"/>
              <w:jc w:val="center"/>
              <w:rPr>
                <w:rFonts w:ascii="Times New Roman" w:hAnsi="Times New Roman" w:cs="Times New Roman"/>
                <w:b/>
                <w:bCs/>
                <w:iCs/>
                <w:lang w:eastAsia="lv-LV"/>
              </w:rPr>
            </w:pPr>
            <w:r w:rsidRPr="00EF60AF">
              <w:rPr>
                <w:rFonts w:ascii="Times New Roman" w:hAnsi="Times New Roman" w:cs="Times New Roman"/>
                <w:b/>
                <w:bCs/>
                <w:iCs/>
                <w:lang w:eastAsia="lv-LV"/>
              </w:rPr>
              <w:t>0</w:t>
            </w:r>
          </w:p>
        </w:tc>
        <w:tc>
          <w:tcPr>
            <w:tcW w:w="1000" w:type="dxa"/>
            <w:gridSpan w:val="2"/>
            <w:vAlign w:val="center"/>
          </w:tcPr>
          <w:p w14:paraId="1078883E" w14:textId="77777777" w:rsidR="006C12A6" w:rsidRPr="00EF60AF" w:rsidRDefault="006C12A6" w:rsidP="00AD521B">
            <w:pPr>
              <w:pStyle w:val="Bezatstarpm"/>
              <w:jc w:val="center"/>
              <w:rPr>
                <w:rFonts w:ascii="Times New Roman" w:hAnsi="Times New Roman" w:cs="Times New Roman"/>
                <w:b/>
                <w:bCs/>
                <w:iCs/>
                <w:lang w:eastAsia="lv-LV"/>
              </w:rPr>
            </w:pPr>
            <w:r w:rsidRPr="00EF60AF">
              <w:rPr>
                <w:rFonts w:ascii="Times New Roman" w:hAnsi="Times New Roman" w:cs="Times New Roman"/>
                <w:b/>
                <w:bCs/>
                <w:iCs/>
                <w:lang w:eastAsia="lv-LV"/>
              </w:rPr>
              <w:t>0</w:t>
            </w:r>
          </w:p>
        </w:tc>
        <w:tc>
          <w:tcPr>
            <w:tcW w:w="1276" w:type="dxa"/>
            <w:vAlign w:val="center"/>
          </w:tcPr>
          <w:p w14:paraId="7B0F70B6" w14:textId="77777777" w:rsidR="006C12A6" w:rsidRPr="00EF60AF" w:rsidRDefault="006C12A6" w:rsidP="00AD521B">
            <w:pPr>
              <w:pStyle w:val="Bezatstarpm"/>
              <w:jc w:val="center"/>
              <w:rPr>
                <w:rFonts w:ascii="Times New Roman" w:hAnsi="Times New Roman" w:cs="Times New Roman"/>
                <w:b/>
                <w:bCs/>
                <w:iCs/>
                <w:lang w:eastAsia="lv-LV"/>
              </w:rPr>
            </w:pPr>
            <w:r w:rsidRPr="00EF60AF">
              <w:rPr>
                <w:rFonts w:ascii="Times New Roman" w:hAnsi="Times New Roman" w:cs="Times New Roman"/>
                <w:b/>
                <w:bCs/>
                <w:iCs/>
                <w:lang w:eastAsia="lv-LV"/>
              </w:rPr>
              <w:t>0</w:t>
            </w:r>
          </w:p>
        </w:tc>
        <w:tc>
          <w:tcPr>
            <w:tcW w:w="850" w:type="dxa"/>
            <w:vAlign w:val="center"/>
          </w:tcPr>
          <w:p w14:paraId="1A63ED2E" w14:textId="77777777" w:rsidR="006C12A6" w:rsidRPr="00EF60AF" w:rsidRDefault="006C12A6" w:rsidP="00AD521B">
            <w:pPr>
              <w:pStyle w:val="Bezatstarpm"/>
              <w:jc w:val="center"/>
              <w:rPr>
                <w:rFonts w:ascii="Times New Roman" w:hAnsi="Times New Roman" w:cs="Times New Roman"/>
                <w:b/>
                <w:bCs/>
                <w:iCs/>
                <w:lang w:eastAsia="lv-LV"/>
              </w:rPr>
            </w:pPr>
            <w:r w:rsidRPr="00EF60AF">
              <w:rPr>
                <w:rFonts w:ascii="Times New Roman" w:hAnsi="Times New Roman" w:cs="Times New Roman"/>
                <w:b/>
                <w:bCs/>
                <w:iCs/>
                <w:lang w:eastAsia="lv-LV"/>
              </w:rPr>
              <w:t>0</w:t>
            </w:r>
          </w:p>
        </w:tc>
        <w:tc>
          <w:tcPr>
            <w:tcW w:w="992" w:type="dxa"/>
            <w:vAlign w:val="center"/>
          </w:tcPr>
          <w:p w14:paraId="068EC951" w14:textId="77777777" w:rsidR="006C12A6" w:rsidRPr="00EF60AF" w:rsidRDefault="006C12A6" w:rsidP="00AD521B">
            <w:pPr>
              <w:pStyle w:val="Bezatstarpm"/>
              <w:jc w:val="center"/>
              <w:rPr>
                <w:rFonts w:ascii="Times New Roman" w:hAnsi="Times New Roman" w:cs="Times New Roman"/>
                <w:b/>
                <w:bCs/>
                <w:iCs/>
                <w:lang w:eastAsia="lv-LV"/>
              </w:rPr>
            </w:pPr>
            <w:r w:rsidRPr="00EF60AF">
              <w:rPr>
                <w:rFonts w:ascii="Times New Roman" w:hAnsi="Times New Roman" w:cs="Times New Roman"/>
                <w:b/>
                <w:bCs/>
                <w:iCs/>
                <w:lang w:eastAsia="lv-LV"/>
              </w:rPr>
              <w:t>0</w:t>
            </w:r>
          </w:p>
        </w:tc>
        <w:tc>
          <w:tcPr>
            <w:tcW w:w="1276" w:type="dxa"/>
            <w:vAlign w:val="center"/>
          </w:tcPr>
          <w:p w14:paraId="2ECDE678" w14:textId="77777777" w:rsidR="006C12A6" w:rsidRPr="00EF60AF" w:rsidRDefault="006C12A6" w:rsidP="00AD521B">
            <w:pPr>
              <w:pStyle w:val="Bezatstarpm"/>
              <w:jc w:val="center"/>
              <w:rPr>
                <w:rFonts w:ascii="Times New Roman" w:hAnsi="Times New Roman" w:cs="Times New Roman"/>
                <w:b/>
                <w:bCs/>
                <w:iCs/>
                <w:lang w:eastAsia="lv-LV"/>
              </w:rPr>
            </w:pPr>
            <w:r w:rsidRPr="00EF60AF">
              <w:rPr>
                <w:rFonts w:ascii="Times New Roman" w:hAnsi="Times New Roman" w:cs="Times New Roman"/>
                <w:b/>
                <w:bCs/>
                <w:iCs/>
                <w:lang w:eastAsia="lv-LV"/>
              </w:rPr>
              <w:t>0</w:t>
            </w:r>
          </w:p>
        </w:tc>
      </w:tr>
      <w:tr w:rsidR="006C12A6" w:rsidRPr="00E52A31" w14:paraId="403EDE74" w14:textId="77777777" w:rsidTr="00104839">
        <w:tc>
          <w:tcPr>
            <w:tcW w:w="1702" w:type="dxa"/>
            <w:gridSpan w:val="2"/>
            <w:vAlign w:val="center"/>
          </w:tcPr>
          <w:p w14:paraId="61F112D4" w14:textId="77777777" w:rsidR="006C12A6" w:rsidRPr="00E52A31" w:rsidRDefault="006C12A6" w:rsidP="006C12A6">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1.1. valsts pamatbudžets, tai skaitā ieņēmumi no maksas pakalpojumiem un citi pašu ieņēmumi</w:t>
            </w:r>
          </w:p>
        </w:tc>
        <w:tc>
          <w:tcPr>
            <w:tcW w:w="992" w:type="dxa"/>
            <w:gridSpan w:val="2"/>
            <w:vAlign w:val="center"/>
          </w:tcPr>
          <w:p w14:paraId="786C2BB3"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68" w:type="dxa"/>
            <w:vAlign w:val="center"/>
          </w:tcPr>
          <w:p w14:paraId="68D56650" w14:textId="77777777" w:rsidR="006C12A6" w:rsidRPr="007B2A08" w:rsidRDefault="006C12A6" w:rsidP="00AD521B">
            <w:pPr>
              <w:pStyle w:val="Bezatstarpm"/>
              <w:jc w:val="center"/>
              <w:rPr>
                <w:rFonts w:ascii="Times New Roman" w:hAnsi="Times New Roman" w:cs="Times New Roman"/>
                <w:iCs/>
                <w:lang w:eastAsia="lv-LV"/>
              </w:rPr>
            </w:pPr>
            <w:r w:rsidRPr="007B2A08">
              <w:rPr>
                <w:rFonts w:ascii="Times New Roman" w:hAnsi="Times New Roman" w:cs="Times New Roman"/>
                <w:iCs/>
                <w:lang w:eastAsia="lv-LV"/>
              </w:rPr>
              <w:t>0</w:t>
            </w:r>
          </w:p>
        </w:tc>
        <w:tc>
          <w:tcPr>
            <w:tcW w:w="1000" w:type="dxa"/>
            <w:gridSpan w:val="2"/>
            <w:vAlign w:val="center"/>
          </w:tcPr>
          <w:p w14:paraId="5DC307AB"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1E0A0796"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850" w:type="dxa"/>
            <w:vAlign w:val="center"/>
          </w:tcPr>
          <w:p w14:paraId="01D1BE84"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992" w:type="dxa"/>
            <w:vAlign w:val="center"/>
          </w:tcPr>
          <w:p w14:paraId="66868A32"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52707B81"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6C12A6" w:rsidRPr="00E52A31" w14:paraId="2AF74434" w14:textId="77777777" w:rsidTr="00104839">
        <w:tc>
          <w:tcPr>
            <w:tcW w:w="1702" w:type="dxa"/>
            <w:gridSpan w:val="2"/>
            <w:vAlign w:val="center"/>
          </w:tcPr>
          <w:p w14:paraId="46E8D2C5" w14:textId="77777777" w:rsidR="006C12A6" w:rsidRPr="00E52A31" w:rsidRDefault="006C12A6" w:rsidP="006C12A6">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1.2. valsts speciālais budžets</w:t>
            </w:r>
          </w:p>
        </w:tc>
        <w:tc>
          <w:tcPr>
            <w:tcW w:w="992" w:type="dxa"/>
            <w:gridSpan w:val="2"/>
            <w:vAlign w:val="center"/>
          </w:tcPr>
          <w:p w14:paraId="6CEAA61B"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68" w:type="dxa"/>
            <w:vAlign w:val="center"/>
          </w:tcPr>
          <w:p w14:paraId="00F35226" w14:textId="77777777" w:rsidR="006C12A6" w:rsidRPr="007B2A08" w:rsidRDefault="006C12A6" w:rsidP="00AD521B">
            <w:pPr>
              <w:pStyle w:val="Bezatstarpm"/>
              <w:jc w:val="center"/>
              <w:rPr>
                <w:rFonts w:ascii="Times New Roman" w:hAnsi="Times New Roman" w:cs="Times New Roman"/>
                <w:iCs/>
                <w:lang w:eastAsia="lv-LV"/>
              </w:rPr>
            </w:pPr>
            <w:r w:rsidRPr="007B2A08">
              <w:rPr>
                <w:rFonts w:ascii="Times New Roman" w:hAnsi="Times New Roman" w:cs="Times New Roman"/>
                <w:iCs/>
                <w:lang w:eastAsia="lv-LV"/>
              </w:rPr>
              <w:t>0</w:t>
            </w:r>
          </w:p>
        </w:tc>
        <w:tc>
          <w:tcPr>
            <w:tcW w:w="1000" w:type="dxa"/>
            <w:gridSpan w:val="2"/>
            <w:vAlign w:val="center"/>
          </w:tcPr>
          <w:p w14:paraId="11A3247E"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3ABBC174"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850" w:type="dxa"/>
            <w:vAlign w:val="center"/>
          </w:tcPr>
          <w:p w14:paraId="4FF94FA7"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992" w:type="dxa"/>
            <w:vAlign w:val="center"/>
          </w:tcPr>
          <w:p w14:paraId="2A7186FF"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6054A97F" w14:textId="77777777" w:rsidR="006C12A6" w:rsidRPr="00E52A31" w:rsidRDefault="006C12A6"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CC0982" w:rsidRPr="00E52A31" w14:paraId="3E79DF28" w14:textId="77777777" w:rsidTr="00104839">
        <w:tc>
          <w:tcPr>
            <w:tcW w:w="1702" w:type="dxa"/>
            <w:gridSpan w:val="2"/>
            <w:vAlign w:val="center"/>
          </w:tcPr>
          <w:p w14:paraId="6B005B46" w14:textId="77777777" w:rsidR="00CC0982" w:rsidRPr="00E52A31" w:rsidRDefault="00CC0982" w:rsidP="00CC098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1.3. pašvaldību budžets</w:t>
            </w:r>
          </w:p>
        </w:tc>
        <w:tc>
          <w:tcPr>
            <w:tcW w:w="992" w:type="dxa"/>
            <w:gridSpan w:val="2"/>
            <w:vAlign w:val="center"/>
          </w:tcPr>
          <w:p w14:paraId="07BA8B36" w14:textId="77777777" w:rsidR="00CC0982" w:rsidRPr="00E52A31" w:rsidRDefault="00CC098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68" w:type="dxa"/>
            <w:vAlign w:val="center"/>
          </w:tcPr>
          <w:p w14:paraId="1A7B56FC" w14:textId="77777777" w:rsidR="00CC0982" w:rsidRPr="007B2A08" w:rsidRDefault="00CC0982" w:rsidP="00AD521B">
            <w:pPr>
              <w:pStyle w:val="Bezatstarpm"/>
              <w:jc w:val="center"/>
              <w:rPr>
                <w:rFonts w:ascii="Times New Roman" w:hAnsi="Times New Roman" w:cs="Times New Roman"/>
                <w:iCs/>
                <w:lang w:eastAsia="lv-LV"/>
              </w:rPr>
            </w:pPr>
            <w:r w:rsidRPr="007B2A08">
              <w:rPr>
                <w:rFonts w:ascii="Times New Roman" w:hAnsi="Times New Roman" w:cs="Times New Roman"/>
                <w:iCs/>
                <w:lang w:eastAsia="lv-LV"/>
              </w:rPr>
              <w:t>0</w:t>
            </w:r>
          </w:p>
        </w:tc>
        <w:tc>
          <w:tcPr>
            <w:tcW w:w="1000" w:type="dxa"/>
            <w:gridSpan w:val="2"/>
            <w:vAlign w:val="center"/>
          </w:tcPr>
          <w:p w14:paraId="08C4B626" w14:textId="77777777" w:rsidR="00CC0982" w:rsidRPr="00E52A31" w:rsidRDefault="00CC098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7D8C96E9" w14:textId="77777777" w:rsidR="00CC0982" w:rsidRPr="00E52A31" w:rsidRDefault="00CC098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850" w:type="dxa"/>
            <w:vAlign w:val="center"/>
          </w:tcPr>
          <w:p w14:paraId="158650F3" w14:textId="77777777" w:rsidR="00CC0982" w:rsidRPr="00E52A31" w:rsidRDefault="00CC098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992" w:type="dxa"/>
            <w:vAlign w:val="center"/>
          </w:tcPr>
          <w:p w14:paraId="5CDC27C2" w14:textId="77777777" w:rsidR="00CC0982" w:rsidRPr="00E52A31" w:rsidRDefault="00CC098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04EE2123" w14:textId="77777777" w:rsidR="00CC0982" w:rsidRPr="00E52A31" w:rsidRDefault="00CC098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6C12A6" w:rsidRPr="00E52A31" w14:paraId="296738E4" w14:textId="77777777" w:rsidTr="00EF60AF">
        <w:tc>
          <w:tcPr>
            <w:tcW w:w="1702" w:type="dxa"/>
            <w:gridSpan w:val="2"/>
            <w:vAlign w:val="center"/>
          </w:tcPr>
          <w:p w14:paraId="6472D825" w14:textId="77777777" w:rsidR="006C12A6" w:rsidRPr="00E52A31" w:rsidRDefault="006C12A6" w:rsidP="006C12A6">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2. Budžeta izdevumi</w:t>
            </w:r>
          </w:p>
        </w:tc>
        <w:tc>
          <w:tcPr>
            <w:tcW w:w="992" w:type="dxa"/>
            <w:gridSpan w:val="2"/>
            <w:vAlign w:val="center"/>
          </w:tcPr>
          <w:p w14:paraId="24DB02BF" w14:textId="77777777" w:rsidR="006C12A6" w:rsidRPr="00EF60AF" w:rsidRDefault="006C12A6" w:rsidP="00EF60AF">
            <w:pPr>
              <w:jc w:val="center"/>
              <w:rPr>
                <w:b/>
                <w:bCs/>
                <w:sz w:val="22"/>
                <w:szCs w:val="22"/>
              </w:rPr>
            </w:pPr>
            <w:r w:rsidRPr="00EF60AF">
              <w:rPr>
                <w:b/>
                <w:bCs/>
                <w:iCs/>
                <w:sz w:val="22"/>
                <w:szCs w:val="22"/>
              </w:rPr>
              <w:t>0</w:t>
            </w:r>
          </w:p>
        </w:tc>
        <w:tc>
          <w:tcPr>
            <w:tcW w:w="1268" w:type="dxa"/>
            <w:shd w:val="clear" w:color="auto" w:fill="auto"/>
            <w:vAlign w:val="center"/>
          </w:tcPr>
          <w:p w14:paraId="0105242B" w14:textId="048B2B83" w:rsidR="006C12A6" w:rsidRPr="007B2A08" w:rsidRDefault="00C440BB" w:rsidP="00AD521B">
            <w:pPr>
              <w:pStyle w:val="Bezatstarpm"/>
              <w:jc w:val="center"/>
              <w:rPr>
                <w:rFonts w:ascii="Times New Roman" w:hAnsi="Times New Roman" w:cs="Times New Roman"/>
                <w:b/>
                <w:bCs/>
                <w:iCs/>
                <w:sz w:val="20"/>
                <w:szCs w:val="20"/>
                <w:lang w:eastAsia="lv-LV"/>
              </w:rPr>
            </w:pPr>
            <w:r w:rsidRPr="007B2A08">
              <w:rPr>
                <w:rFonts w:ascii="Times New Roman" w:hAnsi="Times New Roman" w:cs="Times New Roman"/>
                <w:b/>
                <w:bCs/>
                <w:sz w:val="24"/>
                <w:szCs w:val="24"/>
              </w:rPr>
              <w:t>339 430</w:t>
            </w:r>
          </w:p>
        </w:tc>
        <w:tc>
          <w:tcPr>
            <w:tcW w:w="1000" w:type="dxa"/>
            <w:gridSpan w:val="2"/>
            <w:vAlign w:val="center"/>
          </w:tcPr>
          <w:p w14:paraId="3D4943BD" w14:textId="77777777" w:rsidR="006C12A6" w:rsidRPr="00EF60AF" w:rsidRDefault="006C12A6" w:rsidP="00AD521B">
            <w:pPr>
              <w:pStyle w:val="Bezatstarpm"/>
              <w:jc w:val="center"/>
              <w:rPr>
                <w:rFonts w:ascii="Times New Roman" w:hAnsi="Times New Roman" w:cs="Times New Roman"/>
                <w:b/>
                <w:bCs/>
                <w:iCs/>
                <w:lang w:eastAsia="lv-LV"/>
              </w:rPr>
            </w:pPr>
            <w:r w:rsidRPr="00EF60AF">
              <w:rPr>
                <w:rFonts w:ascii="Times New Roman" w:hAnsi="Times New Roman" w:cs="Times New Roman"/>
                <w:b/>
                <w:bCs/>
                <w:iCs/>
                <w:lang w:eastAsia="lv-LV"/>
              </w:rPr>
              <w:t>0</w:t>
            </w:r>
          </w:p>
        </w:tc>
        <w:tc>
          <w:tcPr>
            <w:tcW w:w="1276" w:type="dxa"/>
            <w:vAlign w:val="center"/>
          </w:tcPr>
          <w:p w14:paraId="3EB87364" w14:textId="77777777" w:rsidR="006C12A6" w:rsidRPr="00EF60AF" w:rsidRDefault="002E5923" w:rsidP="00AD521B">
            <w:pPr>
              <w:pStyle w:val="Bezatstarpm"/>
              <w:jc w:val="center"/>
              <w:rPr>
                <w:rFonts w:ascii="Times New Roman" w:hAnsi="Times New Roman" w:cs="Times New Roman"/>
                <w:b/>
                <w:bCs/>
                <w:iCs/>
                <w:sz w:val="20"/>
                <w:szCs w:val="20"/>
                <w:lang w:eastAsia="lv-LV"/>
              </w:rPr>
            </w:pPr>
            <w:r w:rsidRPr="00EF60AF">
              <w:rPr>
                <w:rFonts w:ascii="Times New Roman" w:hAnsi="Times New Roman" w:cs="Times New Roman"/>
                <w:b/>
                <w:bCs/>
                <w:iCs/>
                <w:sz w:val="20"/>
                <w:szCs w:val="20"/>
                <w:lang w:eastAsia="lv-LV"/>
              </w:rPr>
              <w:t>0</w:t>
            </w:r>
          </w:p>
        </w:tc>
        <w:tc>
          <w:tcPr>
            <w:tcW w:w="850" w:type="dxa"/>
            <w:vAlign w:val="center"/>
          </w:tcPr>
          <w:p w14:paraId="452F9E71" w14:textId="77777777" w:rsidR="006C12A6" w:rsidRPr="00EF60AF" w:rsidRDefault="006C12A6" w:rsidP="00AD521B">
            <w:pPr>
              <w:pStyle w:val="Bezatstarpm"/>
              <w:jc w:val="center"/>
              <w:rPr>
                <w:rFonts w:ascii="Times New Roman" w:hAnsi="Times New Roman" w:cs="Times New Roman"/>
                <w:b/>
                <w:bCs/>
                <w:iCs/>
                <w:lang w:eastAsia="lv-LV"/>
              </w:rPr>
            </w:pPr>
            <w:r w:rsidRPr="00EF60AF">
              <w:rPr>
                <w:rFonts w:ascii="Times New Roman" w:hAnsi="Times New Roman" w:cs="Times New Roman"/>
                <w:b/>
                <w:bCs/>
                <w:iCs/>
                <w:lang w:eastAsia="lv-LV"/>
              </w:rPr>
              <w:t>0</w:t>
            </w:r>
          </w:p>
        </w:tc>
        <w:tc>
          <w:tcPr>
            <w:tcW w:w="992" w:type="dxa"/>
            <w:vAlign w:val="center"/>
          </w:tcPr>
          <w:p w14:paraId="4EDE2A18" w14:textId="77777777" w:rsidR="006C12A6" w:rsidRPr="00EF60AF" w:rsidRDefault="006C12A6" w:rsidP="00AD521B">
            <w:pPr>
              <w:pStyle w:val="Bezatstarpm"/>
              <w:jc w:val="center"/>
              <w:rPr>
                <w:rFonts w:ascii="Times New Roman" w:hAnsi="Times New Roman" w:cs="Times New Roman"/>
                <w:b/>
                <w:bCs/>
                <w:iCs/>
                <w:lang w:eastAsia="lv-LV"/>
              </w:rPr>
            </w:pPr>
            <w:r w:rsidRPr="00EF60AF">
              <w:rPr>
                <w:rFonts w:ascii="Times New Roman" w:hAnsi="Times New Roman" w:cs="Times New Roman"/>
                <w:b/>
                <w:bCs/>
                <w:iCs/>
                <w:lang w:eastAsia="lv-LV"/>
              </w:rPr>
              <w:t>0</w:t>
            </w:r>
          </w:p>
        </w:tc>
        <w:tc>
          <w:tcPr>
            <w:tcW w:w="1276" w:type="dxa"/>
            <w:vAlign w:val="center"/>
          </w:tcPr>
          <w:p w14:paraId="3C01BAC7" w14:textId="77777777" w:rsidR="006C12A6" w:rsidRPr="00EF60AF" w:rsidRDefault="006C12A6" w:rsidP="00AD521B">
            <w:pPr>
              <w:pStyle w:val="Bezatstarpm"/>
              <w:jc w:val="center"/>
              <w:rPr>
                <w:rFonts w:ascii="Times New Roman" w:hAnsi="Times New Roman" w:cs="Times New Roman"/>
                <w:b/>
                <w:bCs/>
                <w:iCs/>
                <w:lang w:eastAsia="lv-LV"/>
              </w:rPr>
            </w:pPr>
            <w:r w:rsidRPr="00EF60AF">
              <w:rPr>
                <w:rFonts w:ascii="Times New Roman" w:hAnsi="Times New Roman" w:cs="Times New Roman"/>
                <w:b/>
                <w:bCs/>
                <w:iCs/>
                <w:lang w:eastAsia="lv-LV"/>
              </w:rPr>
              <w:t>0</w:t>
            </w:r>
          </w:p>
        </w:tc>
      </w:tr>
      <w:tr w:rsidR="00241D22" w:rsidRPr="00E52A31" w14:paraId="02356D5C" w14:textId="77777777" w:rsidTr="00EF60AF">
        <w:tc>
          <w:tcPr>
            <w:tcW w:w="1702" w:type="dxa"/>
            <w:gridSpan w:val="2"/>
            <w:vAlign w:val="center"/>
          </w:tcPr>
          <w:p w14:paraId="77FE3913"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2.1. valsts pamatbudžets</w:t>
            </w:r>
          </w:p>
        </w:tc>
        <w:tc>
          <w:tcPr>
            <w:tcW w:w="992" w:type="dxa"/>
            <w:gridSpan w:val="2"/>
            <w:vAlign w:val="center"/>
          </w:tcPr>
          <w:p w14:paraId="6EE07B38" w14:textId="77777777" w:rsidR="00241D22" w:rsidRPr="00E52A31" w:rsidRDefault="00241D22" w:rsidP="00EF60AF">
            <w:pPr>
              <w:jc w:val="center"/>
              <w:rPr>
                <w:sz w:val="22"/>
                <w:szCs w:val="22"/>
              </w:rPr>
            </w:pPr>
            <w:r w:rsidRPr="00E52A31">
              <w:rPr>
                <w:iCs/>
                <w:sz w:val="22"/>
                <w:szCs w:val="22"/>
              </w:rPr>
              <w:t>0</w:t>
            </w:r>
          </w:p>
        </w:tc>
        <w:tc>
          <w:tcPr>
            <w:tcW w:w="1268" w:type="dxa"/>
            <w:shd w:val="clear" w:color="auto" w:fill="auto"/>
            <w:vAlign w:val="center"/>
          </w:tcPr>
          <w:p w14:paraId="34E41426" w14:textId="258FF772" w:rsidR="00241D22" w:rsidRPr="007B2A08" w:rsidRDefault="00C440BB" w:rsidP="00AD521B">
            <w:pPr>
              <w:pStyle w:val="Bezatstarpm"/>
              <w:jc w:val="center"/>
              <w:rPr>
                <w:rFonts w:ascii="Times New Roman" w:hAnsi="Times New Roman" w:cs="Times New Roman"/>
                <w:iCs/>
                <w:sz w:val="20"/>
                <w:szCs w:val="20"/>
                <w:lang w:eastAsia="lv-LV"/>
              </w:rPr>
            </w:pPr>
            <w:r w:rsidRPr="007B2A08">
              <w:rPr>
                <w:rFonts w:ascii="Times New Roman" w:hAnsi="Times New Roman" w:cs="Times New Roman"/>
                <w:sz w:val="24"/>
                <w:szCs w:val="24"/>
              </w:rPr>
              <w:t>339 430</w:t>
            </w:r>
          </w:p>
        </w:tc>
        <w:tc>
          <w:tcPr>
            <w:tcW w:w="1000" w:type="dxa"/>
            <w:gridSpan w:val="2"/>
            <w:vAlign w:val="center"/>
          </w:tcPr>
          <w:p w14:paraId="2CE5B293"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030070CC" w14:textId="77777777" w:rsidR="00241D22" w:rsidRPr="00E52A31" w:rsidRDefault="002E5923" w:rsidP="00AD521B">
            <w:pPr>
              <w:pStyle w:val="Bezatstarpm"/>
              <w:jc w:val="center"/>
              <w:rPr>
                <w:rFonts w:ascii="Times New Roman" w:hAnsi="Times New Roman" w:cs="Times New Roman"/>
                <w:iCs/>
                <w:sz w:val="20"/>
                <w:szCs w:val="20"/>
                <w:lang w:eastAsia="lv-LV"/>
              </w:rPr>
            </w:pPr>
            <w:r w:rsidRPr="00E52A31">
              <w:rPr>
                <w:rFonts w:ascii="Times New Roman" w:hAnsi="Times New Roman" w:cs="Times New Roman"/>
                <w:iCs/>
                <w:sz w:val="20"/>
                <w:szCs w:val="20"/>
                <w:lang w:eastAsia="lv-LV"/>
              </w:rPr>
              <w:t>0</w:t>
            </w:r>
          </w:p>
        </w:tc>
        <w:tc>
          <w:tcPr>
            <w:tcW w:w="850" w:type="dxa"/>
            <w:vAlign w:val="center"/>
          </w:tcPr>
          <w:p w14:paraId="42F3E8D9"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992" w:type="dxa"/>
            <w:vAlign w:val="center"/>
          </w:tcPr>
          <w:p w14:paraId="2238A327"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71D7E33C"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241D22" w:rsidRPr="00E52A31" w14:paraId="2F5C5267" w14:textId="77777777" w:rsidTr="00104839">
        <w:tc>
          <w:tcPr>
            <w:tcW w:w="1702" w:type="dxa"/>
            <w:gridSpan w:val="2"/>
            <w:vAlign w:val="center"/>
          </w:tcPr>
          <w:p w14:paraId="56B11FF0"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2.2. valsts speciālais budžets</w:t>
            </w:r>
          </w:p>
        </w:tc>
        <w:tc>
          <w:tcPr>
            <w:tcW w:w="992" w:type="dxa"/>
            <w:gridSpan w:val="2"/>
            <w:vAlign w:val="center"/>
          </w:tcPr>
          <w:p w14:paraId="642318E6"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68" w:type="dxa"/>
            <w:shd w:val="clear" w:color="auto" w:fill="auto"/>
            <w:vAlign w:val="center"/>
          </w:tcPr>
          <w:p w14:paraId="317F10D0" w14:textId="77777777" w:rsidR="00241D22" w:rsidRPr="007B2A08" w:rsidRDefault="00241D22" w:rsidP="00AD521B">
            <w:pPr>
              <w:pStyle w:val="Bezatstarpm"/>
              <w:jc w:val="center"/>
              <w:rPr>
                <w:rFonts w:ascii="Times New Roman" w:hAnsi="Times New Roman" w:cs="Times New Roman"/>
                <w:iCs/>
                <w:lang w:eastAsia="lv-LV"/>
              </w:rPr>
            </w:pPr>
            <w:r w:rsidRPr="007B2A08">
              <w:rPr>
                <w:rFonts w:ascii="Times New Roman" w:hAnsi="Times New Roman" w:cs="Times New Roman"/>
                <w:iCs/>
                <w:lang w:eastAsia="lv-LV"/>
              </w:rPr>
              <w:t>0</w:t>
            </w:r>
          </w:p>
        </w:tc>
        <w:tc>
          <w:tcPr>
            <w:tcW w:w="1000" w:type="dxa"/>
            <w:gridSpan w:val="2"/>
            <w:vAlign w:val="center"/>
          </w:tcPr>
          <w:p w14:paraId="72B4CC8F"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1D18715A"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850" w:type="dxa"/>
            <w:vAlign w:val="center"/>
          </w:tcPr>
          <w:p w14:paraId="4DC156A5"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992" w:type="dxa"/>
            <w:vAlign w:val="center"/>
          </w:tcPr>
          <w:p w14:paraId="0D25E6B0"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020FB340"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241D22" w:rsidRPr="00E52A31" w14:paraId="2455DC93" w14:textId="77777777" w:rsidTr="00104839">
        <w:tc>
          <w:tcPr>
            <w:tcW w:w="1702" w:type="dxa"/>
            <w:gridSpan w:val="2"/>
            <w:vAlign w:val="center"/>
          </w:tcPr>
          <w:p w14:paraId="03D1FD16"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2.3. pašvaldību budžets</w:t>
            </w:r>
          </w:p>
        </w:tc>
        <w:tc>
          <w:tcPr>
            <w:tcW w:w="992" w:type="dxa"/>
            <w:gridSpan w:val="2"/>
            <w:vAlign w:val="center"/>
          </w:tcPr>
          <w:p w14:paraId="29E6D9EF"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68" w:type="dxa"/>
            <w:shd w:val="clear" w:color="auto" w:fill="auto"/>
            <w:vAlign w:val="center"/>
          </w:tcPr>
          <w:p w14:paraId="18436E5C" w14:textId="77777777" w:rsidR="00241D22" w:rsidRPr="007B2A08" w:rsidRDefault="00241D22" w:rsidP="00AD521B">
            <w:pPr>
              <w:pStyle w:val="Bezatstarpm"/>
              <w:jc w:val="center"/>
              <w:rPr>
                <w:rFonts w:ascii="Times New Roman" w:hAnsi="Times New Roman" w:cs="Times New Roman"/>
                <w:iCs/>
                <w:lang w:eastAsia="lv-LV"/>
              </w:rPr>
            </w:pPr>
            <w:r w:rsidRPr="007B2A08">
              <w:rPr>
                <w:rFonts w:ascii="Times New Roman" w:hAnsi="Times New Roman" w:cs="Times New Roman"/>
                <w:iCs/>
                <w:lang w:eastAsia="lv-LV"/>
              </w:rPr>
              <w:t>0</w:t>
            </w:r>
          </w:p>
        </w:tc>
        <w:tc>
          <w:tcPr>
            <w:tcW w:w="1000" w:type="dxa"/>
            <w:gridSpan w:val="2"/>
            <w:vAlign w:val="center"/>
          </w:tcPr>
          <w:p w14:paraId="6DED6C4D"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4860BE9B"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850" w:type="dxa"/>
            <w:vAlign w:val="center"/>
          </w:tcPr>
          <w:p w14:paraId="427D2B3B"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992" w:type="dxa"/>
            <w:vAlign w:val="center"/>
          </w:tcPr>
          <w:p w14:paraId="56F057FD"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5D6C71C8"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241D22" w:rsidRPr="00E52A31" w14:paraId="7645076C" w14:textId="77777777" w:rsidTr="00EE28E4">
        <w:trPr>
          <w:trHeight w:val="113"/>
        </w:trPr>
        <w:tc>
          <w:tcPr>
            <w:tcW w:w="1702" w:type="dxa"/>
            <w:gridSpan w:val="2"/>
            <w:vAlign w:val="center"/>
          </w:tcPr>
          <w:p w14:paraId="0CFBC1DB"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3. Finansiālā ietekme</w:t>
            </w:r>
          </w:p>
        </w:tc>
        <w:tc>
          <w:tcPr>
            <w:tcW w:w="992" w:type="dxa"/>
            <w:gridSpan w:val="2"/>
            <w:vAlign w:val="center"/>
          </w:tcPr>
          <w:p w14:paraId="3148A8DB" w14:textId="77777777" w:rsidR="00241D22" w:rsidRPr="000F51F7" w:rsidRDefault="00241D22" w:rsidP="00AD521B">
            <w:pPr>
              <w:pStyle w:val="Bezatstarpm"/>
              <w:jc w:val="center"/>
              <w:rPr>
                <w:rFonts w:ascii="Times New Roman" w:hAnsi="Times New Roman" w:cs="Times New Roman"/>
                <w:b/>
                <w:bCs/>
                <w:iCs/>
                <w:lang w:eastAsia="lv-LV"/>
              </w:rPr>
            </w:pPr>
            <w:r w:rsidRPr="000F51F7">
              <w:rPr>
                <w:rFonts w:ascii="Times New Roman" w:hAnsi="Times New Roman" w:cs="Times New Roman"/>
                <w:b/>
                <w:bCs/>
                <w:iCs/>
                <w:lang w:eastAsia="lv-LV"/>
              </w:rPr>
              <w:t>0</w:t>
            </w:r>
          </w:p>
        </w:tc>
        <w:tc>
          <w:tcPr>
            <w:tcW w:w="1268" w:type="dxa"/>
            <w:shd w:val="clear" w:color="auto" w:fill="auto"/>
            <w:vAlign w:val="center"/>
          </w:tcPr>
          <w:p w14:paraId="4B82992C" w14:textId="5457B107" w:rsidR="00241D22" w:rsidRPr="007B2A08" w:rsidRDefault="000B34A1" w:rsidP="00AD521B">
            <w:pPr>
              <w:pStyle w:val="Bezatstarpm"/>
              <w:jc w:val="center"/>
              <w:rPr>
                <w:rFonts w:ascii="Times New Roman" w:hAnsi="Times New Roman" w:cs="Times New Roman"/>
                <w:b/>
                <w:bCs/>
                <w:iCs/>
                <w:sz w:val="20"/>
                <w:szCs w:val="20"/>
                <w:lang w:eastAsia="lv-LV"/>
              </w:rPr>
            </w:pPr>
            <w:r w:rsidRPr="007B2A08">
              <w:rPr>
                <w:rFonts w:ascii="Times New Roman" w:hAnsi="Times New Roman" w:cs="Times New Roman"/>
                <w:b/>
                <w:bCs/>
                <w:iCs/>
                <w:sz w:val="20"/>
                <w:szCs w:val="20"/>
                <w:lang w:eastAsia="lv-LV"/>
              </w:rPr>
              <w:t>–</w:t>
            </w:r>
            <w:r w:rsidR="00C440BB" w:rsidRPr="007B2A08">
              <w:rPr>
                <w:rFonts w:ascii="Times New Roman" w:hAnsi="Times New Roman" w:cs="Times New Roman"/>
                <w:b/>
                <w:bCs/>
                <w:sz w:val="24"/>
                <w:szCs w:val="24"/>
              </w:rPr>
              <w:t>339 430</w:t>
            </w:r>
          </w:p>
        </w:tc>
        <w:tc>
          <w:tcPr>
            <w:tcW w:w="1000" w:type="dxa"/>
            <w:gridSpan w:val="2"/>
            <w:vAlign w:val="center"/>
          </w:tcPr>
          <w:p w14:paraId="6C3B0EFD" w14:textId="77777777" w:rsidR="00241D22" w:rsidRPr="000F51F7" w:rsidRDefault="00241D22" w:rsidP="00AD521B">
            <w:pPr>
              <w:pStyle w:val="Bezatstarpm"/>
              <w:jc w:val="center"/>
              <w:rPr>
                <w:rFonts w:ascii="Times New Roman" w:hAnsi="Times New Roman" w:cs="Times New Roman"/>
                <w:b/>
                <w:bCs/>
                <w:iCs/>
                <w:lang w:eastAsia="lv-LV"/>
              </w:rPr>
            </w:pPr>
            <w:r w:rsidRPr="000F51F7">
              <w:rPr>
                <w:rFonts w:ascii="Times New Roman" w:hAnsi="Times New Roman" w:cs="Times New Roman"/>
                <w:b/>
                <w:bCs/>
                <w:iCs/>
                <w:lang w:eastAsia="lv-LV"/>
              </w:rPr>
              <w:t>0</w:t>
            </w:r>
          </w:p>
        </w:tc>
        <w:tc>
          <w:tcPr>
            <w:tcW w:w="1276" w:type="dxa"/>
            <w:vAlign w:val="center"/>
          </w:tcPr>
          <w:p w14:paraId="30BAF03B" w14:textId="77777777" w:rsidR="00241D22" w:rsidRPr="000F51F7" w:rsidRDefault="002E5923" w:rsidP="00AD521B">
            <w:pPr>
              <w:pStyle w:val="Bezatstarpm"/>
              <w:jc w:val="center"/>
              <w:rPr>
                <w:rFonts w:ascii="Times New Roman" w:hAnsi="Times New Roman" w:cs="Times New Roman"/>
                <w:b/>
                <w:bCs/>
                <w:iCs/>
                <w:sz w:val="20"/>
                <w:szCs w:val="20"/>
                <w:lang w:eastAsia="lv-LV"/>
              </w:rPr>
            </w:pPr>
            <w:r w:rsidRPr="000F51F7">
              <w:rPr>
                <w:rFonts w:ascii="Times New Roman" w:hAnsi="Times New Roman" w:cs="Times New Roman"/>
                <w:b/>
                <w:bCs/>
                <w:iCs/>
                <w:sz w:val="20"/>
                <w:szCs w:val="20"/>
                <w:lang w:eastAsia="lv-LV"/>
              </w:rPr>
              <w:t>0</w:t>
            </w:r>
          </w:p>
        </w:tc>
        <w:tc>
          <w:tcPr>
            <w:tcW w:w="850" w:type="dxa"/>
            <w:vAlign w:val="center"/>
          </w:tcPr>
          <w:p w14:paraId="0E9EC5B4" w14:textId="77777777" w:rsidR="00241D22" w:rsidRPr="000F51F7" w:rsidRDefault="00241D22" w:rsidP="00AD521B">
            <w:pPr>
              <w:pStyle w:val="Bezatstarpm"/>
              <w:jc w:val="center"/>
              <w:rPr>
                <w:rFonts w:ascii="Times New Roman" w:hAnsi="Times New Roman" w:cs="Times New Roman"/>
                <w:b/>
                <w:bCs/>
                <w:iCs/>
                <w:lang w:eastAsia="lv-LV"/>
              </w:rPr>
            </w:pPr>
            <w:r w:rsidRPr="000F51F7">
              <w:rPr>
                <w:rFonts w:ascii="Times New Roman" w:hAnsi="Times New Roman" w:cs="Times New Roman"/>
                <w:b/>
                <w:bCs/>
                <w:iCs/>
                <w:lang w:eastAsia="lv-LV"/>
              </w:rPr>
              <w:t>0</w:t>
            </w:r>
          </w:p>
        </w:tc>
        <w:tc>
          <w:tcPr>
            <w:tcW w:w="992" w:type="dxa"/>
            <w:vAlign w:val="center"/>
          </w:tcPr>
          <w:p w14:paraId="7C133BB1" w14:textId="77777777" w:rsidR="00241D22" w:rsidRPr="000F51F7" w:rsidRDefault="00241D22" w:rsidP="00AD521B">
            <w:pPr>
              <w:pStyle w:val="Bezatstarpm"/>
              <w:jc w:val="center"/>
              <w:rPr>
                <w:rFonts w:ascii="Times New Roman" w:hAnsi="Times New Roman" w:cs="Times New Roman"/>
                <w:b/>
                <w:bCs/>
                <w:iCs/>
                <w:lang w:eastAsia="lv-LV"/>
              </w:rPr>
            </w:pPr>
            <w:r w:rsidRPr="000F51F7">
              <w:rPr>
                <w:rFonts w:ascii="Times New Roman" w:hAnsi="Times New Roman" w:cs="Times New Roman"/>
                <w:b/>
                <w:bCs/>
                <w:iCs/>
                <w:lang w:eastAsia="lv-LV"/>
              </w:rPr>
              <w:t>0</w:t>
            </w:r>
          </w:p>
        </w:tc>
        <w:tc>
          <w:tcPr>
            <w:tcW w:w="1276" w:type="dxa"/>
            <w:vAlign w:val="center"/>
          </w:tcPr>
          <w:p w14:paraId="08E5E313" w14:textId="77777777" w:rsidR="00241D22" w:rsidRPr="000F51F7" w:rsidRDefault="00241D22" w:rsidP="00AD521B">
            <w:pPr>
              <w:pStyle w:val="Bezatstarpm"/>
              <w:jc w:val="center"/>
              <w:rPr>
                <w:rFonts w:ascii="Times New Roman" w:hAnsi="Times New Roman" w:cs="Times New Roman"/>
                <w:b/>
                <w:bCs/>
                <w:iCs/>
                <w:lang w:eastAsia="lv-LV"/>
              </w:rPr>
            </w:pPr>
            <w:r w:rsidRPr="000F51F7">
              <w:rPr>
                <w:rFonts w:ascii="Times New Roman" w:hAnsi="Times New Roman" w:cs="Times New Roman"/>
                <w:b/>
                <w:bCs/>
                <w:iCs/>
                <w:lang w:eastAsia="lv-LV"/>
              </w:rPr>
              <w:t>0</w:t>
            </w:r>
          </w:p>
        </w:tc>
      </w:tr>
      <w:tr w:rsidR="00241D22" w:rsidRPr="00E52A31" w14:paraId="3F1AB4B6" w14:textId="77777777" w:rsidTr="00104839">
        <w:tc>
          <w:tcPr>
            <w:tcW w:w="1702" w:type="dxa"/>
            <w:gridSpan w:val="2"/>
            <w:vAlign w:val="center"/>
          </w:tcPr>
          <w:p w14:paraId="513AAAED"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3.1. valsts pamatbudžets</w:t>
            </w:r>
          </w:p>
        </w:tc>
        <w:tc>
          <w:tcPr>
            <w:tcW w:w="992" w:type="dxa"/>
            <w:gridSpan w:val="2"/>
            <w:vAlign w:val="center"/>
          </w:tcPr>
          <w:p w14:paraId="52BC2721"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68" w:type="dxa"/>
            <w:shd w:val="clear" w:color="auto" w:fill="auto"/>
            <w:vAlign w:val="center"/>
          </w:tcPr>
          <w:p w14:paraId="1735FF72" w14:textId="7C22BF5D" w:rsidR="00241D22" w:rsidRPr="007B2A08" w:rsidRDefault="000B34A1" w:rsidP="00AD521B">
            <w:pPr>
              <w:pStyle w:val="Bezatstarpm"/>
              <w:jc w:val="center"/>
              <w:rPr>
                <w:rFonts w:ascii="Times New Roman" w:hAnsi="Times New Roman" w:cs="Times New Roman"/>
                <w:iCs/>
                <w:sz w:val="20"/>
                <w:szCs w:val="20"/>
                <w:lang w:eastAsia="lv-LV"/>
              </w:rPr>
            </w:pPr>
            <w:r w:rsidRPr="007B2A08">
              <w:rPr>
                <w:rFonts w:ascii="Times New Roman" w:hAnsi="Times New Roman" w:cs="Times New Roman"/>
                <w:iCs/>
                <w:sz w:val="20"/>
                <w:szCs w:val="20"/>
                <w:lang w:eastAsia="lv-LV"/>
              </w:rPr>
              <w:t>–</w:t>
            </w:r>
            <w:r w:rsidR="00C440BB" w:rsidRPr="007B2A08">
              <w:rPr>
                <w:rFonts w:ascii="Times New Roman" w:hAnsi="Times New Roman" w:cs="Times New Roman"/>
                <w:sz w:val="24"/>
                <w:szCs w:val="24"/>
              </w:rPr>
              <w:t>339 430</w:t>
            </w:r>
          </w:p>
        </w:tc>
        <w:tc>
          <w:tcPr>
            <w:tcW w:w="1000" w:type="dxa"/>
            <w:gridSpan w:val="2"/>
            <w:vAlign w:val="center"/>
          </w:tcPr>
          <w:p w14:paraId="0D9585D2"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3C3B6EC1" w14:textId="77777777" w:rsidR="00241D22" w:rsidRPr="00E52A31" w:rsidRDefault="002E5923" w:rsidP="00AD521B">
            <w:pPr>
              <w:pStyle w:val="Bezatstarpm"/>
              <w:jc w:val="center"/>
              <w:rPr>
                <w:rFonts w:ascii="Times New Roman" w:hAnsi="Times New Roman" w:cs="Times New Roman"/>
                <w:iCs/>
                <w:sz w:val="20"/>
                <w:szCs w:val="20"/>
                <w:lang w:eastAsia="lv-LV"/>
              </w:rPr>
            </w:pPr>
            <w:r w:rsidRPr="00E52A31">
              <w:rPr>
                <w:rFonts w:ascii="Times New Roman" w:hAnsi="Times New Roman" w:cs="Times New Roman"/>
                <w:iCs/>
                <w:sz w:val="20"/>
                <w:szCs w:val="20"/>
                <w:lang w:eastAsia="lv-LV"/>
              </w:rPr>
              <w:t>0</w:t>
            </w:r>
          </w:p>
        </w:tc>
        <w:tc>
          <w:tcPr>
            <w:tcW w:w="850" w:type="dxa"/>
            <w:vAlign w:val="center"/>
          </w:tcPr>
          <w:p w14:paraId="4F14B50F"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992" w:type="dxa"/>
            <w:vAlign w:val="center"/>
          </w:tcPr>
          <w:p w14:paraId="6872DD35"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199D3583"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241D22" w:rsidRPr="00E52A31" w14:paraId="186824B6" w14:textId="77777777" w:rsidTr="00104839">
        <w:tc>
          <w:tcPr>
            <w:tcW w:w="1702" w:type="dxa"/>
            <w:gridSpan w:val="2"/>
            <w:vAlign w:val="center"/>
          </w:tcPr>
          <w:p w14:paraId="7E9386F3"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3.2. speciālais budžets</w:t>
            </w:r>
          </w:p>
        </w:tc>
        <w:tc>
          <w:tcPr>
            <w:tcW w:w="992" w:type="dxa"/>
            <w:gridSpan w:val="2"/>
            <w:vAlign w:val="center"/>
          </w:tcPr>
          <w:p w14:paraId="7CAD1A80"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68" w:type="dxa"/>
            <w:shd w:val="clear" w:color="auto" w:fill="auto"/>
            <w:vAlign w:val="center"/>
          </w:tcPr>
          <w:p w14:paraId="17DE9504" w14:textId="77777777" w:rsidR="00241D22" w:rsidRPr="007B2A08" w:rsidRDefault="00241D22" w:rsidP="00AD521B">
            <w:pPr>
              <w:pStyle w:val="Bezatstarpm"/>
              <w:jc w:val="center"/>
              <w:rPr>
                <w:rFonts w:ascii="Times New Roman" w:hAnsi="Times New Roman" w:cs="Times New Roman"/>
                <w:iCs/>
                <w:lang w:eastAsia="lv-LV"/>
              </w:rPr>
            </w:pPr>
            <w:r w:rsidRPr="007B2A08">
              <w:rPr>
                <w:rFonts w:ascii="Times New Roman" w:hAnsi="Times New Roman" w:cs="Times New Roman"/>
                <w:iCs/>
                <w:lang w:eastAsia="lv-LV"/>
              </w:rPr>
              <w:t>0</w:t>
            </w:r>
          </w:p>
        </w:tc>
        <w:tc>
          <w:tcPr>
            <w:tcW w:w="1000" w:type="dxa"/>
            <w:gridSpan w:val="2"/>
            <w:vAlign w:val="center"/>
          </w:tcPr>
          <w:p w14:paraId="51077F50"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27ABF722"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850" w:type="dxa"/>
            <w:vAlign w:val="center"/>
          </w:tcPr>
          <w:p w14:paraId="0B348961"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992" w:type="dxa"/>
            <w:vAlign w:val="center"/>
          </w:tcPr>
          <w:p w14:paraId="7987004A"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4B22FD9C"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241D22" w:rsidRPr="00E52A31" w14:paraId="7ABFFB66" w14:textId="77777777" w:rsidTr="00104839">
        <w:tc>
          <w:tcPr>
            <w:tcW w:w="1702" w:type="dxa"/>
            <w:gridSpan w:val="2"/>
            <w:vAlign w:val="center"/>
          </w:tcPr>
          <w:p w14:paraId="6E552831"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lastRenderedPageBreak/>
              <w:t>3.3. pašvaldību budžets</w:t>
            </w:r>
          </w:p>
        </w:tc>
        <w:tc>
          <w:tcPr>
            <w:tcW w:w="992" w:type="dxa"/>
            <w:gridSpan w:val="2"/>
            <w:vAlign w:val="center"/>
          </w:tcPr>
          <w:p w14:paraId="53F3C3FB"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68" w:type="dxa"/>
            <w:shd w:val="clear" w:color="auto" w:fill="auto"/>
            <w:vAlign w:val="center"/>
          </w:tcPr>
          <w:p w14:paraId="49B2487A" w14:textId="77777777" w:rsidR="00241D22" w:rsidRPr="007B2A08" w:rsidRDefault="00241D22" w:rsidP="00AD521B">
            <w:pPr>
              <w:pStyle w:val="Bezatstarpm"/>
              <w:jc w:val="center"/>
              <w:rPr>
                <w:rFonts w:ascii="Times New Roman" w:hAnsi="Times New Roman" w:cs="Times New Roman"/>
                <w:iCs/>
                <w:lang w:eastAsia="lv-LV"/>
              </w:rPr>
            </w:pPr>
            <w:r w:rsidRPr="007B2A08">
              <w:rPr>
                <w:rFonts w:ascii="Times New Roman" w:hAnsi="Times New Roman" w:cs="Times New Roman"/>
                <w:iCs/>
                <w:lang w:eastAsia="lv-LV"/>
              </w:rPr>
              <w:t>0</w:t>
            </w:r>
          </w:p>
        </w:tc>
        <w:tc>
          <w:tcPr>
            <w:tcW w:w="1000" w:type="dxa"/>
            <w:gridSpan w:val="2"/>
            <w:vAlign w:val="center"/>
          </w:tcPr>
          <w:p w14:paraId="5793576C"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4A8DA1AD"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850" w:type="dxa"/>
            <w:vAlign w:val="center"/>
          </w:tcPr>
          <w:p w14:paraId="368042B7"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992" w:type="dxa"/>
            <w:vAlign w:val="center"/>
          </w:tcPr>
          <w:p w14:paraId="718C2A4A"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293F417C"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241D22" w:rsidRPr="00E52A31" w14:paraId="622F8BC5" w14:textId="77777777" w:rsidTr="00104839">
        <w:tc>
          <w:tcPr>
            <w:tcW w:w="1702" w:type="dxa"/>
            <w:gridSpan w:val="2"/>
            <w:vAlign w:val="center"/>
          </w:tcPr>
          <w:p w14:paraId="321C7197"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gridSpan w:val="2"/>
            <w:vAlign w:val="center"/>
          </w:tcPr>
          <w:p w14:paraId="083E7950"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X</w:t>
            </w:r>
          </w:p>
        </w:tc>
        <w:tc>
          <w:tcPr>
            <w:tcW w:w="1268" w:type="dxa"/>
            <w:shd w:val="clear" w:color="auto" w:fill="auto"/>
            <w:vAlign w:val="center"/>
          </w:tcPr>
          <w:p w14:paraId="5FC0A22A" w14:textId="67D782B1" w:rsidR="00241D22" w:rsidRPr="007B2A08" w:rsidRDefault="007860EA" w:rsidP="00AD521B">
            <w:pPr>
              <w:pStyle w:val="Bezatstarpm"/>
              <w:jc w:val="center"/>
              <w:rPr>
                <w:rFonts w:ascii="Times New Roman" w:hAnsi="Times New Roman" w:cs="Times New Roman"/>
                <w:b/>
                <w:bCs/>
                <w:iCs/>
                <w:sz w:val="20"/>
                <w:szCs w:val="20"/>
                <w:lang w:eastAsia="lv-LV"/>
              </w:rPr>
            </w:pPr>
            <w:r w:rsidRPr="007B2A08">
              <w:rPr>
                <w:rFonts w:ascii="Times New Roman" w:hAnsi="Times New Roman" w:cs="Times New Roman"/>
                <w:b/>
                <w:bCs/>
                <w:sz w:val="24"/>
                <w:szCs w:val="24"/>
              </w:rPr>
              <w:t>+</w:t>
            </w:r>
            <w:r w:rsidR="00C440BB" w:rsidRPr="007B2A08">
              <w:rPr>
                <w:rFonts w:ascii="Times New Roman" w:hAnsi="Times New Roman" w:cs="Times New Roman"/>
                <w:b/>
                <w:bCs/>
                <w:sz w:val="24"/>
                <w:szCs w:val="24"/>
              </w:rPr>
              <w:t>339 430</w:t>
            </w:r>
          </w:p>
        </w:tc>
        <w:tc>
          <w:tcPr>
            <w:tcW w:w="1000" w:type="dxa"/>
            <w:gridSpan w:val="2"/>
            <w:vAlign w:val="center"/>
          </w:tcPr>
          <w:p w14:paraId="7C1A169F"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0FE2CB26" w14:textId="77777777" w:rsidR="00241D22" w:rsidRPr="00E52A31" w:rsidRDefault="002E5923" w:rsidP="00AD521B">
            <w:pPr>
              <w:pStyle w:val="Bezatstarpm"/>
              <w:jc w:val="center"/>
              <w:rPr>
                <w:rFonts w:ascii="Times New Roman" w:hAnsi="Times New Roman" w:cs="Times New Roman"/>
                <w:iCs/>
                <w:sz w:val="20"/>
                <w:szCs w:val="20"/>
                <w:lang w:eastAsia="lv-LV"/>
              </w:rPr>
            </w:pPr>
            <w:r w:rsidRPr="00E52A31">
              <w:rPr>
                <w:rFonts w:ascii="Times New Roman" w:hAnsi="Times New Roman" w:cs="Times New Roman"/>
                <w:iCs/>
                <w:sz w:val="20"/>
                <w:szCs w:val="20"/>
                <w:lang w:eastAsia="lv-LV"/>
              </w:rPr>
              <w:t>0</w:t>
            </w:r>
          </w:p>
        </w:tc>
        <w:tc>
          <w:tcPr>
            <w:tcW w:w="850" w:type="dxa"/>
            <w:vAlign w:val="center"/>
          </w:tcPr>
          <w:p w14:paraId="0A982E2D"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992" w:type="dxa"/>
            <w:vAlign w:val="center"/>
          </w:tcPr>
          <w:p w14:paraId="0B301EC3"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5018CAF9"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241D22" w:rsidRPr="00E52A31" w14:paraId="06A49AFA" w14:textId="77777777" w:rsidTr="00104839">
        <w:tc>
          <w:tcPr>
            <w:tcW w:w="1702" w:type="dxa"/>
            <w:gridSpan w:val="2"/>
            <w:vAlign w:val="center"/>
          </w:tcPr>
          <w:p w14:paraId="5511F22F"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5. Precizēta finansiālā ietekme</w:t>
            </w:r>
          </w:p>
        </w:tc>
        <w:tc>
          <w:tcPr>
            <w:tcW w:w="992" w:type="dxa"/>
            <w:gridSpan w:val="2"/>
            <w:vMerge w:val="restart"/>
            <w:vAlign w:val="center"/>
          </w:tcPr>
          <w:p w14:paraId="2C84EB50"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X</w:t>
            </w:r>
          </w:p>
        </w:tc>
        <w:tc>
          <w:tcPr>
            <w:tcW w:w="1268" w:type="dxa"/>
            <w:vAlign w:val="center"/>
          </w:tcPr>
          <w:p w14:paraId="024427AB"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000" w:type="dxa"/>
            <w:gridSpan w:val="2"/>
            <w:vMerge w:val="restart"/>
            <w:vAlign w:val="center"/>
          </w:tcPr>
          <w:p w14:paraId="0BB2892A"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5B44D305"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850" w:type="dxa"/>
            <w:vMerge w:val="restart"/>
            <w:vAlign w:val="center"/>
          </w:tcPr>
          <w:p w14:paraId="7A605194"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992" w:type="dxa"/>
            <w:vAlign w:val="center"/>
          </w:tcPr>
          <w:p w14:paraId="5C268576"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4CDAF2E2"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241D22" w:rsidRPr="00E52A31" w14:paraId="38EA3724" w14:textId="77777777" w:rsidTr="00104839">
        <w:tc>
          <w:tcPr>
            <w:tcW w:w="1702" w:type="dxa"/>
            <w:gridSpan w:val="2"/>
            <w:vAlign w:val="center"/>
          </w:tcPr>
          <w:p w14:paraId="73DA183F"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5.1. valsts pamatbudžets</w:t>
            </w:r>
          </w:p>
        </w:tc>
        <w:tc>
          <w:tcPr>
            <w:tcW w:w="992" w:type="dxa"/>
            <w:gridSpan w:val="2"/>
            <w:vMerge/>
            <w:vAlign w:val="center"/>
          </w:tcPr>
          <w:p w14:paraId="10E12845" w14:textId="77777777" w:rsidR="00241D22" w:rsidRPr="00E52A31" w:rsidRDefault="00241D22" w:rsidP="00AD521B">
            <w:pPr>
              <w:pStyle w:val="Bezatstarpm"/>
              <w:jc w:val="center"/>
              <w:rPr>
                <w:rFonts w:ascii="Times New Roman" w:hAnsi="Times New Roman" w:cs="Times New Roman"/>
                <w:iCs/>
                <w:lang w:eastAsia="lv-LV"/>
              </w:rPr>
            </w:pPr>
          </w:p>
        </w:tc>
        <w:tc>
          <w:tcPr>
            <w:tcW w:w="1268" w:type="dxa"/>
            <w:vAlign w:val="center"/>
          </w:tcPr>
          <w:p w14:paraId="28D28A74"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000" w:type="dxa"/>
            <w:gridSpan w:val="2"/>
            <w:vMerge/>
            <w:vAlign w:val="center"/>
          </w:tcPr>
          <w:p w14:paraId="30163E23" w14:textId="77777777" w:rsidR="00241D22" w:rsidRPr="00E52A31" w:rsidRDefault="00241D22" w:rsidP="00AD521B">
            <w:pPr>
              <w:pStyle w:val="Bezatstarpm"/>
              <w:jc w:val="center"/>
              <w:rPr>
                <w:rFonts w:ascii="Times New Roman" w:hAnsi="Times New Roman" w:cs="Times New Roman"/>
                <w:iCs/>
                <w:lang w:eastAsia="lv-LV"/>
              </w:rPr>
            </w:pPr>
          </w:p>
        </w:tc>
        <w:tc>
          <w:tcPr>
            <w:tcW w:w="1276" w:type="dxa"/>
            <w:vAlign w:val="center"/>
          </w:tcPr>
          <w:p w14:paraId="605A8ED1"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850" w:type="dxa"/>
            <w:vMerge/>
            <w:vAlign w:val="center"/>
          </w:tcPr>
          <w:p w14:paraId="0D25DA6B" w14:textId="77777777" w:rsidR="00241D22" w:rsidRPr="00E52A31" w:rsidRDefault="00241D22" w:rsidP="00AD521B">
            <w:pPr>
              <w:pStyle w:val="Bezatstarpm"/>
              <w:jc w:val="center"/>
              <w:rPr>
                <w:rFonts w:ascii="Times New Roman" w:hAnsi="Times New Roman" w:cs="Times New Roman"/>
                <w:iCs/>
                <w:lang w:eastAsia="lv-LV"/>
              </w:rPr>
            </w:pPr>
          </w:p>
        </w:tc>
        <w:tc>
          <w:tcPr>
            <w:tcW w:w="992" w:type="dxa"/>
            <w:vAlign w:val="center"/>
          </w:tcPr>
          <w:p w14:paraId="00390355"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264179CB"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241D22" w:rsidRPr="00E52A31" w14:paraId="28AC0546" w14:textId="77777777" w:rsidTr="00104839">
        <w:tc>
          <w:tcPr>
            <w:tcW w:w="1702" w:type="dxa"/>
            <w:gridSpan w:val="2"/>
            <w:vAlign w:val="center"/>
          </w:tcPr>
          <w:p w14:paraId="0C523281"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5.2. speciālais budžets</w:t>
            </w:r>
          </w:p>
        </w:tc>
        <w:tc>
          <w:tcPr>
            <w:tcW w:w="992" w:type="dxa"/>
            <w:gridSpan w:val="2"/>
            <w:vMerge/>
            <w:vAlign w:val="center"/>
          </w:tcPr>
          <w:p w14:paraId="48682AD9" w14:textId="77777777" w:rsidR="00241D22" w:rsidRPr="00E52A31" w:rsidRDefault="00241D22" w:rsidP="00AD521B">
            <w:pPr>
              <w:pStyle w:val="Bezatstarpm"/>
              <w:jc w:val="center"/>
              <w:rPr>
                <w:rFonts w:ascii="Times New Roman" w:hAnsi="Times New Roman" w:cs="Times New Roman"/>
                <w:iCs/>
                <w:lang w:eastAsia="lv-LV"/>
              </w:rPr>
            </w:pPr>
          </w:p>
        </w:tc>
        <w:tc>
          <w:tcPr>
            <w:tcW w:w="1268" w:type="dxa"/>
            <w:vAlign w:val="center"/>
          </w:tcPr>
          <w:p w14:paraId="5F409235"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000" w:type="dxa"/>
            <w:gridSpan w:val="2"/>
            <w:vMerge/>
            <w:vAlign w:val="center"/>
          </w:tcPr>
          <w:p w14:paraId="4B35F11E" w14:textId="77777777" w:rsidR="00241D22" w:rsidRPr="00E52A31" w:rsidRDefault="00241D22" w:rsidP="00AD521B">
            <w:pPr>
              <w:pStyle w:val="Bezatstarpm"/>
              <w:jc w:val="center"/>
              <w:rPr>
                <w:rFonts w:ascii="Times New Roman" w:hAnsi="Times New Roman" w:cs="Times New Roman"/>
                <w:iCs/>
                <w:lang w:eastAsia="lv-LV"/>
              </w:rPr>
            </w:pPr>
          </w:p>
        </w:tc>
        <w:tc>
          <w:tcPr>
            <w:tcW w:w="1276" w:type="dxa"/>
            <w:vAlign w:val="center"/>
          </w:tcPr>
          <w:p w14:paraId="6F6FDB05"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850" w:type="dxa"/>
            <w:vMerge/>
            <w:vAlign w:val="center"/>
          </w:tcPr>
          <w:p w14:paraId="313247D4" w14:textId="77777777" w:rsidR="00241D22" w:rsidRPr="00E52A31" w:rsidRDefault="00241D22" w:rsidP="00AD521B">
            <w:pPr>
              <w:pStyle w:val="Bezatstarpm"/>
              <w:jc w:val="center"/>
              <w:rPr>
                <w:rFonts w:ascii="Times New Roman" w:hAnsi="Times New Roman" w:cs="Times New Roman"/>
                <w:iCs/>
                <w:lang w:eastAsia="lv-LV"/>
              </w:rPr>
            </w:pPr>
          </w:p>
        </w:tc>
        <w:tc>
          <w:tcPr>
            <w:tcW w:w="992" w:type="dxa"/>
            <w:vAlign w:val="center"/>
          </w:tcPr>
          <w:p w14:paraId="70FA50FA"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4E01732B"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241D22" w:rsidRPr="00E52A31" w14:paraId="778ED49E" w14:textId="77777777" w:rsidTr="00104839">
        <w:tc>
          <w:tcPr>
            <w:tcW w:w="1702" w:type="dxa"/>
            <w:gridSpan w:val="2"/>
            <w:vAlign w:val="center"/>
          </w:tcPr>
          <w:p w14:paraId="6A53214C"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5.3. pašvaldību budžets</w:t>
            </w:r>
          </w:p>
        </w:tc>
        <w:tc>
          <w:tcPr>
            <w:tcW w:w="992" w:type="dxa"/>
            <w:gridSpan w:val="2"/>
            <w:vMerge/>
            <w:vAlign w:val="center"/>
          </w:tcPr>
          <w:p w14:paraId="12315CC5" w14:textId="77777777" w:rsidR="00241D22" w:rsidRPr="00E52A31" w:rsidRDefault="00241D22" w:rsidP="00AD521B">
            <w:pPr>
              <w:pStyle w:val="Bezatstarpm"/>
              <w:jc w:val="center"/>
              <w:rPr>
                <w:rFonts w:ascii="Times New Roman" w:hAnsi="Times New Roman" w:cs="Times New Roman"/>
                <w:iCs/>
                <w:lang w:eastAsia="lv-LV"/>
              </w:rPr>
            </w:pPr>
          </w:p>
        </w:tc>
        <w:tc>
          <w:tcPr>
            <w:tcW w:w="1268" w:type="dxa"/>
            <w:vAlign w:val="center"/>
          </w:tcPr>
          <w:p w14:paraId="0AC0A439"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000" w:type="dxa"/>
            <w:gridSpan w:val="2"/>
            <w:vMerge/>
            <w:vAlign w:val="center"/>
          </w:tcPr>
          <w:p w14:paraId="1B68CA18" w14:textId="77777777" w:rsidR="00241D22" w:rsidRPr="00E52A31" w:rsidRDefault="00241D22" w:rsidP="00AD521B">
            <w:pPr>
              <w:pStyle w:val="Bezatstarpm"/>
              <w:jc w:val="center"/>
              <w:rPr>
                <w:rFonts w:ascii="Times New Roman" w:hAnsi="Times New Roman" w:cs="Times New Roman"/>
                <w:iCs/>
                <w:lang w:eastAsia="lv-LV"/>
              </w:rPr>
            </w:pPr>
          </w:p>
        </w:tc>
        <w:tc>
          <w:tcPr>
            <w:tcW w:w="1276" w:type="dxa"/>
            <w:vAlign w:val="center"/>
          </w:tcPr>
          <w:p w14:paraId="1E1DB4B7"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850" w:type="dxa"/>
            <w:vMerge/>
            <w:vAlign w:val="center"/>
          </w:tcPr>
          <w:p w14:paraId="74AA9A95" w14:textId="77777777" w:rsidR="00241D22" w:rsidRPr="00E52A31" w:rsidRDefault="00241D22" w:rsidP="00AD521B">
            <w:pPr>
              <w:pStyle w:val="Bezatstarpm"/>
              <w:jc w:val="center"/>
              <w:rPr>
                <w:rFonts w:ascii="Times New Roman" w:hAnsi="Times New Roman" w:cs="Times New Roman"/>
                <w:iCs/>
                <w:lang w:eastAsia="lv-LV"/>
              </w:rPr>
            </w:pPr>
          </w:p>
        </w:tc>
        <w:tc>
          <w:tcPr>
            <w:tcW w:w="992" w:type="dxa"/>
            <w:vAlign w:val="center"/>
          </w:tcPr>
          <w:p w14:paraId="4FF9389E"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c>
          <w:tcPr>
            <w:tcW w:w="1276" w:type="dxa"/>
            <w:vAlign w:val="center"/>
          </w:tcPr>
          <w:p w14:paraId="26FDF438" w14:textId="77777777" w:rsidR="00241D22" w:rsidRPr="00E52A31" w:rsidRDefault="00241D22" w:rsidP="00AD521B">
            <w:pPr>
              <w:pStyle w:val="Bezatstarpm"/>
              <w:jc w:val="center"/>
              <w:rPr>
                <w:rFonts w:ascii="Times New Roman" w:hAnsi="Times New Roman" w:cs="Times New Roman"/>
                <w:iCs/>
                <w:lang w:eastAsia="lv-LV"/>
              </w:rPr>
            </w:pPr>
            <w:r w:rsidRPr="00E52A31">
              <w:rPr>
                <w:rFonts w:ascii="Times New Roman" w:hAnsi="Times New Roman" w:cs="Times New Roman"/>
                <w:iCs/>
                <w:lang w:eastAsia="lv-LV"/>
              </w:rPr>
              <w:t>0</w:t>
            </w:r>
          </w:p>
        </w:tc>
      </w:tr>
      <w:tr w:rsidR="00241D22" w:rsidRPr="00E52A31" w14:paraId="23E1CCA3" w14:textId="77777777" w:rsidTr="009547D2">
        <w:tc>
          <w:tcPr>
            <w:tcW w:w="1702" w:type="dxa"/>
            <w:gridSpan w:val="2"/>
            <w:vAlign w:val="center"/>
          </w:tcPr>
          <w:p w14:paraId="3D7FAE28"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9"/>
            <w:vMerge w:val="restart"/>
            <w:shd w:val="clear" w:color="auto" w:fill="auto"/>
          </w:tcPr>
          <w:p w14:paraId="264D52BA" w14:textId="1A02AFDE" w:rsidR="001B162F" w:rsidRPr="007B2A08" w:rsidRDefault="00EA5777" w:rsidP="001B162F">
            <w:pPr>
              <w:jc w:val="both"/>
            </w:pPr>
            <w:r w:rsidRPr="007B2A08">
              <w:t xml:space="preserve">Rīkojuma projekts paredz Finanšu ministrijai no valsts budžeta programmas </w:t>
            </w:r>
            <w:smartTag w:uri="schemas-tilde-lv/tildestengine" w:element="date">
              <w:smartTagPr>
                <w:attr w:name="Day" w:val="30"/>
                <w:attr w:name="Month" w:val="11"/>
                <w:attr w:name="Year" w:val="2001"/>
              </w:smartTagPr>
              <w:r w:rsidRPr="007B2A08">
                <w:t>02.00.00</w:t>
              </w:r>
            </w:smartTag>
            <w:r w:rsidRPr="007B2A08">
              <w:t xml:space="preserve"> “Līdzekļi neparedzētiem gadījumiem” piešķirt </w:t>
            </w:r>
            <w:r w:rsidR="00BC44DC" w:rsidRPr="007B2A08">
              <w:t>Zemkopības</w:t>
            </w:r>
            <w:r w:rsidRPr="007B2A08">
              <w:t xml:space="preserve"> ministrijai finansējumu, kas nepārsniedz </w:t>
            </w:r>
            <w:r w:rsidR="00C440BB" w:rsidRPr="007B2A08">
              <w:rPr>
                <w:b/>
                <w:bCs/>
              </w:rPr>
              <w:t xml:space="preserve">339 430 </w:t>
            </w:r>
            <w:proofErr w:type="spellStart"/>
            <w:r w:rsidRPr="007B2A08">
              <w:rPr>
                <w:i/>
              </w:rPr>
              <w:t>euro</w:t>
            </w:r>
            <w:proofErr w:type="spellEnd"/>
            <w:r w:rsidRPr="007B2A08">
              <w:t xml:space="preserve">, lai </w:t>
            </w:r>
            <w:r w:rsidR="00BC44DC" w:rsidRPr="007B2A08">
              <w:t xml:space="preserve">institūts BIOR </w:t>
            </w:r>
            <w:r w:rsidR="008D7099">
              <w:t xml:space="preserve">2021. gadā </w:t>
            </w:r>
            <w:r w:rsidR="00207938" w:rsidRPr="007B2A08">
              <w:t xml:space="preserve">nodrošinātu notekūdeņu monitoringu </w:t>
            </w:r>
            <w:r w:rsidR="008D7099">
              <w:t xml:space="preserve">un </w:t>
            </w:r>
            <w:proofErr w:type="spellStart"/>
            <w:r w:rsidR="00207938" w:rsidRPr="007B2A08">
              <w:t>Covid-19</w:t>
            </w:r>
            <w:proofErr w:type="spellEnd"/>
            <w:r w:rsidR="00207938" w:rsidRPr="007B2A08">
              <w:t xml:space="preserve"> riska faktor</w:t>
            </w:r>
            <w:r w:rsidR="008D7099">
              <w:t>u kontroli</w:t>
            </w:r>
            <w:r w:rsidR="00BC44DC" w:rsidRPr="007B2A08">
              <w:t>.</w:t>
            </w:r>
          </w:p>
          <w:p w14:paraId="495EF29B" w14:textId="284745AD" w:rsidR="00B72AB1" w:rsidRPr="007B2A08" w:rsidRDefault="00B72AB1" w:rsidP="00BA546E">
            <w:pPr>
              <w:pStyle w:val="mt-translation"/>
              <w:spacing w:after="0" w:afterAutospacing="0"/>
              <w:jc w:val="both"/>
              <w:rPr>
                <w:lang w:val="lv-LV"/>
              </w:rPr>
            </w:pPr>
            <w:r w:rsidRPr="007B2A08">
              <w:rPr>
                <w:lang w:val="lv-LV"/>
              </w:rPr>
              <w:t>N</w:t>
            </w:r>
            <w:r w:rsidR="00384793" w:rsidRPr="007B2A08">
              <w:rPr>
                <w:lang w:val="lv-LV"/>
              </w:rPr>
              <w:t>epieciešamā finansējuma izdevumu aprēķin</w:t>
            </w:r>
            <w:r w:rsidRPr="007B2A08">
              <w:rPr>
                <w:lang w:val="lv-LV"/>
              </w:rPr>
              <w:t>i balstīti uz iegūto pieredzi pētījumā</w:t>
            </w:r>
            <w:r w:rsidR="00B1306B" w:rsidRPr="007B2A08">
              <w:rPr>
                <w:lang w:val="lv-LV"/>
              </w:rPr>
              <w:t xml:space="preserve"> (jaunas </w:t>
            </w:r>
            <w:r w:rsidR="00B1306B" w:rsidRPr="007B2A08">
              <w:rPr>
                <w:rFonts w:eastAsia="Calibri"/>
                <w:lang w:val="lv-LV"/>
              </w:rPr>
              <w:t xml:space="preserve">monitoringa metodes izstrāde, kas ļautu noteikt </w:t>
            </w:r>
            <w:proofErr w:type="spellStart"/>
            <w:r w:rsidR="00B1306B" w:rsidRPr="007B2A08">
              <w:rPr>
                <w:rFonts w:eastAsia="Calibri"/>
                <w:lang w:val="lv-LV"/>
              </w:rPr>
              <w:t>Covid-19</w:t>
            </w:r>
            <w:proofErr w:type="spellEnd"/>
            <w:r w:rsidR="00B1306B" w:rsidRPr="007B2A08">
              <w:rPr>
                <w:rFonts w:eastAsia="Calibri"/>
                <w:lang w:val="lv-LV"/>
              </w:rPr>
              <w:t xml:space="preserve"> koncentrāciju notekūdeņos un prognozēt saslimšanas uzliesmojumu) un </w:t>
            </w:r>
            <w:r w:rsidR="00BE1B21" w:rsidRPr="007B2A08">
              <w:rPr>
                <w:lang w:val="lv-LV"/>
              </w:rPr>
              <w:t>Komisijas ieteikumu 2021/472</w:t>
            </w:r>
            <w:r w:rsidR="00B1306B" w:rsidRPr="007B2A08">
              <w:rPr>
                <w:rFonts w:eastAsia="Calibri"/>
                <w:lang w:val="lv-LV"/>
              </w:rPr>
              <w:t>.</w:t>
            </w:r>
            <w:r w:rsidR="00BE1B21" w:rsidRPr="007B2A08">
              <w:rPr>
                <w:rFonts w:eastAsia="Calibri"/>
                <w:lang w:val="lv-LV"/>
              </w:rPr>
              <w:t xml:space="preserve"> Patlaban noteikts, ka </w:t>
            </w:r>
            <w:r w:rsidR="00BE1B21" w:rsidRPr="007B2A08">
              <w:rPr>
                <w:lang w:val="lv-LV"/>
              </w:rPr>
              <w:t>paraugu</w:t>
            </w:r>
            <w:r w:rsidR="00D753CC">
              <w:rPr>
                <w:lang w:val="lv-LV"/>
              </w:rPr>
              <w:t>s</w:t>
            </w:r>
            <w:r w:rsidR="00BE1B21" w:rsidRPr="007B2A08">
              <w:rPr>
                <w:lang w:val="lv-LV"/>
              </w:rPr>
              <w:t xml:space="preserve"> </w:t>
            </w:r>
            <w:r w:rsidR="00D753CC" w:rsidRPr="007B2A08">
              <w:rPr>
                <w:lang w:val="lv-LV"/>
              </w:rPr>
              <w:t xml:space="preserve">būtu lietderīgi </w:t>
            </w:r>
            <w:r w:rsidR="00BE1B21" w:rsidRPr="007B2A08">
              <w:rPr>
                <w:lang w:val="lv-LV"/>
              </w:rPr>
              <w:t xml:space="preserve">ņemt vienlaikus 12 pašvaldību administratīvajās teritorijās, kā arī var būt nepieciešama papildu </w:t>
            </w:r>
            <w:r w:rsidR="00BA546E" w:rsidRPr="007B2A08">
              <w:rPr>
                <w:lang w:val="lv-LV"/>
              </w:rPr>
              <w:t>paraugu noņemšana citās teritorijās. Konkrētas vietas paraugu ņemšanai tiks noteiktas atkarībā no epidemioloģiskās situācijas</w:t>
            </w:r>
            <w:r w:rsidR="00541B58" w:rsidRPr="007B2A08">
              <w:rPr>
                <w:lang w:val="lv-LV"/>
              </w:rPr>
              <w:t>,</w:t>
            </w:r>
            <w:r w:rsidR="00BA546E" w:rsidRPr="007B2A08">
              <w:rPr>
                <w:lang w:val="lv-LV"/>
              </w:rPr>
              <w:t xml:space="preserve"> sadarbojoties kompetentajām iestādēm. Plānotais izmeklējumu skaits aprēķināts saskaņā ar Komisijas ieteikumā 2021/472 noteikto vēlamo paraugu ņemšanas</w:t>
            </w:r>
            <w:r w:rsidR="00541B58" w:rsidRPr="007B2A08">
              <w:rPr>
                <w:lang w:val="lv-LV"/>
              </w:rPr>
              <w:t xml:space="preserve"> </w:t>
            </w:r>
            <w:r w:rsidR="00BA546E" w:rsidRPr="007B2A08">
              <w:rPr>
                <w:lang w:val="lv-LV"/>
              </w:rPr>
              <w:t>biežumu vienā teritorijā – vismaz divi paraugi nedēļā.</w:t>
            </w:r>
            <w:r w:rsidRPr="007B2A08">
              <w:rPr>
                <w:lang w:val="lv-LV"/>
              </w:rPr>
              <w:t xml:space="preserve"> </w:t>
            </w:r>
            <w:r w:rsidR="000661EF" w:rsidRPr="007B2A08">
              <w:rPr>
                <w:lang w:val="lv-LV"/>
              </w:rPr>
              <w:t>Izmeklējumu skaits SARS-</w:t>
            </w:r>
            <w:proofErr w:type="spellStart"/>
            <w:r w:rsidR="000661EF" w:rsidRPr="007B2A08">
              <w:rPr>
                <w:lang w:val="lv-LV"/>
              </w:rPr>
              <w:t>CoV-2</w:t>
            </w:r>
            <w:proofErr w:type="spellEnd"/>
            <w:r w:rsidR="000661EF" w:rsidRPr="007B2A08">
              <w:rPr>
                <w:lang w:val="lv-LV"/>
              </w:rPr>
              <w:t xml:space="preserve"> klātbūtnes noteikšanai aprēķināts</w:t>
            </w:r>
            <w:r w:rsidR="00541B58" w:rsidRPr="007B2A08">
              <w:rPr>
                <w:lang w:val="lv-LV"/>
              </w:rPr>
              <w:t xml:space="preserve">, ņemot vērā plānoto paraugu ņemšanas vietu skaitu </w:t>
            </w:r>
            <w:r w:rsidR="00D753CC">
              <w:rPr>
                <w:lang w:val="lv-LV"/>
              </w:rPr>
              <w:t>(</w:t>
            </w:r>
            <w:r w:rsidR="00541B58" w:rsidRPr="007B2A08">
              <w:rPr>
                <w:lang w:val="lv-LV"/>
              </w:rPr>
              <w:t>12 vietas</w:t>
            </w:r>
            <w:r w:rsidR="00D753CC">
              <w:rPr>
                <w:lang w:val="lv-LV"/>
              </w:rPr>
              <w:t>)</w:t>
            </w:r>
            <w:r w:rsidR="00541B58" w:rsidRPr="007B2A08">
              <w:rPr>
                <w:lang w:val="lv-LV"/>
              </w:rPr>
              <w:t xml:space="preserve"> un paraugu ņemšanas biežumu – divas reizes nedēļā laikā no jūnija. Tā kā finansējuma saņemšana paredzēta atbilstoši faktiski </w:t>
            </w:r>
            <w:r w:rsidR="00D753CC">
              <w:rPr>
                <w:lang w:val="lv-LV"/>
              </w:rPr>
              <w:t>padarītajam</w:t>
            </w:r>
            <w:r w:rsidR="00D753CC" w:rsidRPr="007B2A08">
              <w:rPr>
                <w:lang w:val="lv-LV"/>
              </w:rPr>
              <w:t xml:space="preserve"> </w:t>
            </w:r>
            <w:r w:rsidR="00541B58" w:rsidRPr="007B2A08">
              <w:rPr>
                <w:lang w:val="lv-LV"/>
              </w:rPr>
              <w:t>darbu apjomam, paraugu ņemšanas termiņi tiks plānoti ar aprēķinu, lai nodrošinātu finansējuma pieprasīšanu un saņemšanu.</w:t>
            </w:r>
          </w:p>
          <w:p w14:paraId="03EE2FD0" w14:textId="77777777" w:rsidR="00384793" w:rsidRPr="007B2A08" w:rsidRDefault="00384793" w:rsidP="001B162F">
            <w:pPr>
              <w:jc w:val="both"/>
            </w:pPr>
          </w:p>
          <w:tbl>
            <w:tblPr>
              <w:tblW w:w="7404" w:type="dxa"/>
              <w:tblLayout w:type="fixed"/>
              <w:tblLook w:val="04A0" w:firstRow="1" w:lastRow="0" w:firstColumn="1" w:lastColumn="0" w:noHBand="0" w:noVBand="1"/>
            </w:tblPr>
            <w:tblGrid>
              <w:gridCol w:w="570"/>
              <w:gridCol w:w="3566"/>
              <w:gridCol w:w="765"/>
              <w:gridCol w:w="1016"/>
              <w:gridCol w:w="1487"/>
            </w:tblGrid>
            <w:tr w:rsidR="007B2A08" w:rsidRPr="007B2A08" w14:paraId="7EF567A3" w14:textId="77777777" w:rsidTr="00C054A4">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14:paraId="64D2D7F4" w14:textId="77777777" w:rsidR="00AE4D05" w:rsidRPr="007B2A08" w:rsidRDefault="00AE4D05" w:rsidP="00AE4D05">
                  <w:pPr>
                    <w:jc w:val="center"/>
                    <w:rPr>
                      <w:b/>
                      <w:bCs/>
                      <w:sz w:val="20"/>
                      <w:szCs w:val="20"/>
                    </w:rPr>
                  </w:pPr>
                  <w:r w:rsidRPr="007B2A08">
                    <w:rPr>
                      <w:b/>
                      <w:bCs/>
                      <w:sz w:val="20"/>
                      <w:szCs w:val="20"/>
                    </w:rPr>
                    <w:t>Nr. p.k.</w:t>
                  </w:r>
                </w:p>
              </w:tc>
              <w:tc>
                <w:tcPr>
                  <w:tcW w:w="3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3852F" w14:textId="77777777" w:rsidR="00AE4D05" w:rsidRPr="007B2A08" w:rsidRDefault="00AE4D05" w:rsidP="00AE4D05">
                  <w:pPr>
                    <w:jc w:val="center"/>
                    <w:rPr>
                      <w:b/>
                      <w:bCs/>
                      <w:sz w:val="20"/>
                      <w:szCs w:val="20"/>
                    </w:rPr>
                  </w:pPr>
                  <w:r w:rsidRPr="007B2A08">
                    <w:rPr>
                      <w:b/>
                      <w:bCs/>
                      <w:sz w:val="20"/>
                      <w:szCs w:val="20"/>
                    </w:rPr>
                    <w:t>Pasākums/izmaksu pozīcija</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0911E0" w14:textId="77777777" w:rsidR="00AE4D05" w:rsidRPr="007B2A08" w:rsidRDefault="00AE4D05" w:rsidP="00AE4D05">
                  <w:pPr>
                    <w:jc w:val="center"/>
                    <w:rPr>
                      <w:b/>
                      <w:bCs/>
                      <w:sz w:val="20"/>
                      <w:szCs w:val="20"/>
                    </w:rPr>
                  </w:pPr>
                  <w:r w:rsidRPr="007B2A08">
                    <w:rPr>
                      <w:b/>
                      <w:bCs/>
                      <w:sz w:val="20"/>
                      <w:szCs w:val="20"/>
                    </w:rPr>
                    <w:t>Vienību skaits</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14:paraId="2FFF81E3" w14:textId="77777777" w:rsidR="00AE4D05" w:rsidRPr="007B2A08" w:rsidRDefault="00AE4D05" w:rsidP="00AE4D05">
                  <w:pPr>
                    <w:jc w:val="center"/>
                    <w:rPr>
                      <w:b/>
                      <w:bCs/>
                      <w:sz w:val="20"/>
                      <w:szCs w:val="20"/>
                    </w:rPr>
                  </w:pPr>
                  <w:r w:rsidRPr="007B2A08">
                    <w:rPr>
                      <w:b/>
                      <w:bCs/>
                      <w:sz w:val="20"/>
                      <w:szCs w:val="20"/>
                    </w:rPr>
                    <w:t>Vienības izmaksa, EUR</w:t>
                  </w:r>
                </w:p>
              </w:tc>
              <w:tc>
                <w:tcPr>
                  <w:tcW w:w="1487" w:type="dxa"/>
                  <w:tcBorders>
                    <w:top w:val="single" w:sz="4" w:space="0" w:color="auto"/>
                    <w:left w:val="nil"/>
                    <w:bottom w:val="single" w:sz="4" w:space="0" w:color="auto"/>
                    <w:right w:val="single" w:sz="4" w:space="0" w:color="auto"/>
                  </w:tcBorders>
                  <w:shd w:val="clear" w:color="000000" w:fill="FFFFFF"/>
                  <w:vAlign w:val="center"/>
                  <w:hideMark/>
                </w:tcPr>
                <w:p w14:paraId="7826AE30" w14:textId="4046FC09" w:rsidR="00AE4D05" w:rsidRPr="007B2A08" w:rsidRDefault="00AE4D05" w:rsidP="00AE4D05">
                  <w:pPr>
                    <w:jc w:val="center"/>
                    <w:rPr>
                      <w:rFonts w:asciiTheme="minorHAnsi" w:eastAsiaTheme="minorHAnsi" w:hAnsiTheme="minorHAnsi" w:cstheme="minorBidi"/>
                      <w:sz w:val="20"/>
                      <w:szCs w:val="20"/>
                      <w:lang w:eastAsia="en-US"/>
                    </w:rPr>
                  </w:pPr>
                  <w:r w:rsidRPr="007B2A08">
                    <w:rPr>
                      <w:b/>
                      <w:bCs/>
                      <w:sz w:val="20"/>
                      <w:szCs w:val="20"/>
                    </w:rPr>
                    <w:t xml:space="preserve">Finansējums, EUR (no 2021. gada </w:t>
                  </w:r>
                  <w:r w:rsidR="00757054" w:rsidRPr="007B2A08">
                    <w:rPr>
                      <w:b/>
                      <w:bCs/>
                      <w:sz w:val="20"/>
                      <w:szCs w:val="20"/>
                    </w:rPr>
                    <w:t>jūnija</w:t>
                  </w:r>
                  <w:r w:rsidRPr="007B2A08">
                    <w:rPr>
                      <w:b/>
                      <w:bCs/>
                      <w:sz w:val="20"/>
                      <w:szCs w:val="20"/>
                    </w:rPr>
                    <w:t>)</w:t>
                  </w:r>
                </w:p>
              </w:tc>
            </w:tr>
            <w:tr w:rsidR="007B2A08" w:rsidRPr="007B2A08" w14:paraId="1465AB91" w14:textId="77777777" w:rsidTr="00AE4D05">
              <w:tc>
                <w:tcPr>
                  <w:tcW w:w="570" w:type="dxa"/>
                  <w:tcBorders>
                    <w:top w:val="single" w:sz="4" w:space="0" w:color="auto"/>
                    <w:left w:val="single" w:sz="4" w:space="0" w:color="auto"/>
                    <w:bottom w:val="single" w:sz="4" w:space="0" w:color="auto"/>
                    <w:right w:val="single" w:sz="4" w:space="0" w:color="auto"/>
                  </w:tcBorders>
                  <w:shd w:val="clear" w:color="000000" w:fill="FFFFFF"/>
                </w:tcPr>
                <w:p w14:paraId="2795D054" w14:textId="77777777" w:rsidR="00AE4D05" w:rsidRPr="007B2A08" w:rsidRDefault="00AE4D05" w:rsidP="00AE4D05">
                  <w:pPr>
                    <w:rPr>
                      <w:b/>
                      <w:bCs/>
                      <w:sz w:val="20"/>
                      <w:szCs w:val="20"/>
                    </w:rPr>
                  </w:pPr>
                  <w:r w:rsidRPr="007B2A08">
                    <w:rPr>
                      <w:b/>
                      <w:bCs/>
                      <w:sz w:val="20"/>
                      <w:szCs w:val="20"/>
                    </w:rPr>
                    <w:t xml:space="preserve">1. </w:t>
                  </w:r>
                </w:p>
              </w:tc>
              <w:tc>
                <w:tcPr>
                  <w:tcW w:w="683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965E096" w14:textId="6601920C" w:rsidR="00AE4D05" w:rsidRPr="007B2A08" w:rsidRDefault="00AE4D05" w:rsidP="00AE4D05">
                  <w:pPr>
                    <w:rPr>
                      <w:b/>
                      <w:bCs/>
                      <w:sz w:val="20"/>
                      <w:szCs w:val="20"/>
                    </w:rPr>
                  </w:pPr>
                  <w:r w:rsidRPr="007B2A08">
                    <w:rPr>
                      <w:b/>
                      <w:bCs/>
                      <w:sz w:val="20"/>
                      <w:szCs w:val="20"/>
                    </w:rPr>
                    <w:t>Infrastruktūra un pamatlīdzekļi</w:t>
                  </w:r>
                </w:p>
              </w:tc>
            </w:tr>
            <w:tr w:rsidR="007B2A08" w:rsidRPr="007B2A08" w14:paraId="62442B60" w14:textId="77777777" w:rsidTr="00E564AE">
              <w:tc>
                <w:tcPr>
                  <w:tcW w:w="570" w:type="dxa"/>
                  <w:tcBorders>
                    <w:top w:val="single" w:sz="4" w:space="0" w:color="auto"/>
                    <w:left w:val="single" w:sz="4" w:space="0" w:color="auto"/>
                    <w:bottom w:val="single" w:sz="4" w:space="0" w:color="auto"/>
                    <w:right w:val="single" w:sz="4" w:space="0" w:color="auto"/>
                  </w:tcBorders>
                  <w:shd w:val="clear" w:color="000000" w:fill="FFFFFF"/>
                </w:tcPr>
                <w:p w14:paraId="1B73A1AF" w14:textId="77777777" w:rsidR="00AE4D05" w:rsidRPr="007B2A08" w:rsidRDefault="00AE4D05" w:rsidP="00AE4D05">
                  <w:pPr>
                    <w:rPr>
                      <w:sz w:val="20"/>
                      <w:szCs w:val="20"/>
                    </w:rPr>
                  </w:pPr>
                  <w:r w:rsidRPr="007B2A08">
                    <w:rPr>
                      <w:sz w:val="20"/>
                      <w:szCs w:val="20"/>
                    </w:rPr>
                    <w:t>1.1.</w:t>
                  </w:r>
                </w:p>
              </w:tc>
              <w:tc>
                <w:tcPr>
                  <w:tcW w:w="3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0E7F68" w14:textId="5148C0AF" w:rsidR="00AE4D05" w:rsidRPr="007B2A08" w:rsidRDefault="00AE4D05" w:rsidP="00AE4D05">
                  <w:pPr>
                    <w:jc w:val="both"/>
                    <w:rPr>
                      <w:sz w:val="20"/>
                      <w:szCs w:val="20"/>
                    </w:rPr>
                  </w:pPr>
                  <w:r w:rsidRPr="007B2A08">
                    <w:rPr>
                      <w:sz w:val="20"/>
                      <w:szCs w:val="20"/>
                    </w:rPr>
                    <w:t>Specializētas notekūde</w:t>
                  </w:r>
                  <w:r w:rsidR="00D753CC">
                    <w:rPr>
                      <w:sz w:val="20"/>
                      <w:szCs w:val="20"/>
                    </w:rPr>
                    <w:t>ņu</w:t>
                  </w:r>
                  <w:r w:rsidRPr="007B2A08">
                    <w:rPr>
                      <w:sz w:val="20"/>
                      <w:szCs w:val="20"/>
                    </w:rPr>
                    <w:t>/</w:t>
                  </w:r>
                </w:p>
                <w:p w14:paraId="4D3A8189" w14:textId="26B7AED9" w:rsidR="00AE4D05" w:rsidRPr="007B2A08" w:rsidRDefault="00AE4D05">
                  <w:pPr>
                    <w:jc w:val="both"/>
                    <w:rPr>
                      <w:sz w:val="20"/>
                      <w:szCs w:val="20"/>
                    </w:rPr>
                  </w:pPr>
                  <w:r w:rsidRPr="007B2A08">
                    <w:rPr>
                      <w:sz w:val="20"/>
                      <w:szCs w:val="20"/>
                    </w:rPr>
                    <w:t>kanalizācijas paraugu ņemšanas iekārtas/aprīkojums</w:t>
                  </w:r>
                  <w:r w:rsidR="00502082" w:rsidRPr="007B2A08">
                    <w:rPr>
                      <w:sz w:val="20"/>
                      <w:szCs w:val="20"/>
                    </w:rPr>
                    <w:t xml:space="preserve"> (notekūde</w:t>
                  </w:r>
                  <w:r w:rsidR="00D753CC">
                    <w:rPr>
                      <w:sz w:val="20"/>
                      <w:szCs w:val="20"/>
                    </w:rPr>
                    <w:t>ņu</w:t>
                  </w:r>
                  <w:r w:rsidR="00502082" w:rsidRPr="007B2A08">
                    <w:rPr>
                      <w:sz w:val="20"/>
                      <w:szCs w:val="20"/>
                    </w:rPr>
                    <w:t xml:space="preserve"> automātisks paraugu ņēmējs, </w:t>
                  </w:r>
                  <w:r w:rsidR="00502082" w:rsidRPr="007B2A08">
                    <w:rPr>
                      <w:sz w:val="20"/>
                      <w:szCs w:val="20"/>
                      <w:lang w:eastAsia="en-GB"/>
                    </w:rPr>
                    <w:t xml:space="preserve">kas nodrošina </w:t>
                  </w:r>
                  <w:proofErr w:type="spellStart"/>
                  <w:r w:rsidR="00502082" w:rsidRPr="007B2A08">
                    <w:rPr>
                      <w:sz w:val="20"/>
                      <w:szCs w:val="20"/>
                      <w:lang w:eastAsia="en-GB"/>
                    </w:rPr>
                    <w:t>kompozītparaugu</w:t>
                  </w:r>
                  <w:proofErr w:type="spellEnd"/>
                  <w:r w:rsidR="00502082" w:rsidRPr="007B2A08">
                    <w:rPr>
                      <w:sz w:val="20"/>
                      <w:szCs w:val="20"/>
                      <w:lang w:eastAsia="en-GB"/>
                    </w:rPr>
                    <w:t xml:space="preserve"> un dalīto paraugu ievākšanu 24 h periodā</w:t>
                  </w:r>
                  <w:r w:rsidR="00D753CC">
                    <w:rPr>
                      <w:sz w:val="20"/>
                      <w:szCs w:val="20"/>
                      <w:lang w:eastAsia="en-GB"/>
                    </w:rPr>
                    <w:t>;</w:t>
                  </w:r>
                  <w:r w:rsidR="00502082" w:rsidRPr="007B2A08">
                    <w:rPr>
                      <w:sz w:val="20"/>
                      <w:szCs w:val="20"/>
                      <w:lang w:eastAsia="en-GB"/>
                    </w:rPr>
                    <w:t xml:space="preserve"> viena savāktā parauga </w:t>
                  </w:r>
                  <w:r w:rsidR="00D753CC">
                    <w:rPr>
                      <w:sz w:val="20"/>
                      <w:szCs w:val="20"/>
                      <w:lang w:eastAsia="en-GB"/>
                    </w:rPr>
                    <w:t>tilpums</w:t>
                  </w:r>
                  <w:r w:rsidR="00502082" w:rsidRPr="007B2A08">
                    <w:rPr>
                      <w:sz w:val="20"/>
                      <w:szCs w:val="20"/>
                      <w:lang w:eastAsia="en-GB"/>
                    </w:rPr>
                    <w:t xml:space="preserve"> ir apmēram 7 </w:t>
                  </w:r>
                  <w:r w:rsidR="00502082" w:rsidRPr="007B2A08">
                    <w:rPr>
                      <w:sz w:val="20"/>
                      <w:szCs w:val="20"/>
                      <w:lang w:eastAsia="en-GB"/>
                    </w:rPr>
                    <w:lastRenderedPageBreak/>
                    <w:t>litri</w:t>
                  </w:r>
                  <w:r w:rsidR="0084345A" w:rsidRPr="007B2A08">
                    <w:rPr>
                      <w:sz w:val="20"/>
                      <w:szCs w:val="20"/>
                      <w:lang w:eastAsia="en-GB"/>
                    </w:rPr>
                    <w:t xml:space="preserve">, </w:t>
                  </w:r>
                  <w:r w:rsidR="00D753CC">
                    <w:rPr>
                      <w:sz w:val="20"/>
                      <w:szCs w:val="20"/>
                      <w:lang w:eastAsia="en-GB"/>
                    </w:rPr>
                    <w:t xml:space="preserve">un </w:t>
                  </w:r>
                  <w:r w:rsidR="0084345A" w:rsidRPr="007B2A08">
                    <w:rPr>
                      <w:sz w:val="20"/>
                      <w:szCs w:val="20"/>
                    </w:rPr>
                    <w:t xml:space="preserve">plānotā iegādes cena noteikta, pamatojoties uz RTU iepriekš </w:t>
                  </w:r>
                  <w:r w:rsidR="00D753CC">
                    <w:rPr>
                      <w:sz w:val="20"/>
                      <w:szCs w:val="20"/>
                    </w:rPr>
                    <w:t>organizēto</w:t>
                  </w:r>
                  <w:r w:rsidR="00D753CC" w:rsidRPr="007B2A08">
                    <w:rPr>
                      <w:sz w:val="20"/>
                      <w:szCs w:val="20"/>
                    </w:rPr>
                    <w:t xml:space="preserve"> </w:t>
                  </w:r>
                  <w:r w:rsidR="0084345A" w:rsidRPr="007B2A08">
                    <w:rPr>
                      <w:sz w:val="20"/>
                      <w:szCs w:val="20"/>
                    </w:rPr>
                    <w:t>iepirkumu rezultātiem</w:t>
                  </w:r>
                  <w:r w:rsidR="00502082" w:rsidRPr="007B2A08">
                    <w:rPr>
                      <w:sz w:val="20"/>
                      <w:szCs w:val="20"/>
                      <w:lang w:eastAsia="en-GB"/>
                    </w:rPr>
                    <w:t>)</w:t>
                  </w:r>
                  <w:r w:rsidR="00502082" w:rsidRPr="007B2A08">
                    <w:rPr>
                      <w:lang w:eastAsia="en-GB"/>
                    </w:rPr>
                    <w:t> </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884CEB" w14:textId="77777777" w:rsidR="00AE4D05" w:rsidRPr="007B2A08" w:rsidRDefault="00AE4D05" w:rsidP="00AE4D05">
                  <w:pPr>
                    <w:jc w:val="center"/>
                    <w:rPr>
                      <w:sz w:val="20"/>
                      <w:szCs w:val="20"/>
                    </w:rPr>
                  </w:pPr>
                  <w:r w:rsidRPr="007B2A08">
                    <w:rPr>
                      <w:sz w:val="20"/>
                      <w:szCs w:val="20"/>
                    </w:rPr>
                    <w:lastRenderedPageBreak/>
                    <w:t>14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BBFA4" w14:textId="77777777" w:rsidR="00AE4D05" w:rsidRPr="007B2A08" w:rsidRDefault="00AE4D05" w:rsidP="00AE4D05">
                  <w:pPr>
                    <w:jc w:val="center"/>
                    <w:rPr>
                      <w:sz w:val="20"/>
                      <w:szCs w:val="20"/>
                    </w:rPr>
                  </w:pPr>
                  <w:r w:rsidRPr="007B2A08">
                    <w:rPr>
                      <w:sz w:val="20"/>
                      <w:szCs w:val="20"/>
                    </w:rPr>
                    <w:t>9000,00</w:t>
                  </w:r>
                </w:p>
              </w:tc>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F3E279" w14:textId="77777777" w:rsidR="00AE4D05" w:rsidRPr="007B2A08" w:rsidRDefault="00AE4D05" w:rsidP="00AE4D05">
                  <w:pPr>
                    <w:jc w:val="center"/>
                    <w:rPr>
                      <w:sz w:val="20"/>
                      <w:szCs w:val="20"/>
                    </w:rPr>
                  </w:pPr>
                  <w:r w:rsidRPr="007B2A08">
                    <w:rPr>
                      <w:sz w:val="20"/>
                      <w:szCs w:val="20"/>
                    </w:rPr>
                    <w:t>126 000,00</w:t>
                  </w:r>
                </w:p>
              </w:tc>
            </w:tr>
            <w:tr w:rsidR="007B2A08" w:rsidRPr="007B2A08" w14:paraId="3F81F90A" w14:textId="77777777" w:rsidTr="00E564AE">
              <w:tc>
                <w:tcPr>
                  <w:tcW w:w="570" w:type="dxa"/>
                  <w:tcBorders>
                    <w:top w:val="nil"/>
                    <w:left w:val="single" w:sz="4" w:space="0" w:color="auto"/>
                    <w:bottom w:val="single" w:sz="4" w:space="0" w:color="auto"/>
                    <w:right w:val="single" w:sz="4" w:space="0" w:color="auto"/>
                  </w:tcBorders>
                  <w:shd w:val="clear" w:color="000000" w:fill="FFFFFF"/>
                </w:tcPr>
                <w:p w14:paraId="6C40DF9C" w14:textId="77777777" w:rsidR="00AE4D05" w:rsidRPr="007B2A08" w:rsidRDefault="00AE4D05" w:rsidP="00AE4D05">
                  <w:pPr>
                    <w:rPr>
                      <w:sz w:val="20"/>
                      <w:szCs w:val="20"/>
                    </w:rPr>
                  </w:pPr>
                  <w:r w:rsidRPr="007B2A08">
                    <w:rPr>
                      <w:sz w:val="20"/>
                      <w:szCs w:val="20"/>
                    </w:rPr>
                    <w:t>1.2.</w:t>
                  </w:r>
                </w:p>
              </w:tc>
              <w:tc>
                <w:tcPr>
                  <w:tcW w:w="3566" w:type="dxa"/>
                  <w:tcBorders>
                    <w:top w:val="nil"/>
                    <w:left w:val="single" w:sz="4" w:space="0" w:color="auto"/>
                    <w:bottom w:val="single" w:sz="4" w:space="0" w:color="auto"/>
                    <w:right w:val="single" w:sz="4" w:space="0" w:color="auto"/>
                  </w:tcBorders>
                  <w:shd w:val="clear" w:color="000000" w:fill="FFFFFF"/>
                  <w:vAlign w:val="center"/>
                  <w:hideMark/>
                </w:tcPr>
                <w:p w14:paraId="0FCF466E" w14:textId="10EE7E31" w:rsidR="00AE4D05" w:rsidRPr="007B2A08" w:rsidRDefault="00AE4D05" w:rsidP="00AE4D05">
                  <w:pPr>
                    <w:jc w:val="both"/>
                    <w:rPr>
                      <w:sz w:val="20"/>
                      <w:szCs w:val="20"/>
                    </w:rPr>
                  </w:pPr>
                  <w:r w:rsidRPr="007B2A08">
                    <w:rPr>
                      <w:sz w:val="20"/>
                      <w:szCs w:val="20"/>
                    </w:rPr>
                    <w:t>Notekūde</w:t>
                  </w:r>
                  <w:r w:rsidR="00D753CC">
                    <w:rPr>
                      <w:sz w:val="20"/>
                      <w:szCs w:val="20"/>
                    </w:rPr>
                    <w:t>ņu</w:t>
                  </w:r>
                  <w:r w:rsidRPr="007B2A08">
                    <w:rPr>
                      <w:sz w:val="20"/>
                      <w:szCs w:val="20"/>
                    </w:rPr>
                    <w:t xml:space="preserve"> paraugu uzglabāšanas sistēma (saldētavas </w:t>
                  </w:r>
                  <w:r w:rsidR="00D753CC">
                    <w:rPr>
                      <w:sz w:val="20"/>
                      <w:szCs w:val="20"/>
                    </w:rPr>
                    <w:t>–</w:t>
                  </w:r>
                  <w:r w:rsidRPr="007B2A08">
                    <w:rPr>
                      <w:sz w:val="20"/>
                      <w:szCs w:val="20"/>
                    </w:rPr>
                    <w:t>80 </w:t>
                  </w:r>
                  <w:proofErr w:type="spellStart"/>
                  <w:r w:rsidRPr="007B2A08">
                    <w:rPr>
                      <w:sz w:val="20"/>
                      <w:szCs w:val="20"/>
                    </w:rPr>
                    <w:t>ºC</w:t>
                  </w:r>
                  <w:proofErr w:type="spellEnd"/>
                  <w:r w:rsidRPr="007B2A08">
                    <w:rPr>
                      <w:sz w:val="20"/>
                      <w:szCs w:val="20"/>
                    </w:rPr>
                    <w:t>)</w:t>
                  </w:r>
                  <w:r w:rsidR="00064D6D" w:rsidRPr="007B2A08">
                    <w:rPr>
                      <w:sz w:val="20"/>
                      <w:szCs w:val="20"/>
                    </w:rPr>
                    <w:t xml:space="preserve"> (plānotā iegādes cena noteikta, pamatojoties uz BIOR veiktās cenu aptaujas rezultātiem; vidējā cena</w:t>
                  </w:r>
                  <w:r w:rsidR="00D753CC">
                    <w:rPr>
                      <w:sz w:val="20"/>
                      <w:szCs w:val="20"/>
                    </w:rPr>
                    <w:t xml:space="preserve"> ir</w:t>
                  </w:r>
                  <w:r w:rsidR="00064D6D" w:rsidRPr="007B2A08">
                    <w:rPr>
                      <w:sz w:val="20"/>
                      <w:szCs w:val="20"/>
                    </w:rPr>
                    <w:t xml:space="preserve"> atkarīga no saldētavas izmēra u.c. parametriem, plānota dažādu saldētavu iegāde)</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CDAD06" w14:textId="77777777" w:rsidR="00AE4D05" w:rsidRPr="007B2A08" w:rsidRDefault="00AE4D05" w:rsidP="00AE4D05">
                  <w:pPr>
                    <w:jc w:val="center"/>
                    <w:rPr>
                      <w:sz w:val="20"/>
                      <w:szCs w:val="20"/>
                    </w:rPr>
                  </w:pPr>
                  <w:r w:rsidRPr="007B2A08">
                    <w:rPr>
                      <w:sz w:val="20"/>
                      <w:szCs w:val="20"/>
                    </w:rPr>
                    <w:t>3</w:t>
                  </w:r>
                </w:p>
              </w:tc>
              <w:tc>
                <w:tcPr>
                  <w:tcW w:w="1016" w:type="dxa"/>
                  <w:tcBorders>
                    <w:top w:val="nil"/>
                    <w:left w:val="nil"/>
                    <w:bottom w:val="single" w:sz="4" w:space="0" w:color="auto"/>
                    <w:right w:val="single" w:sz="4" w:space="0" w:color="auto"/>
                  </w:tcBorders>
                  <w:shd w:val="clear" w:color="000000" w:fill="FFFFFF"/>
                  <w:vAlign w:val="center"/>
                  <w:hideMark/>
                </w:tcPr>
                <w:p w14:paraId="76738875" w14:textId="77777777" w:rsidR="00AE4D05" w:rsidRPr="007B2A08" w:rsidRDefault="00AE4D05" w:rsidP="00AE4D05">
                  <w:pPr>
                    <w:jc w:val="center"/>
                    <w:rPr>
                      <w:sz w:val="20"/>
                      <w:szCs w:val="20"/>
                    </w:rPr>
                  </w:pPr>
                  <w:r w:rsidRPr="007B2A08">
                    <w:rPr>
                      <w:sz w:val="20"/>
                      <w:szCs w:val="20"/>
                    </w:rPr>
                    <w:t>15 000,00</w:t>
                  </w:r>
                </w:p>
              </w:tc>
              <w:tc>
                <w:tcPr>
                  <w:tcW w:w="1487" w:type="dxa"/>
                  <w:tcBorders>
                    <w:top w:val="nil"/>
                    <w:left w:val="nil"/>
                    <w:bottom w:val="single" w:sz="4" w:space="0" w:color="auto"/>
                    <w:right w:val="single" w:sz="4" w:space="0" w:color="auto"/>
                  </w:tcBorders>
                  <w:shd w:val="clear" w:color="000000" w:fill="FFFFFF"/>
                  <w:vAlign w:val="center"/>
                  <w:hideMark/>
                </w:tcPr>
                <w:p w14:paraId="4946E312" w14:textId="77777777" w:rsidR="00AE4D05" w:rsidRPr="007B2A08" w:rsidRDefault="00AE4D05" w:rsidP="00AE4D05">
                  <w:pPr>
                    <w:jc w:val="center"/>
                    <w:rPr>
                      <w:sz w:val="20"/>
                      <w:szCs w:val="20"/>
                    </w:rPr>
                  </w:pPr>
                  <w:r w:rsidRPr="007B2A08">
                    <w:rPr>
                      <w:sz w:val="20"/>
                      <w:szCs w:val="20"/>
                    </w:rPr>
                    <w:t>45 000,00</w:t>
                  </w:r>
                </w:p>
              </w:tc>
            </w:tr>
            <w:tr w:rsidR="007B2A08" w:rsidRPr="007B2A08" w14:paraId="245D565A" w14:textId="77777777" w:rsidTr="00E564AE">
              <w:tc>
                <w:tcPr>
                  <w:tcW w:w="570" w:type="dxa"/>
                  <w:tcBorders>
                    <w:top w:val="single" w:sz="4" w:space="0" w:color="auto"/>
                    <w:left w:val="single" w:sz="4" w:space="0" w:color="auto"/>
                    <w:bottom w:val="single" w:sz="4" w:space="0" w:color="auto"/>
                    <w:right w:val="single" w:sz="4" w:space="0" w:color="auto"/>
                  </w:tcBorders>
                  <w:shd w:val="clear" w:color="000000" w:fill="FFFFFF"/>
                </w:tcPr>
                <w:p w14:paraId="78530357" w14:textId="09EE6173" w:rsidR="00AE4D05" w:rsidRPr="007B2A08" w:rsidRDefault="00AE4D05" w:rsidP="00AE4D05">
                  <w:pPr>
                    <w:rPr>
                      <w:sz w:val="20"/>
                      <w:szCs w:val="20"/>
                    </w:rPr>
                  </w:pPr>
                  <w:r w:rsidRPr="007B2A08">
                    <w:rPr>
                      <w:sz w:val="20"/>
                      <w:szCs w:val="20"/>
                    </w:rPr>
                    <w:t>1.</w:t>
                  </w:r>
                  <w:r w:rsidR="002543E2" w:rsidRPr="007B2A08">
                    <w:rPr>
                      <w:sz w:val="20"/>
                      <w:szCs w:val="20"/>
                    </w:rPr>
                    <w:t>3</w:t>
                  </w:r>
                  <w:r w:rsidRPr="007B2A08">
                    <w:rPr>
                      <w:sz w:val="20"/>
                      <w:szCs w:val="20"/>
                    </w:rPr>
                    <w:t>.</w:t>
                  </w:r>
                </w:p>
              </w:tc>
              <w:tc>
                <w:tcPr>
                  <w:tcW w:w="3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41F3D" w14:textId="22A09B88" w:rsidR="00AE4D05" w:rsidRPr="007B2A08" w:rsidRDefault="00AE4D05" w:rsidP="00AE4D05">
                  <w:pPr>
                    <w:jc w:val="both"/>
                    <w:rPr>
                      <w:sz w:val="20"/>
                      <w:szCs w:val="20"/>
                    </w:rPr>
                  </w:pPr>
                  <w:r w:rsidRPr="007B2A08">
                    <w:rPr>
                      <w:sz w:val="20"/>
                      <w:szCs w:val="20"/>
                    </w:rPr>
                    <w:t>Tīklam pievienotā datu glabātava ar 120</w:t>
                  </w:r>
                  <w:r w:rsidR="00D753CC">
                    <w:rPr>
                      <w:sz w:val="20"/>
                      <w:szCs w:val="20"/>
                    </w:rPr>
                    <w:t> </w:t>
                  </w:r>
                  <w:r w:rsidRPr="007B2A08">
                    <w:rPr>
                      <w:sz w:val="20"/>
                      <w:szCs w:val="20"/>
                    </w:rPr>
                    <w:t>TB ietilpību</w:t>
                  </w:r>
                  <w:r w:rsidR="00C902D0" w:rsidRPr="007B2A08">
                    <w:rPr>
                      <w:sz w:val="20"/>
                      <w:szCs w:val="20"/>
                    </w:rPr>
                    <w:t xml:space="preserve"> </w:t>
                  </w:r>
                  <w:r w:rsidR="009604E9" w:rsidRPr="007B2A08">
                    <w:rPr>
                      <w:sz w:val="20"/>
                      <w:szCs w:val="20"/>
                    </w:rPr>
                    <w:t>(plānotā iegādes cena noteikta, pamatojoties uz LBMC iepirkumu rezultātiem (“Datu servera un datu glabātuves iegāde”, ID Nr. BMC 2019/85, “Serveru tehnikas, datortehnikas un to komponentu iepirkums”, ID Nr. BMC 2021/99))</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F19BC" w14:textId="77777777" w:rsidR="00AE4D05" w:rsidRPr="007B2A08" w:rsidRDefault="00AE4D05" w:rsidP="00AE4D05">
                  <w:pPr>
                    <w:jc w:val="center"/>
                    <w:rPr>
                      <w:sz w:val="20"/>
                      <w:szCs w:val="20"/>
                    </w:rPr>
                  </w:pPr>
                  <w:r w:rsidRPr="007B2A08">
                    <w:rPr>
                      <w:sz w:val="20"/>
                      <w:szCs w:val="20"/>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B3270" w14:textId="77777777" w:rsidR="00AE4D05" w:rsidRPr="007B2A08" w:rsidRDefault="00AE4D05" w:rsidP="00AE4D05">
                  <w:pPr>
                    <w:jc w:val="center"/>
                    <w:rPr>
                      <w:sz w:val="20"/>
                      <w:szCs w:val="20"/>
                    </w:rPr>
                  </w:pPr>
                  <w:r w:rsidRPr="007B2A08">
                    <w:rPr>
                      <w:sz w:val="20"/>
                      <w:szCs w:val="20"/>
                    </w:rPr>
                    <w:t>6776,00</w:t>
                  </w:r>
                </w:p>
              </w:tc>
              <w:tc>
                <w:tcPr>
                  <w:tcW w:w="14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3AD72B" w14:textId="77777777" w:rsidR="00AE4D05" w:rsidRPr="007B2A08" w:rsidRDefault="00AE4D05" w:rsidP="00AE4D05">
                  <w:pPr>
                    <w:jc w:val="center"/>
                    <w:rPr>
                      <w:sz w:val="20"/>
                      <w:szCs w:val="20"/>
                    </w:rPr>
                  </w:pPr>
                  <w:r w:rsidRPr="007B2A08">
                    <w:rPr>
                      <w:sz w:val="20"/>
                      <w:szCs w:val="20"/>
                    </w:rPr>
                    <w:t>6776,00</w:t>
                  </w:r>
                </w:p>
              </w:tc>
            </w:tr>
            <w:tr w:rsidR="007B2A08" w:rsidRPr="007B2A08" w14:paraId="15DCCA15" w14:textId="77777777" w:rsidTr="00E564AE">
              <w:tc>
                <w:tcPr>
                  <w:tcW w:w="570" w:type="dxa"/>
                  <w:tcBorders>
                    <w:top w:val="nil"/>
                    <w:left w:val="single" w:sz="4" w:space="0" w:color="auto"/>
                    <w:bottom w:val="single" w:sz="4" w:space="0" w:color="auto"/>
                    <w:right w:val="single" w:sz="4" w:space="0" w:color="auto"/>
                  </w:tcBorders>
                  <w:shd w:val="clear" w:color="000000" w:fill="FFFFFF"/>
                </w:tcPr>
                <w:p w14:paraId="425A14E5" w14:textId="77777777" w:rsidR="008D5277" w:rsidRPr="007B2A08" w:rsidRDefault="008D5277" w:rsidP="008D5277">
                  <w:pPr>
                    <w:rPr>
                      <w:b/>
                      <w:bCs/>
                      <w:sz w:val="20"/>
                      <w:szCs w:val="20"/>
                    </w:rPr>
                  </w:pPr>
                  <w:r w:rsidRPr="007B2A08">
                    <w:rPr>
                      <w:b/>
                      <w:bCs/>
                      <w:sz w:val="20"/>
                      <w:szCs w:val="20"/>
                    </w:rPr>
                    <w:t>2.</w:t>
                  </w:r>
                </w:p>
              </w:tc>
              <w:tc>
                <w:tcPr>
                  <w:tcW w:w="3566" w:type="dxa"/>
                  <w:tcBorders>
                    <w:top w:val="nil"/>
                    <w:left w:val="single" w:sz="4" w:space="0" w:color="auto"/>
                    <w:bottom w:val="single" w:sz="4" w:space="0" w:color="auto"/>
                    <w:right w:val="single" w:sz="4" w:space="0" w:color="auto"/>
                  </w:tcBorders>
                  <w:shd w:val="clear" w:color="000000" w:fill="FFFFFF"/>
                  <w:vAlign w:val="center"/>
                  <w:hideMark/>
                </w:tcPr>
                <w:p w14:paraId="10F6F950" w14:textId="0019A576" w:rsidR="008D5277" w:rsidRPr="007B2A08" w:rsidRDefault="008D5277" w:rsidP="008D5277">
                  <w:pPr>
                    <w:jc w:val="both"/>
                    <w:rPr>
                      <w:b/>
                      <w:bCs/>
                      <w:sz w:val="20"/>
                      <w:szCs w:val="20"/>
                    </w:rPr>
                  </w:pPr>
                  <w:r w:rsidRPr="007B2A08">
                    <w:rPr>
                      <w:b/>
                      <w:bCs/>
                      <w:sz w:val="20"/>
                      <w:szCs w:val="20"/>
                    </w:rPr>
                    <w:t>Paraugu noņemšana.</w:t>
                  </w:r>
                </w:p>
                <w:p w14:paraId="6FBD9CEB" w14:textId="286BDBFE" w:rsidR="008D5277" w:rsidRPr="007B2A08" w:rsidRDefault="008D5277" w:rsidP="008D5277">
                  <w:pPr>
                    <w:jc w:val="both"/>
                    <w:rPr>
                      <w:sz w:val="20"/>
                      <w:szCs w:val="20"/>
                    </w:rPr>
                  </w:pPr>
                  <w:r w:rsidRPr="007B2A08">
                    <w:rPr>
                      <w:sz w:val="20"/>
                      <w:szCs w:val="20"/>
                    </w:rPr>
                    <w:t>Notekūde</w:t>
                  </w:r>
                  <w:r w:rsidR="00D753CC">
                    <w:rPr>
                      <w:sz w:val="20"/>
                      <w:szCs w:val="20"/>
                    </w:rPr>
                    <w:t>ņu</w:t>
                  </w:r>
                  <w:r w:rsidRPr="007B2A08">
                    <w:rPr>
                      <w:sz w:val="20"/>
                      <w:szCs w:val="20"/>
                    </w:rPr>
                    <w:t xml:space="preserve"> staciju NAI iekārtu apkalpošanas personāla, koordinēšanas un datu apstrādes izmaksas:</w:t>
                  </w:r>
                </w:p>
                <w:p w14:paraId="5839DE07" w14:textId="77777777" w:rsidR="008D5277" w:rsidRPr="007B2A08" w:rsidRDefault="008D5277" w:rsidP="008D5277">
                  <w:pPr>
                    <w:jc w:val="both"/>
                    <w:rPr>
                      <w:sz w:val="20"/>
                      <w:szCs w:val="20"/>
                    </w:rPr>
                  </w:pPr>
                  <w:r w:rsidRPr="007B2A08">
                    <w:rPr>
                      <w:sz w:val="20"/>
                      <w:szCs w:val="20"/>
                    </w:rPr>
                    <w:t>1) laborants (paraugu noņēmējs): stundas likme 10,00 EUR/h + darba devēja VSAOI 2,36 EUR = 12,36 EUR/h x 2 h = 24,72 EUR (paraugs);</w:t>
                  </w:r>
                </w:p>
                <w:p w14:paraId="3F0799B8" w14:textId="77777777" w:rsidR="008D5277" w:rsidRPr="007B2A08" w:rsidRDefault="008D5277" w:rsidP="008D5277">
                  <w:pPr>
                    <w:jc w:val="both"/>
                    <w:rPr>
                      <w:sz w:val="20"/>
                      <w:szCs w:val="20"/>
                    </w:rPr>
                  </w:pPr>
                  <w:r w:rsidRPr="007B2A08">
                    <w:rPr>
                      <w:sz w:val="20"/>
                      <w:szCs w:val="20"/>
                    </w:rPr>
                    <w:t>2) pētnieks (koordinēšana, apmācība, metodika): stundas likme 15,00 EUR/h + darba devēja VSAOI 3,54 EUR = 18,54 EUR/h x 1,2 h = 22,25 (paraugs);</w:t>
                  </w:r>
                </w:p>
                <w:p w14:paraId="21A10641" w14:textId="77777777" w:rsidR="008D5277" w:rsidRPr="007B2A08" w:rsidRDefault="008D5277" w:rsidP="008D5277">
                  <w:pPr>
                    <w:jc w:val="both"/>
                    <w:rPr>
                      <w:sz w:val="20"/>
                      <w:szCs w:val="20"/>
                    </w:rPr>
                  </w:pPr>
                  <w:r w:rsidRPr="007B2A08">
                    <w:rPr>
                      <w:sz w:val="20"/>
                      <w:szCs w:val="20"/>
                    </w:rPr>
                    <w:t>3) vadošais pētnieks (datu apstrāde): stundas likme 18,00 EUR/h + darba devēja VSAOI 4,25 EUR = 22,25 EUR/h x 1,2 h = 26,70 EUR (paraugs).</w:t>
                  </w:r>
                </w:p>
                <w:p w14:paraId="14E07D6B" w14:textId="3979C05C" w:rsidR="008D5277" w:rsidRPr="007B2A08" w:rsidRDefault="008D5277" w:rsidP="008D5277">
                  <w:pPr>
                    <w:jc w:val="both"/>
                    <w:rPr>
                      <w:b/>
                      <w:bCs/>
                      <w:sz w:val="20"/>
                      <w:szCs w:val="20"/>
                    </w:rPr>
                  </w:pPr>
                  <w:r w:rsidRPr="007B2A08">
                    <w:rPr>
                      <w:sz w:val="20"/>
                      <w:szCs w:val="20"/>
                    </w:rPr>
                    <w:t>Parauga izmaksas 73,67 EUR x 96 paraugi mēnesī (12 vietas, 2 x nedēļā) = 7072,32 EUR.</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383EC0" w14:textId="7D27051F" w:rsidR="008D5277" w:rsidRPr="007B2A08" w:rsidRDefault="008D5277" w:rsidP="008D5277">
                  <w:pPr>
                    <w:jc w:val="center"/>
                    <w:rPr>
                      <w:sz w:val="20"/>
                      <w:szCs w:val="20"/>
                    </w:rPr>
                  </w:pPr>
                  <w:r w:rsidRPr="007B2A08">
                    <w:rPr>
                      <w:sz w:val="20"/>
                      <w:szCs w:val="20"/>
                    </w:rPr>
                    <w:t>7</w:t>
                  </w:r>
                </w:p>
              </w:tc>
              <w:tc>
                <w:tcPr>
                  <w:tcW w:w="1016" w:type="dxa"/>
                  <w:tcBorders>
                    <w:top w:val="nil"/>
                    <w:left w:val="nil"/>
                    <w:bottom w:val="single" w:sz="4" w:space="0" w:color="auto"/>
                    <w:right w:val="single" w:sz="4" w:space="0" w:color="auto"/>
                  </w:tcBorders>
                  <w:shd w:val="clear" w:color="000000" w:fill="FFFFFF"/>
                  <w:vAlign w:val="center"/>
                  <w:hideMark/>
                </w:tcPr>
                <w:p w14:paraId="1FCC0D2A" w14:textId="5C95E22F" w:rsidR="008D5277" w:rsidRPr="007B2A08" w:rsidRDefault="008D5277" w:rsidP="008D5277">
                  <w:pPr>
                    <w:jc w:val="center"/>
                    <w:rPr>
                      <w:sz w:val="20"/>
                      <w:szCs w:val="20"/>
                    </w:rPr>
                  </w:pPr>
                  <w:r w:rsidRPr="007B2A08">
                    <w:rPr>
                      <w:sz w:val="20"/>
                      <w:szCs w:val="20"/>
                    </w:rPr>
                    <w:t>7072,32</w:t>
                  </w:r>
                </w:p>
              </w:tc>
              <w:tc>
                <w:tcPr>
                  <w:tcW w:w="1487" w:type="dxa"/>
                  <w:tcBorders>
                    <w:top w:val="nil"/>
                    <w:left w:val="nil"/>
                    <w:bottom w:val="single" w:sz="4" w:space="0" w:color="auto"/>
                    <w:right w:val="single" w:sz="4" w:space="0" w:color="auto"/>
                  </w:tcBorders>
                  <w:shd w:val="clear" w:color="000000" w:fill="FFFFFF"/>
                  <w:vAlign w:val="center"/>
                  <w:hideMark/>
                </w:tcPr>
                <w:p w14:paraId="7221CDB0" w14:textId="6100182E" w:rsidR="008D5277" w:rsidRPr="007B2A08" w:rsidRDefault="008D5277" w:rsidP="008D5277">
                  <w:pPr>
                    <w:jc w:val="center"/>
                    <w:rPr>
                      <w:sz w:val="20"/>
                      <w:szCs w:val="20"/>
                    </w:rPr>
                  </w:pPr>
                  <w:r w:rsidRPr="007B2A08">
                    <w:rPr>
                      <w:sz w:val="20"/>
                      <w:szCs w:val="20"/>
                    </w:rPr>
                    <w:t> 49 506,24</w:t>
                  </w:r>
                </w:p>
              </w:tc>
            </w:tr>
            <w:tr w:rsidR="007B2A08" w:rsidRPr="007B2A08" w14:paraId="7D386B51" w14:textId="77777777" w:rsidTr="00E564AE">
              <w:tc>
                <w:tcPr>
                  <w:tcW w:w="570" w:type="dxa"/>
                  <w:tcBorders>
                    <w:top w:val="single" w:sz="4" w:space="0" w:color="auto"/>
                    <w:left w:val="single" w:sz="4" w:space="0" w:color="auto"/>
                    <w:bottom w:val="single" w:sz="4" w:space="0" w:color="auto"/>
                    <w:right w:val="single" w:sz="4" w:space="0" w:color="auto"/>
                  </w:tcBorders>
                  <w:shd w:val="clear" w:color="000000" w:fill="FFFFFF"/>
                </w:tcPr>
                <w:p w14:paraId="201C3D52" w14:textId="3B667EC3" w:rsidR="002543E2" w:rsidRPr="007B2A08" w:rsidRDefault="002543E2" w:rsidP="002543E2">
                  <w:pPr>
                    <w:rPr>
                      <w:b/>
                      <w:bCs/>
                      <w:sz w:val="20"/>
                      <w:szCs w:val="20"/>
                    </w:rPr>
                  </w:pPr>
                  <w:r w:rsidRPr="007B2A08">
                    <w:rPr>
                      <w:b/>
                      <w:bCs/>
                      <w:sz w:val="20"/>
                      <w:szCs w:val="20"/>
                    </w:rPr>
                    <w:t>3.</w:t>
                  </w:r>
                </w:p>
              </w:tc>
              <w:tc>
                <w:tcPr>
                  <w:tcW w:w="3566" w:type="dxa"/>
                  <w:tcBorders>
                    <w:top w:val="single" w:sz="4" w:space="0" w:color="auto"/>
                    <w:left w:val="single" w:sz="4" w:space="0" w:color="auto"/>
                    <w:bottom w:val="single" w:sz="4" w:space="0" w:color="auto"/>
                    <w:right w:val="single" w:sz="4" w:space="0" w:color="auto"/>
                  </w:tcBorders>
                  <w:shd w:val="clear" w:color="000000" w:fill="FFFFFF"/>
                  <w:hideMark/>
                </w:tcPr>
                <w:p w14:paraId="483B9DE4" w14:textId="059AB5A5" w:rsidR="00875949" w:rsidRPr="007B2A08" w:rsidRDefault="002543E2" w:rsidP="00875949">
                  <w:pPr>
                    <w:jc w:val="both"/>
                    <w:rPr>
                      <w:b/>
                      <w:bCs/>
                      <w:sz w:val="20"/>
                      <w:szCs w:val="20"/>
                    </w:rPr>
                  </w:pPr>
                  <w:r w:rsidRPr="007B2A08">
                    <w:rPr>
                      <w:b/>
                      <w:bCs/>
                      <w:sz w:val="20"/>
                      <w:szCs w:val="20"/>
                    </w:rPr>
                    <w:t>“</w:t>
                  </w:r>
                  <w:proofErr w:type="spellStart"/>
                  <w:r w:rsidRPr="007B2A08">
                    <w:rPr>
                      <w:b/>
                      <w:bCs/>
                      <w:sz w:val="20"/>
                      <w:szCs w:val="20"/>
                    </w:rPr>
                    <w:t>Biobankas</w:t>
                  </w:r>
                  <w:proofErr w:type="spellEnd"/>
                  <w:r w:rsidRPr="007B2A08">
                    <w:rPr>
                      <w:b/>
                      <w:bCs/>
                      <w:sz w:val="20"/>
                      <w:szCs w:val="20"/>
                    </w:rPr>
                    <w:t>” uzturēšana</w:t>
                  </w:r>
                  <w:r w:rsidR="00875949" w:rsidRPr="007B2A08">
                    <w:rPr>
                      <w:b/>
                      <w:bCs/>
                      <w:sz w:val="20"/>
                      <w:szCs w:val="20"/>
                    </w:rPr>
                    <w:t>.</w:t>
                  </w:r>
                </w:p>
                <w:p w14:paraId="76693ACB" w14:textId="7356139F" w:rsidR="002543E2" w:rsidRPr="007B2A08" w:rsidRDefault="00875949" w:rsidP="00875949">
                  <w:pPr>
                    <w:jc w:val="both"/>
                    <w:rPr>
                      <w:sz w:val="20"/>
                      <w:szCs w:val="20"/>
                    </w:rPr>
                  </w:pPr>
                  <w:r w:rsidRPr="007B2A08">
                    <w:rPr>
                      <w:sz w:val="20"/>
                      <w:szCs w:val="20"/>
                    </w:rPr>
                    <w:t>T</w:t>
                  </w:r>
                  <w:r w:rsidR="002543E2" w:rsidRPr="007B2A08">
                    <w:rPr>
                      <w:sz w:val="20"/>
                      <w:szCs w:val="20"/>
                    </w:rPr>
                    <w:t>estēšanas koordinēšana – pētnieka atalgojums: stundas likme 15,00 EUR/h + darba devēja VSAOI 3,54 EUR = 18,54 EUR/h, 60 stundas mēnesī (2021. gadā – 7 mēneši)</w:t>
                  </w:r>
                </w:p>
              </w:tc>
              <w:tc>
                <w:tcPr>
                  <w:tcW w:w="765" w:type="dxa"/>
                  <w:tcBorders>
                    <w:top w:val="single" w:sz="4" w:space="0" w:color="auto"/>
                    <w:left w:val="single" w:sz="4" w:space="0" w:color="auto"/>
                    <w:bottom w:val="single" w:sz="4" w:space="0" w:color="auto"/>
                    <w:right w:val="single" w:sz="4" w:space="0" w:color="auto"/>
                  </w:tcBorders>
                  <w:shd w:val="clear" w:color="000000" w:fill="FFFFFF"/>
                  <w:vAlign w:val="center"/>
                </w:tcPr>
                <w:p w14:paraId="3E016CF1" w14:textId="6ACD9AF6" w:rsidR="002543E2" w:rsidRPr="007B2A08" w:rsidRDefault="002543E2" w:rsidP="002543E2">
                  <w:pPr>
                    <w:jc w:val="center"/>
                    <w:rPr>
                      <w:sz w:val="20"/>
                      <w:szCs w:val="20"/>
                    </w:rPr>
                  </w:pPr>
                  <w:r w:rsidRPr="007B2A08">
                    <w:rPr>
                      <w:sz w:val="20"/>
                      <w:szCs w:val="20"/>
                    </w:rPr>
                    <w:t>420</w:t>
                  </w:r>
                </w:p>
              </w:tc>
              <w:tc>
                <w:tcPr>
                  <w:tcW w:w="1016" w:type="dxa"/>
                  <w:tcBorders>
                    <w:top w:val="single" w:sz="4" w:space="0" w:color="auto"/>
                    <w:left w:val="nil"/>
                    <w:bottom w:val="single" w:sz="4" w:space="0" w:color="auto"/>
                    <w:right w:val="single" w:sz="4" w:space="0" w:color="auto"/>
                  </w:tcBorders>
                  <w:shd w:val="clear" w:color="000000" w:fill="FFFFFF"/>
                  <w:vAlign w:val="center"/>
                </w:tcPr>
                <w:p w14:paraId="57BD224E" w14:textId="6F7E622A" w:rsidR="002543E2" w:rsidRPr="007B2A08" w:rsidRDefault="002543E2" w:rsidP="002543E2">
                  <w:pPr>
                    <w:jc w:val="center"/>
                    <w:rPr>
                      <w:sz w:val="20"/>
                      <w:szCs w:val="20"/>
                    </w:rPr>
                  </w:pPr>
                  <w:r w:rsidRPr="007B2A08">
                    <w:rPr>
                      <w:sz w:val="20"/>
                      <w:szCs w:val="20"/>
                    </w:rPr>
                    <w:t>18,54</w:t>
                  </w:r>
                </w:p>
              </w:tc>
              <w:tc>
                <w:tcPr>
                  <w:tcW w:w="1487" w:type="dxa"/>
                  <w:tcBorders>
                    <w:top w:val="single" w:sz="4" w:space="0" w:color="auto"/>
                    <w:left w:val="nil"/>
                    <w:bottom w:val="single" w:sz="4" w:space="0" w:color="auto"/>
                    <w:right w:val="single" w:sz="4" w:space="0" w:color="auto"/>
                  </w:tcBorders>
                  <w:shd w:val="clear" w:color="000000" w:fill="FFFFFF"/>
                  <w:vAlign w:val="center"/>
                </w:tcPr>
                <w:p w14:paraId="0DD9F27D" w14:textId="400968F7" w:rsidR="002543E2" w:rsidRPr="007B2A08" w:rsidRDefault="002543E2" w:rsidP="002543E2">
                  <w:pPr>
                    <w:jc w:val="center"/>
                    <w:rPr>
                      <w:sz w:val="20"/>
                      <w:szCs w:val="20"/>
                    </w:rPr>
                  </w:pPr>
                  <w:r w:rsidRPr="007B2A08">
                    <w:rPr>
                      <w:sz w:val="20"/>
                      <w:szCs w:val="20"/>
                    </w:rPr>
                    <w:t>7786,80</w:t>
                  </w:r>
                </w:p>
              </w:tc>
            </w:tr>
            <w:tr w:rsidR="007B2A08" w:rsidRPr="007B2A08" w14:paraId="602661FD" w14:textId="77777777" w:rsidTr="00AE4D05">
              <w:tc>
                <w:tcPr>
                  <w:tcW w:w="570" w:type="dxa"/>
                  <w:tcBorders>
                    <w:top w:val="single" w:sz="4" w:space="0" w:color="auto"/>
                    <w:left w:val="single" w:sz="4" w:space="0" w:color="auto"/>
                    <w:bottom w:val="single" w:sz="4" w:space="0" w:color="auto"/>
                    <w:right w:val="single" w:sz="4" w:space="0" w:color="auto"/>
                  </w:tcBorders>
                  <w:shd w:val="clear" w:color="000000" w:fill="FFFFFF"/>
                </w:tcPr>
                <w:p w14:paraId="7879EE52" w14:textId="77777777" w:rsidR="00AE4D05" w:rsidRPr="007B2A08" w:rsidRDefault="00AE4D05" w:rsidP="00AE4D05">
                  <w:pPr>
                    <w:rPr>
                      <w:b/>
                      <w:bCs/>
                      <w:sz w:val="20"/>
                      <w:szCs w:val="20"/>
                    </w:rPr>
                  </w:pPr>
                  <w:r w:rsidRPr="007B2A08">
                    <w:rPr>
                      <w:b/>
                      <w:bCs/>
                      <w:sz w:val="20"/>
                      <w:szCs w:val="20"/>
                    </w:rPr>
                    <w:t>4.</w:t>
                  </w:r>
                </w:p>
              </w:tc>
              <w:tc>
                <w:tcPr>
                  <w:tcW w:w="683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8B8AF34" w14:textId="4CE36FF9" w:rsidR="00AE4D05" w:rsidRPr="007B2A08" w:rsidRDefault="00AE4D05" w:rsidP="00AE4D05">
                  <w:pPr>
                    <w:jc w:val="both"/>
                    <w:rPr>
                      <w:b/>
                      <w:bCs/>
                      <w:sz w:val="20"/>
                      <w:szCs w:val="20"/>
                    </w:rPr>
                  </w:pPr>
                  <w:proofErr w:type="spellStart"/>
                  <w:r w:rsidRPr="007B2A08">
                    <w:rPr>
                      <w:b/>
                      <w:bCs/>
                      <w:sz w:val="20"/>
                      <w:szCs w:val="20"/>
                    </w:rPr>
                    <w:t>C</w:t>
                  </w:r>
                  <w:r w:rsidR="00D753CC">
                    <w:rPr>
                      <w:b/>
                      <w:bCs/>
                      <w:sz w:val="20"/>
                      <w:szCs w:val="20"/>
                    </w:rPr>
                    <w:t>ovid</w:t>
                  </w:r>
                  <w:r w:rsidRPr="007B2A08">
                    <w:rPr>
                      <w:b/>
                      <w:bCs/>
                      <w:sz w:val="20"/>
                      <w:szCs w:val="20"/>
                    </w:rPr>
                    <w:t>-19</w:t>
                  </w:r>
                  <w:proofErr w:type="spellEnd"/>
                  <w:r w:rsidRPr="007B2A08">
                    <w:rPr>
                      <w:b/>
                      <w:bCs/>
                      <w:sz w:val="20"/>
                      <w:szCs w:val="20"/>
                    </w:rPr>
                    <w:t xml:space="preserve"> testēšana</w:t>
                  </w:r>
                </w:p>
              </w:tc>
            </w:tr>
            <w:tr w:rsidR="007B2A08" w:rsidRPr="007B2A08" w14:paraId="071B039B" w14:textId="77777777" w:rsidTr="006B406C">
              <w:tc>
                <w:tcPr>
                  <w:tcW w:w="570" w:type="dxa"/>
                  <w:tcBorders>
                    <w:top w:val="nil"/>
                    <w:left w:val="single" w:sz="4" w:space="0" w:color="auto"/>
                    <w:right w:val="single" w:sz="4" w:space="0" w:color="auto"/>
                  </w:tcBorders>
                  <w:shd w:val="clear" w:color="000000" w:fill="FFFFFF"/>
                </w:tcPr>
                <w:p w14:paraId="3B8A09BE" w14:textId="77777777" w:rsidR="00400360" w:rsidRPr="007B2A08" w:rsidRDefault="00400360" w:rsidP="00400360">
                  <w:pPr>
                    <w:rPr>
                      <w:sz w:val="20"/>
                      <w:szCs w:val="20"/>
                    </w:rPr>
                  </w:pPr>
                  <w:r w:rsidRPr="007B2A08">
                    <w:rPr>
                      <w:sz w:val="20"/>
                      <w:szCs w:val="20"/>
                    </w:rPr>
                    <w:t>4.1.</w:t>
                  </w:r>
                </w:p>
              </w:tc>
              <w:tc>
                <w:tcPr>
                  <w:tcW w:w="3566" w:type="dxa"/>
                  <w:tcBorders>
                    <w:top w:val="nil"/>
                    <w:left w:val="single" w:sz="4" w:space="0" w:color="auto"/>
                    <w:right w:val="single" w:sz="4" w:space="0" w:color="auto"/>
                  </w:tcBorders>
                  <w:shd w:val="clear" w:color="000000" w:fill="FFFFFF"/>
                  <w:hideMark/>
                </w:tcPr>
                <w:p w14:paraId="39A487E7" w14:textId="74DCDA01" w:rsidR="00400360" w:rsidRPr="007B2A08" w:rsidRDefault="000661EF" w:rsidP="000661EF">
                  <w:pPr>
                    <w:jc w:val="both"/>
                    <w:rPr>
                      <w:sz w:val="20"/>
                      <w:szCs w:val="20"/>
                    </w:rPr>
                  </w:pPr>
                  <w:r w:rsidRPr="007B2A08">
                    <w:rPr>
                      <w:sz w:val="20"/>
                      <w:szCs w:val="20"/>
                    </w:rPr>
                    <w:t>SARS-</w:t>
                  </w:r>
                  <w:proofErr w:type="spellStart"/>
                  <w:r w:rsidRPr="007B2A08">
                    <w:rPr>
                      <w:sz w:val="20"/>
                      <w:szCs w:val="20"/>
                    </w:rPr>
                    <w:t>CoV-2</w:t>
                  </w:r>
                  <w:proofErr w:type="spellEnd"/>
                  <w:r w:rsidRPr="007B2A08">
                    <w:rPr>
                      <w:sz w:val="20"/>
                      <w:szCs w:val="20"/>
                    </w:rPr>
                    <w:t xml:space="preserve"> klātbūtnes noteikšana – </w:t>
                  </w:r>
                  <w:r w:rsidR="00400360" w:rsidRPr="007B2A08">
                    <w:rPr>
                      <w:sz w:val="20"/>
                      <w:szCs w:val="20"/>
                    </w:rPr>
                    <w:t>104 paraugi gadā (2 paraugi nedēļā) no pilsētas (104 x 12 pilsētas = 1248 paraugi), testēšanas cena 61,</w:t>
                  </w:r>
                  <w:r w:rsidR="004A39FE" w:rsidRPr="007B2A08">
                    <w:rPr>
                      <w:sz w:val="20"/>
                      <w:szCs w:val="20"/>
                    </w:rPr>
                    <w:t>8</w:t>
                  </w:r>
                  <w:r w:rsidR="00400360" w:rsidRPr="007B2A08">
                    <w:rPr>
                      <w:sz w:val="20"/>
                      <w:szCs w:val="20"/>
                    </w:rPr>
                    <w:t>7 EUR/1 paraugs (cenas kalkulācija pielikumā)</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7FE8680" w14:textId="5B34A26B" w:rsidR="00400360" w:rsidRPr="007B2A08" w:rsidRDefault="00400360" w:rsidP="00400360">
                  <w:pPr>
                    <w:jc w:val="center"/>
                    <w:rPr>
                      <w:sz w:val="20"/>
                      <w:szCs w:val="20"/>
                    </w:rPr>
                  </w:pPr>
                  <w:r w:rsidRPr="007B2A08">
                    <w:rPr>
                      <w:sz w:val="20"/>
                      <w:szCs w:val="20"/>
                    </w:rPr>
                    <w:t>744</w:t>
                  </w:r>
                </w:p>
              </w:tc>
              <w:tc>
                <w:tcPr>
                  <w:tcW w:w="1016" w:type="dxa"/>
                  <w:tcBorders>
                    <w:top w:val="nil"/>
                    <w:left w:val="nil"/>
                    <w:bottom w:val="single" w:sz="4" w:space="0" w:color="auto"/>
                    <w:right w:val="single" w:sz="4" w:space="0" w:color="auto"/>
                  </w:tcBorders>
                  <w:shd w:val="clear" w:color="auto" w:fill="auto"/>
                  <w:vAlign w:val="center"/>
                </w:tcPr>
                <w:p w14:paraId="7A7AD7AE" w14:textId="16A626B2" w:rsidR="00400360" w:rsidRPr="007B2A08" w:rsidRDefault="00400360" w:rsidP="00400360">
                  <w:pPr>
                    <w:jc w:val="center"/>
                    <w:rPr>
                      <w:sz w:val="20"/>
                      <w:szCs w:val="20"/>
                    </w:rPr>
                  </w:pPr>
                  <w:r w:rsidRPr="007B2A08">
                    <w:rPr>
                      <w:sz w:val="20"/>
                      <w:szCs w:val="20"/>
                    </w:rPr>
                    <w:t>61,87</w:t>
                  </w:r>
                </w:p>
              </w:tc>
              <w:tc>
                <w:tcPr>
                  <w:tcW w:w="1487" w:type="dxa"/>
                  <w:tcBorders>
                    <w:top w:val="nil"/>
                    <w:left w:val="nil"/>
                    <w:bottom w:val="single" w:sz="4" w:space="0" w:color="auto"/>
                    <w:right w:val="single" w:sz="4" w:space="0" w:color="auto"/>
                  </w:tcBorders>
                  <w:shd w:val="clear" w:color="auto" w:fill="auto"/>
                  <w:vAlign w:val="center"/>
                  <w:hideMark/>
                </w:tcPr>
                <w:p w14:paraId="55B11FBA" w14:textId="1C1698C8" w:rsidR="00400360" w:rsidRPr="007B2A08" w:rsidRDefault="00400360" w:rsidP="00400360">
                  <w:pPr>
                    <w:jc w:val="center"/>
                    <w:rPr>
                      <w:sz w:val="20"/>
                      <w:szCs w:val="20"/>
                    </w:rPr>
                  </w:pPr>
                  <w:r w:rsidRPr="007B2A08">
                    <w:rPr>
                      <w:sz w:val="20"/>
                      <w:szCs w:val="20"/>
                    </w:rPr>
                    <w:t>46 031,28</w:t>
                  </w:r>
                </w:p>
              </w:tc>
            </w:tr>
            <w:tr w:rsidR="007B2A08" w:rsidRPr="007B2A08" w14:paraId="40E00D54" w14:textId="77777777" w:rsidTr="00C054A4">
              <w:tc>
                <w:tcPr>
                  <w:tcW w:w="570" w:type="dxa"/>
                  <w:tcBorders>
                    <w:top w:val="single" w:sz="4" w:space="0" w:color="auto"/>
                    <w:left w:val="single" w:sz="4" w:space="0" w:color="auto"/>
                    <w:bottom w:val="single" w:sz="4" w:space="0" w:color="auto"/>
                    <w:right w:val="single" w:sz="4" w:space="0" w:color="auto"/>
                  </w:tcBorders>
                  <w:shd w:val="clear" w:color="000000" w:fill="FFFFFF"/>
                </w:tcPr>
                <w:p w14:paraId="32660D67" w14:textId="77777777" w:rsidR="00400360" w:rsidRPr="007B2A08" w:rsidRDefault="00400360" w:rsidP="00400360">
                  <w:pPr>
                    <w:rPr>
                      <w:sz w:val="20"/>
                      <w:szCs w:val="20"/>
                    </w:rPr>
                  </w:pPr>
                  <w:r w:rsidRPr="007B2A08">
                    <w:rPr>
                      <w:sz w:val="20"/>
                      <w:szCs w:val="20"/>
                    </w:rPr>
                    <w:t>4.2.</w:t>
                  </w:r>
                </w:p>
              </w:tc>
              <w:tc>
                <w:tcPr>
                  <w:tcW w:w="3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CF5D2" w14:textId="4357753F" w:rsidR="00400360" w:rsidRPr="007B2A08" w:rsidRDefault="00400360" w:rsidP="00400360">
                  <w:pPr>
                    <w:jc w:val="both"/>
                    <w:rPr>
                      <w:sz w:val="20"/>
                      <w:szCs w:val="20"/>
                    </w:rPr>
                  </w:pPr>
                  <w:r w:rsidRPr="007B2A08">
                    <w:rPr>
                      <w:sz w:val="20"/>
                      <w:szCs w:val="20"/>
                    </w:rPr>
                    <w:t>SARS-</w:t>
                  </w:r>
                  <w:proofErr w:type="spellStart"/>
                  <w:r w:rsidRPr="007B2A08">
                    <w:rPr>
                      <w:sz w:val="20"/>
                      <w:szCs w:val="20"/>
                    </w:rPr>
                    <w:t>CoV-2</w:t>
                  </w:r>
                  <w:proofErr w:type="spellEnd"/>
                  <w:r w:rsidRPr="007B2A08">
                    <w:rPr>
                      <w:sz w:val="20"/>
                      <w:szCs w:val="20"/>
                    </w:rPr>
                    <w:t xml:space="preserve"> mērķēta </w:t>
                  </w:r>
                  <w:proofErr w:type="spellStart"/>
                  <w:r w:rsidRPr="007B2A08">
                    <w:rPr>
                      <w:sz w:val="20"/>
                      <w:szCs w:val="20"/>
                    </w:rPr>
                    <w:t>sekvenēšana</w:t>
                  </w:r>
                  <w:proofErr w:type="spellEnd"/>
                  <w:r w:rsidRPr="007B2A08">
                    <w:rPr>
                      <w:sz w:val="20"/>
                      <w:szCs w:val="20"/>
                    </w:rPr>
                    <w:t xml:space="preserve"> (cena 111,01 EUR x 624 paraugi gadā</w:t>
                  </w:r>
                  <w:r w:rsidR="00BA546E" w:rsidRPr="007B2A08">
                    <w:rPr>
                      <w:sz w:val="20"/>
                      <w:szCs w:val="20"/>
                    </w:rPr>
                    <w:t xml:space="preserve"> (372 paraugi 7 mēnešos),</w:t>
                  </w:r>
                  <w:r w:rsidRPr="007B2A08">
                    <w:rPr>
                      <w:sz w:val="20"/>
                      <w:szCs w:val="20"/>
                    </w:rPr>
                    <w:t xml:space="preserve"> kalkulācija pielikumā)</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420F451E" w14:textId="45E9F5BE" w:rsidR="00400360" w:rsidRPr="007B2A08" w:rsidRDefault="00400360" w:rsidP="00400360">
                  <w:pPr>
                    <w:jc w:val="center"/>
                    <w:rPr>
                      <w:sz w:val="20"/>
                      <w:szCs w:val="20"/>
                    </w:rPr>
                  </w:pPr>
                  <w:r w:rsidRPr="007B2A08">
                    <w:rPr>
                      <w:sz w:val="20"/>
                      <w:szCs w:val="20"/>
                    </w:rPr>
                    <w:t>372</w:t>
                  </w:r>
                </w:p>
              </w:tc>
              <w:tc>
                <w:tcPr>
                  <w:tcW w:w="1016" w:type="dxa"/>
                  <w:tcBorders>
                    <w:top w:val="nil"/>
                    <w:left w:val="nil"/>
                    <w:bottom w:val="single" w:sz="4" w:space="0" w:color="auto"/>
                    <w:right w:val="single" w:sz="4" w:space="0" w:color="auto"/>
                  </w:tcBorders>
                  <w:shd w:val="clear" w:color="auto" w:fill="auto"/>
                  <w:vAlign w:val="center"/>
                </w:tcPr>
                <w:p w14:paraId="5EDB62D8" w14:textId="429D0B01" w:rsidR="00400360" w:rsidRPr="007B2A08" w:rsidRDefault="007B4330" w:rsidP="00400360">
                  <w:pPr>
                    <w:jc w:val="center"/>
                    <w:rPr>
                      <w:sz w:val="20"/>
                      <w:szCs w:val="20"/>
                    </w:rPr>
                  </w:pPr>
                  <w:r w:rsidRPr="007B2A08">
                    <w:rPr>
                      <w:sz w:val="20"/>
                      <w:szCs w:val="20"/>
                    </w:rPr>
                    <w:t>156,80</w:t>
                  </w:r>
                </w:p>
              </w:tc>
              <w:tc>
                <w:tcPr>
                  <w:tcW w:w="1487" w:type="dxa"/>
                  <w:tcBorders>
                    <w:top w:val="nil"/>
                    <w:left w:val="nil"/>
                    <w:bottom w:val="single" w:sz="4" w:space="0" w:color="auto"/>
                    <w:right w:val="single" w:sz="4" w:space="0" w:color="auto"/>
                  </w:tcBorders>
                  <w:shd w:val="clear" w:color="auto" w:fill="auto"/>
                  <w:vAlign w:val="center"/>
                  <w:hideMark/>
                </w:tcPr>
                <w:p w14:paraId="216BD53B" w14:textId="5B637024" w:rsidR="00400360" w:rsidRPr="007B2A08" w:rsidRDefault="007B4330" w:rsidP="00400360">
                  <w:pPr>
                    <w:jc w:val="center"/>
                    <w:rPr>
                      <w:sz w:val="20"/>
                      <w:szCs w:val="20"/>
                    </w:rPr>
                  </w:pPr>
                  <w:r w:rsidRPr="007B2A08">
                    <w:rPr>
                      <w:sz w:val="20"/>
                      <w:szCs w:val="20"/>
                    </w:rPr>
                    <w:t>58 329,60</w:t>
                  </w:r>
                </w:p>
              </w:tc>
            </w:tr>
            <w:tr w:rsidR="007B2A08" w:rsidRPr="007B2A08" w14:paraId="0395334E" w14:textId="77777777" w:rsidTr="00C054A4">
              <w:tc>
                <w:tcPr>
                  <w:tcW w:w="570" w:type="dxa"/>
                  <w:tcBorders>
                    <w:top w:val="single" w:sz="4" w:space="0" w:color="auto"/>
                    <w:left w:val="single" w:sz="4" w:space="0" w:color="auto"/>
                    <w:bottom w:val="single" w:sz="4" w:space="0" w:color="auto"/>
                    <w:right w:val="single" w:sz="4" w:space="0" w:color="auto"/>
                  </w:tcBorders>
                  <w:shd w:val="clear" w:color="000000" w:fill="FFFFFF"/>
                </w:tcPr>
                <w:p w14:paraId="578B8997" w14:textId="77777777" w:rsidR="00AE4D05" w:rsidRPr="007B2A08" w:rsidRDefault="00AE4D05" w:rsidP="00AE4D05">
                  <w:pPr>
                    <w:rPr>
                      <w:b/>
                      <w:bCs/>
                      <w:i/>
                      <w:iCs/>
                      <w:sz w:val="20"/>
                      <w:szCs w:val="20"/>
                    </w:rPr>
                  </w:pPr>
                </w:p>
              </w:tc>
              <w:tc>
                <w:tcPr>
                  <w:tcW w:w="3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2A56B3" w14:textId="77777777" w:rsidR="00AE4D05" w:rsidRPr="007B2A08" w:rsidRDefault="00AE4D05" w:rsidP="00AE4D05">
                  <w:pPr>
                    <w:jc w:val="right"/>
                    <w:rPr>
                      <w:b/>
                      <w:bCs/>
                      <w:i/>
                      <w:iCs/>
                      <w:sz w:val="20"/>
                      <w:szCs w:val="20"/>
                    </w:rPr>
                  </w:pPr>
                  <w:r w:rsidRPr="007B2A08">
                    <w:rPr>
                      <w:b/>
                      <w:bCs/>
                      <w:sz w:val="20"/>
                      <w:szCs w:val="20"/>
                    </w:rPr>
                    <w:t>Kopā</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CD9A2" w14:textId="77777777" w:rsidR="00AE4D05" w:rsidRPr="007B2A08" w:rsidRDefault="00AE4D05" w:rsidP="00AE4D05">
                  <w:pPr>
                    <w:jc w:val="center"/>
                    <w:rPr>
                      <w:b/>
                      <w:bCs/>
                      <w:i/>
                      <w:iCs/>
                      <w:sz w:val="20"/>
                      <w:szCs w:val="20"/>
                    </w:rPr>
                  </w:pPr>
                  <w:r w:rsidRPr="007B2A08">
                    <w:rPr>
                      <w:b/>
                      <w:bCs/>
                      <w:i/>
                      <w:iCs/>
                      <w:sz w:val="20"/>
                      <w:szCs w:val="20"/>
                    </w:rPr>
                    <w: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D45F611" w14:textId="77777777" w:rsidR="00AE4D05" w:rsidRPr="007B2A08" w:rsidRDefault="00AE4D05" w:rsidP="00AE4D05">
                  <w:pPr>
                    <w:jc w:val="center"/>
                    <w:rPr>
                      <w:b/>
                      <w:bCs/>
                      <w:i/>
                      <w:iCs/>
                      <w:sz w:val="20"/>
                      <w:szCs w:val="20"/>
                    </w:rPr>
                  </w:pPr>
                  <w:r w:rsidRPr="007B2A08">
                    <w:rPr>
                      <w:b/>
                      <w:bCs/>
                      <w:i/>
                      <w:iCs/>
                      <w:sz w:val="20"/>
                      <w:szCs w:val="20"/>
                    </w:rPr>
                    <w:t> </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3FFDB854" w14:textId="2DDB5038" w:rsidR="00AE4D05" w:rsidRPr="007B2A08" w:rsidRDefault="00B62AF7" w:rsidP="00AE4D05">
                  <w:pPr>
                    <w:jc w:val="center"/>
                    <w:rPr>
                      <w:b/>
                      <w:bCs/>
                      <w:sz w:val="20"/>
                      <w:szCs w:val="20"/>
                    </w:rPr>
                  </w:pPr>
                  <w:r w:rsidRPr="007B2A08">
                    <w:rPr>
                      <w:b/>
                      <w:bCs/>
                      <w:sz w:val="20"/>
                      <w:szCs w:val="20"/>
                    </w:rPr>
                    <w:t>3</w:t>
                  </w:r>
                  <w:r w:rsidR="00B71701" w:rsidRPr="007B2A08">
                    <w:rPr>
                      <w:b/>
                      <w:bCs/>
                      <w:sz w:val="20"/>
                      <w:szCs w:val="20"/>
                    </w:rPr>
                    <w:t>39</w:t>
                  </w:r>
                  <w:r w:rsidRPr="007B2A08">
                    <w:rPr>
                      <w:b/>
                      <w:bCs/>
                      <w:sz w:val="20"/>
                      <w:szCs w:val="20"/>
                    </w:rPr>
                    <w:t> </w:t>
                  </w:r>
                  <w:r w:rsidR="00B71701" w:rsidRPr="007B2A08">
                    <w:rPr>
                      <w:b/>
                      <w:bCs/>
                      <w:sz w:val="20"/>
                      <w:szCs w:val="20"/>
                    </w:rPr>
                    <w:t>429</w:t>
                  </w:r>
                  <w:r w:rsidRPr="007B2A08">
                    <w:rPr>
                      <w:b/>
                      <w:bCs/>
                      <w:sz w:val="20"/>
                      <w:szCs w:val="20"/>
                    </w:rPr>
                    <w:t>,</w:t>
                  </w:r>
                  <w:r w:rsidR="00B71701" w:rsidRPr="007B2A08">
                    <w:rPr>
                      <w:b/>
                      <w:bCs/>
                      <w:sz w:val="20"/>
                      <w:szCs w:val="20"/>
                    </w:rPr>
                    <w:t>92</w:t>
                  </w:r>
                </w:p>
              </w:tc>
            </w:tr>
          </w:tbl>
          <w:p w14:paraId="384E034F" w14:textId="30F8C500" w:rsidR="00D752B3" w:rsidRPr="007B2A08" w:rsidRDefault="00D752B3" w:rsidP="00226EC9">
            <w:pPr>
              <w:jc w:val="both"/>
            </w:pPr>
          </w:p>
        </w:tc>
      </w:tr>
      <w:tr w:rsidR="00241D22" w:rsidRPr="00E52A31" w14:paraId="3C7D3F16" w14:textId="77777777" w:rsidTr="009547D2">
        <w:tc>
          <w:tcPr>
            <w:tcW w:w="1702" w:type="dxa"/>
            <w:gridSpan w:val="2"/>
            <w:vAlign w:val="center"/>
          </w:tcPr>
          <w:p w14:paraId="28744203"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6.1. detalizēts ieņēmumu aprēķins</w:t>
            </w:r>
          </w:p>
        </w:tc>
        <w:tc>
          <w:tcPr>
            <w:tcW w:w="7654" w:type="dxa"/>
            <w:gridSpan w:val="9"/>
            <w:vMerge/>
            <w:shd w:val="clear" w:color="auto" w:fill="auto"/>
            <w:vAlign w:val="center"/>
          </w:tcPr>
          <w:p w14:paraId="0F153ACB" w14:textId="77777777" w:rsidR="00241D22" w:rsidRPr="007B2A08" w:rsidRDefault="00241D22" w:rsidP="00241D22">
            <w:pPr>
              <w:pStyle w:val="Bezatstarpm"/>
              <w:rPr>
                <w:rFonts w:ascii="Times New Roman" w:hAnsi="Times New Roman" w:cs="Times New Roman"/>
                <w:iCs/>
                <w:sz w:val="24"/>
                <w:szCs w:val="24"/>
                <w:lang w:eastAsia="lv-LV"/>
              </w:rPr>
            </w:pPr>
          </w:p>
        </w:tc>
      </w:tr>
      <w:tr w:rsidR="00241D22" w:rsidRPr="00E52A31" w14:paraId="7334AF39" w14:textId="77777777" w:rsidTr="00F8166A">
        <w:tc>
          <w:tcPr>
            <w:tcW w:w="1702" w:type="dxa"/>
            <w:gridSpan w:val="2"/>
          </w:tcPr>
          <w:p w14:paraId="2BE9F175" w14:textId="77777777" w:rsidR="00241D22" w:rsidRPr="00E52A31" w:rsidRDefault="00241D22" w:rsidP="00F8166A">
            <w:pPr>
              <w:pStyle w:val="Bezatstarpm"/>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6.2. detalizēts izdevumu aprēķins</w:t>
            </w:r>
          </w:p>
        </w:tc>
        <w:tc>
          <w:tcPr>
            <w:tcW w:w="7654" w:type="dxa"/>
            <w:gridSpan w:val="9"/>
            <w:vMerge/>
            <w:shd w:val="clear" w:color="auto" w:fill="auto"/>
            <w:vAlign w:val="center"/>
          </w:tcPr>
          <w:p w14:paraId="48E0CD66" w14:textId="77777777" w:rsidR="00241D22" w:rsidRPr="007B2A08" w:rsidRDefault="00241D22" w:rsidP="00241D22">
            <w:pPr>
              <w:pStyle w:val="Bezatstarpm"/>
              <w:rPr>
                <w:rFonts w:ascii="Times New Roman" w:hAnsi="Times New Roman" w:cs="Times New Roman"/>
                <w:iCs/>
                <w:sz w:val="24"/>
                <w:szCs w:val="24"/>
                <w:lang w:eastAsia="lv-LV"/>
              </w:rPr>
            </w:pPr>
          </w:p>
        </w:tc>
      </w:tr>
      <w:tr w:rsidR="00241D22" w:rsidRPr="00E52A31" w14:paraId="3CA70363" w14:textId="77777777" w:rsidTr="002074A4">
        <w:tc>
          <w:tcPr>
            <w:tcW w:w="1702" w:type="dxa"/>
            <w:gridSpan w:val="2"/>
            <w:vAlign w:val="center"/>
          </w:tcPr>
          <w:p w14:paraId="4733107F" w14:textId="77777777" w:rsidR="00241D22" w:rsidRPr="00E52A31" w:rsidRDefault="00241D22" w:rsidP="00241D22">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7. Amata vietu skaita izmaiņas</w:t>
            </w:r>
          </w:p>
        </w:tc>
        <w:tc>
          <w:tcPr>
            <w:tcW w:w="7654" w:type="dxa"/>
            <w:gridSpan w:val="9"/>
            <w:vAlign w:val="center"/>
          </w:tcPr>
          <w:p w14:paraId="0D0CBC78" w14:textId="77777777" w:rsidR="00241D22" w:rsidRPr="007B2A08" w:rsidRDefault="00241D22" w:rsidP="00241D22">
            <w:pPr>
              <w:pStyle w:val="Bezatstarpm"/>
              <w:rPr>
                <w:rFonts w:ascii="Times New Roman" w:hAnsi="Times New Roman" w:cs="Times New Roman"/>
                <w:iCs/>
                <w:sz w:val="24"/>
                <w:szCs w:val="24"/>
                <w:lang w:eastAsia="lv-LV"/>
              </w:rPr>
            </w:pPr>
            <w:r w:rsidRPr="007B2A08">
              <w:rPr>
                <w:rFonts w:ascii="Times New Roman" w:hAnsi="Times New Roman" w:cs="Times New Roman"/>
                <w:sz w:val="24"/>
              </w:rPr>
              <w:t>Projekts šo jomu neskar.</w:t>
            </w:r>
          </w:p>
        </w:tc>
      </w:tr>
      <w:tr w:rsidR="00241D22" w:rsidRPr="00E52A31" w14:paraId="4EA8E85A" w14:textId="77777777" w:rsidTr="008D244E">
        <w:tc>
          <w:tcPr>
            <w:tcW w:w="1702" w:type="dxa"/>
            <w:gridSpan w:val="2"/>
          </w:tcPr>
          <w:p w14:paraId="6E39C4DA" w14:textId="77777777" w:rsidR="00241D22" w:rsidRPr="00E52A31" w:rsidRDefault="00241D22" w:rsidP="008D244E">
            <w:pPr>
              <w:pStyle w:val="Bezatstarpm"/>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8. Cita informācija</w:t>
            </w:r>
          </w:p>
        </w:tc>
        <w:tc>
          <w:tcPr>
            <w:tcW w:w="7654" w:type="dxa"/>
            <w:gridSpan w:val="9"/>
            <w:vAlign w:val="center"/>
          </w:tcPr>
          <w:p w14:paraId="79E02AD1" w14:textId="785255D1" w:rsidR="00CB1152" w:rsidRPr="007B2A08" w:rsidRDefault="00CB1152" w:rsidP="00CB1152">
            <w:pPr>
              <w:shd w:val="clear" w:color="auto" w:fill="FFFFFF"/>
              <w:jc w:val="both"/>
            </w:pPr>
            <w:r w:rsidRPr="007B2A08">
              <w:t>Plānotā finansējuma piešķiršana institūtam BIOR nav kvalificējama kā atbalsts saimnieciskās darbības veikšanai (atbalsts komercdarbībai)</w:t>
            </w:r>
            <w:r w:rsidR="00D60195" w:rsidRPr="007B2A08">
              <w:t>, pamatojoties uz normatīvajos aktos noteiktajām funkcijām un valsts pārvaldes uzdevumiem:</w:t>
            </w:r>
          </w:p>
          <w:p w14:paraId="488471B5" w14:textId="29C6086E" w:rsidR="00D60195" w:rsidRPr="007B2A08" w:rsidRDefault="00D60195" w:rsidP="00FF229D">
            <w:pPr>
              <w:shd w:val="clear" w:color="auto" w:fill="FFFFFF"/>
              <w:jc w:val="both"/>
            </w:pPr>
            <w:r w:rsidRPr="007B2A08">
              <w:lastRenderedPageBreak/>
              <w:t xml:space="preserve">1) </w:t>
            </w:r>
            <w:r w:rsidR="00CB1152" w:rsidRPr="007B2A08">
              <w:t>Ministru kabineta 2009. gada 19. oktobra rīkojum</w:t>
            </w:r>
            <w:r w:rsidR="00FF229D" w:rsidRPr="007B2A08">
              <w:t>a</w:t>
            </w:r>
            <w:r w:rsidR="00CB1152" w:rsidRPr="007B2A08">
              <w:t xml:space="preserve"> Nr. 714 “Par Pārtikas un veterinārā dienesta un valsts aģentūras “Latvijas Zivju resursu aģentūra” reorganizāciju un valsts zinātniskā institūta “Pārtikas drošības, dzīvnieku veselības un vides zinātniskais institūts “BIOR”” izveidi” </w:t>
            </w:r>
            <w:r w:rsidR="00FF229D" w:rsidRPr="007B2A08">
              <w:t>6.1. apakšpunktā noteiktas institūta BIOR galvenās funkcijas</w:t>
            </w:r>
            <w:r w:rsidRPr="007B2A08">
              <w:t xml:space="preserve"> zinātniskās darbības jomā</w:t>
            </w:r>
            <w:r w:rsidR="00FF229D" w:rsidRPr="007B2A08">
              <w:t xml:space="preserve"> –</w:t>
            </w:r>
            <w:r w:rsidRPr="007B2A08">
              <w:t xml:space="preserve"> veikt zinātnisko darbību veterinārmedicīnas, pārtikas kvalitātes un nekaitīguma, zivsaimniecības un sabiedrības veselības jomā</w:t>
            </w:r>
            <w:r w:rsidR="00D753CC">
              <w:t>,</w:t>
            </w:r>
            <w:r w:rsidR="00FF229D" w:rsidRPr="007B2A08">
              <w:t xml:space="preserve"> </w:t>
            </w:r>
            <w:r w:rsidRPr="007B2A08">
              <w:t>atbilstoši kompetencei īstenot zinātniskajai darbībai un valsts monitoringa vajadzībām nepieciešamo datu vākšanas programmu izpildi</w:t>
            </w:r>
            <w:r w:rsidR="00FF229D" w:rsidRPr="007B2A08">
              <w:t xml:space="preserve">, tostarp </w:t>
            </w:r>
            <w:r w:rsidRPr="007B2A08">
              <w:t xml:space="preserve">dzīvnieku infekcijas slimību (arī </w:t>
            </w:r>
            <w:proofErr w:type="spellStart"/>
            <w:r w:rsidRPr="007B2A08">
              <w:t>zoonožu</w:t>
            </w:r>
            <w:proofErr w:type="spellEnd"/>
            <w:r w:rsidRPr="007B2A08">
              <w:t>) jomā</w:t>
            </w:r>
            <w:r w:rsidR="00D753CC">
              <w:t>,</w:t>
            </w:r>
            <w:r w:rsidRPr="007B2A08">
              <w:t xml:space="preserve"> īstenot pētījumu projektus, lai novērtētu risku pārtikas nekaitīguma un dzīvnieku infekcijas slimību (arī </w:t>
            </w:r>
            <w:proofErr w:type="spellStart"/>
            <w:r w:rsidRPr="007B2A08">
              <w:t>zoonožu</w:t>
            </w:r>
            <w:proofErr w:type="spellEnd"/>
            <w:r w:rsidRPr="007B2A08">
              <w:t xml:space="preserve">) jomā, nodrošinot efektīvu sadarbību ar minētās jomas institūcijām, citām zinātniskajām institūcijām un organizācijām, un sniegt informāciju riska vadības nodrošināšanai dzīvnieku infekcijas slimību (arī </w:t>
            </w:r>
            <w:proofErr w:type="spellStart"/>
            <w:r w:rsidRPr="007B2A08">
              <w:t>zoonožu</w:t>
            </w:r>
            <w:proofErr w:type="spellEnd"/>
            <w:r w:rsidRPr="007B2A08">
              <w:t>) jomā</w:t>
            </w:r>
            <w:r w:rsidR="00FF229D" w:rsidRPr="007B2A08">
              <w:t>.</w:t>
            </w:r>
          </w:p>
          <w:p w14:paraId="3C763715" w14:textId="2D3E375C" w:rsidR="008705EC" w:rsidRPr="007B2A08" w:rsidRDefault="00D60195" w:rsidP="008900D6">
            <w:pPr>
              <w:shd w:val="clear" w:color="auto" w:fill="FFFFFF"/>
              <w:jc w:val="both"/>
            </w:pPr>
            <w:r w:rsidRPr="007B2A08">
              <w:t xml:space="preserve">2) </w:t>
            </w:r>
            <w:r w:rsidR="008705EC" w:rsidRPr="007B2A08">
              <w:t>Veterinārmedicīnas likuma 11. panta pirmās daļas 1. punktā noteikts, ka institūts BIOR veic</w:t>
            </w:r>
            <w:r w:rsidR="00015063" w:rsidRPr="007B2A08">
              <w:t xml:space="preserve"> </w:t>
            </w:r>
            <w:r w:rsidR="00015063" w:rsidRPr="007B2A08">
              <w:rPr>
                <w:shd w:val="clear" w:color="auto" w:fill="FFFFFF"/>
              </w:rPr>
              <w:t>laboratoriskos un diagnostiskos izmeklējumus</w:t>
            </w:r>
            <w:r w:rsidR="00662A90" w:rsidRPr="007B2A08">
              <w:rPr>
                <w:shd w:val="clear" w:color="auto" w:fill="FFFFFF"/>
              </w:rPr>
              <w:t xml:space="preserve"> un </w:t>
            </w:r>
            <w:r w:rsidR="00D753CC">
              <w:rPr>
                <w:shd w:val="clear" w:color="auto" w:fill="FFFFFF"/>
              </w:rPr>
              <w:t xml:space="preserve">pilda </w:t>
            </w:r>
            <w:r w:rsidR="00015063" w:rsidRPr="007B2A08">
              <w:rPr>
                <w:shd w:val="clear" w:color="auto" w:fill="FFFFFF"/>
              </w:rPr>
              <w:t xml:space="preserve">references funkcijas </w:t>
            </w:r>
            <w:r w:rsidR="00613390" w:rsidRPr="007B2A08">
              <w:rPr>
                <w:shd w:val="clear" w:color="auto" w:fill="FFFFFF"/>
              </w:rPr>
              <w:t xml:space="preserve">dzīvnieku infekcijas slimību </w:t>
            </w:r>
            <w:r w:rsidR="00015063" w:rsidRPr="007B2A08">
              <w:rPr>
                <w:shd w:val="clear" w:color="auto" w:fill="FFFFFF"/>
              </w:rPr>
              <w:t xml:space="preserve">uzraudzības jomās, </w:t>
            </w:r>
            <w:r w:rsidR="00662A90" w:rsidRPr="007B2A08">
              <w:rPr>
                <w:shd w:val="clear" w:color="auto" w:fill="FFFFFF"/>
              </w:rPr>
              <w:t xml:space="preserve">tostarp </w:t>
            </w:r>
            <w:proofErr w:type="spellStart"/>
            <w:r w:rsidR="00613390" w:rsidRPr="007B2A08">
              <w:rPr>
                <w:shd w:val="clear" w:color="auto" w:fill="FFFFFF"/>
              </w:rPr>
              <w:t>zoonožu</w:t>
            </w:r>
            <w:proofErr w:type="spellEnd"/>
            <w:r w:rsidR="00613390" w:rsidRPr="007B2A08">
              <w:rPr>
                <w:shd w:val="clear" w:color="auto" w:fill="FFFFFF"/>
              </w:rPr>
              <w:t xml:space="preserve"> </w:t>
            </w:r>
            <w:r w:rsidR="00613390" w:rsidRPr="007B2A08">
              <w:t>jomā;</w:t>
            </w:r>
          </w:p>
          <w:p w14:paraId="39ABC78C" w14:textId="55BBBA3D" w:rsidR="008705EC" w:rsidRPr="007B2A08" w:rsidRDefault="008705EC" w:rsidP="008900D6">
            <w:pPr>
              <w:shd w:val="clear" w:color="auto" w:fill="FFFFFF"/>
              <w:jc w:val="both"/>
            </w:pPr>
            <w:r w:rsidRPr="007B2A08">
              <w:t xml:space="preserve">3) </w:t>
            </w:r>
            <w:r w:rsidR="005E1D9B" w:rsidRPr="007B2A08">
              <w:t>atbilstoši V</w:t>
            </w:r>
            <w:r w:rsidR="00D60195" w:rsidRPr="007B2A08">
              <w:t>eterinārmedicīnas likuma 11. panta pirmās daļas 3. punktā noteikt</w:t>
            </w:r>
            <w:r w:rsidR="005E1D9B" w:rsidRPr="007B2A08">
              <w:t>ajam</w:t>
            </w:r>
            <w:r w:rsidR="00D60195" w:rsidRPr="007B2A08">
              <w:t xml:space="preserve"> institūts BIOR veic </w:t>
            </w:r>
            <w:r w:rsidR="00CB1152" w:rsidRPr="007B2A08">
              <w:t>riska novērtēšanu dzīvnieku veselības un sabiedrības veselības jomā</w:t>
            </w:r>
            <w:r w:rsidRPr="007B2A08">
              <w:t>;</w:t>
            </w:r>
          </w:p>
          <w:p w14:paraId="27F88EA9" w14:textId="38861298" w:rsidR="000651A4" w:rsidRPr="007B2A08" w:rsidRDefault="008705EC" w:rsidP="000651A4">
            <w:pPr>
              <w:pStyle w:val="Virsraksts3"/>
              <w:shd w:val="clear" w:color="auto" w:fill="FFFFFF"/>
              <w:spacing w:before="0" w:beforeAutospacing="0" w:after="0" w:afterAutospacing="0"/>
              <w:jc w:val="both"/>
              <w:outlineLvl w:val="2"/>
              <w:rPr>
                <w:b w:val="0"/>
                <w:bCs w:val="0"/>
                <w:sz w:val="24"/>
                <w:szCs w:val="24"/>
              </w:rPr>
            </w:pPr>
            <w:r w:rsidRPr="007B2A08">
              <w:rPr>
                <w:b w:val="0"/>
                <w:bCs w:val="0"/>
                <w:sz w:val="24"/>
                <w:szCs w:val="24"/>
              </w:rPr>
              <w:t xml:space="preserve">4) </w:t>
            </w:r>
            <w:r w:rsidR="0008511A" w:rsidRPr="007B2A08">
              <w:rPr>
                <w:b w:val="0"/>
                <w:bCs w:val="0"/>
                <w:sz w:val="24"/>
                <w:szCs w:val="24"/>
              </w:rPr>
              <w:t xml:space="preserve">saskaņā ar </w:t>
            </w:r>
            <w:r w:rsidRPr="007B2A08">
              <w:rPr>
                <w:b w:val="0"/>
                <w:bCs w:val="0"/>
                <w:sz w:val="24"/>
                <w:szCs w:val="24"/>
              </w:rPr>
              <w:t>Pārtikas aprites uzraudzības likum</w:t>
            </w:r>
            <w:r w:rsidR="0008511A" w:rsidRPr="007B2A08">
              <w:rPr>
                <w:b w:val="0"/>
                <w:bCs w:val="0"/>
                <w:sz w:val="24"/>
                <w:szCs w:val="24"/>
              </w:rPr>
              <w:t>a 22.</w:t>
            </w:r>
            <w:r w:rsidR="0008511A" w:rsidRPr="007B2A08">
              <w:rPr>
                <w:b w:val="0"/>
                <w:bCs w:val="0"/>
                <w:sz w:val="24"/>
                <w:szCs w:val="24"/>
                <w:vertAlign w:val="superscript"/>
              </w:rPr>
              <w:t>2</w:t>
            </w:r>
            <w:r w:rsidR="0008511A" w:rsidRPr="007B2A08">
              <w:rPr>
                <w:b w:val="0"/>
                <w:bCs w:val="0"/>
                <w:sz w:val="24"/>
                <w:szCs w:val="24"/>
              </w:rPr>
              <w:t> panta</w:t>
            </w:r>
            <w:r w:rsidR="000651A4" w:rsidRPr="007B2A08">
              <w:rPr>
                <w:b w:val="0"/>
                <w:bCs w:val="0"/>
                <w:sz w:val="24"/>
                <w:szCs w:val="24"/>
              </w:rPr>
              <w:t xml:space="preserve"> ceturtās daļas 1. punktu</w:t>
            </w:r>
            <w:r w:rsidR="000651A4" w:rsidRPr="007B2A08">
              <w:rPr>
                <w:b w:val="0"/>
                <w:bCs w:val="0"/>
                <w:sz w:val="24"/>
                <w:szCs w:val="24"/>
                <w:shd w:val="clear" w:color="auto" w:fill="FFFFFF"/>
              </w:rPr>
              <w:t xml:space="preserve"> veic Eiropas Pārtikas nekaitīguma iestādes (EFSA) nacionālā kontaktpunkta funkcijas Latvijā. </w:t>
            </w:r>
            <w:r w:rsidR="000651A4" w:rsidRPr="007B2A08">
              <w:rPr>
                <w:b w:val="0"/>
                <w:bCs w:val="0"/>
                <w:sz w:val="24"/>
                <w:szCs w:val="24"/>
              </w:rPr>
              <w:t>Nacionālais kontaktpunkts nodrošina informācijas apmaiņu un sadarbību starp nacionālajām institūcijām, kā arī interesentu konsultēšanu un informēšanu par EFSA misijas jomām (</w:t>
            </w:r>
            <w:r w:rsidR="000651A4" w:rsidRPr="007B2A08">
              <w:rPr>
                <w:rFonts w:eastAsiaTheme="minorHAnsi"/>
                <w:b w:val="0"/>
                <w:bCs w:val="0"/>
                <w:sz w:val="24"/>
                <w:szCs w:val="24"/>
              </w:rPr>
              <w:t>veicināt augstu cilvēku dzīvības un veselības aizsardzības līmeni, ņemot vērā dzīvnieku veselību un labturību, augu veselību un vidi);</w:t>
            </w:r>
          </w:p>
          <w:p w14:paraId="7D062047" w14:textId="73BDA957" w:rsidR="007A3632" w:rsidRPr="007B2A08" w:rsidRDefault="005E1D9B" w:rsidP="008900D6">
            <w:pPr>
              <w:shd w:val="clear" w:color="auto" w:fill="FFFFFF"/>
              <w:jc w:val="both"/>
              <w:rPr>
                <w:rFonts w:ascii="Arial" w:hAnsi="Arial" w:cs="Arial"/>
                <w:sz w:val="20"/>
                <w:szCs w:val="20"/>
                <w:shd w:val="clear" w:color="auto" w:fill="FFFFFF"/>
              </w:rPr>
            </w:pPr>
            <w:r w:rsidRPr="007B2A08">
              <w:t>5) Pārtikas aprites uzraudzības likuma 22.</w:t>
            </w:r>
            <w:r w:rsidRPr="007B2A08">
              <w:rPr>
                <w:vertAlign w:val="superscript"/>
              </w:rPr>
              <w:t>2</w:t>
            </w:r>
            <w:r w:rsidRPr="007B2A08">
              <w:t xml:space="preserve"> panta ceturtās daļas 3. punktā dots uzdevums vākt </w:t>
            </w:r>
            <w:r w:rsidR="007A3632" w:rsidRPr="007B2A08">
              <w:t xml:space="preserve">un analizēt </w:t>
            </w:r>
            <w:r w:rsidRPr="007B2A08">
              <w:t xml:space="preserve">datus </w:t>
            </w:r>
            <w:r w:rsidR="007A3632" w:rsidRPr="007B2A08">
              <w:t>un informāciju, lai novērtētu riska faktorus, kam ir tieša vai netieša ietekme uz cilvēku, dzīvnieku, augu veselību</w:t>
            </w:r>
            <w:r w:rsidR="003518FF" w:rsidRPr="007B2A08">
              <w:t>.</w:t>
            </w:r>
          </w:p>
          <w:p w14:paraId="7378C3F2" w14:textId="30871990" w:rsidR="00FF229D" w:rsidRPr="007B2A08" w:rsidRDefault="00CB1152" w:rsidP="00FF229D">
            <w:pPr>
              <w:shd w:val="clear" w:color="auto" w:fill="FFFFFF"/>
              <w:jc w:val="both"/>
            </w:pPr>
            <w:r w:rsidRPr="007B2A08">
              <w:t xml:space="preserve">Notekūdeņu monitorings, </w:t>
            </w:r>
            <w:r w:rsidR="00E04134" w:rsidRPr="007B2A08">
              <w:t xml:space="preserve">paraugu savākšana, </w:t>
            </w:r>
            <w:r w:rsidRPr="007B2A08">
              <w:t xml:space="preserve">izmeklējumu veikšana </w:t>
            </w:r>
            <w:r w:rsidR="00E04134" w:rsidRPr="007B2A08">
              <w:t>SARS-</w:t>
            </w:r>
            <w:proofErr w:type="spellStart"/>
            <w:r w:rsidR="00E04134" w:rsidRPr="007B2A08">
              <w:t>CoV-2</w:t>
            </w:r>
            <w:proofErr w:type="spellEnd"/>
            <w:r w:rsidR="00E04134" w:rsidRPr="007B2A08">
              <w:t xml:space="preserve"> klātbūtnes konstatēšanai un genoma </w:t>
            </w:r>
            <w:proofErr w:type="spellStart"/>
            <w:r w:rsidR="00E04134" w:rsidRPr="007B2A08">
              <w:t>sekvenēšanai</w:t>
            </w:r>
            <w:proofErr w:type="spellEnd"/>
            <w:r w:rsidR="00E04134" w:rsidRPr="007B2A08">
              <w:t>, rezultātu analīze un</w:t>
            </w:r>
            <w:r w:rsidRPr="007B2A08">
              <w:t xml:space="preserve"> paraugu </w:t>
            </w:r>
            <w:proofErr w:type="spellStart"/>
            <w:r w:rsidRPr="007B2A08">
              <w:t>biobankas</w:t>
            </w:r>
            <w:proofErr w:type="spellEnd"/>
            <w:r w:rsidRPr="007B2A08">
              <w:t xml:space="preserve"> veidošana</w:t>
            </w:r>
            <w:r w:rsidR="0098406D" w:rsidRPr="007B2A08">
              <w:t xml:space="preserve"> (datu vākšana)</w:t>
            </w:r>
            <w:r w:rsidR="00E04134" w:rsidRPr="007B2A08">
              <w:t xml:space="preserve"> ir viens no </w:t>
            </w:r>
            <w:r w:rsidR="0098406D" w:rsidRPr="007B2A08">
              <w:t>m</w:t>
            </w:r>
            <w:r w:rsidR="00E04134" w:rsidRPr="007B2A08">
              <w:t xml:space="preserve">ehānismiem, lai </w:t>
            </w:r>
            <w:r w:rsidR="00991F3E" w:rsidRPr="007B2A08">
              <w:t xml:space="preserve">institūts BIOR nodrošinātu Veterinārmedicīnas likuma 11. panta pirmās daļas 3. punktā noteiktās funkciju – </w:t>
            </w:r>
            <w:r w:rsidR="00D753CC">
              <w:t>novērtēt</w:t>
            </w:r>
            <w:r w:rsidR="00991F3E" w:rsidRPr="007B2A08">
              <w:t xml:space="preserve"> risku dzīvnieku veselības un sabiedrības veselības jomā – izpildi, </w:t>
            </w:r>
            <w:r w:rsidR="00E04134" w:rsidRPr="007B2A08">
              <w:t xml:space="preserve">noteiktu riska faktorus un </w:t>
            </w:r>
            <w:r w:rsidRPr="007B2A08">
              <w:t>lai</w:t>
            </w:r>
            <w:r w:rsidR="00D753CC">
              <w:t>kus</w:t>
            </w:r>
            <w:r w:rsidRPr="007B2A08">
              <w:t xml:space="preserve"> </w:t>
            </w:r>
            <w:r w:rsidR="00D753CC">
              <w:t xml:space="preserve">prognozētu </w:t>
            </w:r>
            <w:proofErr w:type="spellStart"/>
            <w:r w:rsidRPr="007B2A08">
              <w:t>Covid-19</w:t>
            </w:r>
            <w:proofErr w:type="spellEnd"/>
            <w:r w:rsidRPr="007B2A08">
              <w:t xml:space="preserve"> uzliesmojumu</w:t>
            </w:r>
            <w:r w:rsidR="00D753CC">
              <w:t>,</w:t>
            </w:r>
            <w:r w:rsidRPr="007B2A08">
              <w:t xml:space="preserve"> īpaši </w:t>
            </w:r>
            <w:r w:rsidR="00D753CC">
              <w:t xml:space="preserve">atklātu </w:t>
            </w:r>
            <w:r w:rsidRPr="007B2A08">
              <w:t xml:space="preserve">jaunu </w:t>
            </w:r>
            <w:r w:rsidR="00A97A45" w:rsidRPr="007B2A08">
              <w:t>SARS-</w:t>
            </w:r>
            <w:proofErr w:type="spellStart"/>
            <w:r w:rsidR="00A97A45" w:rsidRPr="007B2A08">
              <w:t>CoV-2</w:t>
            </w:r>
            <w:proofErr w:type="spellEnd"/>
            <w:r w:rsidR="00A97A45" w:rsidRPr="007B2A08">
              <w:t xml:space="preserve"> variantu</w:t>
            </w:r>
            <w:r w:rsidRPr="007B2A08">
              <w:t xml:space="preserve"> izplatīb</w:t>
            </w:r>
            <w:r w:rsidR="00E04134" w:rsidRPr="007B2A08">
              <w:t xml:space="preserve">u, tā nodrošinot sabiedrības un dzīvnieku veselības aizsardzību, </w:t>
            </w:r>
            <w:r w:rsidR="00D753CC">
              <w:t>jo</w:t>
            </w:r>
            <w:r w:rsidR="00E04134" w:rsidRPr="007B2A08">
              <w:t xml:space="preserve"> </w:t>
            </w:r>
            <w:proofErr w:type="spellStart"/>
            <w:r w:rsidR="00E04134" w:rsidRPr="007B2A08">
              <w:t>Covid-19</w:t>
            </w:r>
            <w:proofErr w:type="spellEnd"/>
            <w:r w:rsidR="00E04134" w:rsidRPr="007B2A08">
              <w:t xml:space="preserve"> i</w:t>
            </w:r>
            <w:r w:rsidR="00A97A45" w:rsidRPr="007B2A08">
              <w:t>r</w:t>
            </w:r>
            <w:r w:rsidR="00E04134" w:rsidRPr="007B2A08">
              <w:t xml:space="preserve"> zoonoze, ar kuru var inficēties gan </w:t>
            </w:r>
            <w:r w:rsidR="00A97A45" w:rsidRPr="007B2A08">
              <w:t>cilvēki gan dzīvnieki.</w:t>
            </w:r>
          </w:p>
          <w:p w14:paraId="2F82F976" w14:textId="49EC713E" w:rsidR="006C05CD" w:rsidRPr="007B2A08" w:rsidRDefault="00A97A45">
            <w:pPr>
              <w:shd w:val="clear" w:color="auto" w:fill="FFFFFF"/>
              <w:jc w:val="both"/>
            </w:pPr>
            <w:r w:rsidRPr="007B2A08">
              <w:t xml:space="preserve">Institūts </w:t>
            </w:r>
            <w:r w:rsidR="008900D6" w:rsidRPr="007B2A08">
              <w:t>BIOR jau vairāku</w:t>
            </w:r>
            <w:r w:rsidR="004A145C">
              <w:t>s</w:t>
            </w:r>
            <w:r w:rsidR="008900D6" w:rsidRPr="007B2A08">
              <w:t xml:space="preserve"> gadu</w:t>
            </w:r>
            <w:r w:rsidR="004A145C">
              <w:t>s</w:t>
            </w:r>
            <w:r w:rsidR="008900D6" w:rsidRPr="007B2A08">
              <w:t xml:space="preserve"> strādā pie pētījumiem saistībā ar farmaceitisko vielu un to metabolītu, kā arī citu piesārņotāju izplatību notekūdens sistēmās un vidē, </w:t>
            </w:r>
            <w:r w:rsidR="004A145C">
              <w:t xml:space="preserve">un </w:t>
            </w:r>
            <w:r w:rsidR="008900D6" w:rsidRPr="007B2A08">
              <w:t>šī pieeja ir izmantota arī 2020. gadā SARS-</w:t>
            </w:r>
            <w:proofErr w:type="spellStart"/>
            <w:r w:rsidR="008900D6" w:rsidRPr="007B2A08">
              <w:t>CoV-2</w:t>
            </w:r>
            <w:proofErr w:type="spellEnd"/>
            <w:r w:rsidR="008900D6" w:rsidRPr="007B2A08">
              <w:t xml:space="preserve"> vīrusa </w:t>
            </w:r>
            <w:r w:rsidRPr="007B2A08">
              <w:t>klātbūtnes pētīšanai notekūdeņos</w:t>
            </w:r>
            <w:r w:rsidR="008900D6" w:rsidRPr="007B2A08">
              <w:t>.</w:t>
            </w:r>
          </w:p>
        </w:tc>
      </w:tr>
      <w:tr w:rsidR="007F6F87" w:rsidRPr="00E52A31" w14:paraId="51E94E59" w14:textId="77777777" w:rsidTr="006936E5">
        <w:tc>
          <w:tcPr>
            <w:tcW w:w="9356" w:type="dxa"/>
            <w:gridSpan w:val="11"/>
          </w:tcPr>
          <w:p w14:paraId="6A797E25" w14:textId="54A2676F" w:rsidR="007F6F87" w:rsidRPr="00E52A31" w:rsidRDefault="004118C9" w:rsidP="003903BF">
            <w:pPr>
              <w:pStyle w:val="Bezatstarpm"/>
              <w:jc w:val="center"/>
              <w:rPr>
                <w:rFonts w:ascii="Times New Roman" w:hAnsi="Times New Roman" w:cs="Times New Roman"/>
                <w:b/>
                <w:sz w:val="24"/>
                <w:szCs w:val="24"/>
                <w:lang w:eastAsia="lv-LV"/>
              </w:rPr>
            </w:pPr>
            <w:r>
              <w:rPr>
                <w:rFonts w:ascii="Times New Roman" w:hAnsi="Times New Roman" w:cs="Times New Roman"/>
                <w:b/>
                <w:iCs/>
                <w:sz w:val="24"/>
                <w:szCs w:val="24"/>
                <w:lang w:eastAsia="lv-LV"/>
              </w:rPr>
              <w:lastRenderedPageBreak/>
              <w:t xml:space="preserve"> </w:t>
            </w:r>
            <w:r w:rsidR="007F6F87" w:rsidRPr="00E52A31">
              <w:rPr>
                <w:rFonts w:ascii="Times New Roman" w:hAnsi="Times New Roman" w:cs="Times New Roman"/>
                <w:b/>
                <w:iCs/>
                <w:sz w:val="24"/>
                <w:szCs w:val="24"/>
                <w:lang w:eastAsia="lv-LV"/>
              </w:rPr>
              <w:t>IV. Tiesību akta projekta ietekme uz spēkā esošo tiesību normu sistēmu</w:t>
            </w:r>
          </w:p>
        </w:tc>
      </w:tr>
      <w:tr w:rsidR="007F6F87" w:rsidRPr="00E52A31" w14:paraId="164D453D" w14:textId="77777777" w:rsidTr="006936E5">
        <w:tc>
          <w:tcPr>
            <w:tcW w:w="9356" w:type="dxa"/>
            <w:gridSpan w:val="11"/>
          </w:tcPr>
          <w:p w14:paraId="7E6F7E4D" w14:textId="77777777" w:rsidR="007F6F87" w:rsidRPr="00E52A31" w:rsidRDefault="007F6F87" w:rsidP="003903BF">
            <w:pPr>
              <w:pStyle w:val="Bezatstarpm"/>
              <w:jc w:val="center"/>
              <w:rPr>
                <w:rFonts w:ascii="Times New Roman" w:hAnsi="Times New Roman" w:cs="Times New Roman"/>
                <w:sz w:val="24"/>
                <w:szCs w:val="24"/>
                <w:lang w:eastAsia="lv-LV"/>
              </w:rPr>
            </w:pPr>
            <w:r w:rsidRPr="00E52A31">
              <w:rPr>
                <w:rFonts w:ascii="Times New Roman" w:hAnsi="Times New Roman" w:cs="Times New Roman"/>
                <w:sz w:val="24"/>
                <w:szCs w:val="24"/>
                <w:lang w:eastAsia="lv-LV"/>
              </w:rPr>
              <w:t>Projekts šo jomu neskar</w:t>
            </w:r>
            <w:r w:rsidR="007272A8" w:rsidRPr="00E52A31">
              <w:rPr>
                <w:rFonts w:ascii="Times New Roman" w:hAnsi="Times New Roman" w:cs="Times New Roman"/>
                <w:sz w:val="24"/>
                <w:szCs w:val="24"/>
                <w:lang w:eastAsia="lv-LV"/>
              </w:rPr>
              <w:t>.</w:t>
            </w:r>
          </w:p>
        </w:tc>
      </w:tr>
      <w:tr w:rsidR="007F6F87" w:rsidRPr="00E52A31" w14:paraId="6A2AA0C3" w14:textId="77777777" w:rsidTr="006936E5">
        <w:tc>
          <w:tcPr>
            <w:tcW w:w="9356" w:type="dxa"/>
            <w:gridSpan w:val="11"/>
          </w:tcPr>
          <w:p w14:paraId="3B27350A" w14:textId="77777777" w:rsidR="007F6F87" w:rsidRPr="00E52A31" w:rsidRDefault="007F6F87" w:rsidP="003903BF">
            <w:pPr>
              <w:pStyle w:val="Bezatstarpm"/>
              <w:jc w:val="center"/>
              <w:rPr>
                <w:rFonts w:ascii="Times New Roman" w:hAnsi="Times New Roman" w:cs="Times New Roman"/>
                <w:b/>
                <w:sz w:val="24"/>
                <w:szCs w:val="24"/>
                <w:lang w:eastAsia="lv-LV"/>
              </w:rPr>
            </w:pPr>
            <w:r w:rsidRPr="00E52A31">
              <w:rPr>
                <w:rFonts w:ascii="Times New Roman" w:hAnsi="Times New Roman" w:cs="Times New Roman"/>
                <w:b/>
                <w:iCs/>
                <w:sz w:val="24"/>
                <w:szCs w:val="24"/>
                <w:lang w:eastAsia="lv-LV"/>
              </w:rPr>
              <w:t>V. Tiesību akta projekta atbilstība Latvijas Republikas starptautiskajām saistībām</w:t>
            </w:r>
          </w:p>
        </w:tc>
      </w:tr>
      <w:tr w:rsidR="007F6F87" w:rsidRPr="00E52A31" w14:paraId="71B4E9B1" w14:textId="77777777" w:rsidTr="006936E5">
        <w:tc>
          <w:tcPr>
            <w:tcW w:w="9356" w:type="dxa"/>
            <w:gridSpan w:val="11"/>
          </w:tcPr>
          <w:p w14:paraId="00665AC5" w14:textId="77777777" w:rsidR="007F6F87" w:rsidRPr="00E52A31" w:rsidRDefault="007F6F87" w:rsidP="003903BF">
            <w:pPr>
              <w:pStyle w:val="Bezatstarpm"/>
              <w:jc w:val="center"/>
              <w:rPr>
                <w:rFonts w:ascii="Times New Roman" w:hAnsi="Times New Roman" w:cs="Times New Roman"/>
                <w:sz w:val="24"/>
                <w:szCs w:val="24"/>
                <w:lang w:eastAsia="lv-LV"/>
              </w:rPr>
            </w:pPr>
            <w:r w:rsidRPr="00E52A31">
              <w:rPr>
                <w:rFonts w:ascii="Times New Roman" w:hAnsi="Times New Roman" w:cs="Times New Roman"/>
                <w:sz w:val="24"/>
                <w:szCs w:val="24"/>
                <w:lang w:eastAsia="lv-LV"/>
              </w:rPr>
              <w:t>Projekts šo jomu neskar</w:t>
            </w:r>
            <w:r w:rsidR="007272A8" w:rsidRPr="00E52A31">
              <w:rPr>
                <w:rFonts w:ascii="Times New Roman" w:hAnsi="Times New Roman" w:cs="Times New Roman"/>
                <w:sz w:val="24"/>
                <w:szCs w:val="24"/>
                <w:lang w:eastAsia="lv-LV"/>
              </w:rPr>
              <w:t>.</w:t>
            </w:r>
          </w:p>
        </w:tc>
      </w:tr>
      <w:tr w:rsidR="007F6F87" w:rsidRPr="00E52A31" w14:paraId="6B31AE55" w14:textId="77777777" w:rsidTr="006936E5">
        <w:tc>
          <w:tcPr>
            <w:tcW w:w="9356" w:type="dxa"/>
            <w:gridSpan w:val="11"/>
          </w:tcPr>
          <w:p w14:paraId="01A9D3DE" w14:textId="77777777" w:rsidR="007F6F87" w:rsidRPr="00E52A31" w:rsidRDefault="007F6F87" w:rsidP="003903BF">
            <w:pPr>
              <w:pStyle w:val="Bezatstarpm"/>
              <w:jc w:val="center"/>
              <w:rPr>
                <w:rFonts w:ascii="Times New Roman" w:hAnsi="Times New Roman" w:cs="Times New Roman"/>
                <w:b/>
                <w:sz w:val="24"/>
                <w:szCs w:val="24"/>
                <w:lang w:eastAsia="lv-LV"/>
              </w:rPr>
            </w:pPr>
            <w:r w:rsidRPr="00E52A31">
              <w:rPr>
                <w:rFonts w:ascii="Times New Roman" w:hAnsi="Times New Roman" w:cs="Times New Roman"/>
                <w:b/>
                <w:iCs/>
                <w:sz w:val="24"/>
                <w:szCs w:val="24"/>
                <w:lang w:eastAsia="lv-LV"/>
              </w:rPr>
              <w:t>VI. Sabiedrības līdzdalība un komunikācijas aktivitātes</w:t>
            </w:r>
          </w:p>
        </w:tc>
      </w:tr>
      <w:tr w:rsidR="007F6F87" w:rsidRPr="00E52A31" w14:paraId="6CFB206A" w14:textId="77777777" w:rsidTr="006936E5">
        <w:tc>
          <w:tcPr>
            <w:tcW w:w="9356" w:type="dxa"/>
            <w:gridSpan w:val="11"/>
          </w:tcPr>
          <w:p w14:paraId="6BF9E60B" w14:textId="77777777" w:rsidR="007F6F87" w:rsidRPr="00E52A31" w:rsidRDefault="007F6F87" w:rsidP="003903BF">
            <w:pPr>
              <w:pStyle w:val="Bezatstarpm"/>
              <w:jc w:val="center"/>
              <w:rPr>
                <w:rFonts w:ascii="Times New Roman" w:hAnsi="Times New Roman" w:cs="Times New Roman"/>
                <w:sz w:val="24"/>
                <w:szCs w:val="24"/>
                <w:lang w:eastAsia="lv-LV"/>
              </w:rPr>
            </w:pPr>
            <w:r w:rsidRPr="00E52A31">
              <w:rPr>
                <w:rFonts w:ascii="Times New Roman" w:hAnsi="Times New Roman" w:cs="Times New Roman"/>
                <w:sz w:val="24"/>
                <w:szCs w:val="24"/>
                <w:lang w:eastAsia="lv-LV"/>
              </w:rPr>
              <w:t>Projekts šo jomu neskar</w:t>
            </w:r>
            <w:r w:rsidR="007272A8" w:rsidRPr="00E52A31">
              <w:rPr>
                <w:rFonts w:ascii="Times New Roman" w:hAnsi="Times New Roman" w:cs="Times New Roman"/>
                <w:sz w:val="24"/>
                <w:szCs w:val="24"/>
                <w:lang w:eastAsia="lv-LV"/>
              </w:rPr>
              <w:t>.</w:t>
            </w:r>
          </w:p>
        </w:tc>
      </w:tr>
      <w:tr w:rsidR="007F6F87" w:rsidRPr="00E52A31" w14:paraId="297CACE7" w14:textId="77777777" w:rsidTr="006936E5">
        <w:tc>
          <w:tcPr>
            <w:tcW w:w="9356" w:type="dxa"/>
            <w:gridSpan w:val="11"/>
          </w:tcPr>
          <w:p w14:paraId="150CDCBB" w14:textId="3D241F6F" w:rsidR="007F6F87" w:rsidRPr="00E52A31" w:rsidRDefault="00E5323B" w:rsidP="003903BF">
            <w:pPr>
              <w:pStyle w:val="Bezatstarpm"/>
              <w:jc w:val="center"/>
              <w:rPr>
                <w:rFonts w:ascii="Times New Roman" w:hAnsi="Times New Roman" w:cs="Times New Roman"/>
                <w:b/>
                <w:sz w:val="24"/>
                <w:szCs w:val="24"/>
                <w:lang w:eastAsia="lv-LV"/>
              </w:rPr>
            </w:pPr>
            <w:r w:rsidRPr="00E52A31">
              <w:rPr>
                <w:rFonts w:ascii="Times New Roman" w:hAnsi="Times New Roman" w:cs="Times New Roman"/>
                <w:iCs/>
                <w:sz w:val="24"/>
                <w:szCs w:val="24"/>
                <w:lang w:eastAsia="lv-LV"/>
              </w:rPr>
              <w:lastRenderedPageBreak/>
              <w:t> </w:t>
            </w:r>
            <w:r w:rsidR="007F6F87" w:rsidRPr="00E52A31">
              <w:rPr>
                <w:rFonts w:ascii="Times New Roman" w:hAnsi="Times New Roman" w:cs="Times New Roman"/>
                <w:b/>
                <w:iCs/>
                <w:sz w:val="24"/>
                <w:szCs w:val="24"/>
                <w:lang w:eastAsia="lv-LV"/>
              </w:rPr>
              <w:t>VII. Tiesību akta projekta izpildes nodrošināšana un tās ietekme uz institūcijām</w:t>
            </w:r>
          </w:p>
        </w:tc>
      </w:tr>
      <w:tr w:rsidR="007F7D5A" w:rsidRPr="00E52A31" w14:paraId="7618B951" w14:textId="77777777" w:rsidTr="00524964">
        <w:tc>
          <w:tcPr>
            <w:tcW w:w="568" w:type="dxa"/>
          </w:tcPr>
          <w:p w14:paraId="2F01F1E3" w14:textId="77777777" w:rsidR="007F7D5A" w:rsidRPr="00E52A31" w:rsidRDefault="007F7D5A" w:rsidP="007F7D5A">
            <w:pPr>
              <w:pStyle w:val="Bezatstarpm"/>
              <w:jc w:val="center"/>
              <w:rPr>
                <w:rFonts w:ascii="Times New Roman" w:hAnsi="Times New Roman" w:cs="Times New Roman"/>
                <w:sz w:val="24"/>
                <w:szCs w:val="24"/>
                <w:lang w:eastAsia="lv-LV"/>
              </w:rPr>
            </w:pPr>
            <w:r w:rsidRPr="00E52A31">
              <w:rPr>
                <w:rFonts w:ascii="Times New Roman" w:hAnsi="Times New Roman" w:cs="Times New Roman"/>
                <w:sz w:val="24"/>
                <w:szCs w:val="24"/>
                <w:lang w:eastAsia="lv-LV"/>
              </w:rPr>
              <w:t>1.</w:t>
            </w:r>
          </w:p>
        </w:tc>
        <w:tc>
          <w:tcPr>
            <w:tcW w:w="3969" w:type="dxa"/>
            <w:gridSpan w:val="5"/>
          </w:tcPr>
          <w:p w14:paraId="78A94E61" w14:textId="77777777" w:rsidR="007F7D5A" w:rsidRPr="00E52A31" w:rsidRDefault="007F7D5A" w:rsidP="007F7D5A">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Projekta izpildē iesaistītās institūcijas</w:t>
            </w:r>
          </w:p>
        </w:tc>
        <w:tc>
          <w:tcPr>
            <w:tcW w:w="4819" w:type="dxa"/>
            <w:gridSpan w:val="5"/>
          </w:tcPr>
          <w:p w14:paraId="1230D2EE" w14:textId="7959FFD7" w:rsidR="007F7D5A" w:rsidRPr="00E52A31" w:rsidRDefault="00E52A31" w:rsidP="007F7D5A">
            <w:pPr>
              <w:jc w:val="both"/>
            </w:pPr>
            <w:r w:rsidRPr="00E52A31">
              <w:t xml:space="preserve">Pārtikas drošības, dzīvnieku veselības un vides zinātniskais institūts </w:t>
            </w:r>
            <w:r w:rsidR="000B34A1">
              <w:t>“</w:t>
            </w:r>
            <w:r w:rsidRPr="00E52A31">
              <w:t>BIOR”</w:t>
            </w:r>
          </w:p>
        </w:tc>
      </w:tr>
      <w:tr w:rsidR="0049601C" w:rsidRPr="00E52A31" w14:paraId="4A56FB06" w14:textId="77777777" w:rsidTr="00524964">
        <w:tc>
          <w:tcPr>
            <w:tcW w:w="568" w:type="dxa"/>
          </w:tcPr>
          <w:p w14:paraId="2D8A55DB" w14:textId="77777777" w:rsidR="0049601C" w:rsidRPr="00E52A31" w:rsidRDefault="0049601C" w:rsidP="0049601C">
            <w:pPr>
              <w:pStyle w:val="Bezatstarpm"/>
              <w:jc w:val="center"/>
              <w:rPr>
                <w:rFonts w:ascii="Times New Roman" w:hAnsi="Times New Roman" w:cs="Times New Roman"/>
                <w:sz w:val="24"/>
                <w:szCs w:val="24"/>
                <w:lang w:eastAsia="lv-LV"/>
              </w:rPr>
            </w:pPr>
            <w:r w:rsidRPr="00E52A31">
              <w:rPr>
                <w:rFonts w:ascii="Times New Roman" w:hAnsi="Times New Roman" w:cs="Times New Roman"/>
                <w:sz w:val="24"/>
                <w:szCs w:val="24"/>
                <w:lang w:eastAsia="lv-LV"/>
              </w:rPr>
              <w:t>2.</w:t>
            </w:r>
          </w:p>
        </w:tc>
        <w:tc>
          <w:tcPr>
            <w:tcW w:w="3969" w:type="dxa"/>
            <w:gridSpan w:val="5"/>
          </w:tcPr>
          <w:p w14:paraId="2F0C8F19" w14:textId="77777777" w:rsidR="0049601C" w:rsidRPr="00E52A31" w:rsidRDefault="0049601C" w:rsidP="00524964">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Projekta izpildes ietekme uz pārvaldes funkcijām un institucionālo struktūru.</w:t>
            </w:r>
            <w:r w:rsidRPr="00E52A31">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4819" w:type="dxa"/>
            <w:gridSpan w:val="5"/>
          </w:tcPr>
          <w:p w14:paraId="0FDA7213" w14:textId="00D275FE" w:rsidR="0049601C" w:rsidRPr="00E52A31" w:rsidRDefault="00E52A31" w:rsidP="00207938">
            <w:pPr>
              <w:jc w:val="both"/>
            </w:pPr>
            <w:r w:rsidRPr="00E52A31">
              <w:t>Projekta izpilde neietekmēs institūciju funkcijas un cilvēkresursus.</w:t>
            </w:r>
          </w:p>
        </w:tc>
      </w:tr>
      <w:tr w:rsidR="0049601C" w:rsidRPr="00E52A31" w14:paraId="7E08A3C3" w14:textId="77777777" w:rsidTr="00524964">
        <w:tc>
          <w:tcPr>
            <w:tcW w:w="568" w:type="dxa"/>
          </w:tcPr>
          <w:p w14:paraId="05E8F0E5" w14:textId="77777777" w:rsidR="0049601C" w:rsidRPr="00E52A31" w:rsidRDefault="0049601C" w:rsidP="0049601C">
            <w:pPr>
              <w:pStyle w:val="Bezatstarpm"/>
              <w:jc w:val="center"/>
              <w:rPr>
                <w:rFonts w:ascii="Times New Roman" w:hAnsi="Times New Roman" w:cs="Times New Roman"/>
                <w:sz w:val="24"/>
                <w:szCs w:val="24"/>
                <w:lang w:eastAsia="lv-LV"/>
              </w:rPr>
            </w:pPr>
            <w:r w:rsidRPr="00E52A31">
              <w:rPr>
                <w:rFonts w:ascii="Times New Roman" w:hAnsi="Times New Roman" w:cs="Times New Roman"/>
                <w:sz w:val="24"/>
                <w:szCs w:val="24"/>
                <w:lang w:eastAsia="lv-LV"/>
              </w:rPr>
              <w:t>3.</w:t>
            </w:r>
          </w:p>
        </w:tc>
        <w:tc>
          <w:tcPr>
            <w:tcW w:w="3969" w:type="dxa"/>
            <w:gridSpan w:val="5"/>
          </w:tcPr>
          <w:p w14:paraId="546E4141" w14:textId="77777777" w:rsidR="0049601C" w:rsidRPr="00E52A31" w:rsidRDefault="0049601C" w:rsidP="0049601C">
            <w:pPr>
              <w:pStyle w:val="Bezatstarpm"/>
              <w:jc w:val="both"/>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Cita informācija</w:t>
            </w:r>
          </w:p>
        </w:tc>
        <w:tc>
          <w:tcPr>
            <w:tcW w:w="4819" w:type="dxa"/>
            <w:gridSpan w:val="5"/>
          </w:tcPr>
          <w:p w14:paraId="24CA4011" w14:textId="77777777" w:rsidR="0049601C" w:rsidRPr="00E52A31" w:rsidRDefault="0049601C" w:rsidP="0049601C">
            <w:pPr>
              <w:pStyle w:val="Bezatstarpm"/>
              <w:rPr>
                <w:rFonts w:ascii="Times New Roman" w:hAnsi="Times New Roman" w:cs="Times New Roman"/>
                <w:sz w:val="24"/>
                <w:szCs w:val="24"/>
                <w:lang w:eastAsia="lv-LV"/>
              </w:rPr>
            </w:pPr>
            <w:r w:rsidRPr="00E52A31">
              <w:rPr>
                <w:rFonts w:ascii="Times New Roman" w:hAnsi="Times New Roman" w:cs="Times New Roman"/>
                <w:sz w:val="24"/>
                <w:szCs w:val="24"/>
                <w:lang w:eastAsia="lv-LV"/>
              </w:rPr>
              <w:t>Nav</w:t>
            </w:r>
          </w:p>
        </w:tc>
      </w:tr>
    </w:tbl>
    <w:p w14:paraId="2C7F7D02" w14:textId="77777777" w:rsidR="008B37B7" w:rsidRPr="00E52A31" w:rsidRDefault="00E5323B" w:rsidP="00EC6E12">
      <w:pPr>
        <w:pStyle w:val="Bezatstarpm"/>
        <w:rPr>
          <w:rFonts w:ascii="Times New Roman" w:hAnsi="Times New Roman" w:cs="Times New Roman"/>
          <w:iCs/>
          <w:sz w:val="24"/>
          <w:szCs w:val="24"/>
          <w:lang w:eastAsia="lv-LV"/>
        </w:rPr>
      </w:pPr>
      <w:r w:rsidRPr="00E52A31">
        <w:rPr>
          <w:rFonts w:ascii="Times New Roman" w:hAnsi="Times New Roman" w:cs="Times New Roman"/>
          <w:iCs/>
          <w:sz w:val="24"/>
          <w:szCs w:val="24"/>
          <w:lang w:eastAsia="lv-LV"/>
        </w:rPr>
        <w:t xml:space="preserve"> </w:t>
      </w:r>
    </w:p>
    <w:p w14:paraId="31EB714C" w14:textId="77777777" w:rsidR="008B37B7" w:rsidRPr="00E52A31" w:rsidRDefault="008B37B7" w:rsidP="00EC6E12">
      <w:pPr>
        <w:pStyle w:val="Bezatstarpm"/>
        <w:rPr>
          <w:rFonts w:ascii="Times New Roman" w:hAnsi="Times New Roman" w:cs="Times New Roman"/>
          <w:iCs/>
          <w:sz w:val="24"/>
          <w:szCs w:val="24"/>
          <w:lang w:eastAsia="lv-LV"/>
        </w:rPr>
      </w:pPr>
    </w:p>
    <w:p w14:paraId="30663399" w14:textId="77777777" w:rsidR="00641C86" w:rsidRPr="00E52A31" w:rsidRDefault="00641C86" w:rsidP="00EC6E12">
      <w:pPr>
        <w:pStyle w:val="Bezatstarpm"/>
        <w:rPr>
          <w:rFonts w:ascii="Times New Roman" w:hAnsi="Times New Roman" w:cs="Times New Roman"/>
          <w:iCs/>
          <w:sz w:val="24"/>
          <w:szCs w:val="24"/>
          <w:lang w:eastAsia="lv-LV"/>
        </w:rPr>
      </w:pPr>
    </w:p>
    <w:p w14:paraId="360AC40B" w14:textId="1DBCE318" w:rsidR="00767757" w:rsidRPr="00E52A31" w:rsidRDefault="00E52A31" w:rsidP="00B4472D">
      <w:pPr>
        <w:pStyle w:val="Paraststmeklis"/>
        <w:spacing w:before="0" w:beforeAutospacing="0" w:after="0" w:afterAutospacing="0"/>
        <w:ind w:firstLine="720"/>
      </w:pPr>
      <w:r w:rsidRPr="00E52A31">
        <w:rPr>
          <w:sz w:val="28"/>
          <w:szCs w:val="28"/>
        </w:rPr>
        <w:t>Zemkopības ministrs</w:t>
      </w:r>
      <w:r w:rsidRPr="00E52A31">
        <w:rPr>
          <w:sz w:val="28"/>
          <w:szCs w:val="28"/>
        </w:rPr>
        <w:tab/>
      </w:r>
      <w:r w:rsidRPr="00E52A31">
        <w:rPr>
          <w:sz w:val="28"/>
          <w:szCs w:val="28"/>
        </w:rPr>
        <w:tab/>
      </w:r>
      <w:r w:rsidRPr="00E52A31">
        <w:rPr>
          <w:sz w:val="28"/>
          <w:szCs w:val="28"/>
        </w:rPr>
        <w:tab/>
      </w:r>
      <w:r w:rsidRPr="00E52A31">
        <w:rPr>
          <w:sz w:val="28"/>
          <w:szCs w:val="28"/>
        </w:rPr>
        <w:tab/>
      </w:r>
      <w:r w:rsidRPr="00E52A31">
        <w:rPr>
          <w:sz w:val="28"/>
          <w:szCs w:val="28"/>
        </w:rPr>
        <w:tab/>
      </w:r>
      <w:r w:rsidRPr="00E52A31">
        <w:rPr>
          <w:sz w:val="28"/>
          <w:szCs w:val="28"/>
        </w:rPr>
        <w:tab/>
        <w:t>K. Gerhards</w:t>
      </w:r>
    </w:p>
    <w:p w14:paraId="560F9F01" w14:textId="77777777" w:rsidR="00641C86" w:rsidRPr="00E52A31" w:rsidRDefault="00641C86" w:rsidP="00155578">
      <w:pPr>
        <w:pStyle w:val="Paraststmeklis"/>
        <w:spacing w:before="0" w:beforeAutospacing="0" w:after="0" w:afterAutospacing="0"/>
      </w:pPr>
    </w:p>
    <w:p w14:paraId="757DD668" w14:textId="77777777" w:rsidR="00376071" w:rsidRPr="00E52A31" w:rsidRDefault="00376071" w:rsidP="00155578">
      <w:pPr>
        <w:pStyle w:val="Paraststmeklis"/>
        <w:spacing w:before="0" w:beforeAutospacing="0" w:after="0" w:afterAutospacing="0"/>
      </w:pPr>
    </w:p>
    <w:p w14:paraId="779759D3" w14:textId="529415F0" w:rsidR="00376071" w:rsidRDefault="00376071" w:rsidP="00155578">
      <w:pPr>
        <w:pStyle w:val="Paraststmeklis"/>
        <w:spacing w:before="0" w:beforeAutospacing="0" w:after="0" w:afterAutospacing="0"/>
      </w:pPr>
    </w:p>
    <w:p w14:paraId="161A6ECF" w14:textId="0F19ADC7" w:rsidR="00137BAC" w:rsidRDefault="00137BAC" w:rsidP="00155578">
      <w:pPr>
        <w:pStyle w:val="Paraststmeklis"/>
        <w:spacing w:before="0" w:beforeAutospacing="0" w:after="0" w:afterAutospacing="0"/>
      </w:pPr>
    </w:p>
    <w:p w14:paraId="672C7612" w14:textId="2FBA7505" w:rsidR="00137BAC" w:rsidRDefault="00137BAC" w:rsidP="00155578">
      <w:pPr>
        <w:pStyle w:val="Paraststmeklis"/>
        <w:spacing w:before="0" w:beforeAutospacing="0" w:after="0" w:afterAutospacing="0"/>
      </w:pPr>
    </w:p>
    <w:p w14:paraId="1F280A8C" w14:textId="5E296C82" w:rsidR="00137BAC" w:rsidRDefault="00137BAC" w:rsidP="00155578">
      <w:pPr>
        <w:pStyle w:val="Paraststmeklis"/>
        <w:spacing w:before="0" w:beforeAutospacing="0" w:after="0" w:afterAutospacing="0"/>
      </w:pPr>
    </w:p>
    <w:p w14:paraId="76349449" w14:textId="5A29A549" w:rsidR="00137BAC" w:rsidRDefault="00137BAC" w:rsidP="00155578">
      <w:pPr>
        <w:pStyle w:val="Paraststmeklis"/>
        <w:spacing w:before="0" w:beforeAutospacing="0" w:after="0" w:afterAutospacing="0"/>
      </w:pPr>
    </w:p>
    <w:p w14:paraId="0AB6C999" w14:textId="2160B186" w:rsidR="00137BAC" w:rsidRDefault="00137BAC" w:rsidP="00155578">
      <w:pPr>
        <w:pStyle w:val="Paraststmeklis"/>
        <w:spacing w:before="0" w:beforeAutospacing="0" w:after="0" w:afterAutospacing="0"/>
      </w:pPr>
    </w:p>
    <w:p w14:paraId="15872B56" w14:textId="7D964AEB" w:rsidR="00137BAC" w:rsidRDefault="00137BAC" w:rsidP="00155578">
      <w:pPr>
        <w:pStyle w:val="Paraststmeklis"/>
        <w:spacing w:before="0" w:beforeAutospacing="0" w:after="0" w:afterAutospacing="0"/>
      </w:pPr>
    </w:p>
    <w:p w14:paraId="09C520EC" w14:textId="6A8CA179" w:rsidR="00137BAC" w:rsidRDefault="00137BAC" w:rsidP="00155578">
      <w:pPr>
        <w:pStyle w:val="Paraststmeklis"/>
        <w:spacing w:before="0" w:beforeAutospacing="0" w:after="0" w:afterAutospacing="0"/>
      </w:pPr>
    </w:p>
    <w:p w14:paraId="301B9173" w14:textId="2CA7B13C" w:rsidR="00137BAC" w:rsidRDefault="00137BAC" w:rsidP="00155578">
      <w:pPr>
        <w:pStyle w:val="Paraststmeklis"/>
        <w:spacing w:before="0" w:beforeAutospacing="0" w:after="0" w:afterAutospacing="0"/>
      </w:pPr>
    </w:p>
    <w:p w14:paraId="38471713" w14:textId="1A4D0A4C" w:rsidR="00137BAC" w:rsidRDefault="00137BAC" w:rsidP="00155578">
      <w:pPr>
        <w:pStyle w:val="Paraststmeklis"/>
        <w:spacing w:before="0" w:beforeAutospacing="0" w:after="0" w:afterAutospacing="0"/>
      </w:pPr>
    </w:p>
    <w:p w14:paraId="1890C9A6" w14:textId="05949616" w:rsidR="00137BAC" w:rsidRDefault="00137BAC" w:rsidP="00155578">
      <w:pPr>
        <w:pStyle w:val="Paraststmeklis"/>
        <w:spacing w:before="0" w:beforeAutospacing="0" w:after="0" w:afterAutospacing="0"/>
      </w:pPr>
    </w:p>
    <w:p w14:paraId="304E86FC" w14:textId="4F9D45D7" w:rsidR="00137BAC" w:rsidRDefault="00137BAC" w:rsidP="00155578">
      <w:pPr>
        <w:pStyle w:val="Paraststmeklis"/>
        <w:spacing w:before="0" w:beforeAutospacing="0" w:after="0" w:afterAutospacing="0"/>
      </w:pPr>
    </w:p>
    <w:p w14:paraId="5F8D3035" w14:textId="467F38B2" w:rsidR="00137BAC" w:rsidRDefault="00137BAC" w:rsidP="00155578">
      <w:pPr>
        <w:pStyle w:val="Paraststmeklis"/>
        <w:spacing w:before="0" w:beforeAutospacing="0" w:after="0" w:afterAutospacing="0"/>
      </w:pPr>
    </w:p>
    <w:p w14:paraId="19AEDD88" w14:textId="64756E37" w:rsidR="00137BAC" w:rsidRDefault="00137BAC" w:rsidP="00155578">
      <w:pPr>
        <w:pStyle w:val="Paraststmeklis"/>
        <w:spacing w:before="0" w:beforeAutospacing="0" w:after="0" w:afterAutospacing="0"/>
      </w:pPr>
    </w:p>
    <w:p w14:paraId="08121C96" w14:textId="39DF497C" w:rsidR="00137BAC" w:rsidRDefault="00137BAC" w:rsidP="00155578">
      <w:pPr>
        <w:pStyle w:val="Paraststmeklis"/>
        <w:spacing w:before="0" w:beforeAutospacing="0" w:after="0" w:afterAutospacing="0"/>
      </w:pPr>
    </w:p>
    <w:p w14:paraId="4612ED38" w14:textId="5F2348A5" w:rsidR="00137BAC" w:rsidRDefault="00137BAC" w:rsidP="00155578">
      <w:pPr>
        <w:pStyle w:val="Paraststmeklis"/>
        <w:spacing w:before="0" w:beforeAutospacing="0" w:after="0" w:afterAutospacing="0"/>
      </w:pPr>
    </w:p>
    <w:p w14:paraId="67A6D0D5" w14:textId="05A674FE" w:rsidR="00137BAC" w:rsidRDefault="00137BAC" w:rsidP="00155578">
      <w:pPr>
        <w:pStyle w:val="Paraststmeklis"/>
        <w:spacing w:before="0" w:beforeAutospacing="0" w:after="0" w:afterAutospacing="0"/>
      </w:pPr>
    </w:p>
    <w:p w14:paraId="5DE2E02E" w14:textId="63BF2F7B" w:rsidR="00137BAC" w:rsidRDefault="00137BAC" w:rsidP="00155578">
      <w:pPr>
        <w:pStyle w:val="Paraststmeklis"/>
        <w:spacing w:before="0" w:beforeAutospacing="0" w:after="0" w:afterAutospacing="0"/>
      </w:pPr>
    </w:p>
    <w:p w14:paraId="388D7BAB" w14:textId="26CE1DDF" w:rsidR="00137BAC" w:rsidRDefault="00137BAC" w:rsidP="00155578">
      <w:pPr>
        <w:pStyle w:val="Paraststmeklis"/>
        <w:spacing w:before="0" w:beforeAutospacing="0" w:after="0" w:afterAutospacing="0"/>
      </w:pPr>
    </w:p>
    <w:p w14:paraId="4C5CCA2E" w14:textId="1EC51C35" w:rsidR="00137BAC" w:rsidRDefault="00137BAC" w:rsidP="00155578">
      <w:pPr>
        <w:pStyle w:val="Paraststmeklis"/>
        <w:spacing w:before="0" w:beforeAutospacing="0" w:after="0" w:afterAutospacing="0"/>
      </w:pPr>
    </w:p>
    <w:p w14:paraId="0AD7DA66" w14:textId="15E236ED" w:rsidR="00137BAC" w:rsidRDefault="00137BAC" w:rsidP="00155578">
      <w:pPr>
        <w:pStyle w:val="Paraststmeklis"/>
        <w:spacing w:before="0" w:beforeAutospacing="0" w:after="0" w:afterAutospacing="0"/>
      </w:pPr>
    </w:p>
    <w:p w14:paraId="2261DA99" w14:textId="1F0BD169" w:rsidR="00137BAC" w:rsidRDefault="00137BAC" w:rsidP="00155578">
      <w:pPr>
        <w:pStyle w:val="Paraststmeklis"/>
        <w:spacing w:before="0" w:beforeAutospacing="0" w:after="0" w:afterAutospacing="0"/>
      </w:pPr>
    </w:p>
    <w:p w14:paraId="236D7AF8" w14:textId="3A133D0F" w:rsidR="00137BAC" w:rsidRDefault="00137BAC" w:rsidP="00155578">
      <w:pPr>
        <w:pStyle w:val="Paraststmeklis"/>
        <w:spacing w:before="0" w:beforeAutospacing="0" w:after="0" w:afterAutospacing="0"/>
      </w:pPr>
    </w:p>
    <w:p w14:paraId="0F1A2E70" w14:textId="7A7424D3" w:rsidR="00137BAC" w:rsidRDefault="00137BAC" w:rsidP="00155578">
      <w:pPr>
        <w:pStyle w:val="Paraststmeklis"/>
        <w:spacing w:before="0" w:beforeAutospacing="0" w:after="0" w:afterAutospacing="0"/>
      </w:pPr>
    </w:p>
    <w:p w14:paraId="54B59DF3" w14:textId="56795150" w:rsidR="00137BAC" w:rsidRDefault="00137BAC" w:rsidP="00155578">
      <w:pPr>
        <w:pStyle w:val="Paraststmeklis"/>
        <w:spacing w:before="0" w:beforeAutospacing="0" w:after="0" w:afterAutospacing="0"/>
      </w:pPr>
    </w:p>
    <w:p w14:paraId="07314255" w14:textId="07CA694F" w:rsidR="00137BAC" w:rsidRDefault="00137BAC" w:rsidP="00155578">
      <w:pPr>
        <w:pStyle w:val="Paraststmeklis"/>
        <w:spacing w:before="0" w:beforeAutospacing="0" w:after="0" w:afterAutospacing="0"/>
      </w:pPr>
    </w:p>
    <w:p w14:paraId="7B36B88A" w14:textId="7D5272DA" w:rsidR="00137BAC" w:rsidRDefault="00137BAC" w:rsidP="00155578">
      <w:pPr>
        <w:pStyle w:val="Paraststmeklis"/>
        <w:spacing w:before="0" w:beforeAutospacing="0" w:after="0" w:afterAutospacing="0"/>
      </w:pPr>
    </w:p>
    <w:p w14:paraId="5F0D049D" w14:textId="1176D8C6" w:rsidR="00137BAC" w:rsidRDefault="00137BAC" w:rsidP="00155578">
      <w:pPr>
        <w:pStyle w:val="Paraststmeklis"/>
        <w:spacing w:before="0" w:beforeAutospacing="0" w:after="0" w:afterAutospacing="0"/>
      </w:pPr>
    </w:p>
    <w:p w14:paraId="11B91F85" w14:textId="77777777" w:rsidR="00137BAC" w:rsidRDefault="00137BAC" w:rsidP="00155578">
      <w:pPr>
        <w:pStyle w:val="Paraststmeklis"/>
        <w:spacing w:before="0" w:beforeAutospacing="0" w:after="0" w:afterAutospacing="0"/>
      </w:pPr>
      <w:bookmarkStart w:id="2" w:name="_GoBack"/>
      <w:bookmarkEnd w:id="2"/>
    </w:p>
    <w:p w14:paraId="3CC24038" w14:textId="77777777" w:rsidR="009E34A9" w:rsidRPr="00E52A31" w:rsidRDefault="009E34A9" w:rsidP="00155578">
      <w:pPr>
        <w:pStyle w:val="Paraststmeklis"/>
        <w:spacing w:before="0" w:beforeAutospacing="0" w:after="0" w:afterAutospacing="0"/>
      </w:pPr>
    </w:p>
    <w:p w14:paraId="010C8EDC" w14:textId="77777777" w:rsidR="009B51FF" w:rsidRDefault="009B51FF" w:rsidP="009B51FF">
      <w:pPr>
        <w:jc w:val="both"/>
      </w:pPr>
      <w:r>
        <w:t>Gurecka 26614495</w:t>
      </w:r>
    </w:p>
    <w:p w14:paraId="607F4F93" w14:textId="2220038E" w:rsidR="00E465CE" w:rsidRPr="00524964" w:rsidRDefault="00B4472D" w:rsidP="00524964">
      <w:pPr>
        <w:pStyle w:val="Parakstszemobjekta"/>
        <w:jc w:val="left"/>
        <w:rPr>
          <w:sz w:val="24"/>
        </w:rPr>
      </w:pPr>
      <w:hyperlink r:id="rId8" w:history="1">
        <w:r w:rsidR="009B51FF">
          <w:rPr>
            <w:rStyle w:val="Hipersaite"/>
            <w:sz w:val="24"/>
          </w:rPr>
          <w:t>Linda.Gurecka@zm.gov.lv</w:t>
        </w:r>
      </w:hyperlink>
      <w:r w:rsidR="009B51FF">
        <w:rPr>
          <w:sz w:val="24"/>
        </w:rPr>
        <w:t xml:space="preserve"> </w:t>
      </w:r>
    </w:p>
    <w:sectPr w:rsidR="00E465CE" w:rsidRPr="0052496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D42C1" w14:textId="77777777" w:rsidR="00F327CF" w:rsidRDefault="00F327CF" w:rsidP="00894C55">
      <w:r>
        <w:separator/>
      </w:r>
    </w:p>
  </w:endnote>
  <w:endnote w:type="continuationSeparator" w:id="0">
    <w:p w14:paraId="76D9E79F" w14:textId="77777777" w:rsidR="00F327CF" w:rsidRDefault="00F327CF"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3661" w14:textId="37D266C2" w:rsidR="006B406C" w:rsidRPr="00B4472D" w:rsidRDefault="00B4472D" w:rsidP="00B4472D">
    <w:pPr>
      <w:pStyle w:val="Kjene"/>
    </w:pPr>
    <w:r w:rsidRPr="00B4472D">
      <w:rPr>
        <w:rFonts w:ascii="Times New Roman" w:hAnsi="Times New Roman" w:cs="Times New Roman"/>
        <w:sz w:val="20"/>
        <w:szCs w:val="20"/>
      </w:rPr>
      <w:t>ZManot_090621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039E" w14:textId="01CA65C3" w:rsidR="006B406C" w:rsidRPr="00B4472D" w:rsidRDefault="00B4472D" w:rsidP="00B4472D">
    <w:pPr>
      <w:pStyle w:val="Kjene"/>
    </w:pPr>
    <w:r w:rsidRPr="00B4472D">
      <w:rPr>
        <w:rFonts w:ascii="Times New Roman" w:hAnsi="Times New Roman" w:cs="Times New Roman"/>
        <w:sz w:val="20"/>
        <w:szCs w:val="20"/>
      </w:rPr>
      <w:t>ZManot_090621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6EA7" w14:textId="77777777" w:rsidR="00F327CF" w:rsidRDefault="00F327CF" w:rsidP="00894C55">
      <w:r>
        <w:separator/>
      </w:r>
    </w:p>
  </w:footnote>
  <w:footnote w:type="continuationSeparator" w:id="0">
    <w:p w14:paraId="48D89F3E" w14:textId="77777777" w:rsidR="00F327CF" w:rsidRDefault="00F327CF" w:rsidP="00894C55">
      <w:r>
        <w:continuationSeparator/>
      </w:r>
    </w:p>
  </w:footnote>
  <w:footnote w:id="1">
    <w:p w14:paraId="42C137B9" w14:textId="77777777" w:rsidR="006B406C" w:rsidRPr="00686C1F" w:rsidRDefault="006B406C" w:rsidP="00EF0391">
      <w:pPr>
        <w:pStyle w:val="Vresteksts"/>
      </w:pPr>
      <w:r w:rsidRPr="00686C1F">
        <w:rPr>
          <w:rStyle w:val="Vresatsauce"/>
        </w:rPr>
        <w:footnoteRef/>
      </w:r>
      <w:r w:rsidRPr="00686C1F">
        <w:t xml:space="preserve"> </w:t>
      </w:r>
      <w:hyperlink r:id="rId1" w:history="1">
        <w:r w:rsidRPr="00686C1F">
          <w:rPr>
            <w:rStyle w:val="Hipersaite"/>
          </w:rPr>
          <w:t>https://www.ecdc.europa.eu/en/geographical-distribution-2019-ncov-cases</w:t>
        </w:r>
      </w:hyperlink>
      <w:r w:rsidRPr="00686C1F">
        <w:t xml:space="preserve"> </w:t>
      </w:r>
    </w:p>
  </w:footnote>
  <w:footnote w:id="2">
    <w:p w14:paraId="722D7A29" w14:textId="3EFCAC6D" w:rsidR="006B406C" w:rsidRDefault="006B406C" w:rsidP="00EF0391">
      <w:pPr>
        <w:pStyle w:val="Vresteksts"/>
        <w:ind w:right="-143"/>
      </w:pPr>
      <w:r>
        <w:rPr>
          <w:rStyle w:val="Vresatsauce"/>
        </w:rPr>
        <w:footnoteRef/>
      </w:r>
      <w:r>
        <w:t xml:space="preserve"> </w:t>
      </w:r>
      <w:hyperlink r:id="rId2" w:history="1">
        <w:r w:rsidRPr="00686C1F">
          <w:rPr>
            <w:rStyle w:val="Hipersaite"/>
          </w:rPr>
          <w:t>https://eur-lex.europa.eu/legal-content/LV/TXT/?uri=uriserv%3AOJ.L_.2021.098.01.0003.01.LAV&amp;toc=OJ%3AL%3A2021%3A098%3ATOC</w:t>
        </w:r>
      </w:hyperlink>
    </w:p>
  </w:footnote>
  <w:footnote w:id="3">
    <w:p w14:paraId="57787474" w14:textId="77777777" w:rsidR="006B406C" w:rsidRPr="00841512" w:rsidRDefault="006B406C" w:rsidP="00FA6DEA">
      <w:pPr>
        <w:shd w:val="clear" w:color="auto" w:fill="FFFFFF"/>
        <w:jc w:val="both"/>
        <w:rPr>
          <w:sz w:val="20"/>
          <w:szCs w:val="20"/>
        </w:rPr>
      </w:pPr>
      <w:r>
        <w:rPr>
          <w:rStyle w:val="Vresatsauce"/>
        </w:rPr>
        <w:footnoteRef/>
      </w:r>
      <w:r>
        <w:t xml:space="preserve"> </w:t>
      </w:r>
      <w:r w:rsidRPr="00841512">
        <w:rPr>
          <w:sz w:val="20"/>
          <w:szCs w:val="20"/>
        </w:rPr>
        <w:t>Ministru kabineta 2009. gada 19. oktobra rīkojums Nr. 714 “Par Pārtikas un veterinārā dienesta un valsts aģentūras “Latvijas Zivju resursu aģentūra” reorganizāciju un valsts zinātniskā institūta “Pārtikas drošības, dzīvnieku veselības un vides zinātniskais institūts “BIOR”” izveidi”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BA22AE" w14:textId="77777777" w:rsidR="006B406C" w:rsidRPr="00C25B49" w:rsidRDefault="006B406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A145C">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8D6"/>
    <w:multiLevelType w:val="hybridMultilevel"/>
    <w:tmpl w:val="69262CE2"/>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DC2DB9"/>
    <w:multiLevelType w:val="hybridMultilevel"/>
    <w:tmpl w:val="78FE0C28"/>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10273B"/>
    <w:multiLevelType w:val="multilevel"/>
    <w:tmpl w:val="6EC273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51C79D2"/>
    <w:multiLevelType w:val="hybridMultilevel"/>
    <w:tmpl w:val="9496E1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71234E5"/>
    <w:multiLevelType w:val="hybridMultilevel"/>
    <w:tmpl w:val="B4361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2C69FC"/>
    <w:multiLevelType w:val="hybridMultilevel"/>
    <w:tmpl w:val="4FC4963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74371C"/>
    <w:multiLevelType w:val="hybridMultilevel"/>
    <w:tmpl w:val="FC4E093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7B53B9"/>
    <w:multiLevelType w:val="hybridMultilevel"/>
    <w:tmpl w:val="5C1E58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1511B0D"/>
    <w:multiLevelType w:val="hybridMultilevel"/>
    <w:tmpl w:val="E0F6FE8E"/>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AD1F86"/>
    <w:multiLevelType w:val="hybridMultilevel"/>
    <w:tmpl w:val="03C4B04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DAEE8D96">
      <w:start w:val="1"/>
      <w:numFmt w:val="bullet"/>
      <w:lvlText w:val=""/>
      <w:lvlJc w:val="left"/>
      <w:pPr>
        <w:ind w:left="2340" w:hanging="360"/>
      </w:pPr>
      <w:rPr>
        <w:rFonts w:ascii="Symbol" w:hAnsi="Symbol" w:hint="default"/>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B578B"/>
    <w:multiLevelType w:val="hybridMultilevel"/>
    <w:tmpl w:val="7EA866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A429E7"/>
    <w:multiLevelType w:val="hybridMultilevel"/>
    <w:tmpl w:val="58AAF9D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10436E"/>
    <w:multiLevelType w:val="multilevel"/>
    <w:tmpl w:val="787248C2"/>
    <w:lvl w:ilvl="0">
      <w:start w:val="1"/>
      <w:numFmt w:val="decimal"/>
      <w:lvlText w:val="%1."/>
      <w:lvlJc w:val="left"/>
      <w:pPr>
        <w:ind w:left="795" w:hanging="360"/>
      </w:pPr>
    </w:lvl>
    <w:lvl w:ilvl="1">
      <w:start w:val="1"/>
      <w:numFmt w:val="bullet"/>
      <w:lvlText w:val=""/>
      <w:lvlJc w:val="left"/>
      <w:pPr>
        <w:ind w:left="795" w:hanging="360"/>
      </w:pPr>
      <w:rPr>
        <w:rFonts w:ascii="Symbol" w:hAnsi="Symbol" w:hint="default"/>
        <w:color w:val="000000" w:themeColor="text1"/>
      </w:rPr>
    </w:lvl>
    <w:lvl w:ilvl="2">
      <w:start w:val="1"/>
      <w:numFmt w:val="bullet"/>
      <w:lvlText w:val=""/>
      <w:lvlJc w:val="left"/>
      <w:pPr>
        <w:ind w:left="1155" w:hanging="720"/>
      </w:pPr>
      <w:rPr>
        <w:rFonts w:ascii="Symbol" w:hAnsi="Symbol" w:hint="default"/>
        <w:color w:val="000000" w:themeColor="text1"/>
      </w:rPr>
    </w:lvl>
    <w:lvl w:ilvl="3">
      <w:start w:val="1"/>
      <w:numFmt w:val="decimal"/>
      <w:isLgl/>
      <w:lvlText w:val="%1.%2.%3.%4."/>
      <w:lvlJc w:val="left"/>
      <w:pPr>
        <w:ind w:left="1155" w:hanging="720"/>
      </w:pPr>
      <w:rPr>
        <w:rFonts w:hint="default"/>
        <w:color w:val="000000" w:themeColor="text1"/>
      </w:rPr>
    </w:lvl>
    <w:lvl w:ilvl="4">
      <w:start w:val="1"/>
      <w:numFmt w:val="decimal"/>
      <w:isLgl/>
      <w:lvlText w:val="%1.%2.%3.%4.%5."/>
      <w:lvlJc w:val="left"/>
      <w:pPr>
        <w:ind w:left="1515" w:hanging="1080"/>
      </w:pPr>
      <w:rPr>
        <w:rFonts w:hint="default"/>
        <w:color w:val="000000" w:themeColor="text1"/>
      </w:rPr>
    </w:lvl>
    <w:lvl w:ilvl="5">
      <w:start w:val="1"/>
      <w:numFmt w:val="decimal"/>
      <w:isLgl/>
      <w:lvlText w:val="%1.%2.%3.%4.%5.%6."/>
      <w:lvlJc w:val="left"/>
      <w:pPr>
        <w:ind w:left="1515" w:hanging="1080"/>
      </w:pPr>
      <w:rPr>
        <w:rFonts w:hint="default"/>
        <w:color w:val="000000" w:themeColor="text1"/>
      </w:rPr>
    </w:lvl>
    <w:lvl w:ilvl="6">
      <w:start w:val="1"/>
      <w:numFmt w:val="decimal"/>
      <w:isLgl/>
      <w:lvlText w:val="%1.%2.%3.%4.%5.%6.%7."/>
      <w:lvlJc w:val="left"/>
      <w:pPr>
        <w:ind w:left="1875" w:hanging="1440"/>
      </w:pPr>
      <w:rPr>
        <w:rFonts w:hint="default"/>
        <w:color w:val="000000" w:themeColor="text1"/>
      </w:rPr>
    </w:lvl>
    <w:lvl w:ilvl="7">
      <w:start w:val="1"/>
      <w:numFmt w:val="decimal"/>
      <w:isLgl/>
      <w:lvlText w:val="%1.%2.%3.%4.%5.%6.%7.%8."/>
      <w:lvlJc w:val="left"/>
      <w:pPr>
        <w:ind w:left="1875" w:hanging="1440"/>
      </w:pPr>
      <w:rPr>
        <w:rFonts w:hint="default"/>
        <w:color w:val="000000" w:themeColor="text1"/>
      </w:rPr>
    </w:lvl>
    <w:lvl w:ilvl="8">
      <w:start w:val="1"/>
      <w:numFmt w:val="decimal"/>
      <w:isLgl/>
      <w:lvlText w:val="%1.%2.%3.%4.%5.%6.%7.%8.%9."/>
      <w:lvlJc w:val="left"/>
      <w:pPr>
        <w:ind w:left="2235" w:hanging="1800"/>
      </w:pPr>
      <w:rPr>
        <w:rFonts w:hint="default"/>
        <w:color w:val="000000" w:themeColor="text1"/>
      </w:rPr>
    </w:lvl>
  </w:abstractNum>
  <w:abstractNum w:abstractNumId="13" w15:restartNumberingAfterBreak="0">
    <w:nsid w:val="3EF63779"/>
    <w:multiLevelType w:val="hybridMultilevel"/>
    <w:tmpl w:val="B4361B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6C4311"/>
    <w:multiLevelType w:val="hybridMultilevel"/>
    <w:tmpl w:val="6084317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2305A73"/>
    <w:multiLevelType w:val="hybridMultilevel"/>
    <w:tmpl w:val="674672F8"/>
    <w:lvl w:ilvl="0" w:tplc="0426000F">
      <w:start w:val="1"/>
      <w:numFmt w:val="decimal"/>
      <w:lvlText w:val="%1."/>
      <w:lvlJc w:val="left"/>
      <w:pPr>
        <w:ind w:left="720" w:hanging="360"/>
      </w:pPr>
    </w:lvl>
    <w:lvl w:ilvl="1" w:tplc="DAEE8D96">
      <w:start w:val="1"/>
      <w:numFmt w:val="bullet"/>
      <w:lvlText w:val=""/>
      <w:lvlJc w:val="left"/>
      <w:pPr>
        <w:ind w:left="1440" w:hanging="360"/>
      </w:pPr>
      <w:rPr>
        <w:rFonts w:ascii="Symbol" w:hAnsi="Symbol" w:hint="default"/>
      </w:rPr>
    </w:lvl>
    <w:lvl w:ilvl="2" w:tplc="DAEE8D96">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416A80"/>
    <w:multiLevelType w:val="hybridMultilevel"/>
    <w:tmpl w:val="E418E81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F5010AC"/>
    <w:multiLevelType w:val="hybridMultilevel"/>
    <w:tmpl w:val="95F45C9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AC22CF"/>
    <w:multiLevelType w:val="hybridMultilevel"/>
    <w:tmpl w:val="2F1CB8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17"/>
  </w:num>
  <w:num w:numId="4">
    <w:abstractNumId w:val="10"/>
  </w:num>
  <w:num w:numId="5">
    <w:abstractNumId w:val="11"/>
  </w:num>
  <w:num w:numId="6">
    <w:abstractNumId w:val="8"/>
  </w:num>
  <w:num w:numId="7">
    <w:abstractNumId w:val="13"/>
  </w:num>
  <w:num w:numId="8">
    <w:abstractNumId w:val="5"/>
  </w:num>
  <w:num w:numId="9">
    <w:abstractNumId w:val="4"/>
  </w:num>
  <w:num w:numId="10">
    <w:abstractNumId w:val="18"/>
  </w:num>
  <w:num w:numId="11">
    <w:abstractNumId w:val="15"/>
  </w:num>
  <w:num w:numId="12">
    <w:abstractNumId w:val="3"/>
  </w:num>
  <w:num w:numId="13">
    <w:abstractNumId w:val="0"/>
  </w:num>
  <w:num w:numId="14">
    <w:abstractNumId w:val="7"/>
  </w:num>
  <w:num w:numId="15">
    <w:abstractNumId w:val="1"/>
  </w:num>
  <w:num w:numId="16">
    <w:abstractNumId w:val="6"/>
  </w:num>
  <w:num w:numId="17">
    <w:abstractNumId w:val="14"/>
  </w:num>
  <w:num w:numId="18">
    <w:abstractNumId w:val="9"/>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729D"/>
    <w:rsid w:val="00010109"/>
    <w:rsid w:val="00012055"/>
    <w:rsid w:val="000140B8"/>
    <w:rsid w:val="00015063"/>
    <w:rsid w:val="00015508"/>
    <w:rsid w:val="0002126E"/>
    <w:rsid w:val="00021774"/>
    <w:rsid w:val="00024BFC"/>
    <w:rsid w:val="00026C41"/>
    <w:rsid w:val="000271E8"/>
    <w:rsid w:val="000306F9"/>
    <w:rsid w:val="00030E69"/>
    <w:rsid w:val="00031925"/>
    <w:rsid w:val="00035CD5"/>
    <w:rsid w:val="00035E6E"/>
    <w:rsid w:val="00037257"/>
    <w:rsid w:val="00037CA6"/>
    <w:rsid w:val="0004022B"/>
    <w:rsid w:val="00041BCC"/>
    <w:rsid w:val="00042FCF"/>
    <w:rsid w:val="0004685C"/>
    <w:rsid w:val="00047FF1"/>
    <w:rsid w:val="00050143"/>
    <w:rsid w:val="00051EE3"/>
    <w:rsid w:val="00055704"/>
    <w:rsid w:val="00056E06"/>
    <w:rsid w:val="00061787"/>
    <w:rsid w:val="0006374D"/>
    <w:rsid w:val="000644DE"/>
    <w:rsid w:val="00064959"/>
    <w:rsid w:val="00064C2B"/>
    <w:rsid w:val="00064D6D"/>
    <w:rsid w:val="000651A4"/>
    <w:rsid w:val="000661EF"/>
    <w:rsid w:val="00067B40"/>
    <w:rsid w:val="0007255D"/>
    <w:rsid w:val="000734DA"/>
    <w:rsid w:val="000746B1"/>
    <w:rsid w:val="00076EDC"/>
    <w:rsid w:val="00080BB1"/>
    <w:rsid w:val="0008249D"/>
    <w:rsid w:val="0008511A"/>
    <w:rsid w:val="000861C2"/>
    <w:rsid w:val="000875BA"/>
    <w:rsid w:val="00087E40"/>
    <w:rsid w:val="000946D7"/>
    <w:rsid w:val="00095F9A"/>
    <w:rsid w:val="000A21B9"/>
    <w:rsid w:val="000A4002"/>
    <w:rsid w:val="000A4A1E"/>
    <w:rsid w:val="000A7DB5"/>
    <w:rsid w:val="000B0F4A"/>
    <w:rsid w:val="000B32B9"/>
    <w:rsid w:val="000B34A1"/>
    <w:rsid w:val="000B48B9"/>
    <w:rsid w:val="000B54FA"/>
    <w:rsid w:val="000C12B0"/>
    <w:rsid w:val="000C16C7"/>
    <w:rsid w:val="000C4480"/>
    <w:rsid w:val="000C568F"/>
    <w:rsid w:val="000C7E9B"/>
    <w:rsid w:val="000D04E5"/>
    <w:rsid w:val="000D069C"/>
    <w:rsid w:val="000D26B7"/>
    <w:rsid w:val="000D7BBA"/>
    <w:rsid w:val="000E0D22"/>
    <w:rsid w:val="000E2708"/>
    <w:rsid w:val="000E6028"/>
    <w:rsid w:val="000E6D72"/>
    <w:rsid w:val="000F51F7"/>
    <w:rsid w:val="001001E8"/>
    <w:rsid w:val="00104839"/>
    <w:rsid w:val="00106888"/>
    <w:rsid w:val="00113381"/>
    <w:rsid w:val="00114A05"/>
    <w:rsid w:val="00116F95"/>
    <w:rsid w:val="001178D1"/>
    <w:rsid w:val="00125C1F"/>
    <w:rsid w:val="0012618E"/>
    <w:rsid w:val="00127069"/>
    <w:rsid w:val="00130487"/>
    <w:rsid w:val="00133FF1"/>
    <w:rsid w:val="001360AF"/>
    <w:rsid w:val="00136376"/>
    <w:rsid w:val="00137BAC"/>
    <w:rsid w:val="00140644"/>
    <w:rsid w:val="00141039"/>
    <w:rsid w:val="001412C1"/>
    <w:rsid w:val="001416FE"/>
    <w:rsid w:val="0014584E"/>
    <w:rsid w:val="0015016B"/>
    <w:rsid w:val="001507E7"/>
    <w:rsid w:val="0015188C"/>
    <w:rsid w:val="0015208F"/>
    <w:rsid w:val="00152501"/>
    <w:rsid w:val="00152577"/>
    <w:rsid w:val="001525D7"/>
    <w:rsid w:val="00154A6D"/>
    <w:rsid w:val="00155578"/>
    <w:rsid w:val="00156215"/>
    <w:rsid w:val="00157405"/>
    <w:rsid w:val="00160274"/>
    <w:rsid w:val="00162996"/>
    <w:rsid w:val="00162E85"/>
    <w:rsid w:val="0016574C"/>
    <w:rsid w:val="00170D04"/>
    <w:rsid w:val="0017111C"/>
    <w:rsid w:val="001714FB"/>
    <w:rsid w:val="001734AF"/>
    <w:rsid w:val="00177A29"/>
    <w:rsid w:val="001809E3"/>
    <w:rsid w:val="0018516A"/>
    <w:rsid w:val="001A2778"/>
    <w:rsid w:val="001A559D"/>
    <w:rsid w:val="001A5818"/>
    <w:rsid w:val="001A60DB"/>
    <w:rsid w:val="001A7F37"/>
    <w:rsid w:val="001B162F"/>
    <w:rsid w:val="001B6C59"/>
    <w:rsid w:val="001C2F68"/>
    <w:rsid w:val="001C425C"/>
    <w:rsid w:val="001C4FAF"/>
    <w:rsid w:val="001C5440"/>
    <w:rsid w:val="001C768D"/>
    <w:rsid w:val="001C797C"/>
    <w:rsid w:val="001C7B78"/>
    <w:rsid w:val="001C7E53"/>
    <w:rsid w:val="001D0F46"/>
    <w:rsid w:val="001D1102"/>
    <w:rsid w:val="001D4B02"/>
    <w:rsid w:val="001D5E4E"/>
    <w:rsid w:val="001D66EB"/>
    <w:rsid w:val="001D723F"/>
    <w:rsid w:val="001E2055"/>
    <w:rsid w:val="001E37ED"/>
    <w:rsid w:val="001E7774"/>
    <w:rsid w:val="001E7D30"/>
    <w:rsid w:val="001E7EAF"/>
    <w:rsid w:val="001F2F9F"/>
    <w:rsid w:val="001F33A3"/>
    <w:rsid w:val="001F4EA3"/>
    <w:rsid w:val="001F519D"/>
    <w:rsid w:val="001F6AC3"/>
    <w:rsid w:val="00201275"/>
    <w:rsid w:val="002019D8"/>
    <w:rsid w:val="00202EFA"/>
    <w:rsid w:val="002057DA"/>
    <w:rsid w:val="00206D31"/>
    <w:rsid w:val="002074A4"/>
    <w:rsid w:val="00207938"/>
    <w:rsid w:val="002119C3"/>
    <w:rsid w:val="00220B1B"/>
    <w:rsid w:val="00221F74"/>
    <w:rsid w:val="00223CED"/>
    <w:rsid w:val="00226EC9"/>
    <w:rsid w:val="00230841"/>
    <w:rsid w:val="0023168A"/>
    <w:rsid w:val="002355FE"/>
    <w:rsid w:val="00240D13"/>
    <w:rsid w:val="00241D22"/>
    <w:rsid w:val="00243426"/>
    <w:rsid w:val="0024433D"/>
    <w:rsid w:val="0025108C"/>
    <w:rsid w:val="00251F83"/>
    <w:rsid w:val="00252EE6"/>
    <w:rsid w:val="00253AF4"/>
    <w:rsid w:val="002543E2"/>
    <w:rsid w:val="002549F5"/>
    <w:rsid w:val="00256091"/>
    <w:rsid w:val="002702EA"/>
    <w:rsid w:val="00270AF5"/>
    <w:rsid w:val="0027706F"/>
    <w:rsid w:val="00282312"/>
    <w:rsid w:val="002834FB"/>
    <w:rsid w:val="00284852"/>
    <w:rsid w:val="00284C2D"/>
    <w:rsid w:val="0028659C"/>
    <w:rsid w:val="00287A59"/>
    <w:rsid w:val="00290380"/>
    <w:rsid w:val="00292D4F"/>
    <w:rsid w:val="00293399"/>
    <w:rsid w:val="0029466B"/>
    <w:rsid w:val="002948BA"/>
    <w:rsid w:val="002961FD"/>
    <w:rsid w:val="002971E2"/>
    <w:rsid w:val="002A217A"/>
    <w:rsid w:val="002A22B7"/>
    <w:rsid w:val="002A5E5F"/>
    <w:rsid w:val="002A68EC"/>
    <w:rsid w:val="002A7370"/>
    <w:rsid w:val="002B0D2A"/>
    <w:rsid w:val="002B2E49"/>
    <w:rsid w:val="002B6C5A"/>
    <w:rsid w:val="002C5593"/>
    <w:rsid w:val="002C6CE2"/>
    <w:rsid w:val="002C7152"/>
    <w:rsid w:val="002C75B1"/>
    <w:rsid w:val="002D1E95"/>
    <w:rsid w:val="002D3F58"/>
    <w:rsid w:val="002E1C05"/>
    <w:rsid w:val="002E5923"/>
    <w:rsid w:val="002E6CE7"/>
    <w:rsid w:val="002F2DDA"/>
    <w:rsid w:val="002F32CD"/>
    <w:rsid w:val="002F7B64"/>
    <w:rsid w:val="00303246"/>
    <w:rsid w:val="003102E6"/>
    <w:rsid w:val="00312097"/>
    <w:rsid w:val="00312466"/>
    <w:rsid w:val="00313AD3"/>
    <w:rsid w:val="003142B7"/>
    <w:rsid w:val="00317A20"/>
    <w:rsid w:val="00320014"/>
    <w:rsid w:val="003205CD"/>
    <w:rsid w:val="003243B6"/>
    <w:rsid w:val="0033371C"/>
    <w:rsid w:val="00334745"/>
    <w:rsid w:val="00335899"/>
    <w:rsid w:val="00336DD3"/>
    <w:rsid w:val="00340618"/>
    <w:rsid w:val="00340F13"/>
    <w:rsid w:val="00341D70"/>
    <w:rsid w:val="00344C64"/>
    <w:rsid w:val="00345630"/>
    <w:rsid w:val="00350806"/>
    <w:rsid w:val="003518FF"/>
    <w:rsid w:val="00351E20"/>
    <w:rsid w:val="003605E4"/>
    <w:rsid w:val="00360972"/>
    <w:rsid w:val="00360BE3"/>
    <w:rsid w:val="00361916"/>
    <w:rsid w:val="00362642"/>
    <w:rsid w:val="00362E82"/>
    <w:rsid w:val="00364F1E"/>
    <w:rsid w:val="003671CE"/>
    <w:rsid w:val="00367478"/>
    <w:rsid w:val="00367AB5"/>
    <w:rsid w:val="00367E06"/>
    <w:rsid w:val="00372ACB"/>
    <w:rsid w:val="0037372A"/>
    <w:rsid w:val="00376071"/>
    <w:rsid w:val="00380C6D"/>
    <w:rsid w:val="00384793"/>
    <w:rsid w:val="003874BB"/>
    <w:rsid w:val="00387F6C"/>
    <w:rsid w:val="003903BF"/>
    <w:rsid w:val="003954D7"/>
    <w:rsid w:val="003B0B0F"/>
    <w:rsid w:val="003B0BF9"/>
    <w:rsid w:val="003B76AB"/>
    <w:rsid w:val="003B7D1E"/>
    <w:rsid w:val="003C0235"/>
    <w:rsid w:val="003C2624"/>
    <w:rsid w:val="003C42E9"/>
    <w:rsid w:val="003C7AEA"/>
    <w:rsid w:val="003D23E3"/>
    <w:rsid w:val="003D3453"/>
    <w:rsid w:val="003D4330"/>
    <w:rsid w:val="003D6DD6"/>
    <w:rsid w:val="003E0791"/>
    <w:rsid w:val="003E0FF4"/>
    <w:rsid w:val="003E3512"/>
    <w:rsid w:val="003E4147"/>
    <w:rsid w:val="003E5732"/>
    <w:rsid w:val="003E68B6"/>
    <w:rsid w:val="003F1B90"/>
    <w:rsid w:val="003F1F2D"/>
    <w:rsid w:val="003F28AC"/>
    <w:rsid w:val="003F66CA"/>
    <w:rsid w:val="00400292"/>
    <w:rsid w:val="00400360"/>
    <w:rsid w:val="00401F30"/>
    <w:rsid w:val="00403A2F"/>
    <w:rsid w:val="004062C1"/>
    <w:rsid w:val="004118C9"/>
    <w:rsid w:val="0041654D"/>
    <w:rsid w:val="00417A7A"/>
    <w:rsid w:val="00420133"/>
    <w:rsid w:val="00420AC3"/>
    <w:rsid w:val="00421562"/>
    <w:rsid w:val="00421EB1"/>
    <w:rsid w:val="00423568"/>
    <w:rsid w:val="00425F6D"/>
    <w:rsid w:val="00430AD7"/>
    <w:rsid w:val="00431C39"/>
    <w:rsid w:val="0043377F"/>
    <w:rsid w:val="00434F0D"/>
    <w:rsid w:val="004351B6"/>
    <w:rsid w:val="00435568"/>
    <w:rsid w:val="0043765E"/>
    <w:rsid w:val="0044410F"/>
    <w:rsid w:val="004454FE"/>
    <w:rsid w:val="00451F79"/>
    <w:rsid w:val="00452463"/>
    <w:rsid w:val="00456BE7"/>
    <w:rsid w:val="00456E40"/>
    <w:rsid w:val="004622AB"/>
    <w:rsid w:val="00463B4E"/>
    <w:rsid w:val="004644ED"/>
    <w:rsid w:val="00467DE3"/>
    <w:rsid w:val="00470506"/>
    <w:rsid w:val="00470591"/>
    <w:rsid w:val="00470ECD"/>
    <w:rsid w:val="00471F27"/>
    <w:rsid w:val="00472087"/>
    <w:rsid w:val="00474020"/>
    <w:rsid w:val="0047526F"/>
    <w:rsid w:val="00475F37"/>
    <w:rsid w:val="00485E78"/>
    <w:rsid w:val="0048753C"/>
    <w:rsid w:val="004875DD"/>
    <w:rsid w:val="00493BF2"/>
    <w:rsid w:val="00494F80"/>
    <w:rsid w:val="00495760"/>
    <w:rsid w:val="00495EEF"/>
    <w:rsid w:val="0049601C"/>
    <w:rsid w:val="00497CD8"/>
    <w:rsid w:val="004A145C"/>
    <w:rsid w:val="004A39FE"/>
    <w:rsid w:val="004B04F2"/>
    <w:rsid w:val="004B5A63"/>
    <w:rsid w:val="004C1FE7"/>
    <w:rsid w:val="004C44A1"/>
    <w:rsid w:val="004D2294"/>
    <w:rsid w:val="004D6991"/>
    <w:rsid w:val="004D7640"/>
    <w:rsid w:val="004E0175"/>
    <w:rsid w:val="004E1BA2"/>
    <w:rsid w:val="004E282B"/>
    <w:rsid w:val="004E29AE"/>
    <w:rsid w:val="004E39AB"/>
    <w:rsid w:val="004E4012"/>
    <w:rsid w:val="004F0343"/>
    <w:rsid w:val="004F7DEC"/>
    <w:rsid w:val="0050178F"/>
    <w:rsid w:val="00502082"/>
    <w:rsid w:val="00502D97"/>
    <w:rsid w:val="005072B3"/>
    <w:rsid w:val="00507426"/>
    <w:rsid w:val="005109D3"/>
    <w:rsid w:val="0051211C"/>
    <w:rsid w:val="005169EA"/>
    <w:rsid w:val="00520FE1"/>
    <w:rsid w:val="005242EC"/>
    <w:rsid w:val="005247D6"/>
    <w:rsid w:val="00524964"/>
    <w:rsid w:val="00526ADC"/>
    <w:rsid w:val="00526E2C"/>
    <w:rsid w:val="00527D8B"/>
    <w:rsid w:val="00527DB3"/>
    <w:rsid w:val="00533206"/>
    <w:rsid w:val="00533948"/>
    <w:rsid w:val="005349F0"/>
    <w:rsid w:val="00535C88"/>
    <w:rsid w:val="00541371"/>
    <w:rsid w:val="00541B58"/>
    <w:rsid w:val="0054744C"/>
    <w:rsid w:val="005534E6"/>
    <w:rsid w:val="00553E16"/>
    <w:rsid w:val="00561FEA"/>
    <w:rsid w:val="00562EB9"/>
    <w:rsid w:val="00564C6B"/>
    <w:rsid w:val="00565E99"/>
    <w:rsid w:val="0056696D"/>
    <w:rsid w:val="00566AD6"/>
    <w:rsid w:val="00571761"/>
    <w:rsid w:val="005728A3"/>
    <w:rsid w:val="00574623"/>
    <w:rsid w:val="00577052"/>
    <w:rsid w:val="005805C4"/>
    <w:rsid w:val="00580732"/>
    <w:rsid w:val="00581FE3"/>
    <w:rsid w:val="005826B6"/>
    <w:rsid w:val="005856D9"/>
    <w:rsid w:val="00592966"/>
    <w:rsid w:val="00592F9E"/>
    <w:rsid w:val="00593D97"/>
    <w:rsid w:val="00594B91"/>
    <w:rsid w:val="005A1A1D"/>
    <w:rsid w:val="005A4EC1"/>
    <w:rsid w:val="005A7D3F"/>
    <w:rsid w:val="005B1660"/>
    <w:rsid w:val="005B585B"/>
    <w:rsid w:val="005C5A84"/>
    <w:rsid w:val="005D34DD"/>
    <w:rsid w:val="005D54F2"/>
    <w:rsid w:val="005D57A7"/>
    <w:rsid w:val="005D68A5"/>
    <w:rsid w:val="005E1D9B"/>
    <w:rsid w:val="005E25B2"/>
    <w:rsid w:val="005E5FFC"/>
    <w:rsid w:val="005F0566"/>
    <w:rsid w:val="005F4FE2"/>
    <w:rsid w:val="005F5171"/>
    <w:rsid w:val="005F5B04"/>
    <w:rsid w:val="005F7BA4"/>
    <w:rsid w:val="00602F46"/>
    <w:rsid w:val="006043EA"/>
    <w:rsid w:val="00606503"/>
    <w:rsid w:val="00610FBE"/>
    <w:rsid w:val="0061155F"/>
    <w:rsid w:val="00613390"/>
    <w:rsid w:val="006137D8"/>
    <w:rsid w:val="00613AFE"/>
    <w:rsid w:val="00615344"/>
    <w:rsid w:val="00622B6A"/>
    <w:rsid w:val="006232F5"/>
    <w:rsid w:val="0062405C"/>
    <w:rsid w:val="00626AC5"/>
    <w:rsid w:val="00627631"/>
    <w:rsid w:val="006335C0"/>
    <w:rsid w:val="00635B83"/>
    <w:rsid w:val="00637AC0"/>
    <w:rsid w:val="0064126F"/>
    <w:rsid w:val="0064127B"/>
    <w:rsid w:val="00641498"/>
    <w:rsid w:val="00641C86"/>
    <w:rsid w:val="00643ED2"/>
    <w:rsid w:val="0064498B"/>
    <w:rsid w:val="00644B15"/>
    <w:rsid w:val="00645CC9"/>
    <w:rsid w:val="00646244"/>
    <w:rsid w:val="0064653C"/>
    <w:rsid w:val="00647B3D"/>
    <w:rsid w:val="006538AC"/>
    <w:rsid w:val="00655670"/>
    <w:rsid w:val="00655F2C"/>
    <w:rsid w:val="0065758B"/>
    <w:rsid w:val="00662A90"/>
    <w:rsid w:val="00663AF4"/>
    <w:rsid w:val="0066441B"/>
    <w:rsid w:val="00665761"/>
    <w:rsid w:val="0066594E"/>
    <w:rsid w:val="0066749E"/>
    <w:rsid w:val="0067466F"/>
    <w:rsid w:val="00680168"/>
    <w:rsid w:val="00681A48"/>
    <w:rsid w:val="00681F74"/>
    <w:rsid w:val="006830EB"/>
    <w:rsid w:val="00683A3B"/>
    <w:rsid w:val="006842C0"/>
    <w:rsid w:val="006852A7"/>
    <w:rsid w:val="00685E0B"/>
    <w:rsid w:val="00687411"/>
    <w:rsid w:val="006936E5"/>
    <w:rsid w:val="006965C4"/>
    <w:rsid w:val="006A31D0"/>
    <w:rsid w:val="006A3331"/>
    <w:rsid w:val="006A479C"/>
    <w:rsid w:val="006A4B9B"/>
    <w:rsid w:val="006A4BF8"/>
    <w:rsid w:val="006A5A9B"/>
    <w:rsid w:val="006A5B7E"/>
    <w:rsid w:val="006A5DEF"/>
    <w:rsid w:val="006A7DBC"/>
    <w:rsid w:val="006B221B"/>
    <w:rsid w:val="006B406C"/>
    <w:rsid w:val="006B490A"/>
    <w:rsid w:val="006C05CD"/>
    <w:rsid w:val="006C0EB5"/>
    <w:rsid w:val="006C12A6"/>
    <w:rsid w:val="006C219D"/>
    <w:rsid w:val="006C2DFF"/>
    <w:rsid w:val="006C4F22"/>
    <w:rsid w:val="006C7AE7"/>
    <w:rsid w:val="006D4250"/>
    <w:rsid w:val="006E0366"/>
    <w:rsid w:val="006E1081"/>
    <w:rsid w:val="006E587D"/>
    <w:rsid w:val="006E71F7"/>
    <w:rsid w:val="006F09C2"/>
    <w:rsid w:val="006F0FC6"/>
    <w:rsid w:val="006F193F"/>
    <w:rsid w:val="006F265C"/>
    <w:rsid w:val="006F4690"/>
    <w:rsid w:val="006F56B9"/>
    <w:rsid w:val="00701AC4"/>
    <w:rsid w:val="00702CFD"/>
    <w:rsid w:val="00707161"/>
    <w:rsid w:val="00714300"/>
    <w:rsid w:val="0071704D"/>
    <w:rsid w:val="00717EBA"/>
    <w:rsid w:val="00717FAF"/>
    <w:rsid w:val="00720585"/>
    <w:rsid w:val="00720987"/>
    <w:rsid w:val="00722056"/>
    <w:rsid w:val="00726660"/>
    <w:rsid w:val="007271F9"/>
    <w:rsid w:val="007272A8"/>
    <w:rsid w:val="00727895"/>
    <w:rsid w:val="00730A0D"/>
    <w:rsid w:val="0073189F"/>
    <w:rsid w:val="007334F1"/>
    <w:rsid w:val="00740888"/>
    <w:rsid w:val="00740D0B"/>
    <w:rsid w:val="00740EEA"/>
    <w:rsid w:val="00742254"/>
    <w:rsid w:val="00742F60"/>
    <w:rsid w:val="007441D5"/>
    <w:rsid w:val="00744E31"/>
    <w:rsid w:val="00746399"/>
    <w:rsid w:val="0074680C"/>
    <w:rsid w:val="00750090"/>
    <w:rsid w:val="00750D89"/>
    <w:rsid w:val="00751927"/>
    <w:rsid w:val="00757054"/>
    <w:rsid w:val="007571AD"/>
    <w:rsid w:val="007606BC"/>
    <w:rsid w:val="007606BD"/>
    <w:rsid w:val="00761AEA"/>
    <w:rsid w:val="00765B2E"/>
    <w:rsid w:val="00766BFA"/>
    <w:rsid w:val="00766CE7"/>
    <w:rsid w:val="007671D3"/>
    <w:rsid w:val="00767757"/>
    <w:rsid w:val="0077287A"/>
    <w:rsid w:val="00773AF6"/>
    <w:rsid w:val="00773EC6"/>
    <w:rsid w:val="00776EE7"/>
    <w:rsid w:val="00780184"/>
    <w:rsid w:val="00781317"/>
    <w:rsid w:val="00782C47"/>
    <w:rsid w:val="00782C73"/>
    <w:rsid w:val="007831D2"/>
    <w:rsid w:val="00783E71"/>
    <w:rsid w:val="007860EA"/>
    <w:rsid w:val="0079260F"/>
    <w:rsid w:val="00793180"/>
    <w:rsid w:val="00795F71"/>
    <w:rsid w:val="007A0DA7"/>
    <w:rsid w:val="007A1322"/>
    <w:rsid w:val="007A3632"/>
    <w:rsid w:val="007A3F62"/>
    <w:rsid w:val="007A7695"/>
    <w:rsid w:val="007A7826"/>
    <w:rsid w:val="007B01C3"/>
    <w:rsid w:val="007B1C39"/>
    <w:rsid w:val="007B1D31"/>
    <w:rsid w:val="007B2A08"/>
    <w:rsid w:val="007B3917"/>
    <w:rsid w:val="007B3A0F"/>
    <w:rsid w:val="007B4330"/>
    <w:rsid w:val="007B4E09"/>
    <w:rsid w:val="007B5E48"/>
    <w:rsid w:val="007B7A0E"/>
    <w:rsid w:val="007C27D5"/>
    <w:rsid w:val="007C3069"/>
    <w:rsid w:val="007C7059"/>
    <w:rsid w:val="007C74C9"/>
    <w:rsid w:val="007D632A"/>
    <w:rsid w:val="007D695F"/>
    <w:rsid w:val="007D6D57"/>
    <w:rsid w:val="007D7A41"/>
    <w:rsid w:val="007E06B4"/>
    <w:rsid w:val="007E3BCE"/>
    <w:rsid w:val="007E4DF3"/>
    <w:rsid w:val="007E5F7A"/>
    <w:rsid w:val="007E695B"/>
    <w:rsid w:val="007E6AAA"/>
    <w:rsid w:val="007E73AB"/>
    <w:rsid w:val="007F2EF9"/>
    <w:rsid w:val="007F6F87"/>
    <w:rsid w:val="007F79DE"/>
    <w:rsid w:val="007F7D5A"/>
    <w:rsid w:val="00804AF8"/>
    <w:rsid w:val="0080508B"/>
    <w:rsid w:val="008055ED"/>
    <w:rsid w:val="00805A49"/>
    <w:rsid w:val="00805F4C"/>
    <w:rsid w:val="00811F73"/>
    <w:rsid w:val="00816479"/>
    <w:rsid w:val="008168AC"/>
    <w:rsid w:val="00816C11"/>
    <w:rsid w:val="00817B91"/>
    <w:rsid w:val="00822C45"/>
    <w:rsid w:val="00824A17"/>
    <w:rsid w:val="008256CB"/>
    <w:rsid w:val="00827EEE"/>
    <w:rsid w:val="008307BA"/>
    <w:rsid w:val="008307D9"/>
    <w:rsid w:val="00830B14"/>
    <w:rsid w:val="00831629"/>
    <w:rsid w:val="00834A38"/>
    <w:rsid w:val="0084024A"/>
    <w:rsid w:val="00840EE9"/>
    <w:rsid w:val="00842113"/>
    <w:rsid w:val="00842AD1"/>
    <w:rsid w:val="0084345A"/>
    <w:rsid w:val="008470F2"/>
    <w:rsid w:val="00851D8B"/>
    <w:rsid w:val="008521C6"/>
    <w:rsid w:val="00852B64"/>
    <w:rsid w:val="0085714D"/>
    <w:rsid w:val="00860032"/>
    <w:rsid w:val="00861998"/>
    <w:rsid w:val="00863DCA"/>
    <w:rsid w:val="00867737"/>
    <w:rsid w:val="008705EC"/>
    <w:rsid w:val="00872B3C"/>
    <w:rsid w:val="00873547"/>
    <w:rsid w:val="00874A6E"/>
    <w:rsid w:val="00875194"/>
    <w:rsid w:val="00875949"/>
    <w:rsid w:val="0087595E"/>
    <w:rsid w:val="00875A9D"/>
    <w:rsid w:val="00877646"/>
    <w:rsid w:val="00880867"/>
    <w:rsid w:val="00880941"/>
    <w:rsid w:val="0088665D"/>
    <w:rsid w:val="008870FC"/>
    <w:rsid w:val="008900D6"/>
    <w:rsid w:val="00891AF0"/>
    <w:rsid w:val="00891CFD"/>
    <w:rsid w:val="008923A2"/>
    <w:rsid w:val="00894C55"/>
    <w:rsid w:val="008954E8"/>
    <w:rsid w:val="00896510"/>
    <w:rsid w:val="00896A9B"/>
    <w:rsid w:val="00896B28"/>
    <w:rsid w:val="008A66C9"/>
    <w:rsid w:val="008B12B7"/>
    <w:rsid w:val="008B37B7"/>
    <w:rsid w:val="008B4BB2"/>
    <w:rsid w:val="008C1794"/>
    <w:rsid w:val="008C2003"/>
    <w:rsid w:val="008C47F9"/>
    <w:rsid w:val="008C563B"/>
    <w:rsid w:val="008C7E5C"/>
    <w:rsid w:val="008D16B8"/>
    <w:rsid w:val="008D1B1C"/>
    <w:rsid w:val="008D244E"/>
    <w:rsid w:val="008D372B"/>
    <w:rsid w:val="008D524C"/>
    <w:rsid w:val="008D5277"/>
    <w:rsid w:val="008D7099"/>
    <w:rsid w:val="008E09D7"/>
    <w:rsid w:val="008E280F"/>
    <w:rsid w:val="008E4909"/>
    <w:rsid w:val="008E4FC1"/>
    <w:rsid w:val="008E61BF"/>
    <w:rsid w:val="008F384D"/>
    <w:rsid w:val="008F4622"/>
    <w:rsid w:val="008F4B78"/>
    <w:rsid w:val="008F504A"/>
    <w:rsid w:val="008F5220"/>
    <w:rsid w:val="0090017B"/>
    <w:rsid w:val="00900815"/>
    <w:rsid w:val="00903694"/>
    <w:rsid w:val="00904B72"/>
    <w:rsid w:val="00906620"/>
    <w:rsid w:val="00910BAE"/>
    <w:rsid w:val="009115E9"/>
    <w:rsid w:val="0091192F"/>
    <w:rsid w:val="00912458"/>
    <w:rsid w:val="009141D6"/>
    <w:rsid w:val="0091488A"/>
    <w:rsid w:val="0091740C"/>
    <w:rsid w:val="00922C9E"/>
    <w:rsid w:val="00922E9E"/>
    <w:rsid w:val="009233FC"/>
    <w:rsid w:val="009271C0"/>
    <w:rsid w:val="00927980"/>
    <w:rsid w:val="00931C65"/>
    <w:rsid w:val="00931F74"/>
    <w:rsid w:val="009337F9"/>
    <w:rsid w:val="00934582"/>
    <w:rsid w:val="0094176A"/>
    <w:rsid w:val="00945CE6"/>
    <w:rsid w:val="009505DA"/>
    <w:rsid w:val="00950BF1"/>
    <w:rsid w:val="00950DF4"/>
    <w:rsid w:val="00952108"/>
    <w:rsid w:val="00952FE1"/>
    <w:rsid w:val="009547D2"/>
    <w:rsid w:val="009604E9"/>
    <w:rsid w:val="00960937"/>
    <w:rsid w:val="009637FB"/>
    <w:rsid w:val="009644BB"/>
    <w:rsid w:val="00965D4C"/>
    <w:rsid w:val="00966B5F"/>
    <w:rsid w:val="00966CDA"/>
    <w:rsid w:val="009700B2"/>
    <w:rsid w:val="00972E35"/>
    <w:rsid w:val="00973D38"/>
    <w:rsid w:val="009740EA"/>
    <w:rsid w:val="009741D2"/>
    <w:rsid w:val="009748EE"/>
    <w:rsid w:val="00975284"/>
    <w:rsid w:val="00976210"/>
    <w:rsid w:val="00976BAC"/>
    <w:rsid w:val="00981D7F"/>
    <w:rsid w:val="0098406D"/>
    <w:rsid w:val="00986BC6"/>
    <w:rsid w:val="009870A7"/>
    <w:rsid w:val="009907E2"/>
    <w:rsid w:val="009909BA"/>
    <w:rsid w:val="00991F3E"/>
    <w:rsid w:val="009936B8"/>
    <w:rsid w:val="00993E5D"/>
    <w:rsid w:val="009957C2"/>
    <w:rsid w:val="00996C6B"/>
    <w:rsid w:val="009A0037"/>
    <w:rsid w:val="009A0228"/>
    <w:rsid w:val="009A0760"/>
    <w:rsid w:val="009A2654"/>
    <w:rsid w:val="009A38DD"/>
    <w:rsid w:val="009A477D"/>
    <w:rsid w:val="009A6794"/>
    <w:rsid w:val="009B0CA2"/>
    <w:rsid w:val="009B37C5"/>
    <w:rsid w:val="009B51FF"/>
    <w:rsid w:val="009B61EE"/>
    <w:rsid w:val="009B7672"/>
    <w:rsid w:val="009B7770"/>
    <w:rsid w:val="009C09D8"/>
    <w:rsid w:val="009C15CF"/>
    <w:rsid w:val="009E1A8B"/>
    <w:rsid w:val="009E34A9"/>
    <w:rsid w:val="009E38B2"/>
    <w:rsid w:val="009E53FF"/>
    <w:rsid w:val="009E7284"/>
    <w:rsid w:val="009F0F42"/>
    <w:rsid w:val="009F25E7"/>
    <w:rsid w:val="009F2D30"/>
    <w:rsid w:val="00A01588"/>
    <w:rsid w:val="00A0244D"/>
    <w:rsid w:val="00A03A77"/>
    <w:rsid w:val="00A07BD4"/>
    <w:rsid w:val="00A10FC3"/>
    <w:rsid w:val="00A160C3"/>
    <w:rsid w:val="00A16B22"/>
    <w:rsid w:val="00A21796"/>
    <w:rsid w:val="00A2399C"/>
    <w:rsid w:val="00A25C20"/>
    <w:rsid w:val="00A25EBA"/>
    <w:rsid w:val="00A35E02"/>
    <w:rsid w:val="00A364B7"/>
    <w:rsid w:val="00A406EF"/>
    <w:rsid w:val="00A40ABD"/>
    <w:rsid w:val="00A40CC7"/>
    <w:rsid w:val="00A53F16"/>
    <w:rsid w:val="00A57B21"/>
    <w:rsid w:val="00A6073E"/>
    <w:rsid w:val="00A60D70"/>
    <w:rsid w:val="00A61146"/>
    <w:rsid w:val="00A772AD"/>
    <w:rsid w:val="00A80382"/>
    <w:rsid w:val="00A80FDB"/>
    <w:rsid w:val="00A82C14"/>
    <w:rsid w:val="00A85518"/>
    <w:rsid w:val="00A92096"/>
    <w:rsid w:val="00A932CF"/>
    <w:rsid w:val="00A935DA"/>
    <w:rsid w:val="00A93640"/>
    <w:rsid w:val="00A939DE"/>
    <w:rsid w:val="00A97A45"/>
    <w:rsid w:val="00AA4209"/>
    <w:rsid w:val="00AA4648"/>
    <w:rsid w:val="00AA55ED"/>
    <w:rsid w:val="00AB2DA8"/>
    <w:rsid w:val="00AB35AD"/>
    <w:rsid w:val="00AB6561"/>
    <w:rsid w:val="00AB6774"/>
    <w:rsid w:val="00AC50B8"/>
    <w:rsid w:val="00AC50CF"/>
    <w:rsid w:val="00AC5884"/>
    <w:rsid w:val="00AC58B1"/>
    <w:rsid w:val="00AD0171"/>
    <w:rsid w:val="00AD0D3F"/>
    <w:rsid w:val="00AD3971"/>
    <w:rsid w:val="00AD521B"/>
    <w:rsid w:val="00AE04CC"/>
    <w:rsid w:val="00AE072A"/>
    <w:rsid w:val="00AE0FF0"/>
    <w:rsid w:val="00AE1295"/>
    <w:rsid w:val="00AE3F78"/>
    <w:rsid w:val="00AE4D05"/>
    <w:rsid w:val="00AE5567"/>
    <w:rsid w:val="00AE73AA"/>
    <w:rsid w:val="00AF1239"/>
    <w:rsid w:val="00AF2175"/>
    <w:rsid w:val="00AF3AB8"/>
    <w:rsid w:val="00AF7C42"/>
    <w:rsid w:val="00B07343"/>
    <w:rsid w:val="00B1213A"/>
    <w:rsid w:val="00B12559"/>
    <w:rsid w:val="00B12926"/>
    <w:rsid w:val="00B1297B"/>
    <w:rsid w:val="00B1306B"/>
    <w:rsid w:val="00B130ED"/>
    <w:rsid w:val="00B15FDD"/>
    <w:rsid w:val="00B16480"/>
    <w:rsid w:val="00B2165C"/>
    <w:rsid w:val="00B22B77"/>
    <w:rsid w:val="00B24B66"/>
    <w:rsid w:val="00B24C87"/>
    <w:rsid w:val="00B2576B"/>
    <w:rsid w:val="00B25BAC"/>
    <w:rsid w:val="00B31BDD"/>
    <w:rsid w:val="00B34AB7"/>
    <w:rsid w:val="00B37243"/>
    <w:rsid w:val="00B40D44"/>
    <w:rsid w:val="00B4472D"/>
    <w:rsid w:val="00B461EA"/>
    <w:rsid w:val="00B47986"/>
    <w:rsid w:val="00B53A2F"/>
    <w:rsid w:val="00B5648E"/>
    <w:rsid w:val="00B622AD"/>
    <w:rsid w:val="00B62AF7"/>
    <w:rsid w:val="00B64C65"/>
    <w:rsid w:val="00B6729B"/>
    <w:rsid w:val="00B67377"/>
    <w:rsid w:val="00B6779C"/>
    <w:rsid w:val="00B716E9"/>
    <w:rsid w:val="00B71701"/>
    <w:rsid w:val="00B72257"/>
    <w:rsid w:val="00B722E6"/>
    <w:rsid w:val="00B72AB1"/>
    <w:rsid w:val="00B8149C"/>
    <w:rsid w:val="00B83BB9"/>
    <w:rsid w:val="00B83DE2"/>
    <w:rsid w:val="00B83EC8"/>
    <w:rsid w:val="00B84835"/>
    <w:rsid w:val="00B8604D"/>
    <w:rsid w:val="00B91FC6"/>
    <w:rsid w:val="00B9226B"/>
    <w:rsid w:val="00B927DC"/>
    <w:rsid w:val="00BA104A"/>
    <w:rsid w:val="00BA20AA"/>
    <w:rsid w:val="00BA33EF"/>
    <w:rsid w:val="00BA4D7E"/>
    <w:rsid w:val="00BA546E"/>
    <w:rsid w:val="00BA7BA7"/>
    <w:rsid w:val="00BB15E3"/>
    <w:rsid w:val="00BB1D5B"/>
    <w:rsid w:val="00BB6777"/>
    <w:rsid w:val="00BB6937"/>
    <w:rsid w:val="00BC4402"/>
    <w:rsid w:val="00BC44DC"/>
    <w:rsid w:val="00BC5108"/>
    <w:rsid w:val="00BD24FB"/>
    <w:rsid w:val="00BD3CD6"/>
    <w:rsid w:val="00BD4425"/>
    <w:rsid w:val="00BD7F5E"/>
    <w:rsid w:val="00BE1B21"/>
    <w:rsid w:val="00BE7C51"/>
    <w:rsid w:val="00BE7DC1"/>
    <w:rsid w:val="00BF02AF"/>
    <w:rsid w:val="00BF2115"/>
    <w:rsid w:val="00BF2A90"/>
    <w:rsid w:val="00C0281A"/>
    <w:rsid w:val="00C02AE6"/>
    <w:rsid w:val="00C03C0C"/>
    <w:rsid w:val="00C054A4"/>
    <w:rsid w:val="00C05E15"/>
    <w:rsid w:val="00C07AF6"/>
    <w:rsid w:val="00C10270"/>
    <w:rsid w:val="00C14E0E"/>
    <w:rsid w:val="00C1736A"/>
    <w:rsid w:val="00C200B1"/>
    <w:rsid w:val="00C214C6"/>
    <w:rsid w:val="00C24A45"/>
    <w:rsid w:val="00C24D49"/>
    <w:rsid w:val="00C25B49"/>
    <w:rsid w:val="00C25CB9"/>
    <w:rsid w:val="00C264A6"/>
    <w:rsid w:val="00C26520"/>
    <w:rsid w:val="00C30F18"/>
    <w:rsid w:val="00C348FC"/>
    <w:rsid w:val="00C34C39"/>
    <w:rsid w:val="00C35679"/>
    <w:rsid w:val="00C35C79"/>
    <w:rsid w:val="00C36705"/>
    <w:rsid w:val="00C36745"/>
    <w:rsid w:val="00C36EA7"/>
    <w:rsid w:val="00C42475"/>
    <w:rsid w:val="00C43873"/>
    <w:rsid w:val="00C43A79"/>
    <w:rsid w:val="00C440BB"/>
    <w:rsid w:val="00C4474E"/>
    <w:rsid w:val="00C468ED"/>
    <w:rsid w:val="00C46E72"/>
    <w:rsid w:val="00C47037"/>
    <w:rsid w:val="00C51CED"/>
    <w:rsid w:val="00C53849"/>
    <w:rsid w:val="00C55F33"/>
    <w:rsid w:val="00C56F75"/>
    <w:rsid w:val="00C66852"/>
    <w:rsid w:val="00C676A2"/>
    <w:rsid w:val="00C722A3"/>
    <w:rsid w:val="00C77477"/>
    <w:rsid w:val="00C80220"/>
    <w:rsid w:val="00C83131"/>
    <w:rsid w:val="00C8678C"/>
    <w:rsid w:val="00C902D0"/>
    <w:rsid w:val="00C91AE1"/>
    <w:rsid w:val="00C9634E"/>
    <w:rsid w:val="00CA1AEE"/>
    <w:rsid w:val="00CA385D"/>
    <w:rsid w:val="00CA41DC"/>
    <w:rsid w:val="00CA436A"/>
    <w:rsid w:val="00CA747D"/>
    <w:rsid w:val="00CB0786"/>
    <w:rsid w:val="00CB1152"/>
    <w:rsid w:val="00CB1824"/>
    <w:rsid w:val="00CB19C9"/>
    <w:rsid w:val="00CB6BA4"/>
    <w:rsid w:val="00CC0982"/>
    <w:rsid w:val="00CC0C2D"/>
    <w:rsid w:val="00CC0D2D"/>
    <w:rsid w:val="00CC3B7B"/>
    <w:rsid w:val="00CC4FDB"/>
    <w:rsid w:val="00CC720B"/>
    <w:rsid w:val="00CD064A"/>
    <w:rsid w:val="00CD2004"/>
    <w:rsid w:val="00CD2F04"/>
    <w:rsid w:val="00CD44BF"/>
    <w:rsid w:val="00CD5109"/>
    <w:rsid w:val="00CD7C8C"/>
    <w:rsid w:val="00CE0FEB"/>
    <w:rsid w:val="00CE5657"/>
    <w:rsid w:val="00CF0526"/>
    <w:rsid w:val="00CF0E43"/>
    <w:rsid w:val="00CF262B"/>
    <w:rsid w:val="00CF3D9F"/>
    <w:rsid w:val="00CF6439"/>
    <w:rsid w:val="00CF7143"/>
    <w:rsid w:val="00D01A6E"/>
    <w:rsid w:val="00D02DDA"/>
    <w:rsid w:val="00D03ADD"/>
    <w:rsid w:val="00D11660"/>
    <w:rsid w:val="00D12358"/>
    <w:rsid w:val="00D133F8"/>
    <w:rsid w:val="00D138E7"/>
    <w:rsid w:val="00D14A3E"/>
    <w:rsid w:val="00D158EA"/>
    <w:rsid w:val="00D21D7F"/>
    <w:rsid w:val="00D22281"/>
    <w:rsid w:val="00D24501"/>
    <w:rsid w:val="00D24640"/>
    <w:rsid w:val="00D37AAD"/>
    <w:rsid w:val="00D4052F"/>
    <w:rsid w:val="00D42B49"/>
    <w:rsid w:val="00D4674A"/>
    <w:rsid w:val="00D4751F"/>
    <w:rsid w:val="00D47925"/>
    <w:rsid w:val="00D50266"/>
    <w:rsid w:val="00D50278"/>
    <w:rsid w:val="00D5076D"/>
    <w:rsid w:val="00D507E2"/>
    <w:rsid w:val="00D548C7"/>
    <w:rsid w:val="00D56A82"/>
    <w:rsid w:val="00D56F78"/>
    <w:rsid w:val="00D60195"/>
    <w:rsid w:val="00D621FE"/>
    <w:rsid w:val="00D6775A"/>
    <w:rsid w:val="00D738B5"/>
    <w:rsid w:val="00D752B3"/>
    <w:rsid w:val="00D753CC"/>
    <w:rsid w:val="00D8153D"/>
    <w:rsid w:val="00D857CF"/>
    <w:rsid w:val="00D85EC0"/>
    <w:rsid w:val="00D900BB"/>
    <w:rsid w:val="00D903DA"/>
    <w:rsid w:val="00D92E60"/>
    <w:rsid w:val="00DA0445"/>
    <w:rsid w:val="00DB079D"/>
    <w:rsid w:val="00DB0D8F"/>
    <w:rsid w:val="00DB1AB8"/>
    <w:rsid w:val="00DB423E"/>
    <w:rsid w:val="00DB50C9"/>
    <w:rsid w:val="00DB6C09"/>
    <w:rsid w:val="00DC09E9"/>
    <w:rsid w:val="00DC2DAF"/>
    <w:rsid w:val="00DC3E0E"/>
    <w:rsid w:val="00DC4012"/>
    <w:rsid w:val="00DC5AA3"/>
    <w:rsid w:val="00DC5EDB"/>
    <w:rsid w:val="00DC6B64"/>
    <w:rsid w:val="00DC7938"/>
    <w:rsid w:val="00DD3ED3"/>
    <w:rsid w:val="00DD4186"/>
    <w:rsid w:val="00DD5E1F"/>
    <w:rsid w:val="00DD7197"/>
    <w:rsid w:val="00DE07F2"/>
    <w:rsid w:val="00DE4D1C"/>
    <w:rsid w:val="00DF027E"/>
    <w:rsid w:val="00DF461F"/>
    <w:rsid w:val="00DF5C02"/>
    <w:rsid w:val="00DF5C88"/>
    <w:rsid w:val="00DF5D97"/>
    <w:rsid w:val="00DF68F8"/>
    <w:rsid w:val="00DF776E"/>
    <w:rsid w:val="00DF77D6"/>
    <w:rsid w:val="00E01657"/>
    <w:rsid w:val="00E04134"/>
    <w:rsid w:val="00E04A9C"/>
    <w:rsid w:val="00E07E6F"/>
    <w:rsid w:val="00E140F0"/>
    <w:rsid w:val="00E21304"/>
    <w:rsid w:val="00E26AD1"/>
    <w:rsid w:val="00E301FB"/>
    <w:rsid w:val="00E31F13"/>
    <w:rsid w:val="00E32710"/>
    <w:rsid w:val="00E3716B"/>
    <w:rsid w:val="00E374E1"/>
    <w:rsid w:val="00E41228"/>
    <w:rsid w:val="00E4149D"/>
    <w:rsid w:val="00E4239E"/>
    <w:rsid w:val="00E465CE"/>
    <w:rsid w:val="00E51795"/>
    <w:rsid w:val="00E519D3"/>
    <w:rsid w:val="00E5242A"/>
    <w:rsid w:val="00E526EA"/>
    <w:rsid w:val="00E52A31"/>
    <w:rsid w:val="00E5323B"/>
    <w:rsid w:val="00E53D86"/>
    <w:rsid w:val="00E560D2"/>
    <w:rsid w:val="00E564AE"/>
    <w:rsid w:val="00E67EAF"/>
    <w:rsid w:val="00E71E92"/>
    <w:rsid w:val="00E723C5"/>
    <w:rsid w:val="00E725A7"/>
    <w:rsid w:val="00E7330E"/>
    <w:rsid w:val="00E742DF"/>
    <w:rsid w:val="00E751EA"/>
    <w:rsid w:val="00E8749E"/>
    <w:rsid w:val="00E874D8"/>
    <w:rsid w:val="00E90C01"/>
    <w:rsid w:val="00E90D0B"/>
    <w:rsid w:val="00E96DC6"/>
    <w:rsid w:val="00E97680"/>
    <w:rsid w:val="00EA0908"/>
    <w:rsid w:val="00EA0A93"/>
    <w:rsid w:val="00EA130F"/>
    <w:rsid w:val="00EA486E"/>
    <w:rsid w:val="00EA5229"/>
    <w:rsid w:val="00EA5777"/>
    <w:rsid w:val="00EA6773"/>
    <w:rsid w:val="00EB17D4"/>
    <w:rsid w:val="00EB32C5"/>
    <w:rsid w:val="00EB3AFC"/>
    <w:rsid w:val="00EB49A7"/>
    <w:rsid w:val="00EB563E"/>
    <w:rsid w:val="00EC1502"/>
    <w:rsid w:val="00EC6E12"/>
    <w:rsid w:val="00EC766A"/>
    <w:rsid w:val="00ED0E09"/>
    <w:rsid w:val="00ED25EE"/>
    <w:rsid w:val="00ED2D59"/>
    <w:rsid w:val="00ED5F8C"/>
    <w:rsid w:val="00EE0AC0"/>
    <w:rsid w:val="00EE1249"/>
    <w:rsid w:val="00EE28E4"/>
    <w:rsid w:val="00EE2F62"/>
    <w:rsid w:val="00EE6183"/>
    <w:rsid w:val="00EF0391"/>
    <w:rsid w:val="00EF2025"/>
    <w:rsid w:val="00EF2DFF"/>
    <w:rsid w:val="00EF60AF"/>
    <w:rsid w:val="00F00B5E"/>
    <w:rsid w:val="00F01AE4"/>
    <w:rsid w:val="00F01E73"/>
    <w:rsid w:val="00F02E84"/>
    <w:rsid w:val="00F04C70"/>
    <w:rsid w:val="00F05142"/>
    <w:rsid w:val="00F12351"/>
    <w:rsid w:val="00F12E92"/>
    <w:rsid w:val="00F145E9"/>
    <w:rsid w:val="00F14A00"/>
    <w:rsid w:val="00F15FA5"/>
    <w:rsid w:val="00F160EC"/>
    <w:rsid w:val="00F17FDC"/>
    <w:rsid w:val="00F25501"/>
    <w:rsid w:val="00F25E48"/>
    <w:rsid w:val="00F26232"/>
    <w:rsid w:val="00F277CC"/>
    <w:rsid w:val="00F327CF"/>
    <w:rsid w:val="00F3460D"/>
    <w:rsid w:val="00F40988"/>
    <w:rsid w:val="00F417B9"/>
    <w:rsid w:val="00F431FF"/>
    <w:rsid w:val="00F464CE"/>
    <w:rsid w:val="00F530FE"/>
    <w:rsid w:val="00F53BBF"/>
    <w:rsid w:val="00F57AC1"/>
    <w:rsid w:val="00F57B0C"/>
    <w:rsid w:val="00F61F5E"/>
    <w:rsid w:val="00F653F4"/>
    <w:rsid w:val="00F679E9"/>
    <w:rsid w:val="00F67B4B"/>
    <w:rsid w:val="00F72D88"/>
    <w:rsid w:val="00F77376"/>
    <w:rsid w:val="00F77F67"/>
    <w:rsid w:val="00F8145B"/>
    <w:rsid w:val="00F8166A"/>
    <w:rsid w:val="00F82318"/>
    <w:rsid w:val="00F841ED"/>
    <w:rsid w:val="00F85BFB"/>
    <w:rsid w:val="00F85DC5"/>
    <w:rsid w:val="00F87284"/>
    <w:rsid w:val="00F87CAE"/>
    <w:rsid w:val="00F95701"/>
    <w:rsid w:val="00F95EA0"/>
    <w:rsid w:val="00F96ED0"/>
    <w:rsid w:val="00FA2114"/>
    <w:rsid w:val="00FA5D3C"/>
    <w:rsid w:val="00FA6DEA"/>
    <w:rsid w:val="00FA7D5E"/>
    <w:rsid w:val="00FB4965"/>
    <w:rsid w:val="00FC132A"/>
    <w:rsid w:val="00FC3FDB"/>
    <w:rsid w:val="00FC7F88"/>
    <w:rsid w:val="00FD3303"/>
    <w:rsid w:val="00FD48F3"/>
    <w:rsid w:val="00FD6761"/>
    <w:rsid w:val="00FE01C3"/>
    <w:rsid w:val="00FE0A10"/>
    <w:rsid w:val="00FE0A21"/>
    <w:rsid w:val="00FE5BDE"/>
    <w:rsid w:val="00FE71B1"/>
    <w:rsid w:val="00FF229D"/>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8193"/>
    <o:shapelayout v:ext="edit">
      <o:idmap v:ext="edit" data="1"/>
    </o:shapelayout>
  </w:shapeDefaults>
  <w:decimalSymbol w:val=","/>
  <w:listSeparator w:val=";"/>
  <w14:docId w14:val="62362FD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link w:val="Virsraksts3Rakstz"/>
    <w:qFormat/>
    <w:rsid w:val="00FA6DEA"/>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style>
  <w:style w:type="paragraph" w:styleId="Galvene">
    <w:name w:val="header"/>
    <w:basedOn w:val="Parasts"/>
    <w:link w:val="Galv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link w:val="BezatstarpmRakstz"/>
    <w:uiPriority w:val="1"/>
    <w:qFormat/>
    <w:rsid w:val="00EC6E12"/>
    <w:pPr>
      <w:spacing w:after="0" w:line="240" w:lineRule="auto"/>
    </w:pPr>
  </w:style>
  <w:style w:type="table" w:styleId="Reatabula">
    <w:name w:val="Table Grid"/>
    <w:basedOn w:val="Parastatabula"/>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30487"/>
    <w:rPr>
      <w:b/>
      <w:bCs/>
    </w:rPr>
  </w:style>
  <w:style w:type="paragraph" w:styleId="Sarakstarindkopa">
    <w:name w:val="List Paragraph"/>
    <w:basedOn w:val="Parasts"/>
    <w:uiPriority w:val="34"/>
    <w:qFormat/>
    <w:rsid w:val="0008249D"/>
    <w:pPr>
      <w:ind w:left="720"/>
      <w:contextualSpacing/>
    </w:pPr>
  </w:style>
  <w:style w:type="paragraph" w:customStyle="1" w:styleId="naisf">
    <w:name w:val="naisf"/>
    <w:basedOn w:val="Parasts"/>
    <w:rsid w:val="00155578"/>
    <w:pPr>
      <w:spacing w:before="75" w:after="75"/>
      <w:ind w:firstLine="375"/>
      <w:jc w:val="both"/>
    </w:pPr>
  </w:style>
  <w:style w:type="character" w:customStyle="1" w:styleId="BezatstarpmRakstz">
    <w:name w:val="Bez atstarpēm Rakstz."/>
    <w:link w:val="Bezatstarpm"/>
    <w:uiPriority w:val="1"/>
    <w:rsid w:val="00155578"/>
  </w:style>
  <w:style w:type="paragraph" w:styleId="Paraststmeklis">
    <w:name w:val="Normal (Web)"/>
    <w:basedOn w:val="Parasts"/>
    <w:link w:val="ParaststmeklisRakstz"/>
    <w:uiPriority w:val="99"/>
    <w:rsid w:val="00155578"/>
    <w:pPr>
      <w:spacing w:before="100" w:beforeAutospacing="1" w:after="100" w:afterAutospacing="1"/>
    </w:pPr>
  </w:style>
  <w:style w:type="character" w:customStyle="1" w:styleId="ParaststmeklisRakstz">
    <w:name w:val="Parasts (tīmeklis) Rakstz."/>
    <w:link w:val="Paraststmeklis"/>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493BF2"/>
    <w:rPr>
      <w:color w:val="605E5C"/>
      <w:shd w:val="clear" w:color="auto" w:fill="E1DFDD"/>
    </w:rPr>
  </w:style>
  <w:style w:type="paragraph" w:customStyle="1" w:styleId="tv213">
    <w:name w:val="tv213"/>
    <w:basedOn w:val="Parasts"/>
    <w:rsid w:val="00950DF4"/>
    <w:pPr>
      <w:spacing w:before="100" w:beforeAutospacing="1" w:after="100" w:afterAutospacing="1"/>
    </w:pPr>
  </w:style>
  <w:style w:type="paragraph" w:customStyle="1" w:styleId="xmsonormal">
    <w:name w:val="x_msonormal"/>
    <w:basedOn w:val="Parasts"/>
    <w:rsid w:val="009A6794"/>
    <w:pPr>
      <w:spacing w:before="100" w:beforeAutospacing="1" w:after="100" w:afterAutospacing="1"/>
    </w:pPr>
  </w:style>
  <w:style w:type="character" w:styleId="Komentraatsauce">
    <w:name w:val="annotation reference"/>
    <w:basedOn w:val="Noklusjumarindkopasfonts"/>
    <w:uiPriority w:val="99"/>
    <w:semiHidden/>
    <w:unhideWhenUsed/>
    <w:rsid w:val="00877646"/>
    <w:rPr>
      <w:sz w:val="16"/>
      <w:szCs w:val="16"/>
    </w:rPr>
  </w:style>
  <w:style w:type="paragraph" w:styleId="Komentrateksts">
    <w:name w:val="annotation text"/>
    <w:basedOn w:val="Parasts"/>
    <w:link w:val="KomentratekstsRakstz"/>
    <w:uiPriority w:val="99"/>
    <w:semiHidden/>
    <w:unhideWhenUsed/>
    <w:rsid w:val="00877646"/>
    <w:rPr>
      <w:sz w:val="20"/>
      <w:szCs w:val="20"/>
    </w:rPr>
  </w:style>
  <w:style w:type="character" w:customStyle="1" w:styleId="KomentratekstsRakstz">
    <w:name w:val="Komentāra teksts Rakstz."/>
    <w:basedOn w:val="Noklusjumarindkopasfonts"/>
    <w:link w:val="Komentrateksts"/>
    <w:uiPriority w:val="99"/>
    <w:semiHidden/>
    <w:rsid w:val="0087764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77646"/>
    <w:rPr>
      <w:b/>
      <w:bCs/>
    </w:rPr>
  </w:style>
  <w:style w:type="character" w:customStyle="1" w:styleId="KomentratmaRakstz">
    <w:name w:val="Komentāra tēma Rakstz."/>
    <w:basedOn w:val="KomentratekstsRakstz"/>
    <w:link w:val="Komentratma"/>
    <w:uiPriority w:val="99"/>
    <w:semiHidden/>
    <w:rsid w:val="00877646"/>
    <w:rPr>
      <w:rFonts w:ascii="Times New Roman" w:eastAsia="Times New Roman" w:hAnsi="Times New Roman" w:cs="Times New Roman"/>
      <w:b/>
      <w:bCs/>
      <w:sz w:val="20"/>
      <w:szCs w:val="20"/>
      <w:lang w:eastAsia="lv-LV"/>
    </w:rPr>
  </w:style>
  <w:style w:type="paragraph" w:styleId="Vresteksts">
    <w:name w:val="footnote text"/>
    <w:basedOn w:val="Parasts"/>
    <w:link w:val="VrestekstsRakstz"/>
    <w:uiPriority w:val="99"/>
    <w:semiHidden/>
    <w:unhideWhenUsed/>
    <w:rsid w:val="00251F83"/>
    <w:rPr>
      <w:sz w:val="20"/>
      <w:szCs w:val="20"/>
    </w:rPr>
  </w:style>
  <w:style w:type="character" w:customStyle="1" w:styleId="VrestekstsRakstz">
    <w:name w:val="Vēres teksts Rakstz."/>
    <w:basedOn w:val="Noklusjumarindkopasfonts"/>
    <w:link w:val="Vresteksts"/>
    <w:uiPriority w:val="99"/>
    <w:semiHidden/>
    <w:rsid w:val="00251F83"/>
    <w:rPr>
      <w:rFonts w:ascii="Times New Roman" w:eastAsia="Times New Roman" w:hAnsi="Times New Roman" w:cs="Times New Roman"/>
      <w:sz w:val="20"/>
      <w:szCs w:val="20"/>
      <w:lang w:eastAsia="lv-LV"/>
    </w:rPr>
  </w:style>
  <w:style w:type="character" w:styleId="Vresatsauce">
    <w:name w:val="footnote reference"/>
    <w:aliases w:val="EN Footnote Reference,Times 10 Point,Exposant 3 Point,Footnote symbol,Footnote reference number,note TESI,Footnote,Ref,de nota al pie,SUPERS,fr,Footnote Reference Number,ftref,Footnote Reference Superscript,BVI fnr,Footnote sign"/>
    <w:basedOn w:val="Noklusjumarindkopasfonts"/>
    <w:uiPriority w:val="99"/>
    <w:unhideWhenUsed/>
    <w:rsid w:val="00251F83"/>
    <w:rPr>
      <w:vertAlign w:val="superscript"/>
    </w:rPr>
  </w:style>
  <w:style w:type="paragraph" w:customStyle="1" w:styleId="naiskr">
    <w:name w:val="naiskr"/>
    <w:basedOn w:val="Parasts"/>
    <w:rsid w:val="005A4EC1"/>
    <w:pPr>
      <w:spacing w:before="100" w:beforeAutospacing="1" w:after="100" w:afterAutospacing="1"/>
    </w:pPr>
  </w:style>
  <w:style w:type="paragraph" w:styleId="Parakstszemobjekta">
    <w:name w:val="caption"/>
    <w:basedOn w:val="Parasts"/>
    <w:next w:val="Parasts"/>
    <w:qFormat/>
    <w:rsid w:val="009B51FF"/>
    <w:pPr>
      <w:jc w:val="right"/>
    </w:pPr>
    <w:rPr>
      <w:sz w:val="28"/>
      <w:lang w:eastAsia="en-US"/>
    </w:rPr>
  </w:style>
  <w:style w:type="paragraph" w:customStyle="1" w:styleId="mt-translation">
    <w:name w:val="mt-translation"/>
    <w:basedOn w:val="Parasts"/>
    <w:rsid w:val="002A22B7"/>
    <w:pPr>
      <w:spacing w:after="100" w:afterAutospacing="1"/>
    </w:pPr>
    <w:rPr>
      <w:lang w:val="en-GB" w:eastAsia="en-GB"/>
    </w:rPr>
  </w:style>
  <w:style w:type="character" w:customStyle="1" w:styleId="Virsraksts3Rakstz">
    <w:name w:val="Virsraksts 3 Rakstz."/>
    <w:basedOn w:val="Noklusjumarindkopasfonts"/>
    <w:link w:val="Virsraksts3"/>
    <w:rsid w:val="00FA6DEA"/>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4781">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6476995">
      <w:bodyDiv w:val="1"/>
      <w:marLeft w:val="0"/>
      <w:marRight w:val="0"/>
      <w:marTop w:val="0"/>
      <w:marBottom w:val="0"/>
      <w:divBdr>
        <w:top w:val="none" w:sz="0" w:space="0" w:color="auto"/>
        <w:left w:val="none" w:sz="0" w:space="0" w:color="auto"/>
        <w:bottom w:val="none" w:sz="0" w:space="0" w:color="auto"/>
        <w:right w:val="none" w:sz="0" w:space="0" w:color="auto"/>
      </w:divBdr>
    </w:div>
    <w:div w:id="553735519">
      <w:bodyDiv w:val="1"/>
      <w:marLeft w:val="0"/>
      <w:marRight w:val="0"/>
      <w:marTop w:val="0"/>
      <w:marBottom w:val="0"/>
      <w:divBdr>
        <w:top w:val="none" w:sz="0" w:space="0" w:color="auto"/>
        <w:left w:val="none" w:sz="0" w:space="0" w:color="auto"/>
        <w:bottom w:val="none" w:sz="0" w:space="0" w:color="auto"/>
        <w:right w:val="none" w:sz="0" w:space="0" w:color="auto"/>
      </w:divBdr>
    </w:div>
    <w:div w:id="679700048">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67777212">
      <w:bodyDiv w:val="1"/>
      <w:marLeft w:val="0"/>
      <w:marRight w:val="0"/>
      <w:marTop w:val="0"/>
      <w:marBottom w:val="0"/>
      <w:divBdr>
        <w:top w:val="none" w:sz="0" w:space="0" w:color="auto"/>
        <w:left w:val="none" w:sz="0" w:space="0" w:color="auto"/>
        <w:bottom w:val="none" w:sz="0" w:space="0" w:color="auto"/>
        <w:right w:val="none" w:sz="0" w:space="0" w:color="auto"/>
      </w:divBdr>
    </w:div>
    <w:div w:id="1009714802">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5983052">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51674516">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29768257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0199033">
      <w:bodyDiv w:val="1"/>
      <w:marLeft w:val="0"/>
      <w:marRight w:val="0"/>
      <w:marTop w:val="0"/>
      <w:marBottom w:val="0"/>
      <w:divBdr>
        <w:top w:val="none" w:sz="0" w:space="0" w:color="auto"/>
        <w:left w:val="none" w:sz="0" w:space="0" w:color="auto"/>
        <w:bottom w:val="none" w:sz="0" w:space="0" w:color="auto"/>
        <w:right w:val="none" w:sz="0" w:space="0" w:color="auto"/>
      </w:divBdr>
    </w:div>
    <w:div w:id="1773208545">
      <w:bodyDiv w:val="1"/>
      <w:marLeft w:val="0"/>
      <w:marRight w:val="0"/>
      <w:marTop w:val="0"/>
      <w:marBottom w:val="0"/>
      <w:divBdr>
        <w:top w:val="none" w:sz="0" w:space="0" w:color="auto"/>
        <w:left w:val="none" w:sz="0" w:space="0" w:color="auto"/>
        <w:bottom w:val="none" w:sz="0" w:space="0" w:color="auto"/>
        <w:right w:val="none" w:sz="0" w:space="0" w:color="auto"/>
      </w:divBdr>
    </w:div>
    <w:div w:id="1870603488">
      <w:bodyDiv w:val="1"/>
      <w:marLeft w:val="0"/>
      <w:marRight w:val="0"/>
      <w:marTop w:val="0"/>
      <w:marBottom w:val="0"/>
      <w:divBdr>
        <w:top w:val="none" w:sz="0" w:space="0" w:color="auto"/>
        <w:left w:val="none" w:sz="0" w:space="0" w:color="auto"/>
        <w:bottom w:val="none" w:sz="0" w:space="0" w:color="auto"/>
        <w:right w:val="none" w:sz="0" w:space="0" w:color="auto"/>
      </w:divBdr>
    </w:div>
    <w:div w:id="19643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uriserv%3AOJ.L_.2021.098.01.0003.01.LAV&amp;toc=OJ%3AL%3A2021%3A098%3ATOC" TargetMode="External"/><Relationship Id="rId1" Type="http://schemas.openxmlformats.org/officeDocument/2006/relationships/hyperlink" Target="https://www.ecdc.europa.eu/en/geographical-distribution-2019-ncov-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BFB3-D27A-48FD-8B95-7A331276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12</Pages>
  <Words>19610</Words>
  <Characters>11179</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Manager/>
  <Company>ZM</Company>
  <LinksUpToDate>false</LinksUpToDate>
  <CharactersWithSpaces>30728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notekūdeņu monitoringu Covid-19 un citu riska faktoru uzraudzībai un kontrolei”</dc:title>
  <dc:subject>Anotācija</dc:subject>
  <dc:creator>Linda Gurecka</dc:creator>
  <dc:description>Gurecka 26614495 Linda.Gurecka@zm.gov.lv</dc:description>
  <cp:lastModifiedBy>Sanita Papinova</cp:lastModifiedBy>
  <cp:revision>170</cp:revision>
  <cp:lastPrinted>2020-11-03T07:42:00Z</cp:lastPrinted>
  <dcterms:created xsi:type="dcterms:W3CDTF">2021-02-10T09:27:00Z</dcterms:created>
  <dcterms:modified xsi:type="dcterms:W3CDTF">2021-06-09T10:44:00Z</dcterms:modified>
</cp:coreProperties>
</file>