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C5AD9" w14:textId="0E84BCC0" w:rsidR="00F67455" w:rsidRPr="00E91259" w:rsidRDefault="00F67455" w:rsidP="00F67455">
      <w:pPr>
        <w:pStyle w:val="Bezatstarpm"/>
        <w:jc w:val="center"/>
        <w:rPr>
          <w:rFonts w:ascii="Times New Roman" w:hAnsi="Times New Roman" w:cs="Times New Roman"/>
          <w:b/>
          <w:sz w:val="28"/>
          <w:szCs w:val="28"/>
        </w:rPr>
      </w:pPr>
      <w:r w:rsidRPr="0079316C">
        <w:rPr>
          <w:rFonts w:ascii="Times New Roman" w:hAnsi="Times New Roman" w:cs="Times New Roman"/>
          <w:b/>
          <w:sz w:val="28"/>
        </w:rPr>
        <w:t xml:space="preserve">Ministru kabineta </w:t>
      </w:r>
      <w:r w:rsidR="00DA13A2">
        <w:rPr>
          <w:rFonts w:ascii="Times New Roman" w:hAnsi="Times New Roman" w:cs="Times New Roman"/>
          <w:b/>
          <w:sz w:val="28"/>
        </w:rPr>
        <w:t>noteikumu</w:t>
      </w:r>
      <w:r w:rsidRPr="0079316C">
        <w:rPr>
          <w:rFonts w:ascii="Times New Roman" w:hAnsi="Times New Roman" w:cs="Times New Roman"/>
          <w:b/>
          <w:sz w:val="28"/>
        </w:rPr>
        <w:t xml:space="preserve"> </w:t>
      </w:r>
      <w:r w:rsidRPr="00E91259">
        <w:rPr>
          <w:rFonts w:ascii="Times New Roman" w:hAnsi="Times New Roman" w:cs="Times New Roman"/>
          <w:b/>
          <w:sz w:val="28"/>
          <w:szCs w:val="28"/>
        </w:rPr>
        <w:t xml:space="preserve">projekta </w:t>
      </w:r>
      <w:r w:rsidR="00EB2D34">
        <w:rPr>
          <w:rFonts w:ascii="Times New Roman" w:hAnsi="Times New Roman" w:cs="Times New Roman"/>
          <w:b/>
          <w:sz w:val="28"/>
          <w:szCs w:val="28"/>
        </w:rPr>
        <w:t>“</w:t>
      </w:r>
      <w:r w:rsidR="00E91259" w:rsidRPr="00E91259">
        <w:rPr>
          <w:rFonts w:ascii="Times New Roman" w:hAnsi="Times New Roman" w:cs="Times New Roman"/>
          <w:b/>
          <w:sz w:val="28"/>
          <w:szCs w:val="28"/>
        </w:rPr>
        <w:t>Grozījumi Ministru kabineta 2012.</w:t>
      </w:r>
      <w:r w:rsidR="004C275B">
        <w:rPr>
          <w:rFonts w:ascii="Times New Roman" w:hAnsi="Times New Roman" w:cs="Times New Roman"/>
          <w:b/>
          <w:sz w:val="28"/>
          <w:szCs w:val="28"/>
        </w:rPr>
        <w:t> </w:t>
      </w:r>
      <w:r w:rsidR="00E91259" w:rsidRPr="00E91259">
        <w:rPr>
          <w:rFonts w:ascii="Times New Roman" w:hAnsi="Times New Roman" w:cs="Times New Roman"/>
          <w:b/>
          <w:sz w:val="28"/>
          <w:szCs w:val="28"/>
        </w:rPr>
        <w:t>gada 17.</w:t>
      </w:r>
      <w:r w:rsidR="004C275B">
        <w:rPr>
          <w:rFonts w:ascii="Times New Roman" w:hAnsi="Times New Roman" w:cs="Times New Roman"/>
          <w:b/>
          <w:sz w:val="28"/>
          <w:szCs w:val="28"/>
        </w:rPr>
        <w:t> </w:t>
      </w:r>
      <w:r w:rsidR="00E91259" w:rsidRPr="00E91259">
        <w:rPr>
          <w:rFonts w:ascii="Times New Roman" w:hAnsi="Times New Roman" w:cs="Times New Roman"/>
          <w:b/>
          <w:sz w:val="28"/>
          <w:szCs w:val="28"/>
        </w:rPr>
        <w:t>aprīļa noteikumos Nr.</w:t>
      </w:r>
      <w:r w:rsidR="004C275B">
        <w:rPr>
          <w:rFonts w:ascii="Times New Roman" w:hAnsi="Times New Roman" w:cs="Times New Roman"/>
          <w:b/>
          <w:sz w:val="28"/>
          <w:szCs w:val="28"/>
        </w:rPr>
        <w:t> </w:t>
      </w:r>
      <w:r w:rsidR="00E91259" w:rsidRPr="00E91259">
        <w:rPr>
          <w:rFonts w:ascii="Times New Roman" w:hAnsi="Times New Roman" w:cs="Times New Roman"/>
          <w:b/>
          <w:sz w:val="28"/>
          <w:szCs w:val="28"/>
        </w:rPr>
        <w:t xml:space="preserve">275 </w:t>
      </w:r>
      <w:r w:rsidR="00EB2D34">
        <w:rPr>
          <w:rFonts w:ascii="Times New Roman" w:hAnsi="Times New Roman" w:cs="Times New Roman"/>
          <w:b/>
          <w:sz w:val="28"/>
          <w:szCs w:val="28"/>
        </w:rPr>
        <w:t>“</w:t>
      </w:r>
      <w:r w:rsidR="00E91259" w:rsidRPr="00E91259">
        <w:rPr>
          <w:rFonts w:ascii="Times New Roman" w:hAnsi="Times New Roman" w:cs="Times New Roman"/>
          <w:b/>
          <w:sz w:val="28"/>
          <w:szCs w:val="28"/>
        </w:rPr>
        <w:t>Prasības tādu dzīvnieku izcelsmes blakusproduktu un atvasinātu produktu apritei, kas nav paredzēti cilvēku patēriņam”</w:t>
      </w:r>
      <w:r w:rsidR="00673C9D" w:rsidRPr="00E91259">
        <w:rPr>
          <w:rFonts w:ascii="Times New Roman" w:hAnsi="Times New Roman" w:cs="Times New Roman"/>
          <w:b/>
          <w:sz w:val="28"/>
          <w:szCs w:val="28"/>
        </w:rPr>
        <w:t>”</w:t>
      </w:r>
    </w:p>
    <w:p w14:paraId="53F5EE94" w14:textId="77777777" w:rsidR="00F67455" w:rsidRDefault="00F67455" w:rsidP="00F67455">
      <w:pPr>
        <w:pStyle w:val="Bezatstarpm"/>
        <w:jc w:val="center"/>
        <w:rPr>
          <w:rFonts w:ascii="Times New Roman" w:hAnsi="Times New Roman" w:cs="Times New Roman"/>
          <w:b/>
          <w:bCs/>
          <w:sz w:val="28"/>
        </w:rPr>
      </w:pPr>
      <w:r w:rsidRPr="0079316C">
        <w:rPr>
          <w:rFonts w:ascii="Times New Roman" w:hAnsi="Times New Roman" w:cs="Times New Roman"/>
          <w:b/>
          <w:bCs/>
          <w:sz w:val="28"/>
        </w:rPr>
        <w:t>sākotnējās ietekmes novērtējuma ziņojums (anotācija)</w:t>
      </w:r>
    </w:p>
    <w:p w14:paraId="1CCE8301" w14:textId="77777777" w:rsidR="00FD2288" w:rsidRDefault="00FD2288" w:rsidP="00F67455">
      <w:pPr>
        <w:pStyle w:val="Bezatstarpm"/>
        <w:jc w:val="center"/>
        <w:rPr>
          <w:rFonts w:ascii="Times New Roman" w:hAnsi="Times New Roman" w:cs="Times New Roman"/>
          <w:b/>
          <w:bCs/>
          <w:sz w:val="28"/>
        </w:rPr>
      </w:pPr>
    </w:p>
    <w:tbl>
      <w:tblPr>
        <w:tblW w:w="555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9"/>
        <w:gridCol w:w="6944"/>
      </w:tblGrid>
      <w:tr w:rsidR="00FD2288" w:rsidRPr="00FD2288" w14:paraId="282362B4" w14:textId="77777777" w:rsidTr="00FD2288">
        <w:trPr>
          <w:cantSplit/>
        </w:trPr>
        <w:tc>
          <w:tcPr>
            <w:tcW w:w="10064" w:type="dxa"/>
            <w:gridSpan w:val="2"/>
            <w:shd w:val="clear" w:color="auto" w:fill="FFFFFF"/>
            <w:vAlign w:val="center"/>
            <w:hideMark/>
          </w:tcPr>
          <w:p w14:paraId="39846BAB" w14:textId="77777777" w:rsidR="00FD2288" w:rsidRPr="00FD2288" w:rsidRDefault="00FD2288" w:rsidP="00FD2288">
            <w:pPr>
              <w:jc w:val="center"/>
              <w:rPr>
                <w:rFonts w:eastAsia="Calibri"/>
                <w:b/>
                <w:lang w:eastAsia="en-US"/>
              </w:rPr>
            </w:pPr>
            <w:r w:rsidRPr="00FD2288">
              <w:rPr>
                <w:rFonts w:eastAsia="Calibri"/>
                <w:b/>
                <w:lang w:eastAsia="en-US"/>
              </w:rPr>
              <w:t>Tiesību akta projekta anotācijas kopsavilkums</w:t>
            </w:r>
          </w:p>
        </w:tc>
      </w:tr>
      <w:tr w:rsidR="00FD2288" w:rsidRPr="00FD2288" w14:paraId="13327C8E" w14:textId="77777777" w:rsidTr="00FD2288">
        <w:trPr>
          <w:cantSplit/>
        </w:trPr>
        <w:tc>
          <w:tcPr>
            <w:tcW w:w="3119" w:type="dxa"/>
            <w:shd w:val="clear" w:color="auto" w:fill="FFFFFF"/>
            <w:hideMark/>
          </w:tcPr>
          <w:p w14:paraId="708E5639" w14:textId="77777777" w:rsidR="00FD2288" w:rsidRPr="00FD2288" w:rsidRDefault="00FD2288" w:rsidP="00FD2288">
            <w:pPr>
              <w:rPr>
                <w:rFonts w:eastAsia="Calibri"/>
                <w:lang w:eastAsia="en-US"/>
              </w:rPr>
            </w:pPr>
            <w:r w:rsidRPr="00FD2288">
              <w:rPr>
                <w:rFonts w:eastAsia="Calibri"/>
                <w:lang w:eastAsia="en-US"/>
              </w:rPr>
              <w:t>Mērķis, risinājums un projekta spēkā stāšanās laiks (500 zīmes bez atstarpēm)</w:t>
            </w:r>
          </w:p>
        </w:tc>
        <w:tc>
          <w:tcPr>
            <w:tcW w:w="6945" w:type="dxa"/>
            <w:shd w:val="clear" w:color="auto" w:fill="FFFFFF"/>
          </w:tcPr>
          <w:p w14:paraId="4B18B536" w14:textId="2B1C2256" w:rsidR="001B34A9" w:rsidRDefault="001B34A9" w:rsidP="003E6A6E">
            <w:pPr>
              <w:jc w:val="both"/>
            </w:pPr>
            <w:r>
              <w:t>Nav attieci</w:t>
            </w:r>
            <w:r w:rsidR="0064349A">
              <w:t>n</w:t>
            </w:r>
            <w:r>
              <w:t>āms.</w:t>
            </w:r>
          </w:p>
          <w:p w14:paraId="1AD25C7A" w14:textId="56DFC896" w:rsidR="00FD2288" w:rsidRPr="00FD2288" w:rsidRDefault="00FD2288" w:rsidP="003E6A6E">
            <w:pPr>
              <w:jc w:val="both"/>
              <w:rPr>
                <w:rFonts w:eastAsia="Calibri"/>
                <w:color w:val="0070C0"/>
                <w:lang w:eastAsia="en-US"/>
              </w:rPr>
            </w:pPr>
          </w:p>
        </w:tc>
      </w:tr>
    </w:tbl>
    <w:p w14:paraId="12E10AF6" w14:textId="77777777" w:rsidR="00F67455" w:rsidRPr="0079316C"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719"/>
        <w:gridCol w:w="1970"/>
        <w:gridCol w:w="7371"/>
      </w:tblGrid>
      <w:tr w:rsidR="00F67455" w14:paraId="45F76AC0" w14:textId="77777777" w:rsidTr="00F46203">
        <w:trPr>
          <w:jc w:val="center"/>
        </w:trPr>
        <w:tc>
          <w:tcPr>
            <w:tcW w:w="10060" w:type="dxa"/>
            <w:gridSpan w:val="3"/>
          </w:tcPr>
          <w:p w14:paraId="5E6E3BC2" w14:textId="77777777"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F67455" w14:paraId="02F462FA" w14:textId="77777777" w:rsidTr="00F46203">
        <w:trPr>
          <w:jc w:val="center"/>
        </w:trPr>
        <w:tc>
          <w:tcPr>
            <w:tcW w:w="719" w:type="dxa"/>
          </w:tcPr>
          <w:p w14:paraId="3FC72975"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1970" w:type="dxa"/>
          </w:tcPr>
          <w:p w14:paraId="568E41F2"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7371" w:type="dxa"/>
          </w:tcPr>
          <w:p w14:paraId="2A84D5F4" w14:textId="77777777" w:rsidR="00F67455" w:rsidRDefault="00CE4124" w:rsidP="00E91259">
            <w:pPr>
              <w:pStyle w:val="Bezatstarpm"/>
              <w:jc w:val="both"/>
              <w:rPr>
                <w:rFonts w:ascii="Times New Roman" w:hAnsi="Times New Roman" w:cs="Times New Roman"/>
                <w:sz w:val="24"/>
              </w:rPr>
            </w:pPr>
            <w:r>
              <w:rPr>
                <w:rFonts w:ascii="Times New Roman" w:hAnsi="Times New Roman" w:cs="Times New Roman"/>
                <w:sz w:val="24"/>
              </w:rPr>
              <w:t xml:space="preserve">1. </w:t>
            </w:r>
            <w:r w:rsidR="00F67455" w:rsidRPr="009E47B9">
              <w:rPr>
                <w:rFonts w:ascii="Times New Roman" w:hAnsi="Times New Roman" w:cs="Times New Roman"/>
                <w:sz w:val="24"/>
              </w:rPr>
              <w:t xml:space="preserve">Veterinārmedicīnas likuma </w:t>
            </w:r>
            <w:r w:rsidR="00E91259" w:rsidRPr="00E91259">
              <w:rPr>
                <w:rFonts w:ascii="Times New Roman" w:hAnsi="Times New Roman" w:cs="Times New Roman"/>
                <w:sz w:val="24"/>
              </w:rPr>
              <w:t>42.</w:t>
            </w:r>
            <w:r w:rsidR="00E91259" w:rsidRPr="00E91259">
              <w:rPr>
                <w:rFonts w:ascii="Times New Roman" w:hAnsi="Times New Roman" w:cs="Times New Roman"/>
                <w:sz w:val="24"/>
                <w:vertAlign w:val="superscript"/>
              </w:rPr>
              <w:t>1</w:t>
            </w:r>
            <w:r w:rsidR="00E91259" w:rsidRPr="00E91259">
              <w:rPr>
                <w:rFonts w:ascii="Times New Roman" w:hAnsi="Times New Roman" w:cs="Times New Roman"/>
                <w:sz w:val="24"/>
              </w:rPr>
              <w:t xml:space="preserve"> panta otr</w:t>
            </w:r>
            <w:r w:rsidR="00E91259">
              <w:rPr>
                <w:rFonts w:ascii="Times New Roman" w:hAnsi="Times New Roman" w:cs="Times New Roman"/>
                <w:sz w:val="24"/>
              </w:rPr>
              <w:t>ā</w:t>
            </w:r>
            <w:r w:rsidR="00E91259" w:rsidRPr="00E91259">
              <w:rPr>
                <w:rFonts w:ascii="Times New Roman" w:hAnsi="Times New Roman" w:cs="Times New Roman"/>
                <w:sz w:val="24"/>
              </w:rPr>
              <w:t xml:space="preserve"> </w:t>
            </w:r>
            <w:r w:rsidR="00DA13A2" w:rsidRPr="00DA13A2">
              <w:rPr>
                <w:rFonts w:ascii="Times New Roman" w:hAnsi="Times New Roman" w:cs="Times New Roman"/>
                <w:sz w:val="24"/>
              </w:rPr>
              <w:t>daļ</w:t>
            </w:r>
            <w:r w:rsidR="00594FFE">
              <w:rPr>
                <w:rFonts w:ascii="Times New Roman" w:hAnsi="Times New Roman" w:cs="Times New Roman"/>
                <w:sz w:val="24"/>
              </w:rPr>
              <w:t>a</w:t>
            </w:r>
            <w:r w:rsidR="00E91259">
              <w:rPr>
                <w:rFonts w:ascii="Times New Roman" w:hAnsi="Times New Roman" w:cs="Times New Roman"/>
                <w:sz w:val="24"/>
              </w:rPr>
              <w:t>.</w:t>
            </w:r>
          </w:p>
          <w:p w14:paraId="4510C0D7" w14:textId="621F03BF" w:rsidR="00A83A9A" w:rsidRPr="00076371" w:rsidRDefault="00CE4124" w:rsidP="00A83A9A">
            <w:pPr>
              <w:pStyle w:val="Bezatstarpm"/>
              <w:jc w:val="both"/>
              <w:rPr>
                <w:rFonts w:ascii="Times New Roman" w:hAnsi="Times New Roman" w:cs="Times New Roman"/>
                <w:sz w:val="24"/>
                <w:szCs w:val="24"/>
              </w:rPr>
            </w:pPr>
            <w:r>
              <w:rPr>
                <w:rFonts w:ascii="Times New Roman" w:hAnsi="Times New Roman" w:cs="Times New Roman"/>
                <w:sz w:val="24"/>
              </w:rPr>
              <w:t xml:space="preserve">2. </w:t>
            </w:r>
            <w:r w:rsidR="00A83A9A" w:rsidRPr="00A83A9A">
              <w:rPr>
                <w:rFonts w:ascii="Times New Roman" w:hAnsi="Times New Roman" w:cs="Times New Roman"/>
                <w:sz w:val="24"/>
              </w:rPr>
              <w:t>Komisijas 2020. gada 2. jūnija Regula (ES) 2020/735,</w:t>
            </w:r>
            <w:r w:rsidR="00A83A9A">
              <w:rPr>
                <w:rFonts w:ascii="Times New Roman" w:hAnsi="Times New Roman" w:cs="Times New Roman"/>
                <w:sz w:val="24"/>
              </w:rPr>
              <w:t xml:space="preserve"> </w:t>
            </w:r>
            <w:r w:rsidR="00A83A9A" w:rsidRPr="00A83A9A">
              <w:rPr>
                <w:rFonts w:ascii="Times New Roman" w:hAnsi="Times New Roman" w:cs="Times New Roman"/>
                <w:sz w:val="24"/>
              </w:rPr>
              <w:t>ar ko attiecībā uz gaļas-kaulu miltu izmantošanu par kurināmo dedzināšanas iekārtās groza Regulu (ES) Nr. 142/</w:t>
            </w:r>
            <w:r w:rsidR="00A83A9A" w:rsidRPr="00076371">
              <w:rPr>
                <w:rFonts w:ascii="Times New Roman" w:hAnsi="Times New Roman" w:cs="Times New Roman"/>
                <w:sz w:val="24"/>
                <w:szCs w:val="24"/>
              </w:rPr>
              <w:t>2011</w:t>
            </w:r>
            <w:r w:rsidR="00076371" w:rsidRPr="00076371">
              <w:rPr>
                <w:rFonts w:ascii="Times New Roman" w:hAnsi="Times New Roman" w:cs="Times New Roman"/>
                <w:sz w:val="24"/>
                <w:szCs w:val="24"/>
              </w:rPr>
              <w:t xml:space="preserve"> (turpmāk – Regula 2020/735).</w:t>
            </w:r>
          </w:p>
          <w:p w14:paraId="6C957C5D" w14:textId="4D984BC8" w:rsidR="00F67455" w:rsidRDefault="00A83A9A" w:rsidP="00E91259">
            <w:pPr>
              <w:pStyle w:val="Bezatstarpm"/>
              <w:jc w:val="both"/>
              <w:rPr>
                <w:rFonts w:ascii="Times New Roman" w:hAnsi="Times New Roman" w:cs="Times New Roman"/>
                <w:sz w:val="24"/>
              </w:rPr>
            </w:pPr>
            <w:r w:rsidRPr="00076371">
              <w:rPr>
                <w:rFonts w:ascii="Times New Roman" w:hAnsi="Times New Roman" w:cs="Times New Roman"/>
                <w:sz w:val="24"/>
                <w:szCs w:val="24"/>
              </w:rPr>
              <w:t xml:space="preserve">3. </w:t>
            </w:r>
            <w:r w:rsidR="00E91259" w:rsidRPr="00076371">
              <w:rPr>
                <w:rFonts w:ascii="Times New Roman" w:hAnsi="Times New Roman" w:cs="Times New Roman"/>
                <w:sz w:val="24"/>
                <w:szCs w:val="24"/>
              </w:rPr>
              <w:t>Eiropas Parlamenta un Padomes 2001. gada 22. maija Regula (EK) Nr.</w:t>
            </w:r>
            <w:r w:rsidR="00EB2D34">
              <w:rPr>
                <w:rFonts w:ascii="Times New Roman" w:hAnsi="Times New Roman" w:cs="Times New Roman"/>
                <w:sz w:val="24"/>
                <w:szCs w:val="24"/>
              </w:rPr>
              <w:t> </w:t>
            </w:r>
            <w:r w:rsidR="00E91259" w:rsidRPr="00076371">
              <w:rPr>
                <w:rFonts w:ascii="Times New Roman" w:hAnsi="Times New Roman" w:cs="Times New Roman"/>
                <w:sz w:val="24"/>
                <w:szCs w:val="24"/>
              </w:rPr>
              <w:t>999/2001, ar ko paredz noteikumus dažu transmisīvo</w:t>
            </w:r>
            <w:r w:rsidR="00E91259" w:rsidRPr="00E91259">
              <w:rPr>
                <w:rFonts w:ascii="Times New Roman" w:hAnsi="Times New Roman" w:cs="Times New Roman"/>
                <w:sz w:val="24"/>
              </w:rPr>
              <w:t xml:space="preserve"> sūkļveida encefalopātiju profilaksei, kontrolei un apkarošanai </w:t>
            </w:r>
            <w:r w:rsidR="00B33BD5" w:rsidRPr="00B33BD5">
              <w:rPr>
                <w:rFonts w:ascii="Times New Roman" w:hAnsi="Times New Roman" w:cs="Times New Roman"/>
                <w:sz w:val="24"/>
              </w:rPr>
              <w:t>(turpmāk – Regula Nr.</w:t>
            </w:r>
            <w:r w:rsidR="00EB2D34">
              <w:rPr>
                <w:rFonts w:ascii="Times New Roman" w:hAnsi="Times New Roman" w:cs="Times New Roman"/>
                <w:sz w:val="24"/>
              </w:rPr>
              <w:t> </w:t>
            </w:r>
            <w:r w:rsidR="00E91259">
              <w:rPr>
                <w:rFonts w:ascii="Times New Roman" w:hAnsi="Times New Roman" w:cs="Times New Roman"/>
                <w:sz w:val="24"/>
              </w:rPr>
              <w:t>999</w:t>
            </w:r>
            <w:r w:rsidR="00B33BD5" w:rsidRPr="00B33BD5">
              <w:rPr>
                <w:rFonts w:ascii="Times New Roman" w:hAnsi="Times New Roman" w:cs="Times New Roman"/>
                <w:sz w:val="24"/>
              </w:rPr>
              <w:t>/</w:t>
            </w:r>
            <w:r w:rsidR="00E91259">
              <w:rPr>
                <w:rFonts w:ascii="Times New Roman" w:hAnsi="Times New Roman" w:cs="Times New Roman"/>
                <w:sz w:val="24"/>
              </w:rPr>
              <w:t>2001</w:t>
            </w:r>
            <w:r w:rsidR="00B33BD5" w:rsidRPr="00B33BD5">
              <w:rPr>
                <w:rFonts w:ascii="Times New Roman" w:hAnsi="Times New Roman" w:cs="Times New Roman"/>
                <w:sz w:val="24"/>
              </w:rPr>
              <w:t>).</w:t>
            </w:r>
          </w:p>
          <w:p w14:paraId="2EC2D1B9" w14:textId="33BF6C62" w:rsidR="00A419EF" w:rsidRPr="009E47B9" w:rsidRDefault="00A419EF" w:rsidP="00E91259">
            <w:pPr>
              <w:pStyle w:val="Bezatstarpm"/>
              <w:jc w:val="both"/>
              <w:rPr>
                <w:rFonts w:ascii="Times New Roman" w:hAnsi="Times New Roman" w:cs="Times New Roman"/>
                <w:sz w:val="24"/>
                <w:szCs w:val="24"/>
                <w:lang w:eastAsia="lv-LV"/>
              </w:rPr>
            </w:pPr>
            <w:r>
              <w:rPr>
                <w:rFonts w:ascii="Times New Roman" w:hAnsi="Times New Roman" w:cs="Times New Roman"/>
                <w:sz w:val="24"/>
                <w:lang w:eastAsia="lv-LV"/>
              </w:rPr>
              <w:t xml:space="preserve">4. </w:t>
            </w:r>
            <w:r w:rsidR="002D55B9" w:rsidRPr="002D55B9">
              <w:rPr>
                <w:rFonts w:ascii="Times New Roman" w:hAnsi="Times New Roman" w:cs="Times New Roman"/>
                <w:bCs/>
                <w:sz w:val="24"/>
                <w:szCs w:val="24"/>
              </w:rPr>
              <w:t>Eiropas Komisijas 2009. gada 28. septembra Lēmums 2009/719/EK</w:t>
            </w:r>
            <w:r w:rsidR="00EB2D34">
              <w:rPr>
                <w:rFonts w:ascii="Times New Roman" w:hAnsi="Times New Roman" w:cs="Times New Roman"/>
                <w:bCs/>
                <w:sz w:val="24"/>
                <w:szCs w:val="24"/>
              </w:rPr>
              <w:t>,</w:t>
            </w:r>
            <w:r w:rsidR="002D55B9" w:rsidRPr="002D55B9">
              <w:rPr>
                <w:rFonts w:ascii="Times New Roman" w:hAnsi="Times New Roman" w:cs="Times New Roman"/>
                <w:bCs/>
                <w:sz w:val="24"/>
                <w:szCs w:val="24"/>
              </w:rPr>
              <w:t xml:space="preserve"> ar ko dažām dalībvalstīm atļauj pārskatīt valsts ikgadējo GSE uzraudzības programmu</w:t>
            </w:r>
            <w:r w:rsidR="002D55B9" w:rsidRPr="002D55B9" w:rsidDel="002D55B9">
              <w:rPr>
                <w:rFonts w:ascii="Times New Roman" w:hAnsi="Times New Roman" w:cs="Times New Roman"/>
                <w:bCs/>
                <w:sz w:val="24"/>
                <w:szCs w:val="24"/>
              </w:rPr>
              <w:t xml:space="preserve"> </w:t>
            </w:r>
            <w:r>
              <w:rPr>
                <w:rFonts w:ascii="Times New Roman" w:hAnsi="Times New Roman" w:cs="Times New Roman"/>
                <w:bCs/>
                <w:sz w:val="24"/>
                <w:szCs w:val="24"/>
              </w:rPr>
              <w:t xml:space="preserve">(turpmāk – Lēmums </w:t>
            </w:r>
            <w:r w:rsidRPr="00360690">
              <w:rPr>
                <w:rFonts w:ascii="Times New Roman" w:hAnsi="Times New Roman" w:cs="Times New Roman"/>
                <w:bCs/>
                <w:sz w:val="24"/>
                <w:szCs w:val="24"/>
              </w:rPr>
              <w:t>2009/719/EK</w:t>
            </w:r>
            <w:r>
              <w:rPr>
                <w:rFonts w:ascii="Times New Roman" w:hAnsi="Times New Roman" w:cs="Times New Roman"/>
                <w:bCs/>
                <w:sz w:val="24"/>
                <w:szCs w:val="24"/>
              </w:rPr>
              <w:t xml:space="preserve">). </w:t>
            </w:r>
          </w:p>
        </w:tc>
      </w:tr>
      <w:tr w:rsidR="00F67455" w14:paraId="0A54435C" w14:textId="77777777" w:rsidTr="00F46203">
        <w:trPr>
          <w:jc w:val="center"/>
        </w:trPr>
        <w:tc>
          <w:tcPr>
            <w:tcW w:w="719" w:type="dxa"/>
          </w:tcPr>
          <w:p w14:paraId="7485D035"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970" w:type="dxa"/>
          </w:tcPr>
          <w:p w14:paraId="4C9174B8" w14:textId="77777777"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7371" w:type="dxa"/>
          </w:tcPr>
          <w:p w14:paraId="3B88CC90" w14:textId="66A009A0" w:rsidR="005322BF" w:rsidRDefault="005322BF" w:rsidP="003E6A6E">
            <w:pPr>
              <w:pStyle w:val="Bezatstarpm"/>
              <w:jc w:val="both"/>
              <w:rPr>
                <w:rFonts w:ascii="Times New Roman" w:hAnsi="Times New Roman" w:cs="Times New Roman"/>
                <w:sz w:val="24"/>
                <w:szCs w:val="24"/>
              </w:rPr>
            </w:pPr>
            <w:r w:rsidRPr="003E6A6E">
              <w:rPr>
                <w:rFonts w:ascii="Times New Roman" w:hAnsi="Times New Roman" w:cs="Times New Roman"/>
                <w:sz w:val="24"/>
                <w:szCs w:val="24"/>
              </w:rPr>
              <w:t>Patlaban spēkā ir Ministru kabineta 2012. gada 17. aprīļa noteikumi Nr.</w:t>
            </w:r>
            <w:r w:rsidR="00EB2D34">
              <w:rPr>
                <w:rFonts w:ascii="Times New Roman" w:hAnsi="Times New Roman" w:cs="Times New Roman"/>
                <w:sz w:val="24"/>
                <w:szCs w:val="24"/>
              </w:rPr>
              <w:t> </w:t>
            </w:r>
            <w:r w:rsidRPr="003E6A6E">
              <w:rPr>
                <w:rFonts w:ascii="Times New Roman" w:hAnsi="Times New Roman" w:cs="Times New Roman"/>
                <w:sz w:val="24"/>
                <w:szCs w:val="24"/>
              </w:rPr>
              <w:t xml:space="preserve">275 </w:t>
            </w:r>
            <w:r w:rsidR="00EB2D34">
              <w:rPr>
                <w:rFonts w:ascii="Times New Roman" w:hAnsi="Times New Roman" w:cs="Times New Roman"/>
                <w:sz w:val="24"/>
                <w:szCs w:val="24"/>
              </w:rPr>
              <w:t>“</w:t>
            </w:r>
            <w:r w:rsidRPr="003E6A6E">
              <w:rPr>
                <w:rFonts w:ascii="Times New Roman" w:hAnsi="Times New Roman" w:cs="Times New Roman"/>
                <w:sz w:val="24"/>
                <w:szCs w:val="24"/>
              </w:rPr>
              <w:t>Prasības tādu dzīvnieku izcelsmes blakusproduktu un atvasinātu produktu apritei, kas nav paredzēti cilvēku patēriņam”” (turpmāk – noteikumi Nr.</w:t>
            </w:r>
            <w:r w:rsidR="00EB2D34">
              <w:rPr>
                <w:rFonts w:ascii="Times New Roman" w:hAnsi="Times New Roman" w:cs="Times New Roman"/>
                <w:sz w:val="24"/>
                <w:szCs w:val="24"/>
              </w:rPr>
              <w:t> </w:t>
            </w:r>
            <w:r w:rsidRPr="003E6A6E">
              <w:rPr>
                <w:rFonts w:ascii="Times New Roman" w:hAnsi="Times New Roman" w:cs="Times New Roman"/>
                <w:sz w:val="24"/>
                <w:szCs w:val="24"/>
              </w:rPr>
              <w:t>275).</w:t>
            </w:r>
          </w:p>
          <w:p w14:paraId="5EAD3004" w14:textId="5DC5FA67" w:rsidR="005322BF" w:rsidRDefault="00A138C3" w:rsidP="003E6A6E">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1. </w:t>
            </w:r>
            <w:r w:rsidR="005322BF">
              <w:rPr>
                <w:rFonts w:ascii="Times New Roman" w:hAnsi="Times New Roman" w:cs="Times New Roman"/>
                <w:sz w:val="24"/>
                <w:szCs w:val="24"/>
              </w:rPr>
              <w:t>N</w:t>
            </w:r>
            <w:r w:rsidR="005322BF" w:rsidRPr="003E6A6E">
              <w:rPr>
                <w:rFonts w:ascii="Times New Roman" w:hAnsi="Times New Roman" w:cs="Times New Roman"/>
                <w:sz w:val="24"/>
                <w:szCs w:val="24"/>
              </w:rPr>
              <w:t>oteikumu</w:t>
            </w:r>
            <w:r w:rsidR="005322BF">
              <w:t xml:space="preserve"> </w:t>
            </w:r>
            <w:r w:rsidR="005322BF" w:rsidRPr="00E63735">
              <w:rPr>
                <w:rFonts w:ascii="Times New Roman" w:hAnsi="Times New Roman" w:cs="Times New Roman"/>
                <w:sz w:val="24"/>
                <w:szCs w:val="24"/>
              </w:rPr>
              <w:t>Nr.</w:t>
            </w:r>
            <w:r w:rsidR="00EB2D34">
              <w:rPr>
                <w:rFonts w:ascii="Times New Roman" w:hAnsi="Times New Roman" w:cs="Times New Roman"/>
                <w:sz w:val="24"/>
                <w:szCs w:val="24"/>
              </w:rPr>
              <w:t xml:space="preserve"> </w:t>
            </w:r>
            <w:r w:rsidR="005322BF" w:rsidRPr="00E63735">
              <w:rPr>
                <w:rFonts w:ascii="Times New Roman" w:hAnsi="Times New Roman" w:cs="Times New Roman"/>
                <w:sz w:val="24"/>
                <w:szCs w:val="24"/>
              </w:rPr>
              <w:t>275</w:t>
            </w:r>
            <w:r w:rsidR="005322BF">
              <w:rPr>
                <w:rFonts w:ascii="Times New Roman" w:hAnsi="Times New Roman" w:cs="Times New Roman"/>
                <w:sz w:val="24"/>
                <w:szCs w:val="24"/>
              </w:rPr>
              <w:t xml:space="preserve"> 3.</w:t>
            </w:r>
            <w:r w:rsidR="005322BF" w:rsidRPr="00E63735">
              <w:rPr>
                <w:rFonts w:ascii="Times New Roman" w:hAnsi="Times New Roman" w:cs="Times New Roman"/>
                <w:sz w:val="24"/>
                <w:szCs w:val="24"/>
                <w:vertAlign w:val="superscript"/>
              </w:rPr>
              <w:t>2</w:t>
            </w:r>
            <w:r w:rsidR="005322BF">
              <w:rPr>
                <w:rFonts w:ascii="Times New Roman" w:hAnsi="Times New Roman" w:cs="Times New Roman"/>
                <w:sz w:val="24"/>
                <w:szCs w:val="24"/>
              </w:rPr>
              <w:t xml:space="preserve"> punkt</w:t>
            </w:r>
            <w:r w:rsidR="00EB2D34">
              <w:rPr>
                <w:rFonts w:ascii="Times New Roman" w:hAnsi="Times New Roman" w:cs="Times New Roman"/>
                <w:sz w:val="24"/>
                <w:szCs w:val="24"/>
              </w:rPr>
              <w:t>ā</w:t>
            </w:r>
            <w:r w:rsidR="005322BF">
              <w:rPr>
                <w:rFonts w:ascii="Times New Roman" w:hAnsi="Times New Roman" w:cs="Times New Roman"/>
                <w:sz w:val="24"/>
                <w:szCs w:val="24"/>
              </w:rPr>
              <w:t xml:space="preserve"> no</w:t>
            </w:r>
            <w:r w:rsidR="00EB2D34">
              <w:rPr>
                <w:rFonts w:ascii="Times New Roman" w:hAnsi="Times New Roman" w:cs="Times New Roman"/>
                <w:sz w:val="24"/>
                <w:szCs w:val="24"/>
              </w:rPr>
              <w:t>teikts</w:t>
            </w:r>
            <w:r w:rsidR="005322BF" w:rsidRPr="003E6A6E">
              <w:rPr>
                <w:rFonts w:ascii="Times New Roman" w:hAnsi="Times New Roman" w:cs="Times New Roman"/>
                <w:sz w:val="24"/>
                <w:szCs w:val="24"/>
              </w:rPr>
              <w:t>, ka Valsts vides dienest</w:t>
            </w:r>
            <w:r w:rsidR="005322BF">
              <w:rPr>
                <w:rFonts w:ascii="Times New Roman" w:hAnsi="Times New Roman" w:cs="Times New Roman"/>
                <w:sz w:val="24"/>
                <w:szCs w:val="24"/>
              </w:rPr>
              <w:t>s</w:t>
            </w:r>
            <w:r w:rsidR="005322BF" w:rsidRPr="003E6A6E">
              <w:rPr>
                <w:rFonts w:ascii="Times New Roman" w:hAnsi="Times New Roman" w:cs="Times New Roman"/>
                <w:sz w:val="24"/>
                <w:szCs w:val="24"/>
              </w:rPr>
              <w:t xml:space="preserve"> (turpmāk</w:t>
            </w:r>
            <w:r w:rsidR="00EB2D34">
              <w:rPr>
                <w:rFonts w:ascii="Times New Roman" w:hAnsi="Times New Roman" w:cs="Times New Roman"/>
                <w:sz w:val="24"/>
                <w:szCs w:val="24"/>
              </w:rPr>
              <w:t> </w:t>
            </w:r>
            <w:r w:rsidR="005322BF" w:rsidRPr="003E6A6E">
              <w:rPr>
                <w:rFonts w:ascii="Times New Roman" w:hAnsi="Times New Roman" w:cs="Times New Roman"/>
                <w:sz w:val="24"/>
                <w:szCs w:val="24"/>
              </w:rPr>
              <w:t xml:space="preserve">– VVD) blakusproduktu apritē iesaistītajai personai </w:t>
            </w:r>
            <w:r w:rsidR="005322BF">
              <w:rPr>
                <w:rFonts w:ascii="Times New Roman" w:hAnsi="Times New Roman" w:cs="Times New Roman"/>
                <w:sz w:val="24"/>
                <w:szCs w:val="24"/>
              </w:rPr>
              <w:t>iz</w:t>
            </w:r>
            <w:r w:rsidR="005322BF" w:rsidRPr="003E6A6E">
              <w:rPr>
                <w:rFonts w:ascii="Times New Roman" w:hAnsi="Times New Roman" w:cs="Times New Roman"/>
                <w:sz w:val="24"/>
                <w:szCs w:val="24"/>
              </w:rPr>
              <w:t xml:space="preserve">sniedz apstiprinājumu </w:t>
            </w:r>
            <w:r w:rsidR="005322BF" w:rsidRPr="00344617">
              <w:rPr>
                <w:rFonts w:ascii="Times New Roman" w:hAnsi="Times New Roman" w:cs="Times New Roman"/>
                <w:sz w:val="24"/>
                <w:szCs w:val="24"/>
              </w:rPr>
              <w:t xml:space="preserve">par to dedzināšanas iekārtu atbilstību, kurās par kurināmo izmanto </w:t>
            </w:r>
            <w:r w:rsidR="005322BF">
              <w:rPr>
                <w:rFonts w:ascii="Times New Roman" w:hAnsi="Times New Roman" w:cs="Times New Roman"/>
                <w:sz w:val="24"/>
                <w:szCs w:val="24"/>
              </w:rPr>
              <w:t xml:space="preserve">tikai </w:t>
            </w:r>
            <w:r w:rsidR="005322BF" w:rsidRPr="00344617">
              <w:rPr>
                <w:rFonts w:ascii="Times New Roman" w:hAnsi="Times New Roman" w:cs="Times New Roman"/>
                <w:sz w:val="24"/>
                <w:szCs w:val="24"/>
              </w:rPr>
              <w:t>kūtsmēslus</w:t>
            </w:r>
            <w:r w:rsidR="005322BF">
              <w:rPr>
                <w:rFonts w:ascii="Times New Roman" w:hAnsi="Times New Roman" w:cs="Times New Roman"/>
                <w:sz w:val="24"/>
                <w:szCs w:val="24"/>
              </w:rPr>
              <w:t>.</w:t>
            </w:r>
          </w:p>
          <w:p w14:paraId="0337A42B" w14:textId="00F503ED" w:rsidR="003E6A6E" w:rsidRDefault="00076371" w:rsidP="003E6A6E">
            <w:pPr>
              <w:pStyle w:val="Bezatstarpm"/>
              <w:jc w:val="both"/>
              <w:rPr>
                <w:rFonts w:ascii="Times New Roman" w:hAnsi="Times New Roman" w:cs="Times New Roman"/>
                <w:sz w:val="24"/>
                <w:szCs w:val="24"/>
              </w:rPr>
            </w:pPr>
            <w:r w:rsidRPr="00076371">
              <w:rPr>
                <w:rFonts w:ascii="Times New Roman" w:hAnsi="Times New Roman" w:cs="Times New Roman"/>
                <w:sz w:val="24"/>
                <w:szCs w:val="24"/>
              </w:rPr>
              <w:t>Regula 2020/735</w:t>
            </w:r>
            <w:r w:rsidR="004305F5">
              <w:rPr>
                <w:rFonts w:ascii="Times New Roman" w:hAnsi="Times New Roman" w:cs="Times New Roman"/>
                <w:sz w:val="24"/>
                <w:szCs w:val="24"/>
              </w:rPr>
              <w:t xml:space="preserve"> atļauj</w:t>
            </w:r>
            <w:r w:rsidR="003E6A6E" w:rsidRPr="003E6A6E">
              <w:rPr>
                <w:rFonts w:ascii="Times New Roman" w:hAnsi="Times New Roman" w:cs="Times New Roman"/>
                <w:sz w:val="24"/>
                <w:szCs w:val="24"/>
              </w:rPr>
              <w:t xml:space="preserve"> </w:t>
            </w:r>
            <w:r w:rsidR="00E63735">
              <w:rPr>
                <w:rFonts w:ascii="Times New Roman" w:hAnsi="Times New Roman" w:cs="Times New Roman"/>
                <w:sz w:val="24"/>
                <w:szCs w:val="24"/>
              </w:rPr>
              <w:t>gaļas-kaulu miltu</w:t>
            </w:r>
            <w:r w:rsidR="00EB2D34">
              <w:rPr>
                <w:rFonts w:ascii="Times New Roman" w:hAnsi="Times New Roman" w:cs="Times New Roman"/>
                <w:sz w:val="24"/>
                <w:szCs w:val="24"/>
              </w:rPr>
              <w:t>s</w:t>
            </w:r>
            <w:r w:rsidR="003E6A6E" w:rsidRPr="003E6A6E">
              <w:rPr>
                <w:rFonts w:ascii="Times New Roman" w:hAnsi="Times New Roman" w:cs="Times New Roman"/>
                <w:sz w:val="24"/>
                <w:szCs w:val="24"/>
              </w:rPr>
              <w:t xml:space="preserve"> izmanto</w:t>
            </w:r>
            <w:r w:rsidR="00EB2D34">
              <w:rPr>
                <w:rFonts w:ascii="Times New Roman" w:hAnsi="Times New Roman" w:cs="Times New Roman"/>
                <w:sz w:val="24"/>
                <w:szCs w:val="24"/>
              </w:rPr>
              <w:t>t par</w:t>
            </w:r>
            <w:r w:rsidR="003E6A6E" w:rsidRPr="003E6A6E">
              <w:rPr>
                <w:rFonts w:ascii="Times New Roman" w:hAnsi="Times New Roman" w:cs="Times New Roman"/>
                <w:sz w:val="24"/>
                <w:szCs w:val="24"/>
              </w:rPr>
              <w:t xml:space="preserve"> kurināmo. </w:t>
            </w:r>
            <w:r w:rsidR="00E63735" w:rsidRPr="00E63735">
              <w:rPr>
                <w:rFonts w:ascii="Times New Roman" w:hAnsi="Times New Roman" w:cs="Times New Roman"/>
                <w:sz w:val="24"/>
                <w:szCs w:val="24"/>
              </w:rPr>
              <w:t>Gaļas-kaulu milti ir dzīvnieku olbaltumvielas, kas iegūtas, pārstrādājot 1.</w:t>
            </w:r>
            <w:r w:rsidR="00EB2D34">
              <w:rPr>
                <w:rFonts w:ascii="Times New Roman" w:hAnsi="Times New Roman" w:cs="Times New Roman"/>
                <w:sz w:val="24"/>
                <w:szCs w:val="24"/>
              </w:rPr>
              <w:t> </w:t>
            </w:r>
            <w:r w:rsidR="00E63735" w:rsidRPr="00E63735">
              <w:rPr>
                <w:rFonts w:ascii="Times New Roman" w:hAnsi="Times New Roman" w:cs="Times New Roman"/>
                <w:sz w:val="24"/>
                <w:szCs w:val="24"/>
              </w:rPr>
              <w:t>vai 2.</w:t>
            </w:r>
            <w:r w:rsidR="001E1D8F">
              <w:rPr>
                <w:rFonts w:ascii="Times New Roman" w:hAnsi="Times New Roman" w:cs="Times New Roman"/>
                <w:sz w:val="24"/>
                <w:szCs w:val="24"/>
              </w:rPr>
              <w:t> </w:t>
            </w:r>
            <w:r w:rsidR="00E63735" w:rsidRPr="00E63735">
              <w:rPr>
                <w:rFonts w:ascii="Times New Roman" w:hAnsi="Times New Roman" w:cs="Times New Roman"/>
                <w:sz w:val="24"/>
                <w:szCs w:val="24"/>
              </w:rPr>
              <w:t>kategorijas materiālus. Lai panāktu energoresursu ilgtspējīgu izmantošanu, ražošanas nozar</w:t>
            </w:r>
            <w:r w:rsidR="001E1D8F">
              <w:rPr>
                <w:rFonts w:ascii="Times New Roman" w:hAnsi="Times New Roman" w:cs="Times New Roman"/>
                <w:sz w:val="24"/>
                <w:szCs w:val="24"/>
              </w:rPr>
              <w:t>ē tika</w:t>
            </w:r>
            <w:r w:rsidR="00E63735" w:rsidRPr="00E63735">
              <w:rPr>
                <w:rFonts w:ascii="Times New Roman" w:hAnsi="Times New Roman" w:cs="Times New Roman"/>
                <w:sz w:val="24"/>
                <w:szCs w:val="24"/>
              </w:rPr>
              <w:t xml:space="preserve"> izstrādā</w:t>
            </w:r>
            <w:r w:rsidR="001E1D8F">
              <w:rPr>
                <w:rFonts w:ascii="Times New Roman" w:hAnsi="Times New Roman" w:cs="Times New Roman"/>
                <w:sz w:val="24"/>
                <w:szCs w:val="24"/>
              </w:rPr>
              <w:t>ta</w:t>
            </w:r>
            <w:r w:rsidR="00E63735" w:rsidRPr="00E63735">
              <w:rPr>
                <w:rFonts w:ascii="Times New Roman" w:hAnsi="Times New Roman" w:cs="Times New Roman"/>
                <w:sz w:val="24"/>
                <w:szCs w:val="24"/>
              </w:rPr>
              <w:t xml:space="preserve"> tehnoloģij</w:t>
            </w:r>
            <w:r w:rsidR="001E1D8F">
              <w:rPr>
                <w:rFonts w:ascii="Times New Roman" w:hAnsi="Times New Roman" w:cs="Times New Roman"/>
                <w:sz w:val="24"/>
                <w:szCs w:val="24"/>
              </w:rPr>
              <w:t>a</w:t>
            </w:r>
            <w:r w:rsidR="00E63735" w:rsidRPr="00E63735">
              <w:rPr>
                <w:rFonts w:ascii="Times New Roman" w:hAnsi="Times New Roman" w:cs="Times New Roman"/>
                <w:sz w:val="24"/>
                <w:szCs w:val="24"/>
              </w:rPr>
              <w:t>, k</w:t>
            </w:r>
            <w:r w:rsidR="00EB2D34">
              <w:rPr>
                <w:rFonts w:ascii="Times New Roman" w:hAnsi="Times New Roman" w:cs="Times New Roman"/>
                <w:sz w:val="24"/>
                <w:szCs w:val="24"/>
              </w:rPr>
              <w:t>as</w:t>
            </w:r>
            <w:r w:rsidR="00E63735" w:rsidRPr="00E63735">
              <w:rPr>
                <w:rFonts w:ascii="Times New Roman" w:hAnsi="Times New Roman" w:cs="Times New Roman"/>
                <w:sz w:val="24"/>
                <w:szCs w:val="24"/>
              </w:rPr>
              <w:t xml:space="preserve"> ļautu izmantot dedzināšanas procesā saražoto siltumu</w:t>
            </w:r>
            <w:r w:rsidR="00E63735" w:rsidRPr="005322BF">
              <w:rPr>
                <w:rFonts w:ascii="Times New Roman" w:hAnsi="Times New Roman" w:cs="Times New Roman"/>
                <w:sz w:val="24"/>
                <w:szCs w:val="24"/>
              </w:rPr>
              <w:t>.</w:t>
            </w:r>
            <w:r w:rsidR="00E63735" w:rsidRPr="005322BF">
              <w:t xml:space="preserve"> </w:t>
            </w:r>
          </w:p>
          <w:p w14:paraId="08A1B9A0" w14:textId="173D1BA9" w:rsidR="003E6A6E" w:rsidRDefault="00344617" w:rsidP="003E6A6E">
            <w:pPr>
              <w:pStyle w:val="Bezatstarpm"/>
              <w:jc w:val="both"/>
              <w:rPr>
                <w:rFonts w:ascii="Times New Roman" w:hAnsi="Times New Roman" w:cs="Times New Roman"/>
                <w:sz w:val="24"/>
                <w:szCs w:val="24"/>
              </w:rPr>
            </w:pPr>
            <w:r w:rsidRPr="005322BF">
              <w:rPr>
                <w:rFonts w:ascii="Times New Roman" w:hAnsi="Times New Roman" w:cs="Times New Roman"/>
                <w:sz w:val="24"/>
                <w:szCs w:val="24"/>
              </w:rPr>
              <w:t>Tāpēc noteikumu Nr.275 3.</w:t>
            </w:r>
            <w:r w:rsidRPr="005322BF">
              <w:rPr>
                <w:rFonts w:ascii="Times New Roman" w:hAnsi="Times New Roman" w:cs="Times New Roman"/>
                <w:sz w:val="24"/>
                <w:szCs w:val="24"/>
                <w:vertAlign w:val="superscript"/>
              </w:rPr>
              <w:t>2</w:t>
            </w:r>
            <w:r w:rsidRPr="005322BF">
              <w:rPr>
                <w:rFonts w:ascii="Times New Roman" w:hAnsi="Times New Roman" w:cs="Times New Roman"/>
                <w:sz w:val="24"/>
                <w:szCs w:val="24"/>
              </w:rPr>
              <w:t xml:space="preserve"> punkt</w:t>
            </w:r>
            <w:r w:rsidR="005322BF">
              <w:rPr>
                <w:rFonts w:ascii="Times New Roman" w:hAnsi="Times New Roman" w:cs="Times New Roman"/>
                <w:sz w:val="24"/>
                <w:szCs w:val="24"/>
              </w:rPr>
              <w:t>s</w:t>
            </w:r>
            <w:r w:rsidRPr="005322BF">
              <w:rPr>
                <w:rFonts w:ascii="Times New Roman" w:hAnsi="Times New Roman" w:cs="Times New Roman"/>
                <w:sz w:val="24"/>
                <w:szCs w:val="24"/>
              </w:rPr>
              <w:t xml:space="preserve"> </w:t>
            </w:r>
            <w:r w:rsidR="001E1D8F">
              <w:rPr>
                <w:rFonts w:ascii="Times New Roman" w:hAnsi="Times New Roman" w:cs="Times New Roman"/>
                <w:sz w:val="24"/>
                <w:szCs w:val="24"/>
              </w:rPr>
              <w:t xml:space="preserve">ir </w:t>
            </w:r>
            <w:r w:rsidR="005322BF">
              <w:rPr>
                <w:rFonts w:ascii="Times New Roman" w:hAnsi="Times New Roman" w:cs="Times New Roman"/>
                <w:sz w:val="24"/>
                <w:szCs w:val="24"/>
              </w:rPr>
              <w:t xml:space="preserve">jāpapildina, paredzot, ka </w:t>
            </w:r>
            <w:r w:rsidR="005322BF" w:rsidRPr="003E6A6E">
              <w:rPr>
                <w:rFonts w:ascii="Times New Roman" w:hAnsi="Times New Roman" w:cs="Times New Roman"/>
                <w:sz w:val="24"/>
                <w:szCs w:val="24"/>
              </w:rPr>
              <w:t xml:space="preserve">VVD </w:t>
            </w:r>
            <w:r w:rsidR="005322BF">
              <w:rPr>
                <w:rFonts w:ascii="Times New Roman" w:hAnsi="Times New Roman" w:cs="Times New Roman"/>
                <w:sz w:val="24"/>
                <w:szCs w:val="24"/>
              </w:rPr>
              <w:t>iz</w:t>
            </w:r>
            <w:r w:rsidR="005322BF" w:rsidRPr="003E6A6E">
              <w:rPr>
                <w:rFonts w:ascii="Times New Roman" w:hAnsi="Times New Roman" w:cs="Times New Roman"/>
                <w:sz w:val="24"/>
                <w:szCs w:val="24"/>
              </w:rPr>
              <w:t xml:space="preserve">sniedz apstiprinājumu </w:t>
            </w:r>
            <w:r w:rsidR="005322BF">
              <w:rPr>
                <w:rFonts w:ascii="Times New Roman" w:hAnsi="Times New Roman" w:cs="Times New Roman"/>
                <w:sz w:val="24"/>
                <w:szCs w:val="24"/>
              </w:rPr>
              <w:t xml:space="preserve">arī </w:t>
            </w:r>
            <w:r w:rsidR="005322BF" w:rsidRPr="00344617">
              <w:rPr>
                <w:rFonts w:ascii="Times New Roman" w:hAnsi="Times New Roman" w:cs="Times New Roman"/>
                <w:sz w:val="24"/>
                <w:szCs w:val="24"/>
              </w:rPr>
              <w:t>par to dedzināšanas iekārtu atbilstību, kurās par kurināmo izmanto</w:t>
            </w:r>
            <w:r w:rsidRPr="005322BF">
              <w:rPr>
                <w:rFonts w:ascii="Times New Roman" w:hAnsi="Times New Roman" w:cs="Times New Roman"/>
                <w:sz w:val="24"/>
                <w:szCs w:val="24"/>
              </w:rPr>
              <w:t xml:space="preserve"> gaļas-kaulu miltus.</w:t>
            </w:r>
          </w:p>
          <w:p w14:paraId="328E8E48" w14:textId="7291A27B" w:rsidR="004305F5" w:rsidRPr="004305F5" w:rsidRDefault="004305F5" w:rsidP="004305F5">
            <w:pPr>
              <w:pStyle w:val="Bezatstarpm"/>
              <w:jc w:val="both"/>
              <w:rPr>
                <w:rFonts w:ascii="Times New Roman" w:hAnsi="Times New Roman" w:cs="Times New Roman"/>
                <w:sz w:val="24"/>
                <w:szCs w:val="24"/>
              </w:rPr>
            </w:pPr>
            <w:r w:rsidRPr="004305F5">
              <w:rPr>
                <w:rFonts w:ascii="Times New Roman" w:hAnsi="Times New Roman" w:cs="Times New Roman"/>
                <w:sz w:val="24"/>
                <w:szCs w:val="24"/>
              </w:rPr>
              <w:t>Noteikumu projekts neparedz jauna valsts pārvaldes pakalpojumu ieviešanu</w:t>
            </w:r>
            <w:r w:rsidR="00CF62B7">
              <w:t xml:space="preserve"> </w:t>
            </w:r>
            <w:r w:rsidR="00CF62B7" w:rsidRPr="00CF62B7">
              <w:rPr>
                <w:rFonts w:ascii="Times New Roman" w:hAnsi="Times New Roman" w:cs="Times New Roman"/>
                <w:sz w:val="24"/>
                <w:szCs w:val="24"/>
              </w:rPr>
              <w:t>dzīvnieku izcelsmes blakusproduktu un atvasināto produktu aprites jomā</w:t>
            </w:r>
            <w:r w:rsidR="00CF62B7">
              <w:rPr>
                <w:rFonts w:ascii="Times New Roman" w:hAnsi="Times New Roman" w:cs="Times New Roman"/>
                <w:sz w:val="24"/>
                <w:szCs w:val="24"/>
              </w:rPr>
              <w:t xml:space="preserve">. </w:t>
            </w:r>
            <w:r w:rsidRPr="004305F5">
              <w:rPr>
                <w:rFonts w:ascii="Times New Roman" w:hAnsi="Times New Roman" w:cs="Times New Roman"/>
                <w:sz w:val="24"/>
                <w:szCs w:val="24"/>
              </w:rPr>
              <w:t xml:space="preserve">Minētos valsts pārvaldes pakalpojumus </w:t>
            </w:r>
            <w:r>
              <w:rPr>
                <w:rFonts w:ascii="Times New Roman" w:hAnsi="Times New Roman" w:cs="Times New Roman"/>
                <w:sz w:val="24"/>
                <w:szCs w:val="24"/>
              </w:rPr>
              <w:t>dzīvnieku izcelsmes blakusproduktu un atvasināto produktu</w:t>
            </w:r>
            <w:r w:rsidRPr="004305F5">
              <w:rPr>
                <w:rFonts w:ascii="Times New Roman" w:hAnsi="Times New Roman" w:cs="Times New Roman"/>
                <w:sz w:val="24"/>
                <w:szCs w:val="24"/>
              </w:rPr>
              <w:t xml:space="preserve"> aprites jomā var pieprasīt un saņemt, izmantojot gan klātienes, gan neklātienes kanālus.</w:t>
            </w:r>
          </w:p>
          <w:p w14:paraId="59D51F16" w14:textId="52A4480E" w:rsidR="00932A7A" w:rsidRDefault="004305F5" w:rsidP="004305F5">
            <w:pPr>
              <w:pStyle w:val="Bezatstarpm"/>
              <w:jc w:val="both"/>
              <w:rPr>
                <w:rFonts w:ascii="Times New Roman" w:hAnsi="Times New Roman" w:cs="Times New Roman"/>
                <w:sz w:val="24"/>
                <w:szCs w:val="24"/>
              </w:rPr>
            </w:pPr>
            <w:r w:rsidRPr="004305F5">
              <w:rPr>
                <w:rFonts w:ascii="Times New Roman" w:hAnsi="Times New Roman" w:cs="Times New Roman"/>
                <w:sz w:val="24"/>
                <w:szCs w:val="24"/>
              </w:rPr>
              <w:t xml:space="preserve">Patlaban valsts pārvaldes pakalpojumu portālā </w:t>
            </w:r>
            <w:proofErr w:type="spellStart"/>
            <w:r w:rsidR="001E1D8F">
              <w:rPr>
                <w:rFonts w:ascii="Times New Roman" w:hAnsi="Times New Roman" w:cs="Times New Roman"/>
                <w:sz w:val="24"/>
                <w:szCs w:val="24"/>
              </w:rPr>
              <w:t>l</w:t>
            </w:r>
            <w:r w:rsidRPr="004305F5">
              <w:rPr>
                <w:rFonts w:ascii="Times New Roman" w:hAnsi="Times New Roman" w:cs="Times New Roman"/>
                <w:sz w:val="24"/>
                <w:szCs w:val="24"/>
              </w:rPr>
              <w:t>atvija.lv</w:t>
            </w:r>
            <w:proofErr w:type="spellEnd"/>
            <w:r>
              <w:rPr>
                <w:rFonts w:ascii="Times New Roman" w:hAnsi="Times New Roman" w:cs="Times New Roman"/>
                <w:sz w:val="24"/>
                <w:szCs w:val="24"/>
              </w:rPr>
              <w:t xml:space="preserve"> </w:t>
            </w:r>
            <w:r w:rsidRPr="004305F5">
              <w:rPr>
                <w:rFonts w:ascii="Times New Roman" w:hAnsi="Times New Roman" w:cs="Times New Roman"/>
                <w:sz w:val="24"/>
                <w:szCs w:val="24"/>
              </w:rPr>
              <w:t xml:space="preserve">nav iekļauti apraksti pakalpojumiem, kas saistīti ar </w:t>
            </w:r>
            <w:r>
              <w:rPr>
                <w:rFonts w:ascii="Times New Roman" w:hAnsi="Times New Roman" w:cs="Times New Roman"/>
                <w:sz w:val="24"/>
                <w:szCs w:val="24"/>
              </w:rPr>
              <w:t>iesnieguma iesniegšanu</w:t>
            </w:r>
            <w:r w:rsidR="00EB2D34">
              <w:rPr>
                <w:rFonts w:ascii="Times New Roman" w:hAnsi="Times New Roman" w:cs="Times New Roman"/>
                <w:sz w:val="24"/>
                <w:szCs w:val="24"/>
              </w:rPr>
              <w:t xml:space="preserve">, lai saņemtu </w:t>
            </w:r>
            <w:r w:rsidRPr="004305F5">
              <w:rPr>
                <w:rFonts w:ascii="Times New Roman" w:hAnsi="Times New Roman" w:cs="Times New Roman"/>
                <w:sz w:val="24"/>
                <w:szCs w:val="24"/>
              </w:rPr>
              <w:t>atbilstības apstiprinājum</w:t>
            </w:r>
            <w:r w:rsidR="00EB2D34">
              <w:rPr>
                <w:rFonts w:ascii="Times New Roman" w:hAnsi="Times New Roman" w:cs="Times New Roman"/>
                <w:sz w:val="24"/>
                <w:szCs w:val="24"/>
              </w:rPr>
              <w:t>u</w:t>
            </w:r>
            <w:r w:rsidRPr="004305F5">
              <w:rPr>
                <w:rFonts w:ascii="Times New Roman" w:hAnsi="Times New Roman" w:cs="Times New Roman"/>
                <w:sz w:val="24"/>
                <w:szCs w:val="24"/>
              </w:rPr>
              <w:t xml:space="preserve"> par to dedzināšanas iekārtu, kurā par kurināmo izmanto</w:t>
            </w:r>
            <w:r>
              <w:rPr>
                <w:rFonts w:ascii="Times New Roman" w:hAnsi="Times New Roman" w:cs="Times New Roman"/>
                <w:sz w:val="24"/>
                <w:szCs w:val="24"/>
              </w:rPr>
              <w:t xml:space="preserve"> </w:t>
            </w:r>
            <w:r w:rsidRPr="004305F5">
              <w:rPr>
                <w:rFonts w:ascii="Times New Roman" w:hAnsi="Times New Roman" w:cs="Times New Roman"/>
                <w:sz w:val="24"/>
                <w:szCs w:val="24"/>
              </w:rPr>
              <w:t>lauksaimniecības dzīvnieku kūtsmēslus</w:t>
            </w:r>
            <w:r>
              <w:rPr>
                <w:rFonts w:ascii="Times New Roman" w:hAnsi="Times New Roman" w:cs="Times New Roman"/>
                <w:sz w:val="24"/>
                <w:szCs w:val="24"/>
              </w:rPr>
              <w:t xml:space="preserve">, </w:t>
            </w:r>
            <w:r w:rsidRPr="004305F5">
              <w:rPr>
                <w:rFonts w:ascii="Times New Roman" w:hAnsi="Times New Roman" w:cs="Times New Roman"/>
                <w:sz w:val="24"/>
                <w:szCs w:val="24"/>
              </w:rPr>
              <w:t>putnu kūtsmēslus</w:t>
            </w:r>
            <w:r>
              <w:rPr>
                <w:rFonts w:ascii="Times New Roman" w:hAnsi="Times New Roman" w:cs="Times New Roman"/>
                <w:sz w:val="24"/>
                <w:szCs w:val="24"/>
              </w:rPr>
              <w:t xml:space="preserve"> vai </w:t>
            </w:r>
            <w:r w:rsidRPr="004305F5">
              <w:rPr>
                <w:rFonts w:ascii="Times New Roman" w:hAnsi="Times New Roman" w:cs="Times New Roman"/>
                <w:sz w:val="24"/>
                <w:szCs w:val="24"/>
              </w:rPr>
              <w:t xml:space="preserve"> gaļas-kaulu miltus. Pēc noteikumu spēkā stāšanās </w:t>
            </w:r>
            <w:r w:rsidR="00554529">
              <w:rPr>
                <w:rFonts w:ascii="Times New Roman" w:hAnsi="Times New Roman" w:cs="Times New Roman"/>
                <w:sz w:val="24"/>
                <w:szCs w:val="24"/>
              </w:rPr>
              <w:t>VVD</w:t>
            </w:r>
            <w:r w:rsidR="00CF62B7">
              <w:rPr>
                <w:rFonts w:ascii="Times New Roman" w:hAnsi="Times New Roman" w:cs="Times New Roman"/>
                <w:sz w:val="24"/>
                <w:szCs w:val="24"/>
              </w:rPr>
              <w:t xml:space="preserve"> </w:t>
            </w:r>
            <w:r w:rsidRPr="004305F5">
              <w:rPr>
                <w:rFonts w:ascii="Times New Roman" w:hAnsi="Times New Roman" w:cs="Times New Roman"/>
                <w:sz w:val="24"/>
                <w:szCs w:val="24"/>
              </w:rPr>
              <w:t>nodrošinā</w:t>
            </w:r>
            <w:r w:rsidR="00CF62B7">
              <w:rPr>
                <w:rFonts w:ascii="Times New Roman" w:hAnsi="Times New Roman" w:cs="Times New Roman"/>
                <w:sz w:val="24"/>
                <w:szCs w:val="24"/>
              </w:rPr>
              <w:t>s</w:t>
            </w:r>
            <w:r w:rsidRPr="004305F5">
              <w:rPr>
                <w:rFonts w:ascii="Times New Roman" w:hAnsi="Times New Roman" w:cs="Times New Roman"/>
                <w:sz w:val="24"/>
                <w:szCs w:val="24"/>
              </w:rPr>
              <w:t xml:space="preserve"> valsts pārvaldes pakalpojumu aprakstu ievietošan</w:t>
            </w:r>
            <w:r w:rsidR="00CF62B7">
              <w:rPr>
                <w:rFonts w:ascii="Times New Roman" w:hAnsi="Times New Roman" w:cs="Times New Roman"/>
                <w:sz w:val="24"/>
                <w:szCs w:val="24"/>
              </w:rPr>
              <w:t>u</w:t>
            </w:r>
            <w:r w:rsidRPr="004305F5">
              <w:rPr>
                <w:rFonts w:ascii="Times New Roman" w:hAnsi="Times New Roman" w:cs="Times New Roman"/>
                <w:sz w:val="24"/>
                <w:szCs w:val="24"/>
              </w:rPr>
              <w:t xml:space="preserve"> portālā.</w:t>
            </w:r>
          </w:p>
          <w:p w14:paraId="5FB9A515" w14:textId="56288E9E" w:rsidR="002C010B" w:rsidRPr="00302E42" w:rsidRDefault="00A138C3" w:rsidP="006D51C4">
            <w:pPr>
              <w:pStyle w:val="Bezatstarpm"/>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 </w:t>
            </w:r>
            <w:r w:rsidR="00EB2D34">
              <w:rPr>
                <w:rFonts w:ascii="Times New Roman" w:hAnsi="Times New Roman" w:cs="Times New Roman"/>
                <w:bCs/>
                <w:sz w:val="24"/>
                <w:szCs w:val="24"/>
              </w:rPr>
              <w:t>Pašlaik</w:t>
            </w:r>
            <w:r w:rsidR="00F86F28" w:rsidRPr="00F86F28">
              <w:rPr>
                <w:rFonts w:ascii="Times New Roman" w:hAnsi="Times New Roman" w:cs="Times New Roman"/>
                <w:bCs/>
                <w:sz w:val="24"/>
                <w:szCs w:val="24"/>
              </w:rPr>
              <w:t xml:space="preserve"> blakusproduktu apritē iesaistītās personas, pārvadājot Latvijas teritorijā transportējamus lolojumdzīvnieka līķ</w:t>
            </w:r>
            <w:r w:rsidR="00F86F28">
              <w:rPr>
                <w:rFonts w:ascii="Times New Roman" w:hAnsi="Times New Roman" w:cs="Times New Roman"/>
                <w:bCs/>
                <w:sz w:val="24"/>
                <w:szCs w:val="24"/>
              </w:rPr>
              <w:t>us</w:t>
            </w:r>
            <w:r w:rsidR="00F86F28" w:rsidRPr="00F86F28">
              <w:rPr>
                <w:rFonts w:ascii="Times New Roman" w:hAnsi="Times New Roman" w:cs="Times New Roman"/>
                <w:bCs/>
                <w:sz w:val="24"/>
                <w:szCs w:val="24"/>
              </w:rPr>
              <w:t xml:space="preserve"> vai t</w:t>
            </w:r>
            <w:r w:rsidR="00F86F28">
              <w:rPr>
                <w:rFonts w:ascii="Times New Roman" w:hAnsi="Times New Roman" w:cs="Times New Roman"/>
                <w:bCs/>
                <w:sz w:val="24"/>
                <w:szCs w:val="24"/>
              </w:rPr>
              <w:t>o</w:t>
            </w:r>
            <w:r w:rsidR="00F86F28" w:rsidRPr="00F86F28">
              <w:rPr>
                <w:rFonts w:ascii="Times New Roman" w:hAnsi="Times New Roman" w:cs="Times New Roman"/>
                <w:bCs/>
                <w:sz w:val="24"/>
                <w:szCs w:val="24"/>
              </w:rPr>
              <w:t xml:space="preserve"> peln</w:t>
            </w:r>
            <w:r w:rsidR="00F86F28">
              <w:rPr>
                <w:rFonts w:ascii="Times New Roman" w:hAnsi="Times New Roman" w:cs="Times New Roman"/>
                <w:bCs/>
                <w:sz w:val="24"/>
                <w:szCs w:val="24"/>
              </w:rPr>
              <w:t>us</w:t>
            </w:r>
            <w:r w:rsidR="00F86F28" w:rsidRPr="00F86F28">
              <w:rPr>
                <w:rFonts w:ascii="Times New Roman" w:hAnsi="Times New Roman" w:cs="Times New Roman"/>
                <w:bCs/>
                <w:sz w:val="24"/>
                <w:szCs w:val="24"/>
              </w:rPr>
              <w:t xml:space="preserve">, nodrošina pievienotu tirdzniecības dokumentu atbilstoši </w:t>
            </w:r>
            <w:r w:rsidR="00C22145" w:rsidRPr="00C22145">
              <w:rPr>
                <w:rFonts w:ascii="Times New Roman" w:hAnsi="Times New Roman" w:cs="Times New Roman"/>
                <w:bCs/>
                <w:sz w:val="24"/>
                <w:szCs w:val="24"/>
              </w:rPr>
              <w:t>Komisijas 2011. gada 25.</w:t>
            </w:r>
            <w:r w:rsidR="001E1D8F">
              <w:rPr>
                <w:rFonts w:ascii="Times New Roman" w:hAnsi="Times New Roman" w:cs="Times New Roman"/>
                <w:bCs/>
                <w:sz w:val="24"/>
                <w:szCs w:val="24"/>
              </w:rPr>
              <w:t> </w:t>
            </w:r>
            <w:r w:rsidR="00C22145" w:rsidRPr="00C22145">
              <w:rPr>
                <w:rFonts w:ascii="Times New Roman" w:hAnsi="Times New Roman" w:cs="Times New Roman"/>
                <w:bCs/>
                <w:sz w:val="24"/>
                <w:szCs w:val="24"/>
              </w:rPr>
              <w:t>februār</w:t>
            </w:r>
            <w:r w:rsidR="00C22145">
              <w:rPr>
                <w:rFonts w:ascii="Times New Roman" w:hAnsi="Times New Roman" w:cs="Times New Roman"/>
                <w:bCs/>
                <w:sz w:val="24"/>
                <w:szCs w:val="24"/>
              </w:rPr>
              <w:t>a</w:t>
            </w:r>
            <w:r w:rsidR="00C22145" w:rsidRPr="00C22145">
              <w:rPr>
                <w:rFonts w:ascii="Times New Roman" w:hAnsi="Times New Roman" w:cs="Times New Roman"/>
                <w:bCs/>
                <w:sz w:val="24"/>
                <w:szCs w:val="24"/>
              </w:rPr>
              <w:t xml:space="preserve"> Regula</w:t>
            </w:r>
            <w:r w:rsidR="00C22145">
              <w:rPr>
                <w:rFonts w:ascii="Times New Roman" w:hAnsi="Times New Roman" w:cs="Times New Roman"/>
                <w:bCs/>
                <w:sz w:val="24"/>
                <w:szCs w:val="24"/>
              </w:rPr>
              <w:t>s</w:t>
            </w:r>
            <w:r w:rsidR="00C22145" w:rsidRPr="00C22145">
              <w:rPr>
                <w:rFonts w:ascii="Times New Roman" w:hAnsi="Times New Roman" w:cs="Times New Roman"/>
                <w:bCs/>
                <w:sz w:val="24"/>
                <w:szCs w:val="24"/>
              </w:rPr>
              <w:t xml:space="preserve"> (ES) Nr. 142/2011,</w:t>
            </w:r>
            <w:r w:rsidR="00C22145">
              <w:rPr>
                <w:rFonts w:ascii="Times New Roman" w:hAnsi="Times New Roman" w:cs="Times New Roman"/>
                <w:bCs/>
                <w:sz w:val="24"/>
                <w:szCs w:val="24"/>
              </w:rPr>
              <w:t xml:space="preserve"> </w:t>
            </w:r>
            <w:r w:rsidR="00C22145" w:rsidRPr="00C22145">
              <w:rPr>
                <w:rFonts w:ascii="Times New Roman" w:hAnsi="Times New Roman" w:cs="Times New Roman"/>
                <w:bCs/>
                <w:sz w:val="24"/>
                <w:szCs w:val="24"/>
              </w:rPr>
              <w:t>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r w:rsidR="001E1D8F">
              <w:rPr>
                <w:rFonts w:ascii="Times New Roman" w:hAnsi="Times New Roman" w:cs="Times New Roman"/>
                <w:bCs/>
                <w:sz w:val="24"/>
                <w:szCs w:val="24"/>
              </w:rPr>
              <w:t>,</w:t>
            </w:r>
            <w:r w:rsidR="00C22145">
              <w:rPr>
                <w:rFonts w:ascii="Times New Roman" w:hAnsi="Times New Roman" w:cs="Times New Roman"/>
                <w:bCs/>
                <w:sz w:val="24"/>
                <w:szCs w:val="24"/>
              </w:rPr>
              <w:t xml:space="preserve"> (turpmāk </w:t>
            </w:r>
            <w:r w:rsidR="001E1D8F">
              <w:rPr>
                <w:rFonts w:ascii="Times New Roman" w:hAnsi="Times New Roman" w:cs="Times New Roman"/>
                <w:bCs/>
                <w:sz w:val="24"/>
                <w:szCs w:val="24"/>
              </w:rPr>
              <w:t>–</w:t>
            </w:r>
            <w:r w:rsidR="00C22145">
              <w:rPr>
                <w:rFonts w:ascii="Times New Roman" w:hAnsi="Times New Roman" w:cs="Times New Roman"/>
                <w:bCs/>
                <w:sz w:val="24"/>
                <w:szCs w:val="24"/>
              </w:rPr>
              <w:t xml:space="preserve"> </w:t>
            </w:r>
            <w:r w:rsidR="00F86F28" w:rsidRPr="00F86F28">
              <w:rPr>
                <w:rFonts w:ascii="Times New Roman" w:hAnsi="Times New Roman" w:cs="Times New Roman"/>
                <w:bCs/>
                <w:sz w:val="24"/>
                <w:szCs w:val="24"/>
              </w:rPr>
              <w:t xml:space="preserve">Regula </w:t>
            </w:r>
            <w:r w:rsidR="00EB2D34">
              <w:rPr>
                <w:rFonts w:ascii="Times New Roman" w:hAnsi="Times New Roman" w:cs="Times New Roman"/>
                <w:bCs/>
                <w:sz w:val="24"/>
                <w:szCs w:val="24"/>
              </w:rPr>
              <w:t xml:space="preserve">Nr. </w:t>
            </w:r>
            <w:r w:rsidR="00F86F28" w:rsidRPr="00F86F28">
              <w:rPr>
                <w:rFonts w:ascii="Times New Roman" w:hAnsi="Times New Roman" w:cs="Times New Roman"/>
                <w:bCs/>
                <w:sz w:val="24"/>
                <w:szCs w:val="24"/>
              </w:rPr>
              <w:t>142/2011</w:t>
            </w:r>
            <w:r w:rsidR="00C22145">
              <w:rPr>
                <w:rFonts w:ascii="Times New Roman" w:hAnsi="Times New Roman" w:cs="Times New Roman"/>
                <w:bCs/>
                <w:sz w:val="24"/>
                <w:szCs w:val="24"/>
              </w:rPr>
              <w:t>)</w:t>
            </w:r>
            <w:r w:rsidR="00F86F28" w:rsidRPr="00F86F28">
              <w:rPr>
                <w:rFonts w:ascii="Times New Roman" w:hAnsi="Times New Roman" w:cs="Times New Roman"/>
                <w:bCs/>
                <w:sz w:val="24"/>
                <w:szCs w:val="24"/>
              </w:rPr>
              <w:t xml:space="preserve"> 17.</w:t>
            </w:r>
            <w:r w:rsidR="00EB2D34">
              <w:rPr>
                <w:rFonts w:ascii="Times New Roman" w:hAnsi="Times New Roman" w:cs="Times New Roman"/>
                <w:bCs/>
                <w:sz w:val="24"/>
                <w:szCs w:val="24"/>
              </w:rPr>
              <w:t> </w:t>
            </w:r>
            <w:r w:rsidR="00F86F28" w:rsidRPr="00F86F28">
              <w:rPr>
                <w:rFonts w:ascii="Times New Roman" w:hAnsi="Times New Roman" w:cs="Times New Roman"/>
                <w:bCs/>
                <w:sz w:val="24"/>
                <w:szCs w:val="24"/>
              </w:rPr>
              <w:t xml:space="preserve">pantā </w:t>
            </w:r>
            <w:r w:rsidR="006D51C4" w:rsidRPr="00F86F28">
              <w:rPr>
                <w:rFonts w:ascii="Times New Roman" w:hAnsi="Times New Roman" w:cs="Times New Roman"/>
                <w:bCs/>
                <w:sz w:val="24"/>
                <w:szCs w:val="24"/>
              </w:rPr>
              <w:t xml:space="preserve">noteiktajām </w:t>
            </w:r>
            <w:r w:rsidR="006D51C4" w:rsidRPr="00302E42">
              <w:rPr>
                <w:rFonts w:ascii="Times New Roman" w:hAnsi="Times New Roman" w:cs="Times New Roman"/>
                <w:bCs/>
                <w:sz w:val="24"/>
                <w:szCs w:val="24"/>
              </w:rPr>
              <w:t>prasībām. Latvijas teritorijā pārvadājot lolojumdzīvnieka līķus vai to pelnus</w:t>
            </w:r>
            <w:r w:rsidR="001E1D8F" w:rsidRPr="00302E42">
              <w:rPr>
                <w:rFonts w:ascii="Times New Roman" w:hAnsi="Times New Roman" w:cs="Times New Roman"/>
                <w:bCs/>
                <w:sz w:val="24"/>
                <w:szCs w:val="24"/>
              </w:rPr>
              <w:t>,</w:t>
            </w:r>
            <w:r w:rsidR="006D51C4" w:rsidRPr="00302E42">
              <w:rPr>
                <w:rFonts w:ascii="Times New Roman" w:hAnsi="Times New Roman" w:cs="Times New Roman"/>
                <w:bCs/>
                <w:sz w:val="24"/>
                <w:szCs w:val="24"/>
              </w:rPr>
              <w:t xml:space="preserve"> tiek pievienots tirdzniecības dokuments tādu dzīvnieku izcelsmes blakusproduktu un atvasināto produktu pārvadāšanai Eiropas Savienībā, k</w:t>
            </w:r>
            <w:r w:rsidR="001E1D8F" w:rsidRPr="00302E42">
              <w:rPr>
                <w:rFonts w:ascii="Times New Roman" w:hAnsi="Times New Roman" w:cs="Times New Roman"/>
                <w:bCs/>
                <w:sz w:val="24"/>
                <w:szCs w:val="24"/>
              </w:rPr>
              <w:t>uri</w:t>
            </w:r>
            <w:r w:rsidR="006D51C4" w:rsidRPr="00302E42">
              <w:rPr>
                <w:rFonts w:ascii="Times New Roman" w:hAnsi="Times New Roman" w:cs="Times New Roman"/>
                <w:bCs/>
                <w:sz w:val="24"/>
                <w:szCs w:val="24"/>
              </w:rPr>
              <w:t xml:space="preserve"> nav paredzēti lietošanai pārtikā saskaņā ar Regulu (EK) Nr. 1069/2009</w:t>
            </w:r>
            <w:r w:rsidR="001E1D8F" w:rsidRPr="00302E42">
              <w:rPr>
                <w:rFonts w:ascii="Times New Roman" w:hAnsi="Times New Roman" w:cs="Times New Roman"/>
                <w:bCs/>
                <w:sz w:val="24"/>
                <w:szCs w:val="24"/>
              </w:rPr>
              <w:t>, un</w:t>
            </w:r>
            <w:r w:rsidR="006D51C4" w:rsidRPr="00302E42">
              <w:rPr>
                <w:rFonts w:ascii="Times New Roman" w:hAnsi="Times New Roman" w:cs="Times New Roman"/>
                <w:bCs/>
                <w:sz w:val="24"/>
                <w:szCs w:val="24"/>
              </w:rPr>
              <w:t xml:space="preserve"> </w:t>
            </w:r>
            <w:r w:rsidR="001E1D8F" w:rsidRPr="00302E42">
              <w:rPr>
                <w:rFonts w:ascii="Times New Roman" w:hAnsi="Times New Roman" w:cs="Times New Roman"/>
                <w:bCs/>
                <w:sz w:val="24"/>
                <w:szCs w:val="24"/>
              </w:rPr>
              <w:t>t</w:t>
            </w:r>
            <w:r w:rsidR="006D51C4" w:rsidRPr="00302E42">
              <w:rPr>
                <w:rFonts w:ascii="Times New Roman" w:hAnsi="Times New Roman" w:cs="Times New Roman"/>
                <w:bCs/>
                <w:sz w:val="24"/>
                <w:szCs w:val="24"/>
              </w:rPr>
              <w:t>as minēts Regulas Nr.</w:t>
            </w:r>
            <w:r w:rsidR="001E1D8F" w:rsidRPr="00302E42">
              <w:rPr>
                <w:rFonts w:ascii="Times New Roman" w:hAnsi="Times New Roman" w:cs="Times New Roman"/>
                <w:bCs/>
                <w:sz w:val="24"/>
                <w:szCs w:val="24"/>
              </w:rPr>
              <w:t> </w:t>
            </w:r>
            <w:r w:rsidR="006D51C4" w:rsidRPr="00302E42">
              <w:rPr>
                <w:rFonts w:ascii="Times New Roman" w:hAnsi="Times New Roman" w:cs="Times New Roman"/>
                <w:bCs/>
                <w:sz w:val="24"/>
                <w:szCs w:val="24"/>
              </w:rPr>
              <w:t>142/2011 VIII pielikuma III nodaļā</w:t>
            </w:r>
            <w:r w:rsidR="00F86F28" w:rsidRPr="00302E42">
              <w:rPr>
                <w:rFonts w:ascii="Times New Roman" w:hAnsi="Times New Roman" w:cs="Times New Roman"/>
                <w:bCs/>
                <w:sz w:val="24"/>
                <w:szCs w:val="24"/>
              </w:rPr>
              <w:t>.</w:t>
            </w:r>
            <w:r w:rsidR="00D752D7" w:rsidRPr="00302E42">
              <w:rPr>
                <w:rFonts w:ascii="Times New Roman" w:hAnsi="Times New Roman" w:cs="Times New Roman"/>
                <w:bCs/>
                <w:sz w:val="24"/>
                <w:szCs w:val="24"/>
              </w:rPr>
              <w:t xml:space="preserve"> Regulā</w:t>
            </w:r>
            <w:r w:rsidR="00D752D7" w:rsidRPr="00D752D7">
              <w:rPr>
                <w:rFonts w:ascii="Times New Roman" w:hAnsi="Times New Roman" w:cs="Times New Roman"/>
                <w:bCs/>
                <w:sz w:val="24"/>
                <w:szCs w:val="24"/>
              </w:rPr>
              <w:t xml:space="preserve"> </w:t>
            </w:r>
            <w:r w:rsidR="00EB2D34">
              <w:rPr>
                <w:rFonts w:ascii="Times New Roman" w:hAnsi="Times New Roman" w:cs="Times New Roman"/>
                <w:bCs/>
                <w:sz w:val="24"/>
                <w:szCs w:val="24"/>
              </w:rPr>
              <w:t xml:space="preserve">Nr. </w:t>
            </w:r>
            <w:r w:rsidR="00D752D7" w:rsidRPr="00D752D7">
              <w:rPr>
                <w:rFonts w:ascii="Times New Roman" w:hAnsi="Times New Roman" w:cs="Times New Roman"/>
                <w:bCs/>
                <w:sz w:val="24"/>
                <w:szCs w:val="24"/>
              </w:rPr>
              <w:t xml:space="preserve">142/2011 </w:t>
            </w:r>
            <w:r w:rsidR="00D752D7">
              <w:rPr>
                <w:rFonts w:ascii="Times New Roman" w:hAnsi="Times New Roman" w:cs="Times New Roman"/>
                <w:bCs/>
                <w:sz w:val="24"/>
                <w:szCs w:val="24"/>
              </w:rPr>
              <w:t xml:space="preserve">minētais tirdzniecības dokuments ar tajā norādīto informāciju veido </w:t>
            </w:r>
            <w:r w:rsidR="00856299">
              <w:rPr>
                <w:rFonts w:ascii="Times New Roman" w:hAnsi="Times New Roman" w:cs="Times New Roman"/>
                <w:bCs/>
                <w:sz w:val="24"/>
                <w:szCs w:val="24"/>
              </w:rPr>
              <w:t>četras</w:t>
            </w:r>
            <w:r w:rsidR="00D752D7">
              <w:rPr>
                <w:rFonts w:ascii="Times New Roman" w:hAnsi="Times New Roman" w:cs="Times New Roman"/>
                <w:bCs/>
                <w:sz w:val="24"/>
                <w:szCs w:val="24"/>
              </w:rPr>
              <w:t xml:space="preserve"> papīra lappuses. </w:t>
            </w:r>
            <w:r w:rsidR="00F86F28">
              <w:rPr>
                <w:rFonts w:ascii="Times New Roman" w:hAnsi="Times New Roman" w:cs="Times New Roman"/>
                <w:bCs/>
                <w:sz w:val="24"/>
                <w:szCs w:val="24"/>
              </w:rPr>
              <w:t xml:space="preserve">Regula Nr. 142/2011 </w:t>
            </w:r>
            <w:r w:rsidR="00F86F28" w:rsidRPr="00F86F28">
              <w:rPr>
                <w:rFonts w:ascii="Times New Roman" w:hAnsi="Times New Roman" w:cs="Times New Roman"/>
                <w:bCs/>
                <w:sz w:val="24"/>
                <w:szCs w:val="24"/>
              </w:rPr>
              <w:t>atļau</w:t>
            </w:r>
            <w:r w:rsidR="00F86F28">
              <w:rPr>
                <w:rFonts w:ascii="Times New Roman" w:hAnsi="Times New Roman" w:cs="Times New Roman"/>
                <w:bCs/>
                <w:sz w:val="24"/>
                <w:szCs w:val="24"/>
              </w:rPr>
              <w:t>j dalībvalstij atkāpi no regulā noteiktajām prasībām</w:t>
            </w:r>
            <w:r w:rsidR="00D752D7">
              <w:rPr>
                <w:rFonts w:ascii="Times New Roman" w:hAnsi="Times New Roman" w:cs="Times New Roman"/>
                <w:bCs/>
                <w:sz w:val="24"/>
                <w:szCs w:val="24"/>
              </w:rPr>
              <w:t xml:space="preserve"> – izmantot </w:t>
            </w:r>
            <w:r w:rsidR="00D752D7" w:rsidRPr="00F86F28">
              <w:rPr>
                <w:rFonts w:ascii="Times New Roman" w:hAnsi="Times New Roman" w:cs="Times New Roman"/>
                <w:bCs/>
                <w:sz w:val="24"/>
                <w:szCs w:val="24"/>
              </w:rPr>
              <w:t>atšķirīgu tirdzniecības dokumentu papīra vai elektroniskā formātā</w:t>
            </w:r>
            <w:r w:rsidR="00F86F28">
              <w:rPr>
                <w:rFonts w:ascii="Times New Roman" w:hAnsi="Times New Roman" w:cs="Times New Roman"/>
                <w:bCs/>
                <w:sz w:val="24"/>
                <w:szCs w:val="24"/>
              </w:rPr>
              <w:t xml:space="preserve">, ja </w:t>
            </w:r>
            <w:r w:rsidR="00F86F28" w:rsidRPr="00F86F28">
              <w:rPr>
                <w:rFonts w:ascii="Times New Roman" w:hAnsi="Times New Roman" w:cs="Times New Roman"/>
                <w:bCs/>
                <w:sz w:val="24"/>
                <w:szCs w:val="24"/>
              </w:rPr>
              <w:t>dzīvnieku izcelsmes blakusprodukti un atvasinātie produkti</w:t>
            </w:r>
            <w:r w:rsidR="00D752D7">
              <w:rPr>
                <w:rFonts w:ascii="Times New Roman" w:hAnsi="Times New Roman" w:cs="Times New Roman"/>
                <w:bCs/>
                <w:sz w:val="24"/>
                <w:szCs w:val="24"/>
              </w:rPr>
              <w:t xml:space="preserve"> tiek</w:t>
            </w:r>
            <w:r w:rsidR="00F86F28" w:rsidRPr="00F86F28">
              <w:rPr>
                <w:rFonts w:ascii="Times New Roman" w:hAnsi="Times New Roman" w:cs="Times New Roman"/>
                <w:bCs/>
                <w:sz w:val="24"/>
                <w:szCs w:val="24"/>
              </w:rPr>
              <w:t xml:space="preserve"> pārvadā</w:t>
            </w:r>
            <w:r w:rsidR="00D752D7">
              <w:rPr>
                <w:rFonts w:ascii="Times New Roman" w:hAnsi="Times New Roman" w:cs="Times New Roman"/>
                <w:bCs/>
                <w:sz w:val="24"/>
                <w:szCs w:val="24"/>
              </w:rPr>
              <w:t>ti</w:t>
            </w:r>
            <w:r w:rsidR="00F86F28" w:rsidRPr="00F86F28">
              <w:rPr>
                <w:rFonts w:ascii="Times New Roman" w:hAnsi="Times New Roman" w:cs="Times New Roman"/>
                <w:bCs/>
                <w:sz w:val="24"/>
                <w:szCs w:val="24"/>
              </w:rPr>
              <w:t xml:space="preserve"> tās teritorijā</w:t>
            </w:r>
            <w:r w:rsidR="00D752D7">
              <w:rPr>
                <w:rFonts w:ascii="Times New Roman" w:hAnsi="Times New Roman" w:cs="Times New Roman"/>
                <w:bCs/>
                <w:sz w:val="24"/>
                <w:szCs w:val="24"/>
              </w:rPr>
              <w:t xml:space="preserve"> </w:t>
            </w:r>
            <w:r w:rsidR="00D752D7" w:rsidRPr="00302E42">
              <w:rPr>
                <w:rFonts w:ascii="Times New Roman" w:hAnsi="Times New Roman" w:cs="Times New Roman"/>
                <w:bCs/>
                <w:sz w:val="24"/>
                <w:szCs w:val="24"/>
              </w:rPr>
              <w:t>un dokum</w:t>
            </w:r>
            <w:r w:rsidR="00F86F28" w:rsidRPr="00302E42">
              <w:rPr>
                <w:rFonts w:ascii="Times New Roman" w:hAnsi="Times New Roman" w:cs="Times New Roman"/>
                <w:bCs/>
                <w:sz w:val="24"/>
                <w:szCs w:val="24"/>
              </w:rPr>
              <w:t xml:space="preserve">entā ir </w:t>
            </w:r>
            <w:r w:rsidR="00712E0B" w:rsidRPr="00302E42">
              <w:rPr>
                <w:rFonts w:ascii="Times New Roman" w:hAnsi="Times New Roman" w:cs="Times New Roman"/>
                <w:bCs/>
                <w:sz w:val="24"/>
                <w:szCs w:val="24"/>
              </w:rPr>
              <w:t xml:space="preserve">vismaz </w:t>
            </w:r>
            <w:r w:rsidR="002D2CE6" w:rsidRPr="00302E42">
              <w:rPr>
                <w:rFonts w:ascii="Times New Roman" w:hAnsi="Times New Roman" w:cs="Times New Roman"/>
                <w:bCs/>
                <w:sz w:val="24"/>
                <w:szCs w:val="24"/>
              </w:rPr>
              <w:t xml:space="preserve">tāda </w:t>
            </w:r>
            <w:r w:rsidR="00712E0B" w:rsidRPr="00302E42">
              <w:rPr>
                <w:rFonts w:ascii="Times New Roman" w:hAnsi="Times New Roman" w:cs="Times New Roman"/>
                <w:bCs/>
                <w:sz w:val="24"/>
                <w:szCs w:val="24"/>
              </w:rPr>
              <w:t>informācija, kas minēta Regulas Nr. 142/2011 VIII pielikuma III</w:t>
            </w:r>
            <w:r w:rsidR="009A60FC" w:rsidRPr="00302E42">
              <w:rPr>
                <w:rFonts w:ascii="Times New Roman" w:hAnsi="Times New Roman" w:cs="Times New Roman"/>
                <w:bCs/>
                <w:sz w:val="24"/>
                <w:szCs w:val="24"/>
              </w:rPr>
              <w:t> </w:t>
            </w:r>
            <w:r w:rsidR="00712E0B" w:rsidRPr="00302E42">
              <w:rPr>
                <w:rFonts w:ascii="Times New Roman" w:hAnsi="Times New Roman" w:cs="Times New Roman"/>
                <w:bCs/>
                <w:sz w:val="24"/>
                <w:szCs w:val="24"/>
              </w:rPr>
              <w:t>nodaļas 6. punkta “f” apakšpunktā</w:t>
            </w:r>
            <w:r w:rsidR="00F8079C" w:rsidRPr="00302E42">
              <w:rPr>
                <w:rFonts w:ascii="Times New Roman" w:hAnsi="Times New Roman" w:cs="Times New Roman"/>
                <w:bCs/>
                <w:sz w:val="24"/>
                <w:szCs w:val="24"/>
              </w:rPr>
              <w:t>:</w:t>
            </w:r>
            <w:r w:rsidR="002C010B" w:rsidRPr="00302E42">
              <w:rPr>
                <w:rFonts w:ascii="Times New Roman" w:hAnsi="Times New Roman" w:cs="Times New Roman"/>
                <w:bCs/>
                <w:sz w:val="24"/>
                <w:szCs w:val="24"/>
              </w:rPr>
              <w:t xml:space="preserve"> </w:t>
            </w:r>
          </w:p>
          <w:p w14:paraId="5D09BC7B" w14:textId="26AA7B4F" w:rsidR="00446C13" w:rsidRPr="00302E42" w:rsidRDefault="00446C13" w:rsidP="00446C13">
            <w:pPr>
              <w:pStyle w:val="Bezatstarpm"/>
              <w:jc w:val="both"/>
              <w:rPr>
                <w:rFonts w:ascii="Times New Roman" w:hAnsi="Times New Roman" w:cs="Times New Roman"/>
                <w:bCs/>
                <w:sz w:val="24"/>
                <w:szCs w:val="24"/>
              </w:rPr>
            </w:pPr>
            <w:r w:rsidRPr="00302E42">
              <w:rPr>
                <w:rFonts w:ascii="Times New Roman" w:hAnsi="Times New Roman" w:cs="Times New Roman"/>
                <w:bCs/>
                <w:sz w:val="24"/>
                <w:szCs w:val="24"/>
              </w:rPr>
              <w:t xml:space="preserve"> </w:t>
            </w:r>
            <w:r w:rsidR="00736C2F" w:rsidRPr="00302E42">
              <w:rPr>
                <w:rFonts w:ascii="Times New Roman" w:hAnsi="Times New Roman" w:cs="Times New Roman"/>
                <w:bCs/>
                <w:sz w:val="24"/>
                <w:szCs w:val="24"/>
              </w:rPr>
              <w:t>1</w:t>
            </w:r>
            <w:r w:rsidRPr="00302E42">
              <w:rPr>
                <w:rFonts w:ascii="Times New Roman" w:hAnsi="Times New Roman" w:cs="Times New Roman"/>
                <w:bCs/>
                <w:sz w:val="24"/>
                <w:szCs w:val="24"/>
              </w:rPr>
              <w:t>) datums, kad materiāls paņemts no telpām;</w:t>
            </w:r>
          </w:p>
          <w:p w14:paraId="5990B471" w14:textId="4683F835" w:rsidR="00446C13" w:rsidRPr="00302E42" w:rsidRDefault="00736C2F" w:rsidP="00446C13">
            <w:pPr>
              <w:pStyle w:val="Bezatstarpm"/>
              <w:jc w:val="both"/>
              <w:rPr>
                <w:rFonts w:ascii="Times New Roman" w:hAnsi="Times New Roman" w:cs="Times New Roman"/>
                <w:bCs/>
                <w:sz w:val="24"/>
                <w:szCs w:val="24"/>
              </w:rPr>
            </w:pPr>
            <w:r w:rsidRPr="00302E42">
              <w:rPr>
                <w:rFonts w:ascii="Times New Roman" w:hAnsi="Times New Roman" w:cs="Times New Roman"/>
                <w:bCs/>
                <w:sz w:val="24"/>
                <w:szCs w:val="24"/>
              </w:rPr>
              <w:t>2</w:t>
            </w:r>
            <w:r w:rsidR="00446C13" w:rsidRPr="00302E42">
              <w:rPr>
                <w:rFonts w:ascii="Times New Roman" w:hAnsi="Times New Roman" w:cs="Times New Roman"/>
                <w:bCs/>
                <w:sz w:val="24"/>
                <w:szCs w:val="24"/>
              </w:rPr>
              <w:t>) materiāla apraksts, tostarp</w:t>
            </w:r>
          </w:p>
          <w:p w14:paraId="1F673343" w14:textId="77777777" w:rsidR="00446C13" w:rsidRPr="00302E42" w:rsidRDefault="00446C13" w:rsidP="00446C13">
            <w:pPr>
              <w:pStyle w:val="Bezatstarpm"/>
              <w:jc w:val="both"/>
              <w:rPr>
                <w:rFonts w:ascii="Times New Roman" w:hAnsi="Times New Roman" w:cs="Times New Roman"/>
                <w:bCs/>
                <w:sz w:val="24"/>
                <w:szCs w:val="24"/>
              </w:rPr>
            </w:pPr>
            <w:r w:rsidRPr="00302E42">
              <w:rPr>
                <w:rFonts w:ascii="Times New Roman" w:hAnsi="Times New Roman" w:cs="Times New Roman"/>
                <w:bCs/>
                <w:sz w:val="24"/>
                <w:szCs w:val="24"/>
              </w:rPr>
              <w:t>— materiāla identifikācija atbilstīgi kādai no kategorijām, kas minētas Regulas (EK) Nr. 1069/2009 8., 9. un 10. pantā,</w:t>
            </w:r>
          </w:p>
          <w:p w14:paraId="55264D82" w14:textId="6CF434D6" w:rsidR="00446C13" w:rsidRPr="00302E42" w:rsidRDefault="00446C13" w:rsidP="00446C13">
            <w:pPr>
              <w:pStyle w:val="Bezatstarpm"/>
              <w:jc w:val="both"/>
              <w:rPr>
                <w:rFonts w:ascii="Times New Roman" w:hAnsi="Times New Roman" w:cs="Times New Roman"/>
                <w:bCs/>
                <w:sz w:val="24"/>
                <w:szCs w:val="24"/>
              </w:rPr>
            </w:pPr>
            <w:r w:rsidRPr="00302E42">
              <w:rPr>
                <w:rFonts w:ascii="Times New Roman" w:hAnsi="Times New Roman" w:cs="Times New Roman"/>
                <w:bCs/>
                <w:sz w:val="24"/>
                <w:szCs w:val="24"/>
              </w:rPr>
              <w:t>— dzīvnieku suga un īpaša atsauce uz piemērojamo Regulas (EK) Nr.</w:t>
            </w:r>
            <w:r w:rsidR="001E1D8F" w:rsidRPr="00302E42">
              <w:rPr>
                <w:rFonts w:ascii="Times New Roman" w:hAnsi="Times New Roman" w:cs="Times New Roman"/>
                <w:bCs/>
                <w:sz w:val="24"/>
                <w:szCs w:val="24"/>
              </w:rPr>
              <w:t> </w:t>
            </w:r>
            <w:r w:rsidRPr="00302E42">
              <w:rPr>
                <w:rFonts w:ascii="Times New Roman" w:hAnsi="Times New Roman" w:cs="Times New Roman"/>
                <w:bCs/>
                <w:sz w:val="24"/>
                <w:szCs w:val="24"/>
              </w:rPr>
              <w:t>1069/2009 10. panta punktu attiecībā uz trešās kategorijas materiāliem un no tiem iegūtajiem produktiem, ko paredzēts izmantot barošanai, un</w:t>
            </w:r>
          </w:p>
          <w:p w14:paraId="39784899" w14:textId="77777777" w:rsidR="00446C13" w:rsidRPr="00302E42" w:rsidRDefault="00446C13" w:rsidP="00446C13">
            <w:pPr>
              <w:pStyle w:val="Bezatstarpm"/>
              <w:jc w:val="both"/>
              <w:rPr>
                <w:rFonts w:ascii="Times New Roman" w:hAnsi="Times New Roman" w:cs="Times New Roman"/>
                <w:bCs/>
                <w:sz w:val="24"/>
                <w:szCs w:val="24"/>
              </w:rPr>
            </w:pPr>
            <w:r w:rsidRPr="00302E42">
              <w:rPr>
                <w:rFonts w:ascii="Times New Roman" w:hAnsi="Times New Roman" w:cs="Times New Roman"/>
                <w:bCs/>
                <w:sz w:val="24"/>
                <w:szCs w:val="24"/>
              </w:rPr>
              <w:t>— attiecīgā gadījumā dzīvnieka krotālijas numurs;</w:t>
            </w:r>
          </w:p>
          <w:p w14:paraId="5685DD4A" w14:textId="2E7E0E02" w:rsidR="00446C13" w:rsidRPr="00302E42" w:rsidRDefault="00736C2F" w:rsidP="00446C13">
            <w:pPr>
              <w:pStyle w:val="Bezatstarpm"/>
              <w:jc w:val="both"/>
              <w:rPr>
                <w:rFonts w:ascii="Times New Roman" w:hAnsi="Times New Roman" w:cs="Times New Roman"/>
                <w:bCs/>
                <w:sz w:val="24"/>
                <w:szCs w:val="24"/>
              </w:rPr>
            </w:pPr>
            <w:r w:rsidRPr="00302E42">
              <w:rPr>
                <w:rFonts w:ascii="Times New Roman" w:hAnsi="Times New Roman" w:cs="Times New Roman"/>
                <w:bCs/>
                <w:sz w:val="24"/>
                <w:szCs w:val="24"/>
              </w:rPr>
              <w:t>3</w:t>
            </w:r>
            <w:r w:rsidR="00446C13" w:rsidRPr="00302E42">
              <w:rPr>
                <w:rFonts w:ascii="Times New Roman" w:hAnsi="Times New Roman" w:cs="Times New Roman"/>
                <w:bCs/>
                <w:sz w:val="24"/>
                <w:szCs w:val="24"/>
              </w:rPr>
              <w:t xml:space="preserve">) materiāla daudzums pēc tilpuma, svara vai iepakojumu skaita; </w:t>
            </w:r>
          </w:p>
          <w:p w14:paraId="3BA3B3EA" w14:textId="301D8DA6" w:rsidR="00446C13" w:rsidRPr="00302E42" w:rsidRDefault="00736C2F" w:rsidP="00446C13">
            <w:pPr>
              <w:pStyle w:val="Bezatstarpm"/>
              <w:jc w:val="both"/>
              <w:rPr>
                <w:rFonts w:ascii="Times New Roman" w:hAnsi="Times New Roman" w:cs="Times New Roman"/>
                <w:bCs/>
                <w:sz w:val="24"/>
                <w:szCs w:val="24"/>
              </w:rPr>
            </w:pPr>
            <w:r w:rsidRPr="00302E42">
              <w:rPr>
                <w:rFonts w:ascii="Times New Roman" w:hAnsi="Times New Roman" w:cs="Times New Roman"/>
                <w:bCs/>
                <w:sz w:val="24"/>
                <w:szCs w:val="24"/>
              </w:rPr>
              <w:t>4</w:t>
            </w:r>
            <w:r w:rsidR="00446C13" w:rsidRPr="00302E42">
              <w:rPr>
                <w:rFonts w:ascii="Times New Roman" w:hAnsi="Times New Roman" w:cs="Times New Roman"/>
                <w:bCs/>
                <w:sz w:val="24"/>
                <w:szCs w:val="24"/>
              </w:rPr>
              <w:t>) materiāla izcelsmes uzņēmuma vai iekārtas nosaukums un adrese un tā apstiprinājuma vai reģistrācijas numurs, kas piešķirts saskaņā ar Regulu (EK) Nr. 1069/2009 vai attiecīgi saskaņā ar Eiropas Parlamenta un Padomes Regulām (EK) Nr. 852/2004, (EK) Nr. 853/2004 vai (EK) Nr. 183/2005, un attiecīgā gadījumā apstrādes veids un metode;</w:t>
            </w:r>
          </w:p>
          <w:p w14:paraId="078C7E14" w14:textId="5A70BDFA" w:rsidR="00446C13" w:rsidRPr="00302E42" w:rsidRDefault="00736C2F" w:rsidP="00446C13">
            <w:pPr>
              <w:pStyle w:val="Bezatstarpm"/>
              <w:jc w:val="both"/>
              <w:rPr>
                <w:rFonts w:ascii="Times New Roman" w:hAnsi="Times New Roman" w:cs="Times New Roman"/>
                <w:bCs/>
                <w:sz w:val="24"/>
                <w:szCs w:val="24"/>
              </w:rPr>
            </w:pPr>
            <w:r w:rsidRPr="00302E42">
              <w:rPr>
                <w:rFonts w:ascii="Times New Roman" w:hAnsi="Times New Roman" w:cs="Times New Roman"/>
                <w:bCs/>
                <w:sz w:val="24"/>
                <w:szCs w:val="24"/>
              </w:rPr>
              <w:t>5</w:t>
            </w:r>
            <w:r w:rsidR="00446C13" w:rsidRPr="00302E42">
              <w:rPr>
                <w:rFonts w:ascii="Times New Roman" w:hAnsi="Times New Roman" w:cs="Times New Roman"/>
                <w:bCs/>
                <w:sz w:val="24"/>
                <w:szCs w:val="24"/>
              </w:rPr>
              <w:t>) materiāla pārvadātāja nosaukums, adrese un reģistrācijas numurs;</w:t>
            </w:r>
          </w:p>
          <w:p w14:paraId="33CD7DC4" w14:textId="3817FA83" w:rsidR="00446C13" w:rsidRPr="00302E42" w:rsidRDefault="00736C2F" w:rsidP="00446C13">
            <w:pPr>
              <w:pStyle w:val="Bezatstarpm"/>
              <w:jc w:val="both"/>
              <w:rPr>
                <w:rFonts w:ascii="Times New Roman" w:hAnsi="Times New Roman" w:cs="Times New Roman"/>
                <w:bCs/>
                <w:sz w:val="24"/>
                <w:szCs w:val="24"/>
              </w:rPr>
            </w:pPr>
            <w:r w:rsidRPr="00302E42">
              <w:rPr>
                <w:rFonts w:ascii="Times New Roman" w:hAnsi="Times New Roman" w:cs="Times New Roman"/>
                <w:bCs/>
                <w:sz w:val="24"/>
                <w:szCs w:val="24"/>
              </w:rPr>
              <w:t>6</w:t>
            </w:r>
            <w:r w:rsidR="00446C13" w:rsidRPr="00302E42">
              <w:rPr>
                <w:rFonts w:ascii="Times New Roman" w:hAnsi="Times New Roman" w:cs="Times New Roman"/>
                <w:bCs/>
                <w:sz w:val="24"/>
                <w:szCs w:val="24"/>
              </w:rPr>
              <w:t>) galamērķa uzņēmuma vai iekārtas nosaukums un adrese un tā reģistrācijas vai apstiprinājuma numurs, kas piešķirts saskaņā ar Regulu (EK) Nr. 1069/2009 vai attiecīgi saskaņā ar Regulām (EK) Nr. 852/2004 vai (EK) Nr. 183/2005;</w:t>
            </w:r>
          </w:p>
          <w:p w14:paraId="6D5E8588" w14:textId="3422D854" w:rsidR="00446C13" w:rsidRPr="00302E42" w:rsidRDefault="00736C2F" w:rsidP="00446C13">
            <w:pPr>
              <w:pStyle w:val="Bezatstarpm"/>
              <w:jc w:val="both"/>
              <w:rPr>
                <w:rFonts w:ascii="Times New Roman" w:hAnsi="Times New Roman" w:cs="Times New Roman"/>
                <w:bCs/>
                <w:sz w:val="24"/>
                <w:szCs w:val="24"/>
              </w:rPr>
            </w:pPr>
            <w:r w:rsidRPr="00302E42">
              <w:rPr>
                <w:rFonts w:ascii="Times New Roman" w:hAnsi="Times New Roman" w:cs="Times New Roman"/>
                <w:bCs/>
                <w:sz w:val="24"/>
                <w:szCs w:val="24"/>
              </w:rPr>
              <w:t>7</w:t>
            </w:r>
            <w:r w:rsidR="00446C13" w:rsidRPr="00302E42">
              <w:rPr>
                <w:rFonts w:ascii="Times New Roman" w:hAnsi="Times New Roman" w:cs="Times New Roman"/>
                <w:bCs/>
                <w:sz w:val="24"/>
                <w:szCs w:val="24"/>
              </w:rPr>
              <w:t>)</w:t>
            </w:r>
            <w:r w:rsidRPr="00302E42">
              <w:rPr>
                <w:rFonts w:ascii="Times New Roman" w:hAnsi="Times New Roman" w:cs="Times New Roman"/>
                <w:bCs/>
                <w:sz w:val="24"/>
                <w:szCs w:val="24"/>
              </w:rPr>
              <w:t xml:space="preserve"> </w:t>
            </w:r>
            <w:r w:rsidR="00446C13" w:rsidRPr="00302E42">
              <w:rPr>
                <w:rFonts w:ascii="Times New Roman" w:hAnsi="Times New Roman" w:cs="Times New Roman"/>
                <w:bCs/>
                <w:sz w:val="24"/>
                <w:szCs w:val="24"/>
              </w:rPr>
              <w:t xml:space="preserve">ja pārvadāšanai izmanto konteinerus, pilns konteinera identifikācijas numurs (“BIC kods”), kas izdots saskaņā ar </w:t>
            </w:r>
            <w:proofErr w:type="spellStart"/>
            <w:r w:rsidR="00446C13" w:rsidRPr="00302E42">
              <w:rPr>
                <w:rFonts w:ascii="Times New Roman" w:hAnsi="Times New Roman" w:cs="Times New Roman"/>
                <w:bCs/>
                <w:i/>
                <w:sz w:val="24"/>
                <w:szCs w:val="24"/>
              </w:rPr>
              <w:t>Bureau</w:t>
            </w:r>
            <w:proofErr w:type="spellEnd"/>
            <w:r w:rsidR="00446C13" w:rsidRPr="00302E42">
              <w:rPr>
                <w:rFonts w:ascii="Times New Roman" w:hAnsi="Times New Roman" w:cs="Times New Roman"/>
                <w:bCs/>
                <w:i/>
                <w:sz w:val="24"/>
                <w:szCs w:val="24"/>
              </w:rPr>
              <w:t xml:space="preserve"> </w:t>
            </w:r>
            <w:proofErr w:type="spellStart"/>
            <w:r w:rsidR="00446C13" w:rsidRPr="00302E42">
              <w:rPr>
                <w:rFonts w:ascii="Times New Roman" w:hAnsi="Times New Roman" w:cs="Times New Roman"/>
                <w:bCs/>
                <w:i/>
                <w:sz w:val="24"/>
                <w:szCs w:val="24"/>
              </w:rPr>
              <w:t>International</w:t>
            </w:r>
            <w:proofErr w:type="spellEnd"/>
            <w:r w:rsidR="00446C13" w:rsidRPr="00302E42">
              <w:rPr>
                <w:rFonts w:ascii="Times New Roman" w:hAnsi="Times New Roman" w:cs="Times New Roman"/>
                <w:bCs/>
                <w:i/>
                <w:sz w:val="24"/>
                <w:szCs w:val="24"/>
              </w:rPr>
              <w:t xml:space="preserve"> </w:t>
            </w:r>
            <w:proofErr w:type="spellStart"/>
            <w:r w:rsidR="00446C13" w:rsidRPr="00302E42">
              <w:rPr>
                <w:rFonts w:ascii="Times New Roman" w:hAnsi="Times New Roman" w:cs="Times New Roman"/>
                <w:bCs/>
                <w:i/>
                <w:sz w:val="24"/>
                <w:szCs w:val="24"/>
              </w:rPr>
              <w:t>des</w:t>
            </w:r>
            <w:proofErr w:type="spellEnd"/>
            <w:r w:rsidR="00446C13" w:rsidRPr="00302E42">
              <w:rPr>
                <w:rFonts w:ascii="Times New Roman" w:hAnsi="Times New Roman" w:cs="Times New Roman"/>
                <w:bCs/>
                <w:i/>
                <w:sz w:val="24"/>
                <w:szCs w:val="24"/>
              </w:rPr>
              <w:t xml:space="preserve"> </w:t>
            </w:r>
            <w:proofErr w:type="spellStart"/>
            <w:r w:rsidR="00446C13" w:rsidRPr="00302E42">
              <w:rPr>
                <w:rFonts w:ascii="Times New Roman" w:hAnsi="Times New Roman" w:cs="Times New Roman"/>
                <w:bCs/>
                <w:i/>
                <w:sz w:val="24"/>
                <w:szCs w:val="24"/>
              </w:rPr>
              <w:t>Containers</w:t>
            </w:r>
            <w:proofErr w:type="spellEnd"/>
            <w:r w:rsidR="00446C13" w:rsidRPr="00302E42">
              <w:rPr>
                <w:rFonts w:ascii="Times New Roman" w:hAnsi="Times New Roman" w:cs="Times New Roman"/>
                <w:bCs/>
                <w:i/>
                <w:sz w:val="24"/>
                <w:szCs w:val="24"/>
              </w:rPr>
              <w:t xml:space="preserve"> </w:t>
            </w:r>
            <w:proofErr w:type="spellStart"/>
            <w:r w:rsidR="00446C13" w:rsidRPr="00302E42">
              <w:rPr>
                <w:rFonts w:ascii="Times New Roman" w:hAnsi="Times New Roman" w:cs="Times New Roman"/>
                <w:bCs/>
                <w:i/>
                <w:sz w:val="24"/>
                <w:szCs w:val="24"/>
              </w:rPr>
              <w:t>et</w:t>
            </w:r>
            <w:proofErr w:type="spellEnd"/>
            <w:r w:rsidR="00446C13" w:rsidRPr="00302E42">
              <w:rPr>
                <w:rFonts w:ascii="Times New Roman" w:hAnsi="Times New Roman" w:cs="Times New Roman"/>
                <w:bCs/>
                <w:i/>
                <w:sz w:val="24"/>
                <w:szCs w:val="24"/>
              </w:rPr>
              <w:t xml:space="preserve"> </w:t>
            </w:r>
            <w:proofErr w:type="spellStart"/>
            <w:r w:rsidR="00446C13" w:rsidRPr="00302E42">
              <w:rPr>
                <w:rFonts w:ascii="Times New Roman" w:hAnsi="Times New Roman" w:cs="Times New Roman"/>
                <w:bCs/>
                <w:i/>
                <w:sz w:val="24"/>
                <w:szCs w:val="24"/>
              </w:rPr>
              <w:t>du</w:t>
            </w:r>
            <w:proofErr w:type="spellEnd"/>
            <w:r w:rsidR="00446C13" w:rsidRPr="00302E42">
              <w:rPr>
                <w:rFonts w:ascii="Times New Roman" w:hAnsi="Times New Roman" w:cs="Times New Roman"/>
                <w:bCs/>
                <w:i/>
                <w:sz w:val="24"/>
                <w:szCs w:val="24"/>
              </w:rPr>
              <w:t xml:space="preserve"> Transport </w:t>
            </w:r>
            <w:proofErr w:type="spellStart"/>
            <w:r w:rsidR="00446C13" w:rsidRPr="00302E42">
              <w:rPr>
                <w:rFonts w:ascii="Times New Roman" w:hAnsi="Times New Roman" w:cs="Times New Roman"/>
                <w:bCs/>
                <w:i/>
                <w:sz w:val="24"/>
                <w:szCs w:val="24"/>
              </w:rPr>
              <w:t>Intermodal</w:t>
            </w:r>
            <w:proofErr w:type="spellEnd"/>
            <w:r w:rsidR="00446C13" w:rsidRPr="00302E42">
              <w:rPr>
                <w:rFonts w:ascii="Times New Roman" w:hAnsi="Times New Roman" w:cs="Times New Roman"/>
                <w:bCs/>
                <w:sz w:val="24"/>
                <w:szCs w:val="24"/>
              </w:rPr>
              <w:t xml:space="preserve"> prasībām;</w:t>
            </w:r>
          </w:p>
          <w:p w14:paraId="71B777A3" w14:textId="04831928" w:rsidR="00446C13" w:rsidRPr="00302E42" w:rsidRDefault="00736C2F" w:rsidP="00446C13">
            <w:pPr>
              <w:pStyle w:val="Bezatstarpm"/>
              <w:jc w:val="both"/>
              <w:rPr>
                <w:rFonts w:ascii="Times New Roman" w:hAnsi="Times New Roman" w:cs="Times New Roman"/>
                <w:bCs/>
                <w:sz w:val="24"/>
                <w:szCs w:val="24"/>
              </w:rPr>
            </w:pPr>
            <w:r w:rsidRPr="00302E42">
              <w:rPr>
                <w:rFonts w:ascii="Times New Roman" w:hAnsi="Times New Roman" w:cs="Times New Roman"/>
                <w:bCs/>
                <w:sz w:val="24"/>
                <w:szCs w:val="24"/>
              </w:rPr>
              <w:t>8</w:t>
            </w:r>
            <w:r w:rsidR="00446C13" w:rsidRPr="00302E42">
              <w:rPr>
                <w:rFonts w:ascii="Times New Roman" w:hAnsi="Times New Roman" w:cs="Times New Roman"/>
                <w:bCs/>
                <w:sz w:val="24"/>
                <w:szCs w:val="24"/>
              </w:rPr>
              <w:t>) ja eksportē pārstrādātas dzīvnieku olbaltumvielas un produktus, kas satur pārstrādātas dzīvnieku olbaltumvielas, kā minēts Regulas (EK) Nr. 999/2001 IV pielikumā, izvešanas dalībvalsts un izvešanas robežkontroles punkts, kas minēts Komisijas Lēmumā 2009/821/EK.</w:t>
            </w:r>
          </w:p>
          <w:p w14:paraId="5A1A86AC" w14:textId="41AB95A8" w:rsidR="00F86F28" w:rsidRPr="00302E42" w:rsidRDefault="001E1D8F" w:rsidP="00F86F28">
            <w:pPr>
              <w:pStyle w:val="Bezatstarpm"/>
              <w:jc w:val="both"/>
              <w:rPr>
                <w:rFonts w:ascii="Times New Roman" w:hAnsi="Times New Roman" w:cs="Times New Roman"/>
                <w:bCs/>
                <w:sz w:val="24"/>
                <w:szCs w:val="24"/>
              </w:rPr>
            </w:pPr>
            <w:r w:rsidRPr="00302E42">
              <w:rPr>
                <w:rFonts w:ascii="Times New Roman" w:hAnsi="Times New Roman" w:cs="Times New Roman"/>
                <w:bCs/>
                <w:sz w:val="24"/>
                <w:szCs w:val="24"/>
              </w:rPr>
              <w:t>N</w:t>
            </w:r>
            <w:r w:rsidR="00C62C80" w:rsidRPr="00302E42">
              <w:rPr>
                <w:rFonts w:ascii="Times New Roman" w:hAnsi="Times New Roman" w:cs="Times New Roman"/>
                <w:bCs/>
                <w:sz w:val="24"/>
                <w:szCs w:val="24"/>
              </w:rPr>
              <w:t xml:space="preserve">o tirdzniecības dokumenta </w:t>
            </w:r>
            <w:r w:rsidRPr="00302E42">
              <w:rPr>
                <w:rFonts w:ascii="Times New Roman" w:hAnsi="Times New Roman" w:cs="Times New Roman"/>
                <w:bCs/>
                <w:sz w:val="24"/>
                <w:szCs w:val="24"/>
              </w:rPr>
              <w:t xml:space="preserve">izņemot </w:t>
            </w:r>
            <w:r w:rsidR="00C62C80" w:rsidRPr="00302E42">
              <w:rPr>
                <w:rFonts w:ascii="Times New Roman" w:hAnsi="Times New Roman" w:cs="Times New Roman"/>
                <w:bCs/>
                <w:sz w:val="24"/>
                <w:szCs w:val="24"/>
              </w:rPr>
              <w:t>informāciju, kas neattiecas uz lolojumdzīvnieka līķi vai tā pelniem, tiks</w:t>
            </w:r>
            <w:r w:rsidR="00F86F28" w:rsidRPr="00302E42">
              <w:rPr>
                <w:rFonts w:ascii="Times New Roman" w:hAnsi="Times New Roman" w:cs="Times New Roman"/>
                <w:bCs/>
                <w:sz w:val="24"/>
                <w:szCs w:val="24"/>
              </w:rPr>
              <w:t xml:space="preserve"> samazināt</w:t>
            </w:r>
            <w:r w:rsidR="00C62C80" w:rsidRPr="00302E42">
              <w:rPr>
                <w:rFonts w:ascii="Times New Roman" w:hAnsi="Times New Roman" w:cs="Times New Roman"/>
                <w:bCs/>
                <w:sz w:val="24"/>
                <w:szCs w:val="24"/>
              </w:rPr>
              <w:t>a</w:t>
            </w:r>
            <w:r w:rsidR="00F86F28" w:rsidRPr="00302E42">
              <w:rPr>
                <w:rFonts w:ascii="Times New Roman" w:hAnsi="Times New Roman" w:cs="Times New Roman"/>
                <w:bCs/>
                <w:sz w:val="24"/>
                <w:szCs w:val="24"/>
              </w:rPr>
              <w:t xml:space="preserve"> </w:t>
            </w:r>
            <w:r w:rsidR="00D752D7" w:rsidRPr="00302E42">
              <w:rPr>
                <w:rFonts w:ascii="Times New Roman" w:hAnsi="Times New Roman" w:cs="Times New Roman"/>
                <w:bCs/>
                <w:sz w:val="24"/>
                <w:szCs w:val="24"/>
              </w:rPr>
              <w:t>tirdzniecības dokumenta</w:t>
            </w:r>
            <w:r w:rsidR="00F86F28" w:rsidRPr="00302E42">
              <w:rPr>
                <w:rFonts w:ascii="Times New Roman" w:hAnsi="Times New Roman" w:cs="Times New Roman"/>
                <w:bCs/>
                <w:sz w:val="24"/>
                <w:szCs w:val="24"/>
              </w:rPr>
              <w:t xml:space="preserve"> form</w:t>
            </w:r>
            <w:r w:rsidR="00C62C80" w:rsidRPr="00302E42">
              <w:rPr>
                <w:rFonts w:ascii="Times New Roman" w:hAnsi="Times New Roman" w:cs="Times New Roman"/>
                <w:bCs/>
                <w:sz w:val="24"/>
                <w:szCs w:val="24"/>
              </w:rPr>
              <w:t>a</w:t>
            </w:r>
            <w:r w:rsidR="00F86F28" w:rsidRPr="00302E42">
              <w:rPr>
                <w:rFonts w:ascii="Times New Roman" w:hAnsi="Times New Roman" w:cs="Times New Roman"/>
                <w:bCs/>
                <w:sz w:val="24"/>
                <w:szCs w:val="24"/>
              </w:rPr>
              <w:t xml:space="preserve"> </w:t>
            </w:r>
            <w:r w:rsidRPr="00302E42">
              <w:rPr>
                <w:rFonts w:ascii="Times New Roman" w:hAnsi="Times New Roman" w:cs="Times New Roman"/>
                <w:bCs/>
                <w:sz w:val="24"/>
                <w:szCs w:val="24"/>
              </w:rPr>
              <w:t xml:space="preserve">– būs </w:t>
            </w:r>
            <w:r w:rsidR="00D752D7" w:rsidRPr="00302E42">
              <w:rPr>
                <w:rFonts w:ascii="Times New Roman" w:hAnsi="Times New Roman" w:cs="Times New Roman"/>
                <w:bCs/>
                <w:sz w:val="24"/>
                <w:szCs w:val="24"/>
              </w:rPr>
              <w:t>mazāks lappušu skaits</w:t>
            </w:r>
            <w:r w:rsidRPr="00302E42">
              <w:rPr>
                <w:rFonts w:ascii="Times New Roman" w:hAnsi="Times New Roman" w:cs="Times New Roman"/>
                <w:bCs/>
                <w:sz w:val="24"/>
                <w:szCs w:val="24"/>
              </w:rPr>
              <w:t>, jo</w:t>
            </w:r>
            <w:r w:rsidR="00C62C80" w:rsidRPr="00302E42">
              <w:rPr>
                <w:rFonts w:ascii="Times New Roman" w:hAnsi="Times New Roman" w:cs="Times New Roman"/>
                <w:bCs/>
                <w:sz w:val="24"/>
                <w:szCs w:val="24"/>
              </w:rPr>
              <w:t xml:space="preserve"> Regula Nr.</w:t>
            </w:r>
            <w:r w:rsidRPr="00302E42">
              <w:rPr>
                <w:rFonts w:ascii="Times New Roman" w:hAnsi="Times New Roman" w:cs="Times New Roman"/>
                <w:bCs/>
                <w:sz w:val="24"/>
                <w:szCs w:val="24"/>
              </w:rPr>
              <w:t xml:space="preserve"> </w:t>
            </w:r>
            <w:r w:rsidR="00C62C80" w:rsidRPr="00302E42">
              <w:rPr>
                <w:rFonts w:ascii="Times New Roman" w:hAnsi="Times New Roman" w:cs="Times New Roman"/>
                <w:bCs/>
                <w:sz w:val="24"/>
                <w:szCs w:val="24"/>
              </w:rPr>
              <w:t xml:space="preserve">142/2011 </w:t>
            </w:r>
            <w:r w:rsidR="00C62C80" w:rsidRPr="00302E42">
              <w:rPr>
                <w:rFonts w:ascii="Times New Roman" w:hAnsi="Times New Roman" w:cs="Times New Roman"/>
                <w:bCs/>
                <w:sz w:val="24"/>
                <w:szCs w:val="24"/>
              </w:rPr>
              <w:lastRenderedPageBreak/>
              <w:t xml:space="preserve">paredz </w:t>
            </w:r>
            <w:r w:rsidRPr="00302E42">
              <w:rPr>
                <w:rFonts w:ascii="Times New Roman" w:hAnsi="Times New Roman" w:cs="Times New Roman"/>
                <w:bCs/>
                <w:sz w:val="24"/>
                <w:szCs w:val="24"/>
              </w:rPr>
              <w:t>četru</w:t>
            </w:r>
            <w:r w:rsidR="00C62C80" w:rsidRPr="00302E42">
              <w:rPr>
                <w:rFonts w:ascii="Times New Roman" w:hAnsi="Times New Roman" w:cs="Times New Roman"/>
                <w:bCs/>
                <w:sz w:val="24"/>
                <w:szCs w:val="24"/>
              </w:rPr>
              <w:t xml:space="preserve"> lappušu dokumentu, </w:t>
            </w:r>
            <w:r w:rsidRPr="00302E42">
              <w:rPr>
                <w:rFonts w:ascii="Times New Roman" w:hAnsi="Times New Roman" w:cs="Times New Roman"/>
                <w:bCs/>
                <w:sz w:val="24"/>
                <w:szCs w:val="24"/>
              </w:rPr>
              <w:t xml:space="preserve">bet </w:t>
            </w:r>
            <w:r w:rsidR="00C62C80" w:rsidRPr="00302E42">
              <w:rPr>
                <w:rFonts w:ascii="Times New Roman" w:hAnsi="Times New Roman" w:cs="Times New Roman"/>
                <w:bCs/>
                <w:sz w:val="24"/>
                <w:szCs w:val="24"/>
              </w:rPr>
              <w:t xml:space="preserve">pēc grozījumu spēkā stāšanās būs </w:t>
            </w:r>
            <w:r w:rsidRPr="00302E42">
              <w:rPr>
                <w:rFonts w:ascii="Times New Roman" w:hAnsi="Times New Roman" w:cs="Times New Roman"/>
                <w:bCs/>
                <w:sz w:val="24"/>
                <w:szCs w:val="24"/>
              </w:rPr>
              <w:t>dokuments uz vienas</w:t>
            </w:r>
            <w:r w:rsidR="00C62C80" w:rsidRPr="00302E42">
              <w:rPr>
                <w:rFonts w:ascii="Times New Roman" w:hAnsi="Times New Roman" w:cs="Times New Roman"/>
                <w:bCs/>
                <w:sz w:val="24"/>
                <w:szCs w:val="24"/>
              </w:rPr>
              <w:t xml:space="preserve"> lappuses.</w:t>
            </w:r>
            <w:r w:rsidR="00F86F28" w:rsidRPr="00302E42">
              <w:rPr>
                <w:rFonts w:ascii="Times New Roman" w:hAnsi="Times New Roman" w:cs="Times New Roman"/>
                <w:bCs/>
                <w:sz w:val="24"/>
                <w:szCs w:val="24"/>
              </w:rPr>
              <w:t xml:space="preserve"> </w:t>
            </w:r>
            <w:r w:rsidR="00C62C80" w:rsidRPr="00302E42">
              <w:rPr>
                <w:rFonts w:ascii="Times New Roman" w:hAnsi="Times New Roman" w:cs="Times New Roman"/>
                <w:bCs/>
                <w:sz w:val="24"/>
                <w:szCs w:val="24"/>
              </w:rPr>
              <w:t xml:space="preserve">Tāpēc </w:t>
            </w:r>
            <w:r w:rsidR="00A138C3" w:rsidRPr="00302E42">
              <w:rPr>
                <w:rFonts w:ascii="Times New Roman" w:hAnsi="Times New Roman" w:cs="Times New Roman"/>
                <w:bCs/>
                <w:sz w:val="24"/>
                <w:szCs w:val="24"/>
              </w:rPr>
              <w:t xml:space="preserve">noteikumos Nr. 275 </w:t>
            </w:r>
            <w:r w:rsidR="00F86F28" w:rsidRPr="00302E42">
              <w:rPr>
                <w:rFonts w:ascii="Times New Roman" w:hAnsi="Times New Roman" w:cs="Times New Roman"/>
                <w:bCs/>
                <w:sz w:val="24"/>
                <w:szCs w:val="24"/>
              </w:rPr>
              <w:t xml:space="preserve">nepieciešams noteikt, ka Latvijas teritorijā </w:t>
            </w:r>
            <w:r w:rsidR="00D752D7" w:rsidRPr="00302E42">
              <w:rPr>
                <w:rFonts w:ascii="Times New Roman" w:hAnsi="Times New Roman" w:cs="Times New Roman"/>
                <w:bCs/>
                <w:sz w:val="24"/>
                <w:szCs w:val="24"/>
              </w:rPr>
              <w:t>transportējamam lolojumdzīvnieka līķim vai tā pelniem blakusproduktu apritē iesaistītā persona nodrošina dzīvnieka līķa vai tā pelnu transportēšanas pavaddokumentu</w:t>
            </w:r>
            <w:r w:rsidRPr="00302E42">
              <w:rPr>
                <w:rFonts w:ascii="Times New Roman" w:hAnsi="Times New Roman" w:cs="Times New Roman"/>
                <w:bCs/>
                <w:sz w:val="24"/>
                <w:szCs w:val="24"/>
              </w:rPr>
              <w:t>,</w:t>
            </w:r>
            <w:r w:rsidR="00F36EEF" w:rsidRPr="00302E42">
              <w:rPr>
                <w:rFonts w:ascii="Times New Roman" w:hAnsi="Times New Roman" w:cs="Times New Roman"/>
                <w:bCs/>
                <w:sz w:val="24"/>
                <w:szCs w:val="24"/>
              </w:rPr>
              <w:t xml:space="preserve"> un </w:t>
            </w:r>
            <w:r w:rsidR="00A138C3" w:rsidRPr="00302E42">
              <w:rPr>
                <w:rFonts w:ascii="Times New Roman" w:hAnsi="Times New Roman" w:cs="Times New Roman"/>
                <w:bCs/>
                <w:sz w:val="24"/>
                <w:szCs w:val="24"/>
              </w:rPr>
              <w:t xml:space="preserve">pievienot </w:t>
            </w:r>
            <w:r w:rsidR="00F36EEF" w:rsidRPr="00302E42">
              <w:rPr>
                <w:rFonts w:ascii="Times New Roman" w:hAnsi="Times New Roman" w:cs="Times New Roman"/>
                <w:bCs/>
                <w:sz w:val="24"/>
                <w:szCs w:val="24"/>
              </w:rPr>
              <w:t xml:space="preserve">tā </w:t>
            </w:r>
            <w:r w:rsidRPr="00302E42">
              <w:rPr>
                <w:rFonts w:ascii="Times New Roman" w:hAnsi="Times New Roman" w:cs="Times New Roman"/>
                <w:bCs/>
                <w:sz w:val="24"/>
                <w:szCs w:val="24"/>
              </w:rPr>
              <w:t>veidlapu</w:t>
            </w:r>
            <w:r w:rsidR="00F36EEF" w:rsidRPr="00302E42">
              <w:rPr>
                <w:rFonts w:ascii="Times New Roman" w:hAnsi="Times New Roman" w:cs="Times New Roman"/>
                <w:bCs/>
                <w:sz w:val="24"/>
                <w:szCs w:val="24"/>
              </w:rPr>
              <w:t xml:space="preserve"> </w:t>
            </w:r>
            <w:r w:rsidR="00A138C3" w:rsidRPr="00302E42">
              <w:rPr>
                <w:rFonts w:ascii="Times New Roman" w:hAnsi="Times New Roman" w:cs="Times New Roman"/>
                <w:bCs/>
                <w:sz w:val="24"/>
                <w:szCs w:val="24"/>
              </w:rPr>
              <w:t xml:space="preserve">kā </w:t>
            </w:r>
            <w:r w:rsidR="00F36EEF" w:rsidRPr="00302E42">
              <w:rPr>
                <w:rFonts w:ascii="Times New Roman" w:hAnsi="Times New Roman" w:cs="Times New Roman"/>
                <w:bCs/>
                <w:sz w:val="24"/>
                <w:szCs w:val="24"/>
              </w:rPr>
              <w:t>5.</w:t>
            </w:r>
            <w:r w:rsidR="009A60FC" w:rsidRPr="00302E42">
              <w:rPr>
                <w:rFonts w:ascii="Times New Roman" w:hAnsi="Times New Roman" w:cs="Times New Roman"/>
                <w:bCs/>
                <w:sz w:val="24"/>
                <w:szCs w:val="24"/>
              </w:rPr>
              <w:t xml:space="preserve"> </w:t>
            </w:r>
            <w:r w:rsidR="00F36EEF" w:rsidRPr="00302E42">
              <w:rPr>
                <w:rFonts w:ascii="Times New Roman" w:hAnsi="Times New Roman" w:cs="Times New Roman"/>
                <w:bCs/>
                <w:sz w:val="24"/>
                <w:szCs w:val="24"/>
              </w:rPr>
              <w:t>pielikum</w:t>
            </w:r>
            <w:r w:rsidR="00A138C3" w:rsidRPr="00302E42">
              <w:rPr>
                <w:rFonts w:ascii="Times New Roman" w:hAnsi="Times New Roman" w:cs="Times New Roman"/>
                <w:bCs/>
                <w:sz w:val="24"/>
                <w:szCs w:val="24"/>
              </w:rPr>
              <w:t>u</w:t>
            </w:r>
            <w:r w:rsidR="00F86F28" w:rsidRPr="00302E42">
              <w:rPr>
                <w:rFonts w:ascii="Times New Roman" w:hAnsi="Times New Roman" w:cs="Times New Roman"/>
                <w:bCs/>
                <w:sz w:val="24"/>
                <w:szCs w:val="24"/>
              </w:rPr>
              <w:t>.</w:t>
            </w:r>
            <w:r w:rsidR="00C62C80" w:rsidRPr="00302E42">
              <w:rPr>
                <w:bCs/>
              </w:rPr>
              <w:t xml:space="preserve"> </w:t>
            </w:r>
          </w:p>
          <w:p w14:paraId="46AD4A47" w14:textId="152BBD11" w:rsidR="00D10DAC" w:rsidRDefault="00A138C3" w:rsidP="0087702E">
            <w:pPr>
              <w:pStyle w:val="Bezatstarpm"/>
              <w:jc w:val="both"/>
              <w:rPr>
                <w:rFonts w:ascii="Times New Roman" w:hAnsi="Times New Roman" w:cs="Times New Roman"/>
                <w:bCs/>
                <w:sz w:val="24"/>
                <w:szCs w:val="24"/>
              </w:rPr>
            </w:pPr>
            <w:r w:rsidRPr="00302E42">
              <w:rPr>
                <w:rFonts w:ascii="Times New Roman" w:hAnsi="Times New Roman" w:cs="Times New Roman"/>
                <w:bCs/>
                <w:sz w:val="24"/>
                <w:szCs w:val="24"/>
              </w:rPr>
              <w:t xml:space="preserve">3. </w:t>
            </w:r>
            <w:r w:rsidR="0008713B" w:rsidRPr="00302E42">
              <w:rPr>
                <w:rFonts w:ascii="Times New Roman" w:hAnsi="Times New Roman" w:cs="Times New Roman"/>
                <w:bCs/>
                <w:sz w:val="24"/>
                <w:szCs w:val="24"/>
              </w:rPr>
              <w:t>Regulas Nr.999/2001 6. pant</w:t>
            </w:r>
            <w:r w:rsidR="009A60FC" w:rsidRPr="00302E42">
              <w:rPr>
                <w:rFonts w:ascii="Times New Roman" w:hAnsi="Times New Roman" w:cs="Times New Roman"/>
                <w:bCs/>
                <w:sz w:val="24"/>
                <w:szCs w:val="24"/>
              </w:rPr>
              <w:t>ā</w:t>
            </w:r>
            <w:r w:rsidR="00CC0C24" w:rsidRPr="00302E42">
              <w:rPr>
                <w:rFonts w:ascii="Times New Roman" w:hAnsi="Times New Roman" w:cs="Times New Roman"/>
                <w:bCs/>
                <w:sz w:val="24"/>
                <w:szCs w:val="24"/>
              </w:rPr>
              <w:t xml:space="preserve"> no</w:t>
            </w:r>
            <w:r w:rsidR="009A60FC" w:rsidRPr="00302E42">
              <w:rPr>
                <w:rFonts w:ascii="Times New Roman" w:hAnsi="Times New Roman" w:cs="Times New Roman"/>
                <w:bCs/>
                <w:sz w:val="24"/>
                <w:szCs w:val="24"/>
              </w:rPr>
              <w:t>teikts</w:t>
            </w:r>
            <w:r w:rsidR="00CC0C24" w:rsidRPr="00302E42">
              <w:rPr>
                <w:rFonts w:ascii="Times New Roman" w:hAnsi="Times New Roman" w:cs="Times New Roman"/>
                <w:bCs/>
                <w:sz w:val="24"/>
                <w:szCs w:val="24"/>
              </w:rPr>
              <w:t>, ka k</w:t>
            </w:r>
            <w:r w:rsidR="0008713B" w:rsidRPr="00302E42">
              <w:rPr>
                <w:rFonts w:ascii="Times New Roman" w:hAnsi="Times New Roman" w:cs="Times New Roman"/>
                <w:bCs/>
                <w:sz w:val="24"/>
                <w:szCs w:val="24"/>
              </w:rPr>
              <w:t>atra dalībvalsts saskaņā ar III</w:t>
            </w:r>
            <w:r w:rsidR="009A60FC" w:rsidRPr="00302E42">
              <w:rPr>
                <w:rFonts w:ascii="Times New Roman" w:hAnsi="Times New Roman" w:cs="Times New Roman"/>
                <w:bCs/>
                <w:sz w:val="24"/>
                <w:szCs w:val="24"/>
              </w:rPr>
              <w:t> </w:t>
            </w:r>
            <w:r w:rsidR="0008713B" w:rsidRPr="00302E42">
              <w:rPr>
                <w:rFonts w:ascii="Times New Roman" w:hAnsi="Times New Roman" w:cs="Times New Roman"/>
                <w:bCs/>
                <w:sz w:val="24"/>
                <w:szCs w:val="24"/>
              </w:rPr>
              <w:t xml:space="preserve">pielikumu </w:t>
            </w:r>
            <w:r w:rsidR="001B34A9" w:rsidRPr="00302E42">
              <w:rPr>
                <w:rFonts w:ascii="Times New Roman" w:hAnsi="Times New Roman" w:cs="Times New Roman"/>
                <w:bCs/>
                <w:sz w:val="24"/>
                <w:szCs w:val="24"/>
              </w:rPr>
              <w:t>īsteno</w:t>
            </w:r>
            <w:r w:rsidR="0008713B" w:rsidRPr="00302E42">
              <w:rPr>
                <w:rFonts w:ascii="Times New Roman" w:hAnsi="Times New Roman" w:cs="Times New Roman"/>
                <w:bCs/>
                <w:sz w:val="24"/>
                <w:szCs w:val="24"/>
              </w:rPr>
              <w:t xml:space="preserve"> ikgadēju </w:t>
            </w:r>
            <w:r w:rsidR="0074257E" w:rsidRPr="00302E42">
              <w:rPr>
                <w:rFonts w:ascii="Times New Roman" w:eastAsia="Calibri" w:hAnsi="Times New Roman" w:cs="Times New Roman"/>
                <w:bCs/>
                <w:sz w:val="24"/>
                <w:szCs w:val="24"/>
              </w:rPr>
              <w:t>transmisīvās spongiozās encefalopātijas</w:t>
            </w:r>
            <w:r w:rsidRPr="00302E42">
              <w:rPr>
                <w:rFonts w:ascii="Times New Roman" w:hAnsi="Times New Roman" w:cs="Times New Roman"/>
                <w:bCs/>
                <w:sz w:val="24"/>
                <w:szCs w:val="24"/>
              </w:rPr>
              <w:t xml:space="preserve"> (turpmāk – </w:t>
            </w:r>
            <w:r w:rsidR="0008713B" w:rsidRPr="00302E42">
              <w:rPr>
                <w:rFonts w:ascii="Times New Roman" w:hAnsi="Times New Roman" w:cs="Times New Roman"/>
                <w:bCs/>
                <w:sz w:val="24"/>
                <w:szCs w:val="24"/>
              </w:rPr>
              <w:t>TSE</w:t>
            </w:r>
            <w:r w:rsidRPr="00302E42">
              <w:rPr>
                <w:rFonts w:ascii="Times New Roman" w:hAnsi="Times New Roman" w:cs="Times New Roman"/>
                <w:bCs/>
                <w:sz w:val="24"/>
                <w:szCs w:val="24"/>
              </w:rPr>
              <w:t>)</w:t>
            </w:r>
            <w:r w:rsidR="00CC0C24" w:rsidRPr="00302E42">
              <w:rPr>
                <w:rFonts w:ascii="Times New Roman" w:hAnsi="Times New Roman" w:cs="Times New Roman"/>
                <w:bCs/>
                <w:sz w:val="24"/>
                <w:szCs w:val="24"/>
              </w:rPr>
              <w:t xml:space="preserve"> </w:t>
            </w:r>
            <w:r w:rsidR="0008713B" w:rsidRPr="00302E42">
              <w:rPr>
                <w:rFonts w:ascii="Times New Roman" w:hAnsi="Times New Roman" w:cs="Times New Roman"/>
                <w:bCs/>
                <w:sz w:val="24"/>
                <w:szCs w:val="24"/>
              </w:rPr>
              <w:t>uzraudzības programmu</w:t>
            </w:r>
            <w:r w:rsidR="00CC0C24" w:rsidRPr="00302E42">
              <w:rPr>
                <w:rFonts w:ascii="Times New Roman" w:hAnsi="Times New Roman" w:cs="Times New Roman"/>
                <w:bCs/>
                <w:sz w:val="24"/>
                <w:szCs w:val="24"/>
              </w:rPr>
              <w:t xml:space="preserve"> </w:t>
            </w:r>
            <w:r w:rsidR="0008713B" w:rsidRPr="00302E42">
              <w:rPr>
                <w:rFonts w:ascii="Times New Roman" w:hAnsi="Times New Roman" w:cs="Times New Roman"/>
                <w:bCs/>
                <w:sz w:val="24"/>
                <w:szCs w:val="24"/>
              </w:rPr>
              <w:t>visi</w:t>
            </w:r>
            <w:r w:rsidR="00D10DAC" w:rsidRPr="00302E42">
              <w:rPr>
                <w:rFonts w:ascii="Times New Roman" w:hAnsi="Times New Roman" w:cs="Times New Roman"/>
                <w:bCs/>
                <w:sz w:val="24"/>
                <w:szCs w:val="24"/>
              </w:rPr>
              <w:t>em</w:t>
            </w:r>
            <w:r w:rsidR="0008713B" w:rsidRPr="00302E42">
              <w:rPr>
                <w:rFonts w:ascii="Times New Roman" w:hAnsi="Times New Roman" w:cs="Times New Roman"/>
                <w:bCs/>
                <w:sz w:val="24"/>
                <w:szCs w:val="24"/>
              </w:rPr>
              <w:t xml:space="preserve"> vairāk nekā 24 mēnešus veci</w:t>
            </w:r>
            <w:r w:rsidR="00D10DAC" w:rsidRPr="00302E42">
              <w:rPr>
                <w:rFonts w:ascii="Times New Roman" w:hAnsi="Times New Roman" w:cs="Times New Roman"/>
                <w:bCs/>
                <w:sz w:val="24"/>
                <w:szCs w:val="24"/>
              </w:rPr>
              <w:t>em</w:t>
            </w:r>
            <w:r w:rsidR="0008713B" w:rsidRPr="00302E42">
              <w:rPr>
                <w:rFonts w:ascii="Times New Roman" w:hAnsi="Times New Roman" w:cs="Times New Roman"/>
                <w:bCs/>
                <w:sz w:val="24"/>
                <w:szCs w:val="24"/>
              </w:rPr>
              <w:t xml:space="preserve"> liellopi</w:t>
            </w:r>
            <w:r w:rsidR="00D10DAC" w:rsidRPr="00302E42">
              <w:rPr>
                <w:rFonts w:ascii="Times New Roman" w:hAnsi="Times New Roman" w:cs="Times New Roman"/>
                <w:bCs/>
                <w:sz w:val="24"/>
                <w:szCs w:val="24"/>
              </w:rPr>
              <w:t>em</w:t>
            </w:r>
            <w:r w:rsidR="0008713B" w:rsidRPr="00302E42">
              <w:rPr>
                <w:rFonts w:ascii="Times New Roman" w:hAnsi="Times New Roman" w:cs="Times New Roman"/>
                <w:bCs/>
                <w:sz w:val="24"/>
                <w:szCs w:val="24"/>
              </w:rPr>
              <w:t xml:space="preserve">, kas </w:t>
            </w:r>
            <w:r w:rsidR="005E7DFD" w:rsidRPr="00302E42">
              <w:rPr>
                <w:rFonts w:ascii="Times New Roman" w:hAnsi="Times New Roman" w:cs="Times New Roman"/>
                <w:bCs/>
                <w:sz w:val="24"/>
                <w:szCs w:val="24"/>
              </w:rPr>
              <w:t xml:space="preserve">ir </w:t>
            </w:r>
            <w:r w:rsidR="00D10DAC" w:rsidRPr="00302E42">
              <w:rPr>
                <w:rFonts w:ascii="Times New Roman" w:hAnsi="Times New Roman" w:cs="Times New Roman"/>
                <w:bCs/>
                <w:sz w:val="24"/>
                <w:szCs w:val="24"/>
              </w:rPr>
              <w:t>nobeigušies</w:t>
            </w:r>
            <w:r w:rsidR="0008713B" w:rsidRPr="00302E42">
              <w:rPr>
                <w:rFonts w:ascii="Times New Roman" w:hAnsi="Times New Roman" w:cs="Times New Roman"/>
                <w:bCs/>
                <w:sz w:val="24"/>
                <w:szCs w:val="24"/>
              </w:rPr>
              <w:t>.</w:t>
            </w:r>
            <w:r w:rsidR="00360690" w:rsidRPr="00302E42">
              <w:rPr>
                <w:rFonts w:ascii="Times New Roman" w:hAnsi="Times New Roman" w:cs="Times New Roman"/>
                <w:bCs/>
                <w:sz w:val="24"/>
                <w:szCs w:val="24"/>
              </w:rPr>
              <w:t xml:space="preserve"> </w:t>
            </w:r>
            <w:r w:rsidR="00257E2D" w:rsidRPr="00302E42">
              <w:rPr>
                <w:rFonts w:ascii="Times New Roman" w:hAnsi="Times New Roman" w:cs="Times New Roman"/>
                <w:bCs/>
                <w:sz w:val="24"/>
                <w:szCs w:val="24"/>
              </w:rPr>
              <w:t>Regulas Nr.999/2001 III pielikuma A nodaļas I nodaļas 3.1. punktā noteikts, ka visām govīm, kuras vecākas par 24 mēnešiem un kuras ir nobeigušās,</w:t>
            </w:r>
            <w:r w:rsidR="00257E2D" w:rsidRPr="00302E42">
              <w:rPr>
                <w:bCs/>
              </w:rPr>
              <w:t xml:space="preserve"> </w:t>
            </w:r>
            <w:r w:rsidR="00257E2D" w:rsidRPr="00302E42">
              <w:rPr>
                <w:rFonts w:ascii="Times New Roman" w:hAnsi="Times New Roman" w:cs="Times New Roman"/>
                <w:bCs/>
                <w:sz w:val="24"/>
                <w:szCs w:val="24"/>
              </w:rPr>
              <w:t xml:space="preserve">veic testus. </w:t>
            </w:r>
            <w:r w:rsidR="00120B53" w:rsidRPr="00302E42">
              <w:rPr>
                <w:rFonts w:ascii="Times New Roman" w:hAnsi="Times New Roman" w:cs="Times New Roman"/>
                <w:bCs/>
                <w:sz w:val="24"/>
                <w:szCs w:val="24"/>
              </w:rPr>
              <w:t>Regulas Nr.</w:t>
            </w:r>
            <w:r w:rsidR="009D0170" w:rsidRPr="00302E42">
              <w:rPr>
                <w:rFonts w:ascii="Times New Roman" w:hAnsi="Times New Roman" w:cs="Times New Roman"/>
                <w:bCs/>
                <w:sz w:val="24"/>
                <w:szCs w:val="24"/>
              </w:rPr>
              <w:t xml:space="preserve"> </w:t>
            </w:r>
            <w:r w:rsidR="00120B53" w:rsidRPr="00302E42">
              <w:rPr>
                <w:rFonts w:ascii="Times New Roman" w:hAnsi="Times New Roman" w:cs="Times New Roman"/>
                <w:bCs/>
                <w:sz w:val="24"/>
                <w:szCs w:val="24"/>
              </w:rPr>
              <w:t>999/2001 24.a pant</w:t>
            </w:r>
            <w:r w:rsidR="00257E2D" w:rsidRPr="00302E42">
              <w:rPr>
                <w:rFonts w:ascii="Times New Roman" w:hAnsi="Times New Roman" w:cs="Times New Roman"/>
                <w:bCs/>
                <w:sz w:val="24"/>
                <w:szCs w:val="24"/>
              </w:rPr>
              <w:t>ā noteikts, ka l</w:t>
            </w:r>
            <w:r w:rsidR="00120B53" w:rsidRPr="00302E42">
              <w:rPr>
                <w:rFonts w:ascii="Times New Roman" w:hAnsi="Times New Roman" w:cs="Times New Roman"/>
                <w:bCs/>
                <w:sz w:val="24"/>
                <w:szCs w:val="24"/>
              </w:rPr>
              <w:t>ēmumus, kas jāpieņem saskaņā ar vienu no 24. pantā minētajām procedūrām, pieņem, pamatojoties uz iespējamo risku cilvēku un dzīvnieku veselībai pienācīgu izvērtējumu, un, ņemot vērā pastāvošos zinātniskos pierādījumus, saglabā vai, ja tam ir zinātnisks pamatojums, uzlabo Kopienā nodrošināto cilvēku un dzīvnieku veselības aizsardzības līmeni.</w:t>
            </w:r>
            <w:r w:rsidR="00257E2D" w:rsidRPr="00302E42">
              <w:rPr>
                <w:rFonts w:ascii="Times New Roman" w:hAnsi="Times New Roman" w:cs="Times New Roman"/>
                <w:bCs/>
                <w:sz w:val="24"/>
                <w:szCs w:val="24"/>
              </w:rPr>
              <w:t xml:space="preserve"> Tāpēc s</w:t>
            </w:r>
            <w:r w:rsidR="00360690" w:rsidRPr="00302E42">
              <w:rPr>
                <w:rFonts w:ascii="Times New Roman" w:hAnsi="Times New Roman" w:cs="Times New Roman"/>
                <w:bCs/>
                <w:sz w:val="24"/>
                <w:szCs w:val="24"/>
              </w:rPr>
              <w:t xml:space="preserve">askaņā ar </w:t>
            </w:r>
            <w:r w:rsidR="00A419EF" w:rsidRPr="00302E42">
              <w:rPr>
                <w:rFonts w:ascii="Times New Roman" w:hAnsi="Times New Roman" w:cs="Times New Roman"/>
                <w:bCs/>
                <w:sz w:val="24"/>
                <w:szCs w:val="24"/>
              </w:rPr>
              <w:t>Lēmum</w:t>
            </w:r>
            <w:r w:rsidR="00904782" w:rsidRPr="00302E42">
              <w:rPr>
                <w:rFonts w:ascii="Times New Roman" w:hAnsi="Times New Roman" w:cs="Times New Roman"/>
                <w:bCs/>
                <w:sz w:val="24"/>
                <w:szCs w:val="24"/>
              </w:rPr>
              <w:t>ā</w:t>
            </w:r>
            <w:r w:rsidR="00360690" w:rsidRPr="00302E42">
              <w:rPr>
                <w:rFonts w:ascii="Times New Roman" w:hAnsi="Times New Roman" w:cs="Times New Roman"/>
                <w:bCs/>
                <w:sz w:val="24"/>
                <w:szCs w:val="24"/>
              </w:rPr>
              <w:t xml:space="preserve"> 2009/719/EK</w:t>
            </w:r>
            <w:r w:rsidR="00904782" w:rsidRPr="00302E42">
              <w:rPr>
                <w:rFonts w:ascii="Times New Roman" w:hAnsi="Times New Roman" w:cs="Times New Roman"/>
                <w:bCs/>
                <w:sz w:val="24"/>
                <w:szCs w:val="24"/>
              </w:rPr>
              <w:t xml:space="preserve"> noteikt</w:t>
            </w:r>
            <w:r w:rsidR="0001372F" w:rsidRPr="00302E42">
              <w:rPr>
                <w:rFonts w:ascii="Times New Roman" w:hAnsi="Times New Roman" w:cs="Times New Roman"/>
                <w:bCs/>
                <w:sz w:val="24"/>
                <w:szCs w:val="24"/>
              </w:rPr>
              <w:t>ajiem</w:t>
            </w:r>
            <w:r w:rsidR="00EC40C7" w:rsidRPr="00302E42">
              <w:rPr>
                <w:rFonts w:ascii="Times New Roman" w:hAnsi="Times New Roman" w:cs="Times New Roman"/>
                <w:bCs/>
                <w:sz w:val="24"/>
                <w:szCs w:val="24"/>
              </w:rPr>
              <w:t xml:space="preserve"> dalībvalstu</w:t>
            </w:r>
            <w:r w:rsidR="00360690" w:rsidRPr="00302E42">
              <w:rPr>
                <w:rFonts w:ascii="Times New Roman" w:hAnsi="Times New Roman" w:cs="Times New Roman"/>
                <w:bCs/>
                <w:sz w:val="24"/>
                <w:szCs w:val="24"/>
              </w:rPr>
              <w:t xml:space="preserve"> </w:t>
            </w:r>
            <w:r w:rsidR="00904782" w:rsidRPr="00302E42">
              <w:rPr>
                <w:rFonts w:ascii="Times New Roman" w:hAnsi="Times New Roman" w:cs="Times New Roman"/>
                <w:bCs/>
                <w:sz w:val="24"/>
                <w:szCs w:val="24"/>
              </w:rPr>
              <w:t>TSE uzraudzības programmu pārskatīšan</w:t>
            </w:r>
            <w:r w:rsidR="0001372F" w:rsidRPr="00302E42">
              <w:rPr>
                <w:rFonts w:ascii="Times New Roman" w:hAnsi="Times New Roman" w:cs="Times New Roman"/>
                <w:bCs/>
                <w:sz w:val="24"/>
                <w:szCs w:val="24"/>
              </w:rPr>
              <w:t>as kritērijiem</w:t>
            </w:r>
            <w:r w:rsidR="00904782" w:rsidRPr="00302E42">
              <w:rPr>
                <w:rFonts w:ascii="Times New Roman" w:hAnsi="Times New Roman" w:cs="Times New Roman"/>
                <w:bCs/>
                <w:sz w:val="24"/>
                <w:szCs w:val="24"/>
              </w:rPr>
              <w:t xml:space="preserve"> </w:t>
            </w:r>
            <w:r w:rsidR="00360690" w:rsidRPr="00302E42">
              <w:rPr>
                <w:rFonts w:ascii="Times New Roman" w:hAnsi="Times New Roman" w:cs="Times New Roman"/>
                <w:bCs/>
                <w:sz w:val="24"/>
                <w:szCs w:val="24"/>
              </w:rPr>
              <w:t>Latvij</w:t>
            </w:r>
            <w:r w:rsidR="00EC40C7" w:rsidRPr="00302E42">
              <w:rPr>
                <w:rFonts w:ascii="Times New Roman" w:hAnsi="Times New Roman" w:cs="Times New Roman"/>
                <w:bCs/>
                <w:sz w:val="24"/>
                <w:szCs w:val="24"/>
              </w:rPr>
              <w:t>ā pārskatītajā TSE uzraudzības programmā tiek iekļauti</w:t>
            </w:r>
            <w:r w:rsidR="00360690" w:rsidRPr="00302E42">
              <w:rPr>
                <w:rFonts w:ascii="Times New Roman" w:hAnsi="Times New Roman" w:cs="Times New Roman"/>
                <w:bCs/>
                <w:sz w:val="24"/>
                <w:szCs w:val="24"/>
              </w:rPr>
              <w:t xml:space="preserve"> </w:t>
            </w:r>
            <w:r w:rsidR="00904782" w:rsidRPr="00302E42">
              <w:rPr>
                <w:rFonts w:ascii="Times New Roman" w:hAnsi="Times New Roman" w:cs="Times New Roman"/>
                <w:bCs/>
                <w:sz w:val="24"/>
                <w:szCs w:val="24"/>
              </w:rPr>
              <w:t>visi liellopi, kas ir vecāki par 48</w:t>
            </w:r>
            <w:r w:rsidR="001E1D8F" w:rsidRPr="00302E42">
              <w:rPr>
                <w:rFonts w:ascii="Times New Roman" w:hAnsi="Times New Roman" w:cs="Times New Roman"/>
                <w:bCs/>
                <w:sz w:val="24"/>
                <w:szCs w:val="24"/>
              </w:rPr>
              <w:t> </w:t>
            </w:r>
            <w:r w:rsidR="00904782" w:rsidRPr="00302E42">
              <w:rPr>
                <w:rFonts w:ascii="Times New Roman" w:hAnsi="Times New Roman" w:cs="Times New Roman"/>
                <w:bCs/>
                <w:sz w:val="24"/>
                <w:szCs w:val="24"/>
              </w:rPr>
              <w:t>mēnešiem un ir nobeigušies</w:t>
            </w:r>
            <w:r w:rsidR="0087702E" w:rsidRPr="00302E42">
              <w:rPr>
                <w:rFonts w:ascii="Times New Roman" w:hAnsi="Times New Roman" w:cs="Times New Roman"/>
                <w:bCs/>
                <w:sz w:val="24"/>
                <w:szCs w:val="24"/>
              </w:rPr>
              <w:t xml:space="preserve">, bet nav nokauti lietošanai pārtikā vai epidēmijas likvidēšanai. </w:t>
            </w:r>
            <w:r w:rsidR="00024922" w:rsidRPr="00302E42">
              <w:rPr>
                <w:rFonts w:ascii="Times New Roman" w:hAnsi="Times New Roman" w:cs="Times New Roman"/>
                <w:bCs/>
                <w:sz w:val="24"/>
                <w:szCs w:val="24"/>
              </w:rPr>
              <w:t>Lauksaimniecības datu centrā 2021. gada 1.</w:t>
            </w:r>
            <w:r w:rsidR="001E1D8F" w:rsidRPr="00302E42">
              <w:rPr>
                <w:rFonts w:ascii="Times New Roman" w:hAnsi="Times New Roman" w:cs="Times New Roman"/>
                <w:bCs/>
                <w:sz w:val="24"/>
                <w:szCs w:val="24"/>
              </w:rPr>
              <w:t> </w:t>
            </w:r>
            <w:r w:rsidR="00024922" w:rsidRPr="00302E42">
              <w:rPr>
                <w:rFonts w:ascii="Times New Roman" w:hAnsi="Times New Roman" w:cs="Times New Roman"/>
                <w:bCs/>
                <w:sz w:val="24"/>
                <w:szCs w:val="24"/>
              </w:rPr>
              <w:t>janvār</w:t>
            </w:r>
            <w:r w:rsidR="001E1D8F" w:rsidRPr="00302E42">
              <w:rPr>
                <w:rFonts w:ascii="Times New Roman" w:hAnsi="Times New Roman" w:cs="Times New Roman"/>
                <w:bCs/>
                <w:sz w:val="24"/>
                <w:szCs w:val="24"/>
              </w:rPr>
              <w:t>ī</w:t>
            </w:r>
            <w:r w:rsidR="00024922" w:rsidRPr="00302E42">
              <w:rPr>
                <w:rFonts w:ascii="Times New Roman" w:hAnsi="Times New Roman" w:cs="Times New Roman"/>
                <w:bCs/>
                <w:sz w:val="24"/>
                <w:szCs w:val="24"/>
              </w:rPr>
              <w:t xml:space="preserve"> Latvijā </w:t>
            </w:r>
            <w:r w:rsidR="001E1D8F" w:rsidRPr="00302E42">
              <w:rPr>
                <w:rFonts w:ascii="Times New Roman" w:hAnsi="Times New Roman" w:cs="Times New Roman"/>
                <w:bCs/>
                <w:sz w:val="24"/>
                <w:szCs w:val="24"/>
              </w:rPr>
              <w:t xml:space="preserve">bija </w:t>
            </w:r>
            <w:r w:rsidR="00024922" w:rsidRPr="00302E42">
              <w:rPr>
                <w:rFonts w:ascii="Times New Roman" w:hAnsi="Times New Roman" w:cs="Times New Roman"/>
                <w:bCs/>
                <w:sz w:val="24"/>
                <w:szCs w:val="24"/>
              </w:rPr>
              <w:t xml:space="preserve">reģistrētas 91 886 aitas, no tām 40 214 aitu mātes, un 11 477 kazas, no tām 9 689 kazu mātes. </w:t>
            </w:r>
            <w:r w:rsidR="00257E2D" w:rsidRPr="00302E42">
              <w:rPr>
                <w:rFonts w:ascii="Times New Roman" w:hAnsi="Times New Roman" w:cs="Times New Roman"/>
                <w:bCs/>
                <w:sz w:val="24"/>
                <w:szCs w:val="24"/>
              </w:rPr>
              <w:t>Regulas Nr.</w:t>
            </w:r>
            <w:r w:rsidR="009D0170" w:rsidRPr="00302E42">
              <w:rPr>
                <w:rFonts w:ascii="Times New Roman" w:hAnsi="Times New Roman" w:cs="Times New Roman"/>
                <w:bCs/>
                <w:sz w:val="24"/>
                <w:szCs w:val="24"/>
              </w:rPr>
              <w:t xml:space="preserve"> </w:t>
            </w:r>
            <w:r w:rsidR="00257E2D" w:rsidRPr="00302E42">
              <w:rPr>
                <w:rFonts w:ascii="Times New Roman" w:hAnsi="Times New Roman" w:cs="Times New Roman"/>
                <w:bCs/>
                <w:sz w:val="24"/>
                <w:szCs w:val="24"/>
              </w:rPr>
              <w:t>999/2001 III pielikuma A nodaļas II nodaļas 3.</w:t>
            </w:r>
            <w:r w:rsidR="00FB7CF2" w:rsidRPr="00302E42">
              <w:rPr>
                <w:rFonts w:ascii="Times New Roman" w:hAnsi="Times New Roman" w:cs="Times New Roman"/>
                <w:bCs/>
                <w:sz w:val="24"/>
                <w:szCs w:val="24"/>
              </w:rPr>
              <w:t xml:space="preserve"> </w:t>
            </w:r>
            <w:r w:rsidR="00024922" w:rsidRPr="00302E42">
              <w:rPr>
                <w:rFonts w:ascii="Times New Roman" w:hAnsi="Times New Roman" w:cs="Times New Roman"/>
                <w:bCs/>
                <w:sz w:val="24"/>
                <w:szCs w:val="24"/>
              </w:rPr>
              <w:t xml:space="preserve">un 4. punktā </w:t>
            </w:r>
            <w:r w:rsidR="001E1D8F" w:rsidRPr="00302E42">
              <w:rPr>
                <w:rFonts w:ascii="Times New Roman" w:hAnsi="Times New Roman" w:cs="Times New Roman"/>
                <w:bCs/>
                <w:sz w:val="24"/>
                <w:szCs w:val="24"/>
              </w:rPr>
              <w:t xml:space="preserve">ir </w:t>
            </w:r>
            <w:r w:rsidR="00024922" w:rsidRPr="00302E42">
              <w:rPr>
                <w:rFonts w:ascii="Times New Roman" w:hAnsi="Times New Roman" w:cs="Times New Roman"/>
                <w:bCs/>
                <w:sz w:val="24"/>
                <w:szCs w:val="24"/>
              </w:rPr>
              <w:t>noteikts, ka paraugu daudzums tiek aprēķināts, ņemot vērā aitu kopskaitu attiecīgajā dalībvalstī, un ir paredzēts īstenojamu mērķu sasniegšanai. Ja</w:t>
            </w:r>
            <w:r w:rsidR="00024922" w:rsidRPr="00302E42">
              <w:rPr>
                <w:bCs/>
              </w:rPr>
              <w:t xml:space="preserve"> </w:t>
            </w:r>
            <w:r w:rsidR="00024922" w:rsidRPr="00302E42">
              <w:rPr>
                <w:rFonts w:ascii="Times New Roman" w:hAnsi="Times New Roman" w:cs="Times New Roman"/>
                <w:bCs/>
                <w:sz w:val="24"/>
                <w:szCs w:val="24"/>
              </w:rPr>
              <w:t>dalībvalstī ir 40 000–100 000 aitas un aplecināti jēri, un līdz 40 000 atnesušos kazu un aplecinātu kazu</w:t>
            </w:r>
            <w:r w:rsidR="00257E2D" w:rsidRPr="00302E42">
              <w:rPr>
                <w:rFonts w:ascii="Times New Roman" w:hAnsi="Times New Roman" w:cs="Times New Roman"/>
                <w:bCs/>
                <w:sz w:val="24"/>
                <w:szCs w:val="24"/>
              </w:rPr>
              <w:t xml:space="preserve">, </w:t>
            </w:r>
            <w:r w:rsidR="00024922" w:rsidRPr="00302E42">
              <w:rPr>
                <w:rFonts w:ascii="Times New Roman" w:hAnsi="Times New Roman" w:cs="Times New Roman"/>
                <w:bCs/>
                <w:sz w:val="24"/>
                <w:szCs w:val="24"/>
              </w:rPr>
              <w:t>tad paraugu daudzums TSE uzraudzībai ir 100</w:t>
            </w:r>
            <w:r w:rsidR="001E1D8F" w:rsidRPr="00302E42">
              <w:rPr>
                <w:rFonts w:ascii="Times New Roman" w:hAnsi="Times New Roman" w:cs="Times New Roman"/>
                <w:bCs/>
                <w:sz w:val="24"/>
                <w:szCs w:val="24"/>
              </w:rPr>
              <w:t> </w:t>
            </w:r>
            <w:r w:rsidR="00024922" w:rsidRPr="00302E42">
              <w:rPr>
                <w:rFonts w:ascii="Times New Roman" w:hAnsi="Times New Roman" w:cs="Times New Roman"/>
                <w:bCs/>
                <w:sz w:val="24"/>
                <w:szCs w:val="24"/>
              </w:rPr>
              <w:t xml:space="preserve">% no </w:t>
            </w:r>
            <w:proofErr w:type="spellStart"/>
            <w:r w:rsidR="00D10DAC" w:rsidRPr="00302E42">
              <w:rPr>
                <w:rFonts w:ascii="Times New Roman" w:hAnsi="Times New Roman" w:cs="Times New Roman"/>
                <w:bCs/>
                <w:sz w:val="24"/>
                <w:szCs w:val="24"/>
              </w:rPr>
              <w:t>nobeiguš</w:t>
            </w:r>
            <w:r w:rsidR="00EC5EEE" w:rsidRPr="00302E42">
              <w:rPr>
                <w:rFonts w:ascii="Times New Roman" w:hAnsi="Times New Roman" w:cs="Times New Roman"/>
                <w:bCs/>
                <w:sz w:val="24"/>
                <w:szCs w:val="24"/>
              </w:rPr>
              <w:t>a</w:t>
            </w:r>
            <w:r w:rsidR="001E1D8F" w:rsidRPr="00302E42">
              <w:rPr>
                <w:rFonts w:ascii="Times New Roman" w:hAnsi="Times New Roman" w:cs="Times New Roman"/>
                <w:bCs/>
                <w:sz w:val="24"/>
                <w:szCs w:val="24"/>
              </w:rPr>
              <w:t>mies</w:t>
            </w:r>
            <w:proofErr w:type="spellEnd"/>
            <w:r w:rsidR="00D10DAC" w:rsidRPr="00302E42">
              <w:rPr>
                <w:rFonts w:ascii="Times New Roman" w:hAnsi="Times New Roman" w:cs="Times New Roman"/>
                <w:bCs/>
                <w:sz w:val="24"/>
                <w:szCs w:val="24"/>
              </w:rPr>
              <w:t xml:space="preserve"> </w:t>
            </w:r>
            <w:r w:rsidR="00024922" w:rsidRPr="00302E42">
              <w:rPr>
                <w:rFonts w:ascii="Times New Roman" w:hAnsi="Times New Roman" w:cs="Times New Roman"/>
                <w:bCs/>
                <w:sz w:val="24"/>
                <w:szCs w:val="24"/>
              </w:rPr>
              <w:t xml:space="preserve">aitu un kazu </w:t>
            </w:r>
            <w:r w:rsidR="00D10DAC" w:rsidRPr="00302E42">
              <w:rPr>
                <w:rFonts w:ascii="Times New Roman" w:hAnsi="Times New Roman" w:cs="Times New Roman"/>
                <w:bCs/>
                <w:sz w:val="24"/>
                <w:szCs w:val="24"/>
              </w:rPr>
              <w:t>dzīvniekiem</w:t>
            </w:r>
            <w:r w:rsidR="00D10DAC" w:rsidRPr="00DA2775">
              <w:rPr>
                <w:rFonts w:ascii="Times New Roman" w:hAnsi="Times New Roman" w:cs="Times New Roman"/>
                <w:bCs/>
                <w:sz w:val="24"/>
                <w:szCs w:val="24"/>
              </w:rPr>
              <w:t>,</w:t>
            </w:r>
            <w:r w:rsidR="00D10DAC">
              <w:rPr>
                <w:rFonts w:ascii="Times New Roman" w:hAnsi="Times New Roman" w:cs="Times New Roman"/>
                <w:bCs/>
                <w:sz w:val="24"/>
                <w:szCs w:val="24"/>
              </w:rPr>
              <w:t xml:space="preserve"> kas </w:t>
            </w:r>
            <w:r w:rsidR="00D10DAC" w:rsidRPr="0008713B">
              <w:rPr>
                <w:rFonts w:ascii="Times New Roman" w:hAnsi="Times New Roman" w:cs="Times New Roman"/>
                <w:bCs/>
                <w:sz w:val="24"/>
                <w:szCs w:val="24"/>
              </w:rPr>
              <w:t>vecāki par 18</w:t>
            </w:r>
            <w:r w:rsidR="009A60FC">
              <w:rPr>
                <w:rFonts w:ascii="Times New Roman" w:hAnsi="Times New Roman" w:cs="Times New Roman"/>
                <w:bCs/>
                <w:sz w:val="24"/>
                <w:szCs w:val="24"/>
              </w:rPr>
              <w:t> </w:t>
            </w:r>
            <w:r w:rsidR="00D10DAC" w:rsidRPr="0008713B">
              <w:rPr>
                <w:rFonts w:ascii="Times New Roman" w:hAnsi="Times New Roman" w:cs="Times New Roman"/>
                <w:bCs/>
                <w:sz w:val="24"/>
                <w:szCs w:val="24"/>
              </w:rPr>
              <w:t>mēnešiem vai kam izšķīlušies vairāk</w:t>
            </w:r>
            <w:r w:rsidR="00D10DAC">
              <w:rPr>
                <w:rFonts w:ascii="Times New Roman" w:hAnsi="Times New Roman" w:cs="Times New Roman"/>
                <w:bCs/>
                <w:sz w:val="24"/>
                <w:szCs w:val="24"/>
              </w:rPr>
              <w:t xml:space="preserve"> </w:t>
            </w:r>
            <w:r w:rsidR="00D10DAC" w:rsidRPr="0008713B">
              <w:rPr>
                <w:rFonts w:ascii="Times New Roman" w:hAnsi="Times New Roman" w:cs="Times New Roman"/>
                <w:bCs/>
                <w:sz w:val="24"/>
                <w:szCs w:val="24"/>
              </w:rPr>
              <w:t>nekā divi pastāvīgie priekšzobi.</w:t>
            </w:r>
            <w:r w:rsidR="00D10DAC">
              <w:rPr>
                <w:rFonts w:ascii="Times New Roman" w:hAnsi="Times New Roman" w:cs="Times New Roman"/>
                <w:bCs/>
                <w:sz w:val="24"/>
                <w:szCs w:val="24"/>
              </w:rPr>
              <w:t xml:space="preserve"> </w:t>
            </w:r>
          </w:p>
          <w:p w14:paraId="5D10B046" w14:textId="1710A829" w:rsidR="00D10DAC" w:rsidRPr="005E7DFD" w:rsidRDefault="00D10DAC" w:rsidP="00D10DAC">
            <w:pPr>
              <w:pStyle w:val="Bezatstarpm"/>
              <w:jc w:val="both"/>
              <w:rPr>
                <w:rFonts w:ascii="Times New Roman" w:hAnsi="Times New Roman" w:cs="Times New Roman"/>
                <w:bCs/>
                <w:sz w:val="24"/>
                <w:szCs w:val="24"/>
              </w:rPr>
            </w:pPr>
            <w:r w:rsidRPr="00426FF9">
              <w:rPr>
                <w:rFonts w:ascii="Times New Roman" w:hAnsi="Times New Roman" w:cs="Times New Roman"/>
                <w:bCs/>
                <w:sz w:val="24"/>
                <w:szCs w:val="24"/>
              </w:rPr>
              <w:t>Visus paraugus, ko paredzēts pārbaudīt attiecībā uz TSE klātbūtni, ievāc,</w:t>
            </w:r>
            <w:r w:rsidR="00A138C3">
              <w:rPr>
                <w:rFonts w:ascii="Times New Roman" w:hAnsi="Times New Roman" w:cs="Times New Roman"/>
                <w:bCs/>
                <w:sz w:val="24"/>
                <w:szCs w:val="24"/>
              </w:rPr>
              <w:t xml:space="preserve"> </w:t>
            </w:r>
            <w:r w:rsidRPr="00426FF9">
              <w:rPr>
                <w:rFonts w:ascii="Times New Roman" w:hAnsi="Times New Roman" w:cs="Times New Roman"/>
                <w:bCs/>
                <w:sz w:val="24"/>
                <w:szCs w:val="24"/>
              </w:rPr>
              <w:t>izmantojot Pasaules Dzīvnieku veselības organizācijas (OIE) “Sauszemes</w:t>
            </w:r>
            <w:r w:rsidR="00A138C3">
              <w:rPr>
                <w:rFonts w:ascii="Times New Roman" w:hAnsi="Times New Roman" w:cs="Times New Roman"/>
                <w:bCs/>
                <w:sz w:val="24"/>
                <w:szCs w:val="24"/>
              </w:rPr>
              <w:t xml:space="preserve"> </w:t>
            </w:r>
            <w:r w:rsidRPr="00426FF9">
              <w:rPr>
                <w:rFonts w:ascii="Times New Roman" w:hAnsi="Times New Roman" w:cs="Times New Roman"/>
                <w:bCs/>
                <w:sz w:val="24"/>
                <w:szCs w:val="24"/>
              </w:rPr>
              <w:t xml:space="preserve">dzīvnieku diagnostisko testu un vakcīnu rokasgrāmatas” (turpmāk – </w:t>
            </w:r>
            <w:r w:rsidRPr="005E7DFD">
              <w:rPr>
                <w:rFonts w:ascii="Times New Roman" w:hAnsi="Times New Roman" w:cs="Times New Roman"/>
                <w:bCs/>
                <w:sz w:val="24"/>
                <w:szCs w:val="24"/>
              </w:rPr>
              <w:t>rokasgrāmata) jaunākajā izdevumā paredzētās metodes un protokolus.</w:t>
            </w:r>
          </w:p>
          <w:p w14:paraId="1CE38B16" w14:textId="45EE018F" w:rsidR="00405D43" w:rsidRPr="005E7DFD" w:rsidRDefault="009A60FC" w:rsidP="005E7DFD">
            <w:pPr>
              <w:pStyle w:val="Bezatstarpm"/>
              <w:ind w:left="31" w:hanging="31"/>
              <w:jc w:val="both"/>
              <w:rPr>
                <w:rFonts w:ascii="Times New Roman" w:hAnsi="Times New Roman" w:cs="Times New Roman"/>
                <w:bCs/>
                <w:sz w:val="24"/>
                <w:szCs w:val="24"/>
              </w:rPr>
            </w:pPr>
            <w:r>
              <w:rPr>
                <w:rFonts w:ascii="Times New Roman" w:hAnsi="Times New Roman" w:cs="Times New Roman"/>
                <w:bCs/>
                <w:sz w:val="24"/>
                <w:szCs w:val="24"/>
              </w:rPr>
              <w:t>Pašlaik</w:t>
            </w:r>
            <w:r w:rsidR="00405D43" w:rsidRPr="005E7DFD">
              <w:rPr>
                <w:rFonts w:ascii="Times New Roman" w:hAnsi="Times New Roman" w:cs="Times New Roman"/>
                <w:bCs/>
                <w:sz w:val="24"/>
                <w:szCs w:val="24"/>
              </w:rPr>
              <w:t xml:space="preserve"> paraugus izmeklēšanai uz TSE no dzīvnieku līķiem </w:t>
            </w:r>
            <w:r w:rsidR="00405D43" w:rsidRPr="00D753D2">
              <w:rPr>
                <w:rFonts w:ascii="Times New Roman" w:hAnsi="Times New Roman" w:cs="Times New Roman"/>
                <w:bCs/>
                <w:sz w:val="24"/>
                <w:szCs w:val="24"/>
              </w:rPr>
              <w:t xml:space="preserve">noņem </w:t>
            </w:r>
            <w:r w:rsidR="00D753D2" w:rsidRPr="00D753D2">
              <w:rPr>
                <w:rFonts w:ascii="Times New Roman" w:hAnsi="Times New Roman" w:cs="Times New Roman"/>
                <w:sz w:val="24"/>
                <w:szCs w:val="24"/>
              </w:rPr>
              <w:t>Pārtikas un veterinārā dienest</w:t>
            </w:r>
            <w:r w:rsidR="00D753D2">
              <w:rPr>
                <w:rFonts w:ascii="Times New Roman" w:hAnsi="Times New Roman" w:cs="Times New Roman"/>
                <w:sz w:val="24"/>
                <w:szCs w:val="24"/>
              </w:rPr>
              <w:t>a</w:t>
            </w:r>
            <w:r w:rsidR="00D753D2" w:rsidRPr="00D753D2">
              <w:rPr>
                <w:rFonts w:ascii="Times New Roman" w:hAnsi="Times New Roman" w:cs="Times New Roman"/>
                <w:sz w:val="24"/>
                <w:szCs w:val="24"/>
              </w:rPr>
              <w:t xml:space="preserve"> (turpmāk – </w:t>
            </w:r>
            <w:r w:rsidR="00405D43" w:rsidRPr="00D753D2">
              <w:rPr>
                <w:rFonts w:ascii="Times New Roman" w:hAnsi="Times New Roman" w:cs="Times New Roman"/>
                <w:bCs/>
                <w:sz w:val="24"/>
                <w:szCs w:val="24"/>
              </w:rPr>
              <w:t>PVD</w:t>
            </w:r>
            <w:r w:rsidR="00D753D2">
              <w:rPr>
                <w:rFonts w:ascii="Times New Roman" w:hAnsi="Times New Roman" w:cs="Times New Roman"/>
                <w:bCs/>
                <w:sz w:val="24"/>
                <w:szCs w:val="24"/>
              </w:rPr>
              <w:t>)</w:t>
            </w:r>
            <w:r w:rsidR="00405D43" w:rsidRPr="00D753D2">
              <w:rPr>
                <w:rFonts w:ascii="Times New Roman" w:hAnsi="Times New Roman" w:cs="Times New Roman"/>
                <w:bCs/>
                <w:sz w:val="24"/>
                <w:szCs w:val="24"/>
              </w:rPr>
              <w:t xml:space="preserve"> pilnvaroti praktizējoši</w:t>
            </w:r>
            <w:r w:rsidR="00405D43" w:rsidRPr="005E7DFD">
              <w:rPr>
                <w:rFonts w:ascii="Times New Roman" w:hAnsi="Times New Roman" w:cs="Times New Roman"/>
                <w:bCs/>
                <w:sz w:val="24"/>
                <w:szCs w:val="24"/>
              </w:rPr>
              <w:t xml:space="preserve"> veterinārārsti</w:t>
            </w:r>
            <w:r w:rsidR="0035462E" w:rsidRPr="005E7DFD">
              <w:rPr>
                <w:rFonts w:ascii="Times New Roman" w:hAnsi="Times New Roman" w:cs="Times New Roman"/>
                <w:bCs/>
                <w:sz w:val="24"/>
                <w:szCs w:val="24"/>
              </w:rPr>
              <w:t xml:space="preserve"> </w:t>
            </w:r>
            <w:r w:rsidR="00565DA5" w:rsidRPr="005E7DFD">
              <w:rPr>
                <w:rFonts w:ascii="Times New Roman" w:hAnsi="Times New Roman" w:cs="Times New Roman"/>
                <w:bCs/>
                <w:sz w:val="24"/>
                <w:szCs w:val="24"/>
              </w:rPr>
              <w:t>(</w:t>
            </w:r>
            <w:r>
              <w:rPr>
                <w:rFonts w:ascii="Times New Roman" w:hAnsi="Times New Roman" w:cs="Times New Roman"/>
                <w:bCs/>
                <w:sz w:val="24"/>
                <w:szCs w:val="24"/>
              </w:rPr>
              <w:t>patlaban ir</w:t>
            </w:r>
            <w:r w:rsidR="00565DA5" w:rsidRPr="005E7DFD">
              <w:rPr>
                <w:rFonts w:ascii="Times New Roman" w:hAnsi="Times New Roman" w:cs="Times New Roman"/>
                <w:bCs/>
                <w:sz w:val="24"/>
                <w:szCs w:val="24"/>
              </w:rPr>
              <w:t xml:space="preserve"> </w:t>
            </w:r>
            <w:r w:rsidR="005E7DFD" w:rsidRPr="005E7DFD">
              <w:rPr>
                <w:rFonts w:ascii="Times New Roman" w:hAnsi="Times New Roman" w:cs="Times New Roman"/>
                <w:bCs/>
                <w:sz w:val="24"/>
                <w:szCs w:val="24"/>
              </w:rPr>
              <w:t xml:space="preserve">pilnvaroti </w:t>
            </w:r>
            <w:r w:rsidR="00565DA5" w:rsidRPr="005E7DFD">
              <w:rPr>
                <w:rFonts w:ascii="Times New Roman" w:hAnsi="Times New Roman" w:cs="Times New Roman"/>
                <w:bCs/>
                <w:sz w:val="24"/>
                <w:szCs w:val="24"/>
              </w:rPr>
              <w:t>3</w:t>
            </w:r>
            <w:r w:rsidR="00C150B6" w:rsidRPr="005E7DFD">
              <w:rPr>
                <w:rFonts w:ascii="Times New Roman" w:hAnsi="Times New Roman" w:cs="Times New Roman"/>
                <w:bCs/>
                <w:sz w:val="24"/>
                <w:szCs w:val="24"/>
              </w:rPr>
              <w:t>82</w:t>
            </w:r>
            <w:r w:rsidR="005E7DFD" w:rsidRPr="005E7DFD">
              <w:t xml:space="preserve"> </w:t>
            </w:r>
            <w:r w:rsidR="005E7DFD" w:rsidRPr="005E7DFD">
              <w:rPr>
                <w:rFonts w:ascii="Times New Roman" w:hAnsi="Times New Roman" w:cs="Times New Roman"/>
                <w:bCs/>
                <w:sz w:val="24"/>
                <w:szCs w:val="24"/>
              </w:rPr>
              <w:t>praktizējoši veterinārārsti</w:t>
            </w:r>
            <w:r w:rsidR="00565DA5" w:rsidRPr="005E7DFD">
              <w:rPr>
                <w:rFonts w:ascii="Times New Roman" w:hAnsi="Times New Roman" w:cs="Times New Roman"/>
                <w:bCs/>
                <w:sz w:val="24"/>
                <w:szCs w:val="24"/>
              </w:rPr>
              <w:t xml:space="preserve">) </w:t>
            </w:r>
            <w:r w:rsidR="00405D43" w:rsidRPr="005E7DFD">
              <w:rPr>
                <w:rFonts w:ascii="Times New Roman" w:hAnsi="Times New Roman" w:cs="Times New Roman"/>
                <w:bCs/>
                <w:sz w:val="24"/>
                <w:szCs w:val="24"/>
              </w:rPr>
              <w:t xml:space="preserve">dzīvnieku </w:t>
            </w:r>
            <w:r w:rsidR="005E7DFD" w:rsidRPr="005E7DFD">
              <w:rPr>
                <w:rFonts w:ascii="Times New Roman" w:hAnsi="Times New Roman" w:cs="Times New Roman"/>
                <w:bCs/>
                <w:sz w:val="24"/>
                <w:szCs w:val="24"/>
              </w:rPr>
              <w:t>nobeigšanās</w:t>
            </w:r>
            <w:r w:rsidR="00150417" w:rsidRPr="005E7DFD">
              <w:rPr>
                <w:rFonts w:ascii="Times New Roman" w:hAnsi="Times New Roman" w:cs="Times New Roman"/>
                <w:bCs/>
                <w:sz w:val="24"/>
                <w:szCs w:val="24"/>
              </w:rPr>
              <w:t xml:space="preserve"> </w:t>
            </w:r>
            <w:r w:rsidR="00405D43" w:rsidRPr="005E7DFD">
              <w:rPr>
                <w:rFonts w:ascii="Times New Roman" w:hAnsi="Times New Roman" w:cs="Times New Roman"/>
                <w:bCs/>
                <w:sz w:val="24"/>
                <w:szCs w:val="24"/>
              </w:rPr>
              <w:t>vietā – dzīvnieku novietnē vai ganībās</w:t>
            </w:r>
            <w:r w:rsidR="0035462E" w:rsidRPr="005E7DFD">
              <w:rPr>
                <w:rFonts w:ascii="Times New Roman" w:hAnsi="Times New Roman" w:cs="Times New Roman"/>
                <w:bCs/>
                <w:sz w:val="24"/>
                <w:szCs w:val="24"/>
              </w:rPr>
              <w:t>,</w:t>
            </w:r>
            <w:r w:rsidR="00405D43" w:rsidRPr="005E7DFD">
              <w:rPr>
                <w:rFonts w:ascii="Times New Roman" w:hAnsi="Times New Roman" w:cs="Times New Roman"/>
                <w:bCs/>
                <w:sz w:val="24"/>
                <w:szCs w:val="24"/>
              </w:rPr>
              <w:t xml:space="preserve"> </w:t>
            </w:r>
            <w:r w:rsidR="001B19F8" w:rsidRPr="005E7DFD">
              <w:rPr>
                <w:rFonts w:ascii="Times New Roman" w:hAnsi="Times New Roman" w:cs="Times New Roman"/>
                <w:bCs/>
                <w:sz w:val="24"/>
                <w:szCs w:val="24"/>
              </w:rPr>
              <w:t xml:space="preserve">veicot līķa daļēju sekciju un atdalot galvu. </w:t>
            </w:r>
            <w:r w:rsidR="00565DA5" w:rsidRPr="005E7DFD">
              <w:rPr>
                <w:rFonts w:ascii="Times New Roman" w:hAnsi="Times New Roman" w:cs="Times New Roman"/>
                <w:bCs/>
                <w:sz w:val="24"/>
                <w:szCs w:val="24"/>
              </w:rPr>
              <w:t xml:space="preserve">Latvijā </w:t>
            </w:r>
            <w:r>
              <w:rPr>
                <w:rFonts w:ascii="Times New Roman" w:hAnsi="Times New Roman" w:cs="Times New Roman"/>
                <w:bCs/>
                <w:sz w:val="24"/>
                <w:szCs w:val="24"/>
              </w:rPr>
              <w:t>pašlaik</w:t>
            </w:r>
            <w:r w:rsidR="00565DA5" w:rsidRPr="005E7DFD">
              <w:rPr>
                <w:rFonts w:ascii="Times New Roman" w:hAnsi="Times New Roman" w:cs="Times New Roman"/>
                <w:bCs/>
                <w:sz w:val="24"/>
                <w:szCs w:val="24"/>
              </w:rPr>
              <w:t xml:space="preserve"> </w:t>
            </w:r>
            <w:r w:rsidR="00565DA5" w:rsidRPr="00D753D2">
              <w:rPr>
                <w:rFonts w:ascii="Times New Roman" w:hAnsi="Times New Roman" w:cs="Times New Roman"/>
                <w:bCs/>
                <w:sz w:val="24"/>
                <w:szCs w:val="24"/>
              </w:rPr>
              <w:t xml:space="preserve">ir </w:t>
            </w:r>
            <w:r w:rsidR="00565DA5" w:rsidRPr="00EC40C7">
              <w:rPr>
                <w:rFonts w:ascii="Times New Roman" w:hAnsi="Times New Roman" w:cs="Times New Roman"/>
                <w:bCs/>
                <w:sz w:val="24"/>
                <w:szCs w:val="24"/>
              </w:rPr>
              <w:t>vairāk</w:t>
            </w:r>
            <w:r w:rsidR="00565DA5" w:rsidRPr="00D753D2">
              <w:rPr>
                <w:rFonts w:ascii="Times New Roman" w:hAnsi="Times New Roman" w:cs="Times New Roman"/>
                <w:bCs/>
                <w:sz w:val="24"/>
                <w:szCs w:val="24"/>
              </w:rPr>
              <w:t xml:space="preserve"> nekā</w:t>
            </w:r>
            <w:r w:rsidR="00565DA5" w:rsidRPr="005E7DFD">
              <w:rPr>
                <w:rFonts w:ascii="Times New Roman" w:hAnsi="Times New Roman" w:cs="Times New Roman"/>
                <w:bCs/>
                <w:sz w:val="24"/>
                <w:szCs w:val="24"/>
              </w:rPr>
              <w:t xml:space="preserve"> 20 000 noviet</w:t>
            </w:r>
            <w:r>
              <w:rPr>
                <w:rFonts w:ascii="Times New Roman" w:hAnsi="Times New Roman" w:cs="Times New Roman"/>
                <w:bCs/>
                <w:sz w:val="24"/>
                <w:szCs w:val="24"/>
              </w:rPr>
              <w:t>ņu</w:t>
            </w:r>
            <w:r w:rsidR="00565DA5" w:rsidRPr="005E7DFD">
              <w:rPr>
                <w:rFonts w:ascii="Times New Roman" w:hAnsi="Times New Roman" w:cs="Times New Roman"/>
                <w:bCs/>
                <w:sz w:val="24"/>
                <w:szCs w:val="24"/>
              </w:rPr>
              <w:t>, kurās tiek turētas govis, aitas vai kazas</w:t>
            </w:r>
            <w:r w:rsidR="005E7DFD" w:rsidRPr="005E7DFD">
              <w:rPr>
                <w:rFonts w:ascii="Times New Roman" w:hAnsi="Times New Roman" w:cs="Times New Roman"/>
                <w:bCs/>
                <w:sz w:val="24"/>
                <w:szCs w:val="24"/>
              </w:rPr>
              <w:t xml:space="preserve">. </w:t>
            </w:r>
            <w:r>
              <w:rPr>
                <w:rFonts w:ascii="Times New Roman" w:hAnsi="Times New Roman" w:cs="Times New Roman"/>
                <w:bCs/>
                <w:sz w:val="24"/>
                <w:szCs w:val="24"/>
              </w:rPr>
              <w:t>Tādējādi</w:t>
            </w:r>
            <w:r w:rsidR="001454CB" w:rsidRPr="005E7DFD">
              <w:rPr>
                <w:rFonts w:ascii="Times New Roman" w:hAnsi="Times New Roman" w:cs="Times New Roman"/>
                <w:bCs/>
                <w:sz w:val="24"/>
                <w:szCs w:val="24"/>
              </w:rPr>
              <w:t xml:space="preserve"> nokļūšana līdz novietnēm, kā arī noņemto paraugu </w:t>
            </w:r>
            <w:r w:rsidR="001454CB" w:rsidRPr="00D753D2">
              <w:rPr>
                <w:rFonts w:ascii="Times New Roman" w:hAnsi="Times New Roman" w:cs="Times New Roman"/>
                <w:bCs/>
                <w:sz w:val="24"/>
                <w:szCs w:val="24"/>
              </w:rPr>
              <w:t xml:space="preserve">nogādāšana </w:t>
            </w:r>
            <w:r w:rsidR="00150417" w:rsidRPr="00D753D2">
              <w:rPr>
                <w:rFonts w:ascii="Times New Roman" w:hAnsi="Times New Roman" w:cs="Times New Roman"/>
                <w:bCs/>
                <w:sz w:val="24"/>
                <w:szCs w:val="24"/>
              </w:rPr>
              <w:t>uz</w:t>
            </w:r>
            <w:r w:rsidR="001454CB" w:rsidRPr="00D753D2">
              <w:rPr>
                <w:rFonts w:ascii="Times New Roman" w:hAnsi="Times New Roman" w:cs="Times New Roman"/>
                <w:bCs/>
                <w:sz w:val="24"/>
                <w:szCs w:val="24"/>
              </w:rPr>
              <w:t xml:space="preserve"> </w:t>
            </w:r>
            <w:r w:rsidR="00D753D2" w:rsidRPr="001E2295">
              <w:rPr>
                <w:rFonts w:ascii="Times New Roman" w:hAnsi="Times New Roman" w:cs="Times New Roman"/>
                <w:sz w:val="24"/>
                <w:szCs w:val="24"/>
              </w:rPr>
              <w:t xml:space="preserve">Pārtikas drošības, dzīvnieku veselības un vides zinātnisko institūtu </w:t>
            </w:r>
            <w:r w:rsidR="00D753D2">
              <w:rPr>
                <w:rFonts w:ascii="Times New Roman" w:hAnsi="Times New Roman" w:cs="Times New Roman"/>
                <w:color w:val="414142"/>
                <w:sz w:val="24"/>
                <w:szCs w:val="24"/>
              </w:rPr>
              <w:t>“</w:t>
            </w:r>
            <w:r w:rsidR="001454CB" w:rsidRPr="00D753D2">
              <w:rPr>
                <w:rFonts w:ascii="Times New Roman" w:hAnsi="Times New Roman" w:cs="Times New Roman"/>
                <w:bCs/>
                <w:sz w:val="24"/>
                <w:szCs w:val="24"/>
              </w:rPr>
              <w:t>BIOR</w:t>
            </w:r>
            <w:r w:rsidR="00D753D2">
              <w:rPr>
                <w:rFonts w:ascii="Times New Roman" w:hAnsi="Times New Roman" w:cs="Times New Roman"/>
                <w:bCs/>
                <w:sz w:val="24"/>
                <w:szCs w:val="24"/>
              </w:rPr>
              <w:t>”</w:t>
            </w:r>
            <w:r w:rsidR="001454CB" w:rsidRPr="00D753D2">
              <w:rPr>
                <w:rFonts w:ascii="Times New Roman" w:hAnsi="Times New Roman" w:cs="Times New Roman"/>
                <w:bCs/>
                <w:sz w:val="24"/>
                <w:szCs w:val="24"/>
              </w:rPr>
              <w:t xml:space="preserve"> paraugu pieņemšanas punktiem</w:t>
            </w:r>
            <w:r w:rsidR="00150417" w:rsidRPr="00D753D2">
              <w:rPr>
                <w:rFonts w:ascii="Times New Roman" w:hAnsi="Times New Roman" w:cs="Times New Roman"/>
                <w:bCs/>
                <w:sz w:val="24"/>
                <w:szCs w:val="24"/>
              </w:rPr>
              <w:t xml:space="preserve"> un</w:t>
            </w:r>
            <w:r w:rsidR="006D0425" w:rsidRPr="00D753D2">
              <w:rPr>
                <w:rFonts w:ascii="Times New Roman" w:hAnsi="Times New Roman" w:cs="Times New Roman"/>
                <w:bCs/>
                <w:sz w:val="24"/>
                <w:szCs w:val="24"/>
              </w:rPr>
              <w:t xml:space="preserve"> dokumentācijas sagatavošana par</w:t>
            </w:r>
            <w:r w:rsidR="006D0425" w:rsidRPr="005E7DFD">
              <w:rPr>
                <w:rFonts w:ascii="Times New Roman" w:hAnsi="Times New Roman" w:cs="Times New Roman"/>
                <w:bCs/>
                <w:sz w:val="24"/>
                <w:szCs w:val="24"/>
              </w:rPr>
              <w:t xml:space="preserve"> katru noņemto paraugu </w:t>
            </w:r>
            <w:r w:rsidR="001454CB" w:rsidRPr="005E7DFD">
              <w:rPr>
                <w:rFonts w:ascii="Times New Roman" w:hAnsi="Times New Roman" w:cs="Times New Roman"/>
                <w:bCs/>
                <w:sz w:val="24"/>
                <w:szCs w:val="24"/>
              </w:rPr>
              <w:t xml:space="preserve">rada papildu </w:t>
            </w:r>
            <w:r w:rsidR="006D0425" w:rsidRPr="005E7DFD">
              <w:rPr>
                <w:rFonts w:ascii="Times New Roman" w:hAnsi="Times New Roman" w:cs="Times New Roman"/>
                <w:bCs/>
                <w:sz w:val="24"/>
                <w:szCs w:val="24"/>
              </w:rPr>
              <w:t xml:space="preserve">slogu gan </w:t>
            </w:r>
            <w:r w:rsidR="004F48B5" w:rsidRPr="005E7DFD">
              <w:rPr>
                <w:rFonts w:ascii="Times New Roman" w:hAnsi="Times New Roman" w:cs="Times New Roman"/>
                <w:bCs/>
                <w:sz w:val="24"/>
                <w:szCs w:val="24"/>
              </w:rPr>
              <w:t>PVD</w:t>
            </w:r>
            <w:r w:rsidR="006D0425" w:rsidRPr="005E7DFD">
              <w:rPr>
                <w:rFonts w:ascii="Times New Roman" w:hAnsi="Times New Roman" w:cs="Times New Roman"/>
                <w:bCs/>
                <w:sz w:val="24"/>
                <w:szCs w:val="24"/>
              </w:rPr>
              <w:t xml:space="preserve"> pilnvarotajiem veterinārārstiem, gan P</w:t>
            </w:r>
            <w:r w:rsidR="003E52FA" w:rsidRPr="005E7DFD">
              <w:rPr>
                <w:rFonts w:ascii="Times New Roman" w:hAnsi="Times New Roman" w:cs="Times New Roman"/>
                <w:bCs/>
                <w:sz w:val="24"/>
                <w:szCs w:val="24"/>
              </w:rPr>
              <w:t>V</w:t>
            </w:r>
            <w:r w:rsidR="006D0425" w:rsidRPr="005E7DFD">
              <w:rPr>
                <w:rFonts w:ascii="Times New Roman" w:hAnsi="Times New Roman" w:cs="Times New Roman"/>
                <w:bCs/>
                <w:sz w:val="24"/>
                <w:szCs w:val="24"/>
              </w:rPr>
              <w:t>D</w:t>
            </w:r>
            <w:r w:rsidR="003E52FA" w:rsidRPr="005E7DFD">
              <w:rPr>
                <w:rFonts w:ascii="Times New Roman" w:hAnsi="Times New Roman" w:cs="Times New Roman"/>
                <w:bCs/>
                <w:sz w:val="24"/>
                <w:szCs w:val="24"/>
              </w:rPr>
              <w:t xml:space="preserve">, </w:t>
            </w:r>
            <w:r>
              <w:rPr>
                <w:rFonts w:ascii="Times New Roman" w:hAnsi="Times New Roman" w:cs="Times New Roman"/>
                <w:bCs/>
                <w:sz w:val="24"/>
                <w:szCs w:val="24"/>
              </w:rPr>
              <w:t>jo</w:t>
            </w:r>
            <w:r w:rsidR="003E52FA" w:rsidRPr="005E7DFD">
              <w:rPr>
                <w:rFonts w:ascii="Times New Roman" w:hAnsi="Times New Roman" w:cs="Times New Roman"/>
                <w:bCs/>
                <w:sz w:val="24"/>
                <w:szCs w:val="24"/>
              </w:rPr>
              <w:t xml:space="preserve"> dokumentu</w:t>
            </w:r>
            <w:r>
              <w:rPr>
                <w:rFonts w:ascii="Times New Roman" w:hAnsi="Times New Roman" w:cs="Times New Roman"/>
                <w:bCs/>
                <w:sz w:val="24"/>
                <w:szCs w:val="24"/>
              </w:rPr>
              <w:t>s nepieciešams</w:t>
            </w:r>
            <w:r w:rsidR="003E52FA" w:rsidRPr="005E7DFD">
              <w:rPr>
                <w:rFonts w:ascii="Times New Roman" w:hAnsi="Times New Roman" w:cs="Times New Roman"/>
                <w:bCs/>
                <w:sz w:val="24"/>
                <w:szCs w:val="24"/>
              </w:rPr>
              <w:t xml:space="preserve"> aizpildī</w:t>
            </w:r>
            <w:r>
              <w:rPr>
                <w:rFonts w:ascii="Times New Roman" w:hAnsi="Times New Roman" w:cs="Times New Roman"/>
                <w:bCs/>
                <w:sz w:val="24"/>
                <w:szCs w:val="24"/>
              </w:rPr>
              <w:t>t</w:t>
            </w:r>
            <w:r w:rsidR="003E52FA" w:rsidRPr="005E7DFD">
              <w:rPr>
                <w:rFonts w:ascii="Times New Roman" w:hAnsi="Times New Roman" w:cs="Times New Roman"/>
                <w:bCs/>
                <w:sz w:val="24"/>
                <w:szCs w:val="24"/>
              </w:rPr>
              <w:t>, nogādā</w:t>
            </w:r>
            <w:r>
              <w:rPr>
                <w:rFonts w:ascii="Times New Roman" w:hAnsi="Times New Roman" w:cs="Times New Roman"/>
                <w:bCs/>
                <w:sz w:val="24"/>
                <w:szCs w:val="24"/>
              </w:rPr>
              <w:t>t</w:t>
            </w:r>
            <w:r w:rsidR="003E52FA" w:rsidRPr="005E7DFD">
              <w:rPr>
                <w:rFonts w:ascii="Times New Roman" w:hAnsi="Times New Roman" w:cs="Times New Roman"/>
                <w:bCs/>
                <w:sz w:val="24"/>
                <w:szCs w:val="24"/>
              </w:rPr>
              <w:t xml:space="preserve"> PVD, apstrād</w:t>
            </w:r>
            <w:r>
              <w:rPr>
                <w:rFonts w:ascii="Times New Roman" w:hAnsi="Times New Roman" w:cs="Times New Roman"/>
                <w:bCs/>
                <w:sz w:val="24"/>
                <w:szCs w:val="24"/>
              </w:rPr>
              <w:t>āt</w:t>
            </w:r>
            <w:r w:rsidR="003E52FA" w:rsidRPr="005E7DFD">
              <w:rPr>
                <w:rFonts w:ascii="Times New Roman" w:hAnsi="Times New Roman" w:cs="Times New Roman"/>
                <w:bCs/>
                <w:sz w:val="24"/>
                <w:szCs w:val="24"/>
              </w:rPr>
              <w:t xml:space="preserve"> un </w:t>
            </w:r>
            <w:r>
              <w:rPr>
                <w:rFonts w:ascii="Times New Roman" w:hAnsi="Times New Roman" w:cs="Times New Roman"/>
                <w:bCs/>
                <w:sz w:val="24"/>
                <w:szCs w:val="24"/>
              </w:rPr>
              <w:t xml:space="preserve">datus </w:t>
            </w:r>
            <w:r w:rsidR="003E52FA" w:rsidRPr="005E7DFD">
              <w:rPr>
                <w:rFonts w:ascii="Times New Roman" w:hAnsi="Times New Roman" w:cs="Times New Roman"/>
                <w:bCs/>
                <w:sz w:val="24"/>
                <w:szCs w:val="24"/>
              </w:rPr>
              <w:t>ievad</w:t>
            </w:r>
            <w:r>
              <w:rPr>
                <w:rFonts w:ascii="Times New Roman" w:hAnsi="Times New Roman" w:cs="Times New Roman"/>
                <w:bCs/>
                <w:sz w:val="24"/>
                <w:szCs w:val="24"/>
              </w:rPr>
              <w:t>īt</w:t>
            </w:r>
            <w:r w:rsidR="003E52FA" w:rsidRPr="005E7DFD">
              <w:rPr>
                <w:rFonts w:ascii="Times New Roman" w:hAnsi="Times New Roman" w:cs="Times New Roman"/>
                <w:bCs/>
                <w:sz w:val="24"/>
                <w:szCs w:val="24"/>
              </w:rPr>
              <w:t xml:space="preserve"> reģistros un grāmatvedības sistēmā.</w:t>
            </w:r>
            <w:r w:rsidR="00150417" w:rsidRPr="005E7DFD">
              <w:rPr>
                <w:rFonts w:ascii="Times New Roman" w:hAnsi="Times New Roman" w:cs="Times New Roman"/>
                <w:bCs/>
                <w:sz w:val="24"/>
                <w:szCs w:val="24"/>
              </w:rPr>
              <w:t xml:space="preserve"> </w:t>
            </w:r>
            <w:r w:rsidR="005E7DFD" w:rsidRPr="005E7DFD">
              <w:rPr>
                <w:rFonts w:ascii="Times New Roman" w:hAnsi="Times New Roman" w:cs="Times New Roman"/>
                <w:bCs/>
                <w:sz w:val="24"/>
                <w:szCs w:val="24"/>
              </w:rPr>
              <w:t xml:space="preserve">TSE parauga ņemšana nepiemērotos apstākļos (dzīvnieku novietnē vai ganībās) </w:t>
            </w:r>
            <w:r w:rsidR="0035462E" w:rsidRPr="005E7DFD">
              <w:rPr>
                <w:rFonts w:ascii="Times New Roman" w:hAnsi="Times New Roman" w:cs="Times New Roman"/>
                <w:bCs/>
                <w:sz w:val="24"/>
                <w:szCs w:val="24"/>
              </w:rPr>
              <w:t xml:space="preserve">var </w:t>
            </w:r>
            <w:r w:rsidR="00405D43" w:rsidRPr="005E7DFD">
              <w:rPr>
                <w:rFonts w:ascii="Times New Roman" w:hAnsi="Times New Roman" w:cs="Times New Roman"/>
                <w:bCs/>
                <w:sz w:val="24"/>
                <w:szCs w:val="24"/>
              </w:rPr>
              <w:t xml:space="preserve">radīt </w:t>
            </w:r>
            <w:r w:rsidR="005E7DFD" w:rsidRPr="005E7DFD">
              <w:rPr>
                <w:rFonts w:ascii="Times New Roman" w:hAnsi="Times New Roman" w:cs="Times New Roman"/>
                <w:bCs/>
                <w:sz w:val="24"/>
                <w:szCs w:val="24"/>
              </w:rPr>
              <w:t>piesārņojum</w:t>
            </w:r>
            <w:r w:rsidR="007B51EC">
              <w:rPr>
                <w:rFonts w:ascii="Times New Roman" w:hAnsi="Times New Roman" w:cs="Times New Roman"/>
                <w:bCs/>
                <w:sz w:val="24"/>
                <w:szCs w:val="24"/>
              </w:rPr>
              <w:t>u</w:t>
            </w:r>
            <w:r w:rsidR="005E7DFD" w:rsidRPr="005E7DFD">
              <w:rPr>
                <w:rFonts w:ascii="Times New Roman" w:hAnsi="Times New Roman" w:cs="Times New Roman"/>
                <w:bCs/>
                <w:sz w:val="24"/>
                <w:szCs w:val="24"/>
              </w:rPr>
              <w:t xml:space="preserve"> un </w:t>
            </w:r>
            <w:r w:rsidR="00405D43" w:rsidRPr="005E7DFD">
              <w:rPr>
                <w:rFonts w:ascii="Times New Roman" w:hAnsi="Times New Roman" w:cs="Times New Roman"/>
                <w:bCs/>
                <w:sz w:val="24"/>
                <w:szCs w:val="24"/>
              </w:rPr>
              <w:t>apdraudējum</w:t>
            </w:r>
            <w:r w:rsidR="007B51EC">
              <w:rPr>
                <w:rFonts w:ascii="Times New Roman" w:hAnsi="Times New Roman" w:cs="Times New Roman"/>
                <w:bCs/>
                <w:sz w:val="24"/>
                <w:szCs w:val="24"/>
              </w:rPr>
              <w:t>u</w:t>
            </w:r>
            <w:r w:rsidR="00405D43" w:rsidRPr="005E7DFD">
              <w:rPr>
                <w:rFonts w:ascii="Times New Roman" w:hAnsi="Times New Roman" w:cs="Times New Roman"/>
                <w:bCs/>
                <w:sz w:val="24"/>
                <w:szCs w:val="24"/>
              </w:rPr>
              <w:t xml:space="preserve"> cilvēku un dzīvnieku veselībai, kā arī apkārtējai videi.</w:t>
            </w:r>
          </w:p>
          <w:p w14:paraId="31EA0970" w14:textId="5B01A2F4" w:rsidR="00F67455" w:rsidRDefault="00CC0C24" w:rsidP="00405D43">
            <w:pPr>
              <w:pStyle w:val="Bezatstarpm"/>
              <w:jc w:val="both"/>
              <w:rPr>
                <w:rFonts w:ascii="Times New Roman" w:hAnsi="Times New Roman" w:cs="Times New Roman"/>
                <w:sz w:val="24"/>
                <w:szCs w:val="24"/>
              </w:rPr>
            </w:pPr>
            <w:r w:rsidRPr="00CC0C24">
              <w:rPr>
                <w:rFonts w:ascii="Times New Roman" w:hAnsi="Times New Roman" w:cs="Times New Roman"/>
                <w:bCs/>
                <w:sz w:val="24"/>
                <w:szCs w:val="24"/>
              </w:rPr>
              <w:lastRenderedPageBreak/>
              <w:t>Eiropas Parlamenta un Padomes 2009. gada 21. oktobra Regulas (EK) Nr.</w:t>
            </w:r>
            <w:r w:rsidR="009A60FC">
              <w:rPr>
                <w:rFonts w:ascii="Times New Roman" w:hAnsi="Times New Roman" w:cs="Times New Roman"/>
                <w:bCs/>
                <w:sz w:val="24"/>
                <w:szCs w:val="24"/>
              </w:rPr>
              <w:t> </w:t>
            </w:r>
            <w:r w:rsidRPr="00CC0C24">
              <w:rPr>
                <w:rFonts w:ascii="Times New Roman" w:hAnsi="Times New Roman" w:cs="Times New Roman"/>
                <w:bCs/>
                <w:sz w:val="24"/>
                <w:szCs w:val="24"/>
              </w:rPr>
              <w:t>1069/2009, ar ko nosaka veselības aizsardzības noteikumus attiecībā uz dzīvnieku izcelsmes blakusproduktiem un atvasinātajiem produktiem, kuri nav paredzēti cilvēku patēriņam, un ar ko atceļ Eiropas Parlamenta un Padomes 2002. gada 3. oktobra Regulu (EK) Nr. 1774/2002</w:t>
            </w:r>
            <w:r w:rsidR="00EC40C7">
              <w:rPr>
                <w:rFonts w:ascii="Times New Roman" w:hAnsi="Times New Roman" w:cs="Times New Roman"/>
                <w:bCs/>
                <w:sz w:val="24"/>
                <w:szCs w:val="24"/>
              </w:rPr>
              <w:t>,</w:t>
            </w:r>
            <w:r w:rsidRPr="00CC0C24">
              <w:rPr>
                <w:rFonts w:ascii="Times New Roman" w:hAnsi="Times New Roman" w:cs="Times New Roman"/>
                <w:bCs/>
                <w:sz w:val="24"/>
                <w:szCs w:val="24"/>
              </w:rPr>
              <w:t xml:space="preserve"> </w:t>
            </w:r>
            <w:r w:rsidR="00D10DAC">
              <w:rPr>
                <w:rFonts w:ascii="Times New Roman" w:hAnsi="Times New Roman" w:cs="Times New Roman"/>
                <w:bCs/>
                <w:sz w:val="24"/>
                <w:szCs w:val="24"/>
              </w:rPr>
              <w:t>24. panta 1.</w:t>
            </w:r>
            <w:r w:rsidR="009A60FC">
              <w:rPr>
                <w:rFonts w:ascii="Times New Roman" w:hAnsi="Times New Roman" w:cs="Times New Roman"/>
                <w:bCs/>
                <w:sz w:val="24"/>
                <w:szCs w:val="24"/>
              </w:rPr>
              <w:t> </w:t>
            </w:r>
            <w:r w:rsidR="00D10DAC">
              <w:rPr>
                <w:rFonts w:ascii="Times New Roman" w:hAnsi="Times New Roman" w:cs="Times New Roman"/>
                <w:bCs/>
                <w:sz w:val="24"/>
                <w:szCs w:val="24"/>
              </w:rPr>
              <w:t>punkta “h” apakšpunktā noteik</w:t>
            </w:r>
            <w:r w:rsidR="002168F0">
              <w:rPr>
                <w:rFonts w:ascii="Times New Roman" w:hAnsi="Times New Roman" w:cs="Times New Roman"/>
                <w:bCs/>
                <w:sz w:val="24"/>
                <w:szCs w:val="24"/>
              </w:rPr>
              <w:t>ts, ka u</w:t>
            </w:r>
            <w:r w:rsidR="00D578F5" w:rsidRPr="00D578F5">
              <w:rPr>
                <w:rFonts w:ascii="Times New Roman" w:hAnsi="Times New Roman" w:cs="Times New Roman"/>
                <w:sz w:val="24"/>
                <w:szCs w:val="24"/>
              </w:rPr>
              <w:t>zņēmumi</w:t>
            </w:r>
            <w:r w:rsidR="002168F0">
              <w:rPr>
                <w:rFonts w:ascii="Times New Roman" w:hAnsi="Times New Roman" w:cs="Times New Roman"/>
                <w:sz w:val="24"/>
                <w:szCs w:val="24"/>
              </w:rPr>
              <w:t>em</w:t>
            </w:r>
            <w:r w:rsidR="00D578F5" w:rsidRPr="00D578F5">
              <w:rPr>
                <w:rFonts w:ascii="Times New Roman" w:hAnsi="Times New Roman" w:cs="Times New Roman"/>
                <w:sz w:val="24"/>
                <w:szCs w:val="24"/>
              </w:rPr>
              <w:t xml:space="preserve">, kas veic </w:t>
            </w:r>
            <w:r w:rsidR="002168F0">
              <w:rPr>
                <w:rFonts w:ascii="Times New Roman" w:hAnsi="Times New Roman" w:cs="Times New Roman"/>
                <w:sz w:val="24"/>
                <w:szCs w:val="24"/>
              </w:rPr>
              <w:t xml:space="preserve">tādas </w:t>
            </w:r>
            <w:r w:rsidR="00D578F5" w:rsidRPr="00D578F5">
              <w:rPr>
                <w:rFonts w:ascii="Times New Roman" w:hAnsi="Times New Roman" w:cs="Times New Roman"/>
                <w:sz w:val="24"/>
                <w:szCs w:val="24"/>
              </w:rPr>
              <w:t>starpposma darbības</w:t>
            </w:r>
            <w:r w:rsidR="002168F0">
              <w:rPr>
                <w:rFonts w:ascii="Times New Roman" w:hAnsi="Times New Roman" w:cs="Times New Roman"/>
                <w:sz w:val="24"/>
                <w:szCs w:val="24"/>
              </w:rPr>
              <w:t xml:space="preserve"> kā </w:t>
            </w:r>
            <w:r w:rsidR="002168F0" w:rsidRPr="002168F0">
              <w:rPr>
                <w:rFonts w:ascii="Times New Roman" w:hAnsi="Times New Roman" w:cs="Times New Roman"/>
                <w:sz w:val="24"/>
                <w:szCs w:val="24"/>
              </w:rPr>
              <w:t>šķirošana,</w:t>
            </w:r>
            <w:r w:rsidR="002168F0">
              <w:rPr>
                <w:rFonts w:ascii="Times New Roman" w:hAnsi="Times New Roman" w:cs="Times New Roman"/>
                <w:sz w:val="24"/>
                <w:szCs w:val="24"/>
              </w:rPr>
              <w:t xml:space="preserve"> </w:t>
            </w:r>
            <w:r w:rsidR="002168F0" w:rsidRPr="002168F0">
              <w:rPr>
                <w:rFonts w:ascii="Times New Roman" w:hAnsi="Times New Roman" w:cs="Times New Roman"/>
                <w:sz w:val="24"/>
                <w:szCs w:val="24"/>
              </w:rPr>
              <w:t>sagriešana,</w:t>
            </w:r>
            <w:r w:rsidR="002168F0">
              <w:rPr>
                <w:rFonts w:ascii="Times New Roman" w:hAnsi="Times New Roman" w:cs="Times New Roman"/>
                <w:sz w:val="24"/>
                <w:szCs w:val="24"/>
              </w:rPr>
              <w:t xml:space="preserve"> </w:t>
            </w:r>
            <w:r w:rsidR="002168F0" w:rsidRPr="002168F0">
              <w:rPr>
                <w:rFonts w:ascii="Times New Roman" w:hAnsi="Times New Roman" w:cs="Times New Roman"/>
                <w:sz w:val="24"/>
                <w:szCs w:val="24"/>
              </w:rPr>
              <w:t>jēlādu vai ādu, vai īpaša riska materiāla aizvākšana,</w:t>
            </w:r>
            <w:r w:rsidR="002168F0">
              <w:rPr>
                <w:rFonts w:ascii="Times New Roman" w:hAnsi="Times New Roman" w:cs="Times New Roman"/>
                <w:sz w:val="24"/>
                <w:szCs w:val="24"/>
              </w:rPr>
              <w:t xml:space="preserve"> jābūt PVD atzītiem.  </w:t>
            </w:r>
          </w:p>
          <w:p w14:paraId="47595E86" w14:textId="0823DB22" w:rsidR="007B51EC" w:rsidRDefault="0035462E" w:rsidP="007B51EC">
            <w:pPr>
              <w:pStyle w:val="Bezatstarpm"/>
              <w:jc w:val="both"/>
              <w:rPr>
                <w:rFonts w:ascii="Times New Roman" w:hAnsi="Times New Roman" w:cs="Times New Roman"/>
                <w:bCs/>
                <w:sz w:val="24"/>
                <w:szCs w:val="24"/>
              </w:rPr>
            </w:pPr>
            <w:r>
              <w:rPr>
                <w:rFonts w:ascii="Times New Roman" w:hAnsi="Times New Roman" w:cs="Times New Roman"/>
                <w:sz w:val="24"/>
                <w:szCs w:val="24"/>
              </w:rPr>
              <w:t xml:space="preserve">Tāpēc </w:t>
            </w:r>
            <w:r w:rsidR="0074257E">
              <w:rPr>
                <w:rFonts w:ascii="Times New Roman" w:hAnsi="Times New Roman" w:cs="Times New Roman"/>
                <w:sz w:val="24"/>
                <w:szCs w:val="24"/>
              </w:rPr>
              <w:t>noteikumos Nr. 275</w:t>
            </w:r>
            <w:r>
              <w:rPr>
                <w:rFonts w:ascii="Times New Roman" w:hAnsi="Times New Roman" w:cs="Times New Roman"/>
                <w:sz w:val="24"/>
                <w:szCs w:val="24"/>
              </w:rPr>
              <w:t xml:space="preserve"> </w:t>
            </w:r>
            <w:r w:rsidR="001E1D8F">
              <w:rPr>
                <w:rFonts w:ascii="Times New Roman" w:hAnsi="Times New Roman" w:cs="Times New Roman"/>
                <w:sz w:val="24"/>
                <w:szCs w:val="24"/>
              </w:rPr>
              <w:t xml:space="preserve">ir </w:t>
            </w:r>
            <w:r w:rsidR="0074257E">
              <w:rPr>
                <w:rFonts w:ascii="Times New Roman" w:hAnsi="Times New Roman" w:cs="Times New Roman"/>
                <w:sz w:val="24"/>
                <w:szCs w:val="24"/>
              </w:rPr>
              <w:t>jānosaka</w:t>
            </w:r>
            <w:r>
              <w:rPr>
                <w:rFonts w:ascii="Times New Roman" w:hAnsi="Times New Roman" w:cs="Times New Roman"/>
                <w:sz w:val="24"/>
                <w:szCs w:val="24"/>
              </w:rPr>
              <w:t xml:space="preserve"> prasība </w:t>
            </w:r>
            <w:r w:rsidRPr="0035462E">
              <w:rPr>
                <w:rFonts w:ascii="Times New Roman" w:hAnsi="Times New Roman" w:cs="Times New Roman"/>
                <w:sz w:val="24"/>
                <w:szCs w:val="24"/>
              </w:rPr>
              <w:t>paraugus izmeklēšanai uz TSE no dzīvnieku līķiem noņem</w:t>
            </w:r>
            <w:r>
              <w:rPr>
                <w:rFonts w:ascii="Times New Roman" w:hAnsi="Times New Roman" w:cs="Times New Roman"/>
                <w:sz w:val="24"/>
                <w:szCs w:val="24"/>
              </w:rPr>
              <w:t>t tikai</w:t>
            </w:r>
            <w:r w:rsidRPr="0035462E">
              <w:rPr>
                <w:rFonts w:ascii="Times New Roman" w:hAnsi="Times New Roman" w:cs="Times New Roman"/>
                <w:sz w:val="24"/>
                <w:szCs w:val="24"/>
              </w:rPr>
              <w:t xml:space="preserve"> </w:t>
            </w:r>
            <w:r>
              <w:rPr>
                <w:rFonts w:ascii="Times New Roman" w:hAnsi="Times New Roman" w:cs="Times New Roman"/>
                <w:sz w:val="24"/>
                <w:szCs w:val="24"/>
              </w:rPr>
              <w:t>PVD</w:t>
            </w:r>
            <w:r w:rsidRPr="0035462E">
              <w:rPr>
                <w:rFonts w:ascii="Times New Roman" w:hAnsi="Times New Roman" w:cs="Times New Roman"/>
                <w:sz w:val="24"/>
                <w:szCs w:val="24"/>
              </w:rPr>
              <w:t xml:space="preserve"> atzīt</w:t>
            </w:r>
            <w:r>
              <w:rPr>
                <w:rFonts w:ascii="Times New Roman" w:hAnsi="Times New Roman" w:cs="Times New Roman"/>
                <w:sz w:val="24"/>
                <w:szCs w:val="24"/>
              </w:rPr>
              <w:t>ā</w:t>
            </w:r>
            <w:r w:rsidRPr="0035462E">
              <w:rPr>
                <w:rFonts w:ascii="Times New Roman" w:hAnsi="Times New Roman" w:cs="Times New Roman"/>
                <w:sz w:val="24"/>
                <w:szCs w:val="24"/>
              </w:rPr>
              <w:t xml:space="preserve"> uzņēmumā.</w:t>
            </w:r>
            <w:r w:rsidR="00344617" w:rsidRPr="00500513">
              <w:rPr>
                <w:rFonts w:ascii="Times New Roman" w:hAnsi="Times New Roman" w:cs="Times New Roman"/>
                <w:sz w:val="24"/>
                <w:szCs w:val="24"/>
              </w:rPr>
              <w:t xml:space="preserve"> </w:t>
            </w:r>
            <w:r w:rsidR="0074257E">
              <w:rPr>
                <w:rFonts w:ascii="Times New Roman" w:hAnsi="Times New Roman" w:cs="Times New Roman"/>
                <w:sz w:val="24"/>
                <w:szCs w:val="24"/>
              </w:rPr>
              <w:t xml:space="preserve">Tā tiks </w:t>
            </w:r>
            <w:r w:rsidR="00344617" w:rsidRPr="00500513">
              <w:rPr>
                <w:rFonts w:ascii="Times New Roman" w:eastAsia="Calibri" w:hAnsi="Times New Roman" w:cs="Times New Roman"/>
                <w:sz w:val="24"/>
                <w:szCs w:val="24"/>
              </w:rPr>
              <w:t>noteikta</w:t>
            </w:r>
            <w:r w:rsidR="00344617">
              <w:rPr>
                <w:rFonts w:ascii="Times New Roman" w:eastAsia="Calibri" w:hAnsi="Times New Roman" w:cs="Times New Roman"/>
                <w:sz w:val="24"/>
                <w:szCs w:val="24"/>
              </w:rPr>
              <w:t>s</w:t>
            </w:r>
            <w:r w:rsidR="00344617" w:rsidRPr="00500513">
              <w:rPr>
                <w:rFonts w:ascii="Times New Roman" w:eastAsia="Calibri" w:hAnsi="Times New Roman" w:cs="Times New Roman"/>
                <w:sz w:val="24"/>
                <w:szCs w:val="24"/>
              </w:rPr>
              <w:t xml:space="preserve"> skaidr</w:t>
            </w:r>
            <w:r w:rsidR="00082D75">
              <w:rPr>
                <w:rFonts w:ascii="Times New Roman" w:eastAsia="Calibri" w:hAnsi="Times New Roman" w:cs="Times New Roman"/>
                <w:sz w:val="24"/>
                <w:szCs w:val="24"/>
              </w:rPr>
              <w:t xml:space="preserve">as </w:t>
            </w:r>
            <w:r w:rsidR="00344617">
              <w:rPr>
                <w:rFonts w:ascii="Times New Roman" w:eastAsia="Calibri" w:hAnsi="Times New Roman" w:cs="Times New Roman"/>
                <w:sz w:val="24"/>
                <w:szCs w:val="24"/>
              </w:rPr>
              <w:t>prasības paraugu noņemšanai dzīvnieku līķiem</w:t>
            </w:r>
            <w:r w:rsidR="009A60FC">
              <w:rPr>
                <w:rFonts w:ascii="Times New Roman" w:eastAsia="Calibri" w:hAnsi="Times New Roman" w:cs="Times New Roman"/>
                <w:sz w:val="24"/>
                <w:szCs w:val="24"/>
              </w:rPr>
              <w:t>,</w:t>
            </w:r>
            <w:r w:rsidR="001D4C47">
              <w:rPr>
                <w:rFonts w:ascii="Times New Roman" w:eastAsia="Calibri" w:hAnsi="Times New Roman" w:cs="Times New Roman"/>
                <w:sz w:val="24"/>
                <w:szCs w:val="24"/>
              </w:rPr>
              <w:t xml:space="preserve"> PVD atzītā uzņēmumā</w:t>
            </w:r>
            <w:r w:rsidR="00344617">
              <w:rPr>
                <w:rFonts w:ascii="Times New Roman" w:eastAsia="Calibri" w:hAnsi="Times New Roman" w:cs="Times New Roman"/>
                <w:sz w:val="24"/>
                <w:szCs w:val="24"/>
              </w:rPr>
              <w:t xml:space="preserve"> </w:t>
            </w:r>
            <w:r w:rsidR="009A60FC">
              <w:rPr>
                <w:rFonts w:ascii="Times New Roman" w:eastAsia="Calibri" w:hAnsi="Times New Roman" w:cs="Times New Roman"/>
                <w:sz w:val="24"/>
                <w:szCs w:val="24"/>
              </w:rPr>
              <w:t xml:space="preserve">īstenojot </w:t>
            </w:r>
            <w:r w:rsidR="00344617" w:rsidRPr="00CC0C24">
              <w:rPr>
                <w:rFonts w:ascii="Times New Roman" w:eastAsia="Calibri" w:hAnsi="Times New Roman" w:cs="Times New Roman"/>
                <w:sz w:val="24"/>
                <w:szCs w:val="24"/>
              </w:rPr>
              <w:t>TSE</w:t>
            </w:r>
            <w:r w:rsidR="00082D75">
              <w:rPr>
                <w:rFonts w:ascii="Times New Roman" w:eastAsia="Calibri" w:hAnsi="Times New Roman" w:cs="Times New Roman"/>
                <w:sz w:val="24"/>
                <w:szCs w:val="24"/>
              </w:rPr>
              <w:t xml:space="preserve"> uzraudzības un kontroles programm</w:t>
            </w:r>
            <w:r w:rsidR="009A60FC">
              <w:rPr>
                <w:rFonts w:ascii="Times New Roman" w:eastAsia="Calibri" w:hAnsi="Times New Roman" w:cs="Times New Roman"/>
                <w:sz w:val="24"/>
                <w:szCs w:val="24"/>
              </w:rPr>
              <w:t>u un</w:t>
            </w:r>
            <w:r w:rsidR="00344617">
              <w:rPr>
                <w:rFonts w:ascii="Times New Roman" w:eastAsia="Calibri" w:hAnsi="Times New Roman" w:cs="Times New Roman"/>
                <w:sz w:val="24"/>
                <w:szCs w:val="24"/>
              </w:rPr>
              <w:t xml:space="preserve"> nodrošinot </w:t>
            </w:r>
            <w:r w:rsidR="00344617" w:rsidRPr="002168F0">
              <w:rPr>
                <w:rFonts w:ascii="Times New Roman" w:eastAsia="Calibri" w:hAnsi="Times New Roman" w:cs="Times New Roman"/>
                <w:sz w:val="24"/>
                <w:szCs w:val="24"/>
              </w:rPr>
              <w:t>cilvēku un dzīvnieku veselība</w:t>
            </w:r>
            <w:r w:rsidR="00344617">
              <w:rPr>
                <w:rFonts w:ascii="Times New Roman" w:eastAsia="Calibri" w:hAnsi="Times New Roman" w:cs="Times New Roman"/>
                <w:sz w:val="24"/>
                <w:szCs w:val="24"/>
              </w:rPr>
              <w:t xml:space="preserve">s, </w:t>
            </w:r>
            <w:r w:rsidR="00344617" w:rsidRPr="002168F0">
              <w:rPr>
                <w:rFonts w:ascii="Times New Roman" w:eastAsia="Calibri" w:hAnsi="Times New Roman" w:cs="Times New Roman"/>
                <w:sz w:val="24"/>
                <w:szCs w:val="24"/>
              </w:rPr>
              <w:t>kā arī apkārtēj</w:t>
            </w:r>
            <w:r w:rsidR="00344617">
              <w:rPr>
                <w:rFonts w:ascii="Times New Roman" w:eastAsia="Calibri" w:hAnsi="Times New Roman" w:cs="Times New Roman"/>
                <w:sz w:val="24"/>
                <w:szCs w:val="24"/>
              </w:rPr>
              <w:t>ās</w:t>
            </w:r>
            <w:r w:rsidR="00344617" w:rsidRPr="002168F0">
              <w:rPr>
                <w:rFonts w:ascii="Times New Roman" w:eastAsia="Calibri" w:hAnsi="Times New Roman" w:cs="Times New Roman"/>
                <w:sz w:val="24"/>
                <w:szCs w:val="24"/>
              </w:rPr>
              <w:t xml:space="preserve"> vide</w:t>
            </w:r>
            <w:r w:rsidR="00344617">
              <w:rPr>
                <w:rFonts w:ascii="Times New Roman" w:eastAsia="Calibri" w:hAnsi="Times New Roman" w:cs="Times New Roman"/>
                <w:sz w:val="24"/>
                <w:szCs w:val="24"/>
              </w:rPr>
              <w:t>s apdraudējuma riska</w:t>
            </w:r>
            <w:r w:rsidR="00344617" w:rsidRPr="002168F0">
              <w:rPr>
                <w:rFonts w:ascii="Times New Roman" w:eastAsia="Calibri" w:hAnsi="Times New Roman" w:cs="Times New Roman"/>
                <w:sz w:val="24"/>
                <w:szCs w:val="24"/>
              </w:rPr>
              <w:t xml:space="preserve"> novēr</w:t>
            </w:r>
            <w:r w:rsidR="00344617">
              <w:rPr>
                <w:rFonts w:ascii="Times New Roman" w:eastAsia="Calibri" w:hAnsi="Times New Roman" w:cs="Times New Roman"/>
                <w:sz w:val="24"/>
                <w:szCs w:val="24"/>
              </w:rPr>
              <w:t>šanu</w:t>
            </w:r>
            <w:r w:rsidR="00344617" w:rsidRPr="002168F0">
              <w:rPr>
                <w:rFonts w:ascii="Times New Roman" w:eastAsia="Calibri" w:hAnsi="Times New Roman" w:cs="Times New Roman"/>
                <w:sz w:val="24"/>
                <w:szCs w:val="24"/>
              </w:rPr>
              <w:t xml:space="preserve">, </w:t>
            </w:r>
            <w:r w:rsidR="00344617">
              <w:rPr>
                <w:rFonts w:ascii="Times New Roman" w:eastAsia="Calibri" w:hAnsi="Times New Roman" w:cs="Times New Roman"/>
                <w:sz w:val="24"/>
                <w:szCs w:val="24"/>
              </w:rPr>
              <w:t xml:space="preserve">kā arī </w:t>
            </w:r>
            <w:r w:rsidR="00344617" w:rsidRPr="00500513">
              <w:rPr>
                <w:rFonts w:ascii="Times New Roman" w:hAnsi="Times New Roman" w:cs="Times New Roman"/>
                <w:sz w:val="24"/>
                <w:szCs w:val="24"/>
              </w:rPr>
              <w:t>tiek</w:t>
            </w:r>
            <w:r w:rsidR="00150417">
              <w:rPr>
                <w:rFonts w:ascii="Times New Roman" w:hAnsi="Times New Roman" w:cs="Times New Roman"/>
                <w:sz w:val="24"/>
                <w:szCs w:val="24"/>
              </w:rPr>
              <w:t xml:space="preserve"> vienkāršota paraugu noņemšanas sistēma valstī un</w:t>
            </w:r>
            <w:r w:rsidR="00344617" w:rsidRPr="00500513">
              <w:rPr>
                <w:rFonts w:ascii="Times New Roman" w:hAnsi="Times New Roman" w:cs="Times New Roman"/>
                <w:sz w:val="24"/>
                <w:szCs w:val="24"/>
              </w:rPr>
              <w:t xml:space="preserve"> samazināts administratīvais slogs</w:t>
            </w:r>
            <w:r w:rsidR="00344617">
              <w:rPr>
                <w:rFonts w:ascii="Times New Roman" w:hAnsi="Times New Roman" w:cs="Times New Roman"/>
                <w:sz w:val="24"/>
                <w:szCs w:val="24"/>
              </w:rPr>
              <w:t xml:space="preserve"> PVD</w:t>
            </w:r>
            <w:r w:rsidR="00082D75">
              <w:rPr>
                <w:rFonts w:ascii="Times New Roman" w:hAnsi="Times New Roman" w:cs="Times New Roman"/>
                <w:sz w:val="24"/>
                <w:szCs w:val="24"/>
              </w:rPr>
              <w:t xml:space="preserve"> un </w:t>
            </w:r>
            <w:r w:rsidR="002E2338">
              <w:rPr>
                <w:rFonts w:ascii="Times New Roman" w:hAnsi="Times New Roman" w:cs="Times New Roman"/>
                <w:sz w:val="24"/>
                <w:szCs w:val="24"/>
              </w:rPr>
              <w:t>tā</w:t>
            </w:r>
            <w:r w:rsidR="00344617">
              <w:rPr>
                <w:rFonts w:ascii="Times New Roman" w:hAnsi="Times New Roman" w:cs="Times New Roman"/>
                <w:sz w:val="24"/>
                <w:szCs w:val="24"/>
              </w:rPr>
              <w:t xml:space="preserve"> pilnvarotiem praktizējošiem veterinārārstiem</w:t>
            </w:r>
            <w:r w:rsidR="00344617" w:rsidRPr="00500513">
              <w:rPr>
                <w:rFonts w:ascii="Times New Roman" w:hAnsi="Times New Roman" w:cs="Times New Roman"/>
                <w:sz w:val="24"/>
                <w:szCs w:val="24"/>
              </w:rPr>
              <w:t>.</w:t>
            </w:r>
            <w:r w:rsidR="00344617">
              <w:rPr>
                <w:rFonts w:ascii="Times New Roman" w:hAnsi="Times New Roman" w:cs="Times New Roman"/>
                <w:sz w:val="24"/>
                <w:szCs w:val="24"/>
              </w:rPr>
              <w:t xml:space="preserve"> </w:t>
            </w:r>
            <w:r w:rsidR="007B51EC" w:rsidRPr="005E7DFD">
              <w:rPr>
                <w:rFonts w:ascii="Times New Roman" w:hAnsi="Times New Roman" w:cs="Times New Roman"/>
                <w:bCs/>
                <w:sz w:val="24"/>
                <w:szCs w:val="24"/>
              </w:rPr>
              <w:t>Izmaksas</w:t>
            </w:r>
            <w:r w:rsidR="009A60FC">
              <w:rPr>
                <w:rFonts w:ascii="Times New Roman" w:hAnsi="Times New Roman" w:cs="Times New Roman"/>
                <w:bCs/>
                <w:sz w:val="24"/>
                <w:szCs w:val="24"/>
              </w:rPr>
              <w:t xml:space="preserve"> līdz ar</w:t>
            </w:r>
            <w:r w:rsidR="007B51EC" w:rsidRPr="005E7DFD">
              <w:rPr>
                <w:rFonts w:ascii="Times New Roman" w:hAnsi="Times New Roman" w:cs="Times New Roman"/>
                <w:bCs/>
                <w:sz w:val="24"/>
                <w:szCs w:val="24"/>
              </w:rPr>
              <w:t xml:space="preserve"> paraugu noņemšanas sistēm</w:t>
            </w:r>
            <w:r w:rsidR="009A60FC">
              <w:rPr>
                <w:rFonts w:ascii="Times New Roman" w:hAnsi="Times New Roman" w:cs="Times New Roman"/>
                <w:bCs/>
                <w:sz w:val="24"/>
                <w:szCs w:val="24"/>
              </w:rPr>
              <w:t>as maiņu</w:t>
            </w:r>
            <w:r w:rsidR="007B51EC" w:rsidRPr="005E7DFD">
              <w:rPr>
                <w:rFonts w:ascii="Times New Roman" w:hAnsi="Times New Roman" w:cs="Times New Roman"/>
                <w:bCs/>
                <w:sz w:val="24"/>
                <w:szCs w:val="24"/>
              </w:rPr>
              <w:t xml:space="preserve"> nep</w:t>
            </w:r>
            <w:r w:rsidR="009A60FC">
              <w:rPr>
                <w:rFonts w:ascii="Times New Roman" w:hAnsi="Times New Roman" w:cs="Times New Roman"/>
                <w:bCs/>
                <w:sz w:val="24"/>
                <w:szCs w:val="24"/>
              </w:rPr>
              <w:t>alielināsies</w:t>
            </w:r>
            <w:r w:rsidR="007B51EC" w:rsidRPr="005E7DFD">
              <w:rPr>
                <w:rFonts w:ascii="Times New Roman" w:hAnsi="Times New Roman" w:cs="Times New Roman"/>
                <w:bCs/>
                <w:sz w:val="24"/>
                <w:szCs w:val="24"/>
              </w:rPr>
              <w:t xml:space="preserve">, </w:t>
            </w:r>
            <w:r w:rsidR="009A60FC">
              <w:rPr>
                <w:rFonts w:ascii="Times New Roman" w:hAnsi="Times New Roman" w:cs="Times New Roman"/>
                <w:bCs/>
                <w:sz w:val="24"/>
                <w:szCs w:val="24"/>
              </w:rPr>
              <w:t>tāpēc</w:t>
            </w:r>
            <w:r w:rsidR="007B51EC" w:rsidRPr="005E7DFD">
              <w:rPr>
                <w:rFonts w:ascii="Times New Roman" w:hAnsi="Times New Roman" w:cs="Times New Roman"/>
                <w:bCs/>
                <w:sz w:val="24"/>
                <w:szCs w:val="24"/>
              </w:rPr>
              <w:t xml:space="preserve"> grozījumiem nav ietekmes uz budžetu.</w:t>
            </w:r>
          </w:p>
          <w:p w14:paraId="27F369FE" w14:textId="0F24BC67" w:rsidR="00E0188A" w:rsidRDefault="00344B36" w:rsidP="007B51EC">
            <w:pPr>
              <w:pStyle w:val="Bezatstarpm"/>
              <w:jc w:val="both"/>
              <w:rPr>
                <w:rFonts w:ascii="Times New Roman" w:hAnsi="Times New Roman" w:cs="Times New Roman"/>
                <w:bCs/>
                <w:sz w:val="24"/>
                <w:szCs w:val="24"/>
              </w:rPr>
            </w:pPr>
            <w:r>
              <w:rPr>
                <w:rFonts w:ascii="Times New Roman" w:hAnsi="Times New Roman" w:cs="Times New Roman"/>
                <w:bCs/>
                <w:sz w:val="24"/>
                <w:szCs w:val="24"/>
              </w:rPr>
              <w:t>Lai praktiski ieviestu n</w:t>
            </w:r>
            <w:r w:rsidR="00E0188A">
              <w:rPr>
                <w:rFonts w:ascii="Times New Roman" w:hAnsi="Times New Roman" w:cs="Times New Roman"/>
                <w:bCs/>
                <w:sz w:val="24"/>
                <w:szCs w:val="24"/>
              </w:rPr>
              <w:t>oteikumu projekta prasīb</w:t>
            </w:r>
            <w:r>
              <w:rPr>
                <w:rFonts w:ascii="Times New Roman" w:hAnsi="Times New Roman" w:cs="Times New Roman"/>
                <w:bCs/>
                <w:sz w:val="24"/>
                <w:szCs w:val="24"/>
              </w:rPr>
              <w:t>u</w:t>
            </w:r>
            <w:r w:rsidR="00E0188A">
              <w:rPr>
                <w:rFonts w:ascii="Times New Roman" w:hAnsi="Times New Roman" w:cs="Times New Roman"/>
                <w:bCs/>
                <w:sz w:val="24"/>
                <w:szCs w:val="24"/>
              </w:rPr>
              <w:t xml:space="preserve"> par </w:t>
            </w:r>
            <w:r w:rsidR="00E0188A" w:rsidRPr="00E0188A">
              <w:rPr>
                <w:rFonts w:ascii="Times New Roman" w:hAnsi="Times New Roman" w:cs="Times New Roman"/>
                <w:bCs/>
                <w:sz w:val="24"/>
                <w:szCs w:val="24"/>
              </w:rPr>
              <w:t>paraugu ņemšan</w:t>
            </w:r>
            <w:r w:rsidR="00E0188A">
              <w:rPr>
                <w:rFonts w:ascii="Times New Roman" w:hAnsi="Times New Roman" w:cs="Times New Roman"/>
                <w:bCs/>
                <w:sz w:val="24"/>
                <w:szCs w:val="24"/>
              </w:rPr>
              <w:t>u</w:t>
            </w:r>
            <w:r w:rsidR="00E0188A" w:rsidRPr="00E0188A">
              <w:rPr>
                <w:rFonts w:ascii="Times New Roman" w:hAnsi="Times New Roman" w:cs="Times New Roman"/>
                <w:bCs/>
                <w:sz w:val="24"/>
                <w:szCs w:val="24"/>
              </w:rPr>
              <w:t xml:space="preserve"> laboratoriskai izmeklēšanai uz transmisīvo sūkļveida encefalopātijas (TSE) </w:t>
            </w:r>
            <w:proofErr w:type="spellStart"/>
            <w:r w:rsidR="00E0188A" w:rsidRPr="00E0188A">
              <w:rPr>
                <w:rFonts w:ascii="Times New Roman" w:hAnsi="Times New Roman" w:cs="Times New Roman"/>
                <w:bCs/>
                <w:sz w:val="24"/>
                <w:szCs w:val="24"/>
              </w:rPr>
              <w:t>priona</w:t>
            </w:r>
            <w:proofErr w:type="spellEnd"/>
            <w:r w:rsidR="00E0188A" w:rsidRPr="00E0188A">
              <w:rPr>
                <w:rFonts w:ascii="Times New Roman" w:hAnsi="Times New Roman" w:cs="Times New Roman"/>
                <w:bCs/>
                <w:sz w:val="24"/>
                <w:szCs w:val="24"/>
              </w:rPr>
              <w:t xml:space="preserve"> proteīnu</w:t>
            </w:r>
            <w:r>
              <w:rPr>
                <w:rFonts w:ascii="Times New Roman" w:hAnsi="Times New Roman" w:cs="Times New Roman"/>
                <w:bCs/>
                <w:sz w:val="24"/>
                <w:szCs w:val="24"/>
              </w:rPr>
              <w:t>,</w:t>
            </w:r>
            <w:r w:rsidR="00E0188A" w:rsidRPr="00E0188A">
              <w:rPr>
                <w:rFonts w:ascii="Times New Roman" w:hAnsi="Times New Roman" w:cs="Times New Roman"/>
                <w:bCs/>
                <w:sz w:val="24"/>
                <w:szCs w:val="24"/>
              </w:rPr>
              <w:t xml:space="preserve"> gan uzņēmumiem, gan PVD ir nepieciešams sagatavošanās laiks</w:t>
            </w:r>
            <w:r w:rsidR="00E0188A">
              <w:rPr>
                <w:rFonts w:ascii="Times New Roman" w:hAnsi="Times New Roman" w:cs="Times New Roman"/>
                <w:bCs/>
                <w:sz w:val="24"/>
                <w:szCs w:val="24"/>
              </w:rPr>
              <w:t>.</w:t>
            </w:r>
            <w:r w:rsidR="00E0188A" w:rsidRPr="00E0188A">
              <w:rPr>
                <w:rFonts w:ascii="Times New Roman" w:hAnsi="Times New Roman" w:cs="Times New Roman"/>
                <w:bCs/>
                <w:sz w:val="24"/>
                <w:szCs w:val="24"/>
              </w:rPr>
              <w:t xml:space="preserve"> </w:t>
            </w:r>
            <w:r w:rsidR="00E0188A">
              <w:rPr>
                <w:rFonts w:ascii="Times New Roman" w:hAnsi="Times New Roman" w:cs="Times New Roman"/>
                <w:bCs/>
                <w:sz w:val="24"/>
                <w:szCs w:val="24"/>
              </w:rPr>
              <w:t>Tāpēc š</w:t>
            </w:r>
            <w:r w:rsidR="00E0188A" w:rsidRPr="00E0188A">
              <w:rPr>
                <w:rFonts w:ascii="Times New Roman" w:hAnsi="Times New Roman" w:cs="Times New Roman"/>
                <w:bCs/>
                <w:sz w:val="24"/>
                <w:szCs w:val="24"/>
              </w:rPr>
              <w:t>āda prasība stāsies spēkā 20</w:t>
            </w:r>
            <w:r w:rsidR="00E0188A">
              <w:rPr>
                <w:rFonts w:ascii="Times New Roman" w:hAnsi="Times New Roman" w:cs="Times New Roman"/>
                <w:bCs/>
                <w:sz w:val="24"/>
                <w:szCs w:val="24"/>
              </w:rPr>
              <w:t>2</w:t>
            </w:r>
            <w:r w:rsidR="00E0188A" w:rsidRPr="00E0188A">
              <w:rPr>
                <w:rFonts w:ascii="Times New Roman" w:hAnsi="Times New Roman" w:cs="Times New Roman"/>
                <w:bCs/>
                <w:sz w:val="24"/>
                <w:szCs w:val="24"/>
              </w:rPr>
              <w:t>1. gada 1. jūlijā.</w:t>
            </w:r>
            <w:r w:rsidR="00E0188A">
              <w:rPr>
                <w:rFonts w:ascii="Times New Roman" w:hAnsi="Times New Roman" w:cs="Times New Roman"/>
                <w:bCs/>
                <w:sz w:val="24"/>
                <w:szCs w:val="24"/>
              </w:rPr>
              <w:t xml:space="preserve"> </w:t>
            </w:r>
          </w:p>
          <w:p w14:paraId="5563AB84" w14:textId="0081C122" w:rsidR="001B34A9" w:rsidRDefault="00344B36" w:rsidP="007B51EC">
            <w:pPr>
              <w:pStyle w:val="Bezatstarpm"/>
              <w:jc w:val="both"/>
              <w:rPr>
                <w:rFonts w:ascii="Times New Roman" w:hAnsi="Times New Roman" w:cs="Times New Roman"/>
                <w:bCs/>
                <w:sz w:val="24"/>
                <w:szCs w:val="24"/>
              </w:rPr>
            </w:pPr>
            <w:r>
              <w:rPr>
                <w:rFonts w:ascii="Times New Roman" w:hAnsi="Times New Roman" w:cs="Times New Roman"/>
                <w:bCs/>
                <w:sz w:val="24"/>
                <w:szCs w:val="24"/>
              </w:rPr>
              <w:t>Ie</w:t>
            </w:r>
            <w:r w:rsidR="001B34A9">
              <w:rPr>
                <w:rFonts w:ascii="Times New Roman" w:hAnsi="Times New Roman" w:cs="Times New Roman"/>
                <w:bCs/>
                <w:sz w:val="24"/>
                <w:szCs w:val="24"/>
              </w:rPr>
              <w:t>vēr</w:t>
            </w:r>
            <w:r>
              <w:rPr>
                <w:rFonts w:ascii="Times New Roman" w:hAnsi="Times New Roman" w:cs="Times New Roman"/>
                <w:bCs/>
                <w:sz w:val="24"/>
                <w:szCs w:val="24"/>
              </w:rPr>
              <w:t>ojot</w:t>
            </w:r>
            <w:r w:rsidR="001B34A9">
              <w:rPr>
                <w:rFonts w:ascii="Times New Roman" w:hAnsi="Times New Roman" w:cs="Times New Roman"/>
                <w:bCs/>
                <w:sz w:val="24"/>
                <w:szCs w:val="24"/>
              </w:rPr>
              <w:t xml:space="preserve"> minēto, ir sagatavots Ministru kabineta noteikumu projekts “Grozījumi </w:t>
            </w:r>
            <w:r w:rsidR="001B34A9" w:rsidRPr="003E6A6E">
              <w:rPr>
                <w:rFonts w:ascii="Times New Roman" w:hAnsi="Times New Roman" w:cs="Times New Roman"/>
                <w:sz w:val="24"/>
                <w:szCs w:val="24"/>
              </w:rPr>
              <w:t>Ministru kabineta 2012.</w:t>
            </w:r>
            <w:r w:rsidR="001B34A9">
              <w:rPr>
                <w:rFonts w:ascii="Times New Roman" w:hAnsi="Times New Roman" w:cs="Times New Roman"/>
                <w:sz w:val="24"/>
                <w:szCs w:val="24"/>
              </w:rPr>
              <w:t> </w:t>
            </w:r>
            <w:r w:rsidR="001B34A9" w:rsidRPr="003E6A6E">
              <w:rPr>
                <w:rFonts w:ascii="Times New Roman" w:hAnsi="Times New Roman" w:cs="Times New Roman"/>
                <w:sz w:val="24"/>
                <w:szCs w:val="24"/>
              </w:rPr>
              <w:t>gada 17.</w:t>
            </w:r>
            <w:r w:rsidR="001B34A9">
              <w:rPr>
                <w:rFonts w:ascii="Times New Roman" w:hAnsi="Times New Roman" w:cs="Times New Roman"/>
                <w:sz w:val="24"/>
                <w:szCs w:val="24"/>
              </w:rPr>
              <w:t> </w:t>
            </w:r>
            <w:r w:rsidR="001B34A9" w:rsidRPr="003E6A6E">
              <w:rPr>
                <w:rFonts w:ascii="Times New Roman" w:hAnsi="Times New Roman" w:cs="Times New Roman"/>
                <w:sz w:val="24"/>
                <w:szCs w:val="24"/>
              </w:rPr>
              <w:t>aprīļa noteikum</w:t>
            </w:r>
            <w:r w:rsidR="001B34A9">
              <w:rPr>
                <w:rFonts w:ascii="Times New Roman" w:hAnsi="Times New Roman" w:cs="Times New Roman"/>
                <w:sz w:val="24"/>
                <w:szCs w:val="24"/>
              </w:rPr>
              <w:t>os</w:t>
            </w:r>
            <w:r w:rsidR="001B34A9" w:rsidRPr="003E6A6E">
              <w:rPr>
                <w:rFonts w:ascii="Times New Roman" w:hAnsi="Times New Roman" w:cs="Times New Roman"/>
                <w:sz w:val="24"/>
                <w:szCs w:val="24"/>
              </w:rPr>
              <w:t xml:space="preserve"> Nr.</w:t>
            </w:r>
            <w:r w:rsidR="001B34A9">
              <w:rPr>
                <w:rFonts w:ascii="Times New Roman" w:hAnsi="Times New Roman" w:cs="Times New Roman"/>
                <w:sz w:val="24"/>
                <w:szCs w:val="24"/>
              </w:rPr>
              <w:t> </w:t>
            </w:r>
            <w:r w:rsidR="001B34A9" w:rsidRPr="003E6A6E">
              <w:rPr>
                <w:rFonts w:ascii="Times New Roman" w:hAnsi="Times New Roman" w:cs="Times New Roman"/>
                <w:sz w:val="24"/>
                <w:szCs w:val="24"/>
              </w:rPr>
              <w:t xml:space="preserve">275 </w:t>
            </w:r>
            <w:r>
              <w:rPr>
                <w:rFonts w:ascii="Times New Roman" w:hAnsi="Times New Roman" w:cs="Times New Roman"/>
                <w:sz w:val="24"/>
                <w:szCs w:val="24"/>
              </w:rPr>
              <w:t>“</w:t>
            </w:r>
            <w:r w:rsidR="001B34A9" w:rsidRPr="003E6A6E">
              <w:rPr>
                <w:rFonts w:ascii="Times New Roman" w:hAnsi="Times New Roman" w:cs="Times New Roman"/>
                <w:sz w:val="24"/>
                <w:szCs w:val="24"/>
              </w:rPr>
              <w:t>Prasības tādu dzīvnieku izcelsmes blakusproduktu un atvasinātu produktu apritei, kas nav paredzēti cilvēku patēriņam”” (turpmāk – noteikum</w:t>
            </w:r>
            <w:r w:rsidR="001B34A9">
              <w:rPr>
                <w:rFonts w:ascii="Times New Roman" w:hAnsi="Times New Roman" w:cs="Times New Roman"/>
                <w:sz w:val="24"/>
                <w:szCs w:val="24"/>
              </w:rPr>
              <w:t>u projekts).</w:t>
            </w:r>
          </w:p>
          <w:p w14:paraId="7A78E0C8" w14:textId="7679437A" w:rsidR="007912E1" w:rsidRPr="00500513" w:rsidRDefault="007912E1" w:rsidP="00D752D7">
            <w:pPr>
              <w:pStyle w:val="Bezatstarpm"/>
              <w:jc w:val="both"/>
              <w:rPr>
                <w:rFonts w:ascii="Times New Roman" w:hAnsi="Times New Roman" w:cs="Times New Roman"/>
                <w:sz w:val="24"/>
                <w:szCs w:val="24"/>
              </w:rPr>
            </w:pPr>
            <w:r>
              <w:rPr>
                <w:rFonts w:ascii="Times New Roman" w:hAnsi="Times New Roman" w:cs="Times New Roman"/>
                <w:sz w:val="24"/>
                <w:szCs w:val="24"/>
              </w:rPr>
              <w:t>Noteikumu projekts pilnībā atrisinās minētās problēmas.</w:t>
            </w:r>
          </w:p>
        </w:tc>
      </w:tr>
      <w:tr w:rsidR="00F67455" w14:paraId="3A1FEB68" w14:textId="77777777" w:rsidTr="00F46203">
        <w:trPr>
          <w:jc w:val="center"/>
        </w:trPr>
        <w:tc>
          <w:tcPr>
            <w:tcW w:w="719" w:type="dxa"/>
          </w:tcPr>
          <w:p w14:paraId="5DA8C6B5"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1970" w:type="dxa"/>
          </w:tcPr>
          <w:p w14:paraId="2EDC06FD" w14:textId="77777777"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7371" w:type="dxa"/>
          </w:tcPr>
          <w:p w14:paraId="4A04EDB4" w14:textId="0CDADF17" w:rsidR="009E45A9" w:rsidRPr="007178FD" w:rsidRDefault="00BA7B29" w:rsidP="00E91259">
            <w:pPr>
              <w:pStyle w:val="Bezatstarpm"/>
            </w:pPr>
            <w:r>
              <w:rPr>
                <w:rFonts w:ascii="Times New Roman" w:hAnsi="Times New Roman" w:cs="Times New Roman"/>
                <w:sz w:val="24"/>
                <w:szCs w:val="24"/>
                <w:lang w:eastAsia="lv-LV"/>
              </w:rPr>
              <w:t>Pārtikas un veterinārais dienests</w:t>
            </w:r>
          </w:p>
        </w:tc>
      </w:tr>
      <w:tr w:rsidR="00F67455" w14:paraId="506C668C" w14:textId="77777777" w:rsidTr="00F46203">
        <w:trPr>
          <w:jc w:val="center"/>
        </w:trPr>
        <w:tc>
          <w:tcPr>
            <w:tcW w:w="719" w:type="dxa"/>
          </w:tcPr>
          <w:p w14:paraId="7596C686"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970" w:type="dxa"/>
          </w:tcPr>
          <w:p w14:paraId="344B0967"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7371" w:type="dxa"/>
          </w:tcPr>
          <w:p w14:paraId="3DB47EAC" w14:textId="77777777"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69A6EF6F" w14:textId="77777777" w:rsidR="00F67455" w:rsidRDefault="00F67455" w:rsidP="00F67455">
      <w:pPr>
        <w:pStyle w:val="Bezatstarpm"/>
        <w:rPr>
          <w:rFonts w:ascii="Times New Roman" w:hAnsi="Times New Roman" w:cs="Times New Roman"/>
          <w:sz w:val="24"/>
          <w:szCs w:val="24"/>
          <w:lang w:eastAsia="lv-LV"/>
        </w:rPr>
      </w:pPr>
    </w:p>
    <w:tbl>
      <w:tblPr>
        <w:tblStyle w:val="Reatabula"/>
        <w:tblW w:w="10070" w:type="dxa"/>
        <w:jc w:val="center"/>
        <w:tblLook w:val="04A0" w:firstRow="1" w:lastRow="0" w:firstColumn="1" w:lastColumn="0" w:noHBand="0" w:noVBand="1"/>
      </w:tblPr>
      <w:tblGrid>
        <w:gridCol w:w="856"/>
        <w:gridCol w:w="3119"/>
        <w:gridCol w:w="6095"/>
      </w:tblGrid>
      <w:tr w:rsidR="00F67455" w14:paraId="5C8A03D4" w14:textId="77777777" w:rsidTr="00F46203">
        <w:trPr>
          <w:jc w:val="center"/>
        </w:trPr>
        <w:tc>
          <w:tcPr>
            <w:tcW w:w="10070" w:type="dxa"/>
            <w:gridSpan w:val="3"/>
          </w:tcPr>
          <w:p w14:paraId="443C68B7" w14:textId="77777777"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F67455" w14:paraId="3C1735FC" w14:textId="77777777" w:rsidTr="00F46203">
        <w:trPr>
          <w:jc w:val="center"/>
        </w:trPr>
        <w:tc>
          <w:tcPr>
            <w:tcW w:w="856" w:type="dxa"/>
          </w:tcPr>
          <w:p w14:paraId="35C1C391"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14:paraId="65786C90" w14:textId="77777777"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Sabiedrības mērķgrupas, kuras tiesiskais regulējums ietekmē vai varētu ietekmēt</w:t>
            </w:r>
          </w:p>
        </w:tc>
        <w:tc>
          <w:tcPr>
            <w:tcW w:w="6095" w:type="dxa"/>
          </w:tcPr>
          <w:p w14:paraId="57E9B6D0" w14:textId="4CA72C04" w:rsidR="00F67455" w:rsidRDefault="00597D4A" w:rsidP="009773E6">
            <w:pPr>
              <w:jc w:val="both"/>
            </w:pPr>
            <w:r w:rsidRPr="00597D4A">
              <w:t>Noteikumu projekts attiecas uz</w:t>
            </w:r>
            <w:r w:rsidR="00D565C4">
              <w:t xml:space="preserve"> </w:t>
            </w:r>
            <w:r w:rsidR="003D1566">
              <w:t>PVD</w:t>
            </w:r>
            <w:r w:rsidR="00D565C4" w:rsidRPr="00D565C4">
              <w:t xml:space="preserve">, </w:t>
            </w:r>
            <w:r w:rsidR="003D1566">
              <w:t xml:space="preserve">VVD, </w:t>
            </w:r>
            <w:r w:rsidR="00967679">
              <w:t>PVD pilnvarotiem praktizējošiem veterinārārstiem</w:t>
            </w:r>
            <w:r w:rsidR="00967679" w:rsidRPr="00A77848">
              <w:t xml:space="preserve"> </w:t>
            </w:r>
            <w:r w:rsidR="00967679">
              <w:t>un</w:t>
            </w:r>
            <w:r w:rsidR="00967679" w:rsidRPr="00A77848">
              <w:t xml:space="preserve"> </w:t>
            </w:r>
            <w:r w:rsidR="00967679">
              <w:t xml:space="preserve">PVD atzītu </w:t>
            </w:r>
            <w:r w:rsidR="00A77848">
              <w:t>uzņēmumu</w:t>
            </w:r>
            <w:r w:rsidR="00967679" w:rsidRPr="00967679">
              <w:t>, kas veic tādas starpposma darbības kā šķirošana, sagriešana, jēlādu vai ādu, vai īpaša riska materiāla aizvākšana</w:t>
            </w:r>
            <w:r w:rsidRPr="00597D4A">
              <w:t xml:space="preserve">. </w:t>
            </w:r>
          </w:p>
        </w:tc>
      </w:tr>
      <w:tr w:rsidR="00F67455" w14:paraId="32A74A4D" w14:textId="77777777" w:rsidTr="00967679">
        <w:trPr>
          <w:trHeight w:val="1616"/>
          <w:jc w:val="center"/>
        </w:trPr>
        <w:tc>
          <w:tcPr>
            <w:tcW w:w="856" w:type="dxa"/>
          </w:tcPr>
          <w:p w14:paraId="617ED804"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14:paraId="5A31F8A1" w14:textId="77777777"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6095" w:type="dxa"/>
          </w:tcPr>
          <w:p w14:paraId="4202DF4B" w14:textId="43AD2F80" w:rsidR="009E481B" w:rsidRDefault="00D565C4" w:rsidP="00D565C4">
            <w:pPr>
              <w:jc w:val="both"/>
            </w:pPr>
            <w:r w:rsidRPr="00D565C4">
              <w:t>Regulējums tieši un būtiski neietekmē uzņēmējdarbības vidi</w:t>
            </w:r>
            <w:r w:rsidR="00344B36">
              <w:t> </w:t>
            </w:r>
            <w:r w:rsidRPr="00D565C4">
              <w:t xml:space="preserve">– mazos un vidējos uzņēmumus, mikrouzņēmumus un jaunveidotus uzņēmumus un nevalstisko organizāciju darbību, tāpēc uz šīm jomām tas nav attiecināms. </w:t>
            </w:r>
            <w:r w:rsidR="009E481B" w:rsidRPr="009E481B">
              <w:t xml:space="preserve">Noteikumu projekts </w:t>
            </w:r>
            <w:r w:rsidR="00967679">
              <w:t>samazina</w:t>
            </w:r>
            <w:r w:rsidR="009E481B" w:rsidRPr="009E481B">
              <w:t xml:space="preserve"> papildu</w:t>
            </w:r>
            <w:r w:rsidR="00967679">
              <w:t xml:space="preserve"> uzlikto</w:t>
            </w:r>
            <w:r w:rsidR="009E481B" w:rsidRPr="009E481B">
              <w:t xml:space="preserve"> administratīvo slogu </w:t>
            </w:r>
            <w:r w:rsidR="00967679">
              <w:t xml:space="preserve">PVD </w:t>
            </w:r>
            <w:r w:rsidR="00037516">
              <w:t>pilnvarotiem praktizējošiem veterinārārstiem.</w:t>
            </w:r>
          </w:p>
          <w:p w14:paraId="4A1C16E6" w14:textId="033D0F86" w:rsidR="003D1566" w:rsidRDefault="003D1566" w:rsidP="00D565C4">
            <w:pPr>
              <w:jc w:val="both"/>
            </w:pPr>
            <w:r w:rsidRPr="00D565C4">
              <w:t>Sabiedrības mērķgrupām noteikumu projekta tiesiskais regulējums nemaina tiesības un pienākumus.</w:t>
            </w:r>
          </w:p>
        </w:tc>
      </w:tr>
      <w:tr w:rsidR="00F67455" w14:paraId="20448E11" w14:textId="77777777" w:rsidTr="00F46203">
        <w:trPr>
          <w:jc w:val="center"/>
        </w:trPr>
        <w:tc>
          <w:tcPr>
            <w:tcW w:w="856" w:type="dxa"/>
          </w:tcPr>
          <w:p w14:paraId="56DA3028"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3119" w:type="dxa"/>
          </w:tcPr>
          <w:p w14:paraId="0B76539D"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6095" w:type="dxa"/>
          </w:tcPr>
          <w:p w14:paraId="557262C9" w14:textId="445066C0" w:rsidR="00F67455" w:rsidRPr="00D565C4" w:rsidRDefault="00D565C4" w:rsidP="00D565C4">
            <w:pPr>
              <w:pStyle w:val="Bezatstarpm"/>
              <w:jc w:val="both"/>
              <w:rPr>
                <w:rFonts w:ascii="Times New Roman" w:hAnsi="Times New Roman" w:cs="Times New Roman"/>
                <w:sz w:val="24"/>
              </w:rPr>
            </w:pPr>
            <w:r w:rsidRPr="00D565C4">
              <w:rPr>
                <w:rFonts w:ascii="Times New Roman" w:hAnsi="Times New Roman" w:cs="Times New Roman"/>
                <w:sz w:val="24"/>
              </w:rPr>
              <w:t xml:space="preserve">Projektā ietvertajam tiesiskajam regulējumam nav ietekmes uz administratīvajām izmaksām (naudas izteiksmē), un tas nerada papildu administratīvo slogu, jo administratīvās izmaksas (naudas izteiksmē) gada laikā mērķgrupai, ko veido fiziskas personas, nepārsniedz 200 </w:t>
            </w:r>
            <w:r w:rsidRPr="00B01A25">
              <w:rPr>
                <w:rFonts w:ascii="Times New Roman" w:hAnsi="Times New Roman" w:cs="Times New Roman"/>
                <w:i/>
                <w:iCs/>
                <w:sz w:val="24"/>
              </w:rPr>
              <w:t>euro</w:t>
            </w:r>
            <w:r w:rsidRPr="00D565C4">
              <w:rPr>
                <w:rFonts w:ascii="Times New Roman" w:hAnsi="Times New Roman" w:cs="Times New Roman"/>
                <w:sz w:val="24"/>
              </w:rPr>
              <w:t xml:space="preserve">, bet mērķgrupai, ko veido juridiskas personas, – 2000 </w:t>
            </w:r>
            <w:r w:rsidRPr="00B01A25">
              <w:rPr>
                <w:rFonts w:ascii="Times New Roman" w:hAnsi="Times New Roman" w:cs="Times New Roman"/>
                <w:i/>
                <w:iCs/>
                <w:sz w:val="24"/>
              </w:rPr>
              <w:t>euro</w:t>
            </w:r>
            <w:r w:rsidRPr="00D565C4">
              <w:rPr>
                <w:rFonts w:ascii="Times New Roman" w:hAnsi="Times New Roman" w:cs="Times New Roman"/>
                <w:sz w:val="24"/>
              </w:rPr>
              <w:t xml:space="preserve">. </w:t>
            </w:r>
          </w:p>
        </w:tc>
      </w:tr>
      <w:tr w:rsidR="00F67455" w14:paraId="50B0EC31" w14:textId="77777777" w:rsidTr="00F46203">
        <w:trPr>
          <w:jc w:val="center"/>
        </w:trPr>
        <w:tc>
          <w:tcPr>
            <w:tcW w:w="856" w:type="dxa"/>
          </w:tcPr>
          <w:p w14:paraId="010ADBE0"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3119" w:type="dxa"/>
          </w:tcPr>
          <w:p w14:paraId="18A1CE9C"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6095" w:type="dxa"/>
          </w:tcPr>
          <w:p w14:paraId="127FECED" w14:textId="77777777" w:rsidR="00F67455" w:rsidRPr="0039467E" w:rsidRDefault="00F67455" w:rsidP="00633B4C">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14:paraId="72A53BEB" w14:textId="77777777" w:rsidTr="00F46203">
        <w:trPr>
          <w:jc w:val="center"/>
        </w:trPr>
        <w:tc>
          <w:tcPr>
            <w:tcW w:w="856" w:type="dxa"/>
          </w:tcPr>
          <w:p w14:paraId="2E61FCD0"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3119" w:type="dxa"/>
          </w:tcPr>
          <w:p w14:paraId="002C9407"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14:paraId="49378990" w14:textId="77777777"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47F89018" w14:textId="77777777" w:rsidR="00F67455" w:rsidRDefault="00F67455" w:rsidP="00F67455">
      <w:pPr>
        <w:pStyle w:val="Bezatstarpm"/>
        <w:rPr>
          <w:rFonts w:ascii="Times New Roman" w:hAnsi="Times New Roman" w:cs="Times New Roman"/>
          <w:sz w:val="24"/>
          <w:szCs w:val="24"/>
          <w:lang w:eastAsia="lv-LV"/>
        </w:rPr>
      </w:pPr>
    </w:p>
    <w:tbl>
      <w:tblPr>
        <w:tblW w:w="563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0206"/>
      </w:tblGrid>
      <w:tr w:rsidR="0040629A" w:rsidRPr="00D871AE" w14:paraId="5735A5F6" w14:textId="77777777" w:rsidTr="007F1EF0">
        <w:trPr>
          <w:cantSplit/>
        </w:trPr>
        <w:tc>
          <w:tcPr>
            <w:tcW w:w="10206" w:type="dxa"/>
            <w:shd w:val="clear" w:color="auto" w:fill="auto"/>
            <w:vAlign w:val="center"/>
            <w:hideMark/>
          </w:tcPr>
          <w:p w14:paraId="25BCCDF3" w14:textId="77777777" w:rsidR="0040629A" w:rsidRPr="00D871AE" w:rsidRDefault="0040629A" w:rsidP="00631D27">
            <w:pPr>
              <w:jc w:val="center"/>
              <w:rPr>
                <w:b/>
                <w:bCs/>
                <w:lang w:eastAsia="en-US"/>
              </w:rPr>
            </w:pPr>
            <w:r w:rsidRPr="00D871AE">
              <w:rPr>
                <w:b/>
                <w:bCs/>
                <w:lang w:eastAsia="en-US"/>
              </w:rPr>
              <w:t>III. Tiesību akta projekta ietekme uz valsts budžetu un pašvaldību budžetiem</w:t>
            </w:r>
          </w:p>
        </w:tc>
      </w:tr>
      <w:tr w:rsidR="00345D56" w:rsidRPr="00D871AE" w14:paraId="455ED3BE" w14:textId="77777777" w:rsidTr="007F1EF0">
        <w:trPr>
          <w:cantSplit/>
        </w:trPr>
        <w:tc>
          <w:tcPr>
            <w:tcW w:w="10206" w:type="dxa"/>
            <w:shd w:val="clear" w:color="auto" w:fill="FFFFFF"/>
            <w:vAlign w:val="center"/>
          </w:tcPr>
          <w:p w14:paraId="3927C289" w14:textId="5D0E6BB1" w:rsidR="00345D56" w:rsidRPr="00D871AE" w:rsidRDefault="00345D56" w:rsidP="00631D27">
            <w:pPr>
              <w:jc w:val="center"/>
              <w:rPr>
                <w:lang w:eastAsia="en-US"/>
              </w:rPr>
            </w:pPr>
            <w:r>
              <w:rPr>
                <w:lang w:eastAsia="en-US"/>
              </w:rPr>
              <w:t>Projekts šo jomu neskar.</w:t>
            </w:r>
          </w:p>
        </w:tc>
      </w:tr>
    </w:tbl>
    <w:p w14:paraId="2DDE5271" w14:textId="77777777" w:rsidR="009E45A9" w:rsidRDefault="009E45A9" w:rsidP="00F67455">
      <w:pPr>
        <w:pStyle w:val="Bezatstarpm"/>
        <w:rPr>
          <w:rFonts w:ascii="Times New Roman" w:hAnsi="Times New Roman" w:cs="Times New Roman"/>
          <w:sz w:val="24"/>
          <w:szCs w:val="24"/>
          <w:lang w:eastAsia="lv-LV"/>
        </w:rPr>
      </w:pPr>
    </w:p>
    <w:tbl>
      <w:tblPr>
        <w:tblStyle w:val="Reatabula"/>
        <w:tblW w:w="10201" w:type="dxa"/>
        <w:jc w:val="center"/>
        <w:tblLook w:val="04A0" w:firstRow="1" w:lastRow="0" w:firstColumn="1" w:lastColumn="0" w:noHBand="0" w:noVBand="1"/>
      </w:tblPr>
      <w:tblGrid>
        <w:gridCol w:w="10201"/>
      </w:tblGrid>
      <w:tr w:rsidR="00F67455" w14:paraId="34EB84F3" w14:textId="77777777" w:rsidTr="007F1EF0">
        <w:trPr>
          <w:jc w:val="center"/>
        </w:trPr>
        <w:tc>
          <w:tcPr>
            <w:tcW w:w="10201" w:type="dxa"/>
          </w:tcPr>
          <w:p w14:paraId="450D93CA" w14:textId="77777777" w:rsidR="00F67455" w:rsidRDefault="00F67455" w:rsidP="00633B4C">
            <w:pPr>
              <w:pStyle w:val="Bezatstarpm"/>
              <w:jc w:val="center"/>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   </w:t>
            </w:r>
            <w:r w:rsidRPr="002C15A5">
              <w:rPr>
                <w:rFonts w:ascii="Times New Roman" w:hAnsi="Times New Roman" w:cs="Times New Roman"/>
                <w:b/>
                <w:sz w:val="24"/>
                <w:szCs w:val="24"/>
                <w:lang w:eastAsia="lv-LV"/>
              </w:rPr>
              <w:t>IV. Tiesību akta projekta ietekme uz spēkā esošo tiesību normu sistēmu</w:t>
            </w:r>
          </w:p>
        </w:tc>
      </w:tr>
      <w:tr w:rsidR="00F67455" w14:paraId="33B2FC7D" w14:textId="77777777" w:rsidTr="007F1EF0">
        <w:trPr>
          <w:jc w:val="center"/>
        </w:trPr>
        <w:tc>
          <w:tcPr>
            <w:tcW w:w="10201" w:type="dxa"/>
          </w:tcPr>
          <w:p w14:paraId="4A582C94" w14:textId="77777777" w:rsidR="00F67455" w:rsidRDefault="00F67455" w:rsidP="00633B4C">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14:paraId="748D0F43" w14:textId="77777777" w:rsidR="00F67455" w:rsidRDefault="00F67455" w:rsidP="00F67455">
      <w:pPr>
        <w:pStyle w:val="Bezatstarpm"/>
        <w:rPr>
          <w:rFonts w:ascii="Times New Roman" w:hAnsi="Times New Roman" w:cs="Times New Roman"/>
          <w:sz w:val="24"/>
          <w:szCs w:val="24"/>
          <w:lang w:eastAsia="lv-LV"/>
        </w:rPr>
      </w:pPr>
    </w:p>
    <w:tbl>
      <w:tblPr>
        <w:tblW w:w="9781" w:type="dxa"/>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80"/>
        <w:gridCol w:w="2165"/>
        <w:gridCol w:w="153"/>
        <w:gridCol w:w="1883"/>
        <w:gridCol w:w="2296"/>
        <w:gridCol w:w="2304"/>
      </w:tblGrid>
      <w:tr w:rsidR="007B5216" w:rsidRPr="006B1394" w14:paraId="36ECA284" w14:textId="77777777" w:rsidTr="001E2295">
        <w:tc>
          <w:tcPr>
            <w:tcW w:w="9781" w:type="dxa"/>
            <w:gridSpan w:val="6"/>
            <w:tcBorders>
              <w:top w:val="outset" w:sz="6" w:space="0" w:color="414142"/>
              <w:bottom w:val="outset" w:sz="6" w:space="0" w:color="414142"/>
            </w:tcBorders>
            <w:shd w:val="clear" w:color="auto" w:fill="FFFFFF"/>
            <w:vAlign w:val="center"/>
          </w:tcPr>
          <w:p w14:paraId="628F84F5" w14:textId="77777777" w:rsidR="007B5216" w:rsidRPr="006B1394" w:rsidRDefault="007B5216" w:rsidP="00726E2B">
            <w:pPr>
              <w:jc w:val="center"/>
              <w:rPr>
                <w:b/>
                <w:color w:val="000000" w:themeColor="text1"/>
                <w:sz w:val="28"/>
                <w:szCs w:val="28"/>
              </w:rPr>
            </w:pPr>
            <w:r w:rsidRPr="008B74D4">
              <w:rPr>
                <w:b/>
                <w:szCs w:val="28"/>
              </w:rPr>
              <w:t>V. Tiesību akta projekta atbilstība Latvijas Republikas starptautiskajām saistībām</w:t>
            </w:r>
          </w:p>
        </w:tc>
      </w:tr>
      <w:tr w:rsidR="007B5216" w:rsidRPr="000D651D" w14:paraId="08E10FED" w14:textId="77777777" w:rsidTr="001E2295">
        <w:tc>
          <w:tcPr>
            <w:tcW w:w="980" w:type="dxa"/>
            <w:tcBorders>
              <w:top w:val="outset" w:sz="6" w:space="0" w:color="414142"/>
              <w:bottom w:val="outset" w:sz="6" w:space="0" w:color="414142"/>
              <w:right w:val="outset" w:sz="6" w:space="0" w:color="414142"/>
            </w:tcBorders>
            <w:shd w:val="clear" w:color="auto" w:fill="FFFFFF"/>
          </w:tcPr>
          <w:p w14:paraId="2F2370EE" w14:textId="77777777" w:rsidR="007B5216" w:rsidRPr="006B1394" w:rsidRDefault="007B5216" w:rsidP="00726E2B">
            <w:pPr>
              <w:jc w:val="both"/>
              <w:rPr>
                <w:color w:val="000000" w:themeColor="text1"/>
              </w:rPr>
            </w:pPr>
            <w:r w:rsidRPr="006B1394">
              <w:rPr>
                <w:color w:val="000000" w:themeColor="text1"/>
              </w:rPr>
              <w:t>1.</w:t>
            </w:r>
          </w:p>
        </w:tc>
        <w:tc>
          <w:tcPr>
            <w:tcW w:w="2165" w:type="dxa"/>
            <w:tcBorders>
              <w:top w:val="outset" w:sz="6" w:space="0" w:color="414142"/>
              <w:left w:val="outset" w:sz="6" w:space="0" w:color="414142"/>
              <w:bottom w:val="outset" w:sz="6" w:space="0" w:color="414142"/>
              <w:right w:val="outset" w:sz="6" w:space="0" w:color="414142"/>
            </w:tcBorders>
            <w:shd w:val="clear" w:color="auto" w:fill="FFFFFF"/>
          </w:tcPr>
          <w:p w14:paraId="7DB01F2B" w14:textId="77777777" w:rsidR="007B5216" w:rsidRPr="006B1394" w:rsidRDefault="007B5216" w:rsidP="00726E2B">
            <w:pPr>
              <w:jc w:val="both"/>
              <w:rPr>
                <w:color w:val="000000" w:themeColor="text1"/>
              </w:rPr>
            </w:pPr>
            <w:r w:rsidRPr="006B1394">
              <w:rPr>
                <w:color w:val="000000" w:themeColor="text1"/>
              </w:rPr>
              <w:t>Saistības pret Eiropas Savienību</w:t>
            </w:r>
          </w:p>
        </w:tc>
        <w:tc>
          <w:tcPr>
            <w:tcW w:w="6636" w:type="dxa"/>
            <w:gridSpan w:val="4"/>
            <w:tcBorders>
              <w:top w:val="outset" w:sz="6" w:space="0" w:color="414142"/>
              <w:left w:val="outset" w:sz="6" w:space="0" w:color="414142"/>
              <w:bottom w:val="outset" w:sz="6" w:space="0" w:color="414142"/>
            </w:tcBorders>
            <w:shd w:val="clear" w:color="auto" w:fill="FFFFFF"/>
          </w:tcPr>
          <w:p w14:paraId="04689F0F" w14:textId="028C6C3E" w:rsidR="00742C86" w:rsidRDefault="008A3067" w:rsidP="002E2338">
            <w:pPr>
              <w:jc w:val="both"/>
            </w:pPr>
            <w:r>
              <w:t xml:space="preserve">1) </w:t>
            </w:r>
            <w:r w:rsidR="00742C86" w:rsidRPr="00A83A9A">
              <w:t>Regula 2020/735</w:t>
            </w:r>
            <w:r>
              <w:t>;</w:t>
            </w:r>
          </w:p>
          <w:p w14:paraId="556F9A5A" w14:textId="5031DE0F" w:rsidR="00742C86" w:rsidRDefault="008A3067" w:rsidP="002E2338">
            <w:pPr>
              <w:jc w:val="both"/>
            </w:pPr>
            <w:r>
              <w:t xml:space="preserve">2) </w:t>
            </w:r>
            <w:r w:rsidR="00742C86" w:rsidRPr="00037516">
              <w:t>Regula Nr. 999/2001</w:t>
            </w:r>
            <w:r>
              <w:t>;</w:t>
            </w:r>
          </w:p>
          <w:p w14:paraId="28ACD12A" w14:textId="460C0CF4" w:rsidR="002E2338" w:rsidRPr="002D55B9" w:rsidRDefault="008A3067" w:rsidP="00726E2B">
            <w:pPr>
              <w:jc w:val="both"/>
              <w:rPr>
                <w:bCs/>
              </w:rPr>
            </w:pPr>
            <w:r>
              <w:rPr>
                <w:bCs/>
              </w:rPr>
              <w:t xml:space="preserve">3) Lēmums </w:t>
            </w:r>
            <w:r w:rsidRPr="00360690">
              <w:rPr>
                <w:bCs/>
              </w:rPr>
              <w:t>2009/719/EK</w:t>
            </w:r>
            <w:r>
              <w:rPr>
                <w:bCs/>
              </w:rPr>
              <w:t>.</w:t>
            </w:r>
          </w:p>
        </w:tc>
      </w:tr>
      <w:tr w:rsidR="007B5216" w:rsidRPr="0053640C" w14:paraId="55C3BE7B" w14:textId="77777777" w:rsidTr="001E2295">
        <w:tc>
          <w:tcPr>
            <w:tcW w:w="980" w:type="dxa"/>
            <w:tcBorders>
              <w:top w:val="outset" w:sz="6" w:space="0" w:color="414142"/>
              <w:bottom w:val="outset" w:sz="6" w:space="0" w:color="414142"/>
              <w:right w:val="outset" w:sz="6" w:space="0" w:color="414142"/>
            </w:tcBorders>
            <w:shd w:val="clear" w:color="auto" w:fill="FFFFFF"/>
          </w:tcPr>
          <w:p w14:paraId="3D2CBE81" w14:textId="77777777" w:rsidR="007B5216" w:rsidRPr="006B1394" w:rsidRDefault="007B5216" w:rsidP="00726E2B">
            <w:pPr>
              <w:jc w:val="both"/>
              <w:rPr>
                <w:color w:val="000000" w:themeColor="text1"/>
              </w:rPr>
            </w:pPr>
            <w:r w:rsidRPr="006B1394">
              <w:rPr>
                <w:color w:val="000000" w:themeColor="text1"/>
              </w:rPr>
              <w:t>2.</w:t>
            </w:r>
          </w:p>
        </w:tc>
        <w:tc>
          <w:tcPr>
            <w:tcW w:w="2165" w:type="dxa"/>
            <w:tcBorders>
              <w:top w:val="outset" w:sz="6" w:space="0" w:color="414142"/>
              <w:left w:val="outset" w:sz="6" w:space="0" w:color="414142"/>
              <w:bottom w:val="outset" w:sz="6" w:space="0" w:color="414142"/>
              <w:right w:val="outset" w:sz="6" w:space="0" w:color="414142"/>
            </w:tcBorders>
            <w:shd w:val="clear" w:color="auto" w:fill="FFFFFF"/>
          </w:tcPr>
          <w:p w14:paraId="789538AC" w14:textId="77777777" w:rsidR="007B5216" w:rsidRPr="006B1394" w:rsidRDefault="007B5216" w:rsidP="00726E2B">
            <w:pPr>
              <w:jc w:val="both"/>
              <w:rPr>
                <w:color w:val="000000" w:themeColor="text1"/>
              </w:rPr>
            </w:pPr>
            <w:r w:rsidRPr="006B1394">
              <w:rPr>
                <w:color w:val="000000" w:themeColor="text1"/>
              </w:rPr>
              <w:t>Citas starptautiskās saistības</w:t>
            </w:r>
          </w:p>
        </w:tc>
        <w:tc>
          <w:tcPr>
            <w:tcW w:w="6636" w:type="dxa"/>
            <w:gridSpan w:val="4"/>
            <w:tcBorders>
              <w:top w:val="outset" w:sz="6" w:space="0" w:color="414142"/>
              <w:left w:val="outset" w:sz="6" w:space="0" w:color="414142"/>
              <w:bottom w:val="outset" w:sz="6" w:space="0" w:color="414142"/>
            </w:tcBorders>
            <w:shd w:val="clear" w:color="auto" w:fill="FFFFFF"/>
          </w:tcPr>
          <w:p w14:paraId="0FAC0836" w14:textId="77777777" w:rsidR="007B5216" w:rsidRPr="006B1394" w:rsidRDefault="007B5216" w:rsidP="00726E2B">
            <w:pPr>
              <w:jc w:val="both"/>
              <w:rPr>
                <w:color w:val="000000" w:themeColor="text1"/>
              </w:rPr>
            </w:pPr>
            <w:r w:rsidRPr="006022C3">
              <w:t>Projekts šo jomu neskar.</w:t>
            </w:r>
          </w:p>
        </w:tc>
      </w:tr>
      <w:tr w:rsidR="007B5216" w:rsidRPr="0053640C" w14:paraId="00A80D62" w14:textId="77777777" w:rsidTr="001E2295">
        <w:tc>
          <w:tcPr>
            <w:tcW w:w="980" w:type="dxa"/>
            <w:tcBorders>
              <w:top w:val="outset" w:sz="6" w:space="0" w:color="414142"/>
              <w:bottom w:val="outset" w:sz="6" w:space="0" w:color="414142"/>
              <w:right w:val="outset" w:sz="6" w:space="0" w:color="414142"/>
            </w:tcBorders>
            <w:shd w:val="clear" w:color="auto" w:fill="FFFFFF"/>
          </w:tcPr>
          <w:p w14:paraId="516F5DBB" w14:textId="77777777" w:rsidR="007B5216" w:rsidRPr="006B1394" w:rsidRDefault="007B5216" w:rsidP="00726E2B">
            <w:pPr>
              <w:jc w:val="both"/>
              <w:rPr>
                <w:color w:val="000000" w:themeColor="text1"/>
              </w:rPr>
            </w:pPr>
            <w:r w:rsidRPr="006B1394">
              <w:rPr>
                <w:color w:val="000000" w:themeColor="text1"/>
              </w:rPr>
              <w:t>3.</w:t>
            </w:r>
          </w:p>
        </w:tc>
        <w:tc>
          <w:tcPr>
            <w:tcW w:w="2165" w:type="dxa"/>
            <w:tcBorders>
              <w:top w:val="outset" w:sz="6" w:space="0" w:color="414142"/>
              <w:left w:val="outset" w:sz="6" w:space="0" w:color="414142"/>
              <w:bottom w:val="outset" w:sz="6" w:space="0" w:color="414142"/>
              <w:right w:val="outset" w:sz="6" w:space="0" w:color="414142"/>
            </w:tcBorders>
            <w:shd w:val="clear" w:color="auto" w:fill="FFFFFF"/>
          </w:tcPr>
          <w:p w14:paraId="386BC219" w14:textId="77777777" w:rsidR="007B5216" w:rsidRPr="006B1394" w:rsidRDefault="007B5216" w:rsidP="00726E2B">
            <w:pPr>
              <w:jc w:val="both"/>
              <w:rPr>
                <w:color w:val="000000" w:themeColor="text1"/>
              </w:rPr>
            </w:pPr>
            <w:r w:rsidRPr="006B1394">
              <w:rPr>
                <w:color w:val="000000" w:themeColor="text1"/>
              </w:rPr>
              <w:t>Cita informācija</w:t>
            </w:r>
          </w:p>
        </w:tc>
        <w:tc>
          <w:tcPr>
            <w:tcW w:w="6636" w:type="dxa"/>
            <w:gridSpan w:val="4"/>
            <w:tcBorders>
              <w:top w:val="outset" w:sz="6" w:space="0" w:color="414142"/>
              <w:left w:val="outset" w:sz="6" w:space="0" w:color="414142"/>
              <w:bottom w:val="outset" w:sz="6" w:space="0" w:color="414142"/>
            </w:tcBorders>
            <w:shd w:val="clear" w:color="auto" w:fill="FFFFFF"/>
          </w:tcPr>
          <w:p w14:paraId="190219E4" w14:textId="77777777" w:rsidR="007B5216" w:rsidRPr="006B1394" w:rsidRDefault="007B5216" w:rsidP="00726E2B">
            <w:pPr>
              <w:jc w:val="both"/>
              <w:rPr>
                <w:color w:val="000000" w:themeColor="text1"/>
              </w:rPr>
            </w:pPr>
            <w:r>
              <w:rPr>
                <w:color w:val="000000" w:themeColor="text1"/>
              </w:rPr>
              <w:t>Nav.</w:t>
            </w:r>
          </w:p>
        </w:tc>
      </w:tr>
      <w:tr w:rsidR="007B5216" w:rsidRPr="004D64E7" w14:paraId="3C90FE27"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523"/>
          <w:jc w:val="center"/>
        </w:trPr>
        <w:tc>
          <w:tcPr>
            <w:tcW w:w="9781" w:type="dxa"/>
            <w:gridSpan w:val="6"/>
            <w:vAlign w:val="center"/>
          </w:tcPr>
          <w:p w14:paraId="4A161C01" w14:textId="77777777" w:rsidR="007B5216" w:rsidRPr="003F321E" w:rsidRDefault="007B5216" w:rsidP="00726E2B">
            <w:pPr>
              <w:pStyle w:val="naisnod"/>
              <w:spacing w:before="0" w:beforeAutospacing="0" w:after="0" w:afterAutospacing="0"/>
              <w:jc w:val="center"/>
              <w:rPr>
                <w:b/>
              </w:rPr>
            </w:pPr>
            <w:r w:rsidRPr="003F321E">
              <w:rPr>
                <w:b/>
              </w:rPr>
              <w:t>1.tabula</w:t>
            </w:r>
          </w:p>
          <w:p w14:paraId="4D3D1D11" w14:textId="77777777" w:rsidR="007B5216" w:rsidRPr="009E2709" w:rsidRDefault="007B5216" w:rsidP="00726E2B">
            <w:pPr>
              <w:pStyle w:val="naisnod"/>
              <w:spacing w:before="0" w:beforeAutospacing="0" w:after="0" w:afterAutospacing="0"/>
              <w:jc w:val="center"/>
              <w:rPr>
                <w:i/>
              </w:rPr>
            </w:pPr>
            <w:r w:rsidRPr="003F321E">
              <w:rPr>
                <w:b/>
              </w:rPr>
              <w:t>Tiesību akta projekta atbilstība ES tiesību aktiem</w:t>
            </w:r>
          </w:p>
        </w:tc>
      </w:tr>
      <w:tr w:rsidR="007B5216" w:rsidRPr="006D468F" w14:paraId="0A404FA4"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906"/>
          <w:jc w:val="center"/>
        </w:trPr>
        <w:tc>
          <w:tcPr>
            <w:tcW w:w="3298" w:type="dxa"/>
            <w:gridSpan w:val="3"/>
            <w:vAlign w:val="center"/>
          </w:tcPr>
          <w:p w14:paraId="2172E401" w14:textId="77777777" w:rsidR="007B5216" w:rsidRPr="009E2709" w:rsidRDefault="007B5216" w:rsidP="007C5A99">
            <w:r w:rsidRPr="009E2709">
              <w:t>Attiecīgā ES tiesību akta datums, numurs un nosaukums</w:t>
            </w:r>
          </w:p>
        </w:tc>
        <w:tc>
          <w:tcPr>
            <w:tcW w:w="6483" w:type="dxa"/>
            <w:gridSpan w:val="3"/>
          </w:tcPr>
          <w:p w14:paraId="444C2047" w14:textId="377F18D7" w:rsidR="008A3067" w:rsidRDefault="008A3067" w:rsidP="00726E2B">
            <w:pPr>
              <w:pStyle w:val="naiskr"/>
              <w:spacing w:before="0" w:beforeAutospacing="0" w:after="0" w:afterAutospacing="0"/>
            </w:pPr>
            <w:r>
              <w:t xml:space="preserve">1) </w:t>
            </w:r>
            <w:r w:rsidRPr="00A83A9A">
              <w:t>Regula 2020/735</w:t>
            </w:r>
            <w:r>
              <w:t>;</w:t>
            </w:r>
          </w:p>
          <w:p w14:paraId="3CFA28D1" w14:textId="20F7379D" w:rsidR="008A3067" w:rsidRDefault="008A3067" w:rsidP="00726E2B">
            <w:pPr>
              <w:pStyle w:val="naiskr"/>
              <w:spacing w:before="0" w:beforeAutospacing="0" w:after="0" w:afterAutospacing="0"/>
            </w:pPr>
            <w:r>
              <w:t xml:space="preserve">2) </w:t>
            </w:r>
            <w:r w:rsidR="0008713B" w:rsidRPr="0008713B">
              <w:t>Regula Nr. 999/2001</w:t>
            </w:r>
            <w:r>
              <w:t>;</w:t>
            </w:r>
          </w:p>
          <w:p w14:paraId="54923564" w14:textId="77777777" w:rsidR="00B01A25" w:rsidRDefault="008A3067" w:rsidP="00726E2B">
            <w:pPr>
              <w:pStyle w:val="naiskr"/>
              <w:spacing w:before="0" w:beforeAutospacing="0" w:after="0" w:afterAutospacing="0"/>
              <w:rPr>
                <w:bCs/>
              </w:rPr>
            </w:pPr>
            <w:r>
              <w:rPr>
                <w:bCs/>
              </w:rPr>
              <w:t xml:space="preserve">3) Lēmums </w:t>
            </w:r>
            <w:r w:rsidRPr="00360690">
              <w:rPr>
                <w:bCs/>
              </w:rPr>
              <w:t>2009/719/EK</w:t>
            </w:r>
            <w:r w:rsidR="00B01A25">
              <w:rPr>
                <w:bCs/>
              </w:rPr>
              <w:t>;</w:t>
            </w:r>
          </w:p>
          <w:p w14:paraId="4FA1B8EE" w14:textId="6604250A" w:rsidR="007B5216" w:rsidRPr="009E2709" w:rsidRDefault="00B01A25" w:rsidP="00726E2B">
            <w:pPr>
              <w:pStyle w:val="naiskr"/>
              <w:spacing w:before="0" w:beforeAutospacing="0" w:after="0" w:afterAutospacing="0"/>
            </w:pPr>
            <w:r>
              <w:rPr>
                <w:bCs/>
              </w:rPr>
              <w:t xml:space="preserve">4) </w:t>
            </w:r>
            <w:r w:rsidRPr="00B01A25">
              <w:rPr>
                <w:bCs/>
              </w:rPr>
              <w:t>Regula Nr. 142/2011</w:t>
            </w:r>
            <w:r w:rsidR="0008713B">
              <w:t>.</w:t>
            </w:r>
          </w:p>
        </w:tc>
      </w:tr>
      <w:tr w:rsidR="007B5216" w:rsidRPr="009E2709" w14:paraId="1C90A8F9"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65"/>
          <w:jc w:val="center"/>
        </w:trPr>
        <w:tc>
          <w:tcPr>
            <w:tcW w:w="3298" w:type="dxa"/>
            <w:gridSpan w:val="3"/>
            <w:vAlign w:val="center"/>
          </w:tcPr>
          <w:p w14:paraId="603BFD80" w14:textId="77777777" w:rsidR="007B5216" w:rsidRPr="009E2709" w:rsidRDefault="007B5216" w:rsidP="00726E2B">
            <w:pPr>
              <w:pStyle w:val="naiskr"/>
              <w:spacing w:before="0" w:beforeAutospacing="0" w:after="0" w:afterAutospacing="0"/>
              <w:jc w:val="center"/>
            </w:pPr>
            <w:r w:rsidRPr="009E2709">
              <w:t>A</w:t>
            </w:r>
          </w:p>
        </w:tc>
        <w:tc>
          <w:tcPr>
            <w:tcW w:w="1883" w:type="dxa"/>
            <w:vAlign w:val="center"/>
          </w:tcPr>
          <w:p w14:paraId="7878F6CE" w14:textId="77777777" w:rsidR="007B5216" w:rsidRPr="009E2709" w:rsidRDefault="007B5216" w:rsidP="00726E2B">
            <w:pPr>
              <w:pStyle w:val="naiskr"/>
              <w:spacing w:before="0" w:beforeAutospacing="0" w:after="0" w:afterAutospacing="0"/>
              <w:jc w:val="center"/>
            </w:pPr>
            <w:r w:rsidRPr="009E2709">
              <w:t>B</w:t>
            </w:r>
          </w:p>
        </w:tc>
        <w:tc>
          <w:tcPr>
            <w:tcW w:w="2296" w:type="dxa"/>
            <w:vAlign w:val="center"/>
          </w:tcPr>
          <w:p w14:paraId="53A13ED6" w14:textId="77777777" w:rsidR="007B5216" w:rsidRPr="009E2709" w:rsidRDefault="007B5216" w:rsidP="00726E2B">
            <w:pPr>
              <w:pStyle w:val="naiskr"/>
              <w:spacing w:before="0" w:beforeAutospacing="0" w:after="0" w:afterAutospacing="0"/>
              <w:jc w:val="center"/>
            </w:pPr>
            <w:r w:rsidRPr="009E2709">
              <w:t>C</w:t>
            </w:r>
          </w:p>
        </w:tc>
        <w:tc>
          <w:tcPr>
            <w:tcW w:w="2304" w:type="dxa"/>
            <w:vAlign w:val="center"/>
          </w:tcPr>
          <w:p w14:paraId="6BF47746" w14:textId="77777777" w:rsidR="007B5216" w:rsidRPr="009E2709" w:rsidRDefault="007B5216" w:rsidP="00726E2B">
            <w:pPr>
              <w:pStyle w:val="naiskr"/>
              <w:spacing w:before="0" w:beforeAutospacing="0" w:after="0" w:afterAutospacing="0"/>
              <w:jc w:val="center"/>
            </w:pPr>
            <w:r w:rsidRPr="009E2709">
              <w:t>D</w:t>
            </w:r>
          </w:p>
        </w:tc>
      </w:tr>
      <w:tr w:rsidR="007B5216" w:rsidRPr="00B95F7D" w14:paraId="31B64B3B"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65"/>
          <w:jc w:val="center"/>
        </w:trPr>
        <w:tc>
          <w:tcPr>
            <w:tcW w:w="3298" w:type="dxa"/>
            <w:gridSpan w:val="3"/>
          </w:tcPr>
          <w:p w14:paraId="74AF2BB3" w14:textId="77777777" w:rsidR="007B5216" w:rsidRPr="009E2709" w:rsidRDefault="007B5216" w:rsidP="00726E2B">
            <w:pPr>
              <w:pStyle w:val="naiskr"/>
              <w:spacing w:before="0" w:beforeAutospacing="0" w:after="0" w:afterAutospacing="0"/>
              <w:jc w:val="both"/>
            </w:pPr>
            <w:r w:rsidRPr="009E2709">
              <w:t>Attiecīgā ES tiesību akta panta numurs (uzskaitot katru tiesību akta vienību – pantu, daļu, punktu, apakšpunktu)</w:t>
            </w:r>
          </w:p>
        </w:tc>
        <w:tc>
          <w:tcPr>
            <w:tcW w:w="1883" w:type="dxa"/>
          </w:tcPr>
          <w:p w14:paraId="7F2C6AA9" w14:textId="77777777" w:rsidR="007B5216" w:rsidRPr="009E2709" w:rsidRDefault="007B5216" w:rsidP="00726E2B">
            <w:pPr>
              <w:pStyle w:val="naiskr"/>
              <w:spacing w:before="0" w:beforeAutospacing="0" w:after="0" w:afterAutospacing="0"/>
              <w:jc w:val="both"/>
            </w:pPr>
            <w:r w:rsidRPr="009E2709">
              <w:t>Projekta vienība, kas pārņem vai ievieš katru šīs tabulas A ailē minēto ES tiesību akta vienību, vai tiesību akts, kur attiecīgā ES tiesību akta vienība pārņemta vai ieviesta</w:t>
            </w:r>
          </w:p>
        </w:tc>
        <w:tc>
          <w:tcPr>
            <w:tcW w:w="2296" w:type="dxa"/>
          </w:tcPr>
          <w:p w14:paraId="6604C051" w14:textId="77777777" w:rsidR="007B5216" w:rsidRPr="009E2709" w:rsidRDefault="007B5216" w:rsidP="00726E2B">
            <w:pPr>
              <w:pStyle w:val="naiskr"/>
              <w:spacing w:before="0" w:beforeAutospacing="0" w:after="0" w:afterAutospacing="0"/>
              <w:jc w:val="both"/>
            </w:pPr>
            <w:r w:rsidRPr="009E2709">
              <w:t>Informācija par to, vai šīs tabulas A ailē minētās ES tiesību akta vienības tiek pārņemtas vai ieviestas pilnībā vai daļēji.</w:t>
            </w:r>
          </w:p>
          <w:p w14:paraId="5F52C50E" w14:textId="77777777" w:rsidR="007B5216" w:rsidRPr="009E2709" w:rsidRDefault="007B5216" w:rsidP="00726E2B">
            <w:pPr>
              <w:pStyle w:val="naiskr"/>
              <w:spacing w:before="0" w:beforeAutospacing="0" w:after="0" w:afterAutospacing="0"/>
              <w:jc w:val="both"/>
            </w:pPr>
            <w:r w:rsidRPr="009E2709">
              <w:t>Ja attiecīgā ES tiesību akta vienība tiek</w:t>
            </w:r>
            <w:r>
              <w:t xml:space="preserve"> pārņemta vai ieviesta daļēji, </w:t>
            </w:r>
            <w:r w:rsidRPr="009E2709">
              <w:t>sniedz attiecīgu skaidrojumu, kā arī precīzi norāda, kad un kādā veidā ES tiesību akta vienība tiks pārņemta vai ieviesta pilnībā.</w:t>
            </w:r>
          </w:p>
          <w:p w14:paraId="055E9DEE" w14:textId="77777777" w:rsidR="007B5216" w:rsidRPr="009E2709" w:rsidRDefault="007B5216" w:rsidP="00726E2B">
            <w:pPr>
              <w:pStyle w:val="naiskr"/>
              <w:spacing w:before="0" w:beforeAutospacing="0" w:after="0" w:afterAutospacing="0"/>
              <w:jc w:val="both"/>
            </w:pPr>
            <w:r w:rsidRPr="009E2709">
              <w:lastRenderedPageBreak/>
              <w:t>Norāda institūciju, kas ir atbildīga par šo saistību izpildi pilnībā</w:t>
            </w:r>
          </w:p>
        </w:tc>
        <w:tc>
          <w:tcPr>
            <w:tcW w:w="2304" w:type="dxa"/>
            <w:vAlign w:val="center"/>
          </w:tcPr>
          <w:p w14:paraId="19DD5FE5" w14:textId="77777777" w:rsidR="007B5216" w:rsidRPr="009E2709" w:rsidRDefault="007B5216" w:rsidP="00726E2B">
            <w:pPr>
              <w:pStyle w:val="naiskr"/>
              <w:spacing w:before="0" w:beforeAutospacing="0" w:after="0" w:afterAutospacing="0"/>
              <w:jc w:val="both"/>
            </w:pPr>
            <w:r w:rsidRPr="009E2709">
              <w:lastRenderedPageBreak/>
              <w:t>Informācija par to, vai šīs tabulas B ailē minētās projekta vienības paredz stingrākas prasības nekā šīs tabulas A ailē minētās ES tiesību akta vienības.</w:t>
            </w:r>
          </w:p>
          <w:p w14:paraId="5CB4A304" w14:textId="77777777" w:rsidR="007B5216" w:rsidRPr="009E2709" w:rsidRDefault="007B5216" w:rsidP="00726E2B">
            <w:pPr>
              <w:pStyle w:val="naiskr"/>
              <w:spacing w:before="0" w:beforeAutospacing="0" w:after="0" w:afterAutospacing="0"/>
              <w:jc w:val="both"/>
            </w:pPr>
            <w:r w:rsidRPr="009E2709">
              <w:t>Ja projekts satur stingrākas prasības nekā attiecīgais ES tiesību akts, norāda pamatojumu un samērīgumu.</w:t>
            </w:r>
          </w:p>
          <w:p w14:paraId="18DEAD97" w14:textId="77777777" w:rsidR="007B5216" w:rsidRPr="009E2709" w:rsidRDefault="007B5216" w:rsidP="00726E2B">
            <w:pPr>
              <w:pStyle w:val="naiskr"/>
              <w:spacing w:before="0" w:beforeAutospacing="0" w:after="0" w:afterAutospacing="0"/>
              <w:jc w:val="both"/>
            </w:pPr>
            <w:r w:rsidRPr="009E2709">
              <w:t xml:space="preserve">Norāda iespējamās alternatīvas (t.sk. alternatīvas, kas neparedz tiesiskā </w:t>
            </w:r>
            <w:r w:rsidRPr="009E2709">
              <w:lastRenderedPageBreak/>
              <w:t>regulējuma izstrādi) – kādos gadījumos būtu iespējams izvairīties no stingrāku prasību noteikšanas, nekā paredzēts attiecīgajos ES tiesību aktos</w:t>
            </w:r>
          </w:p>
        </w:tc>
      </w:tr>
      <w:tr w:rsidR="00A83A9A" w:rsidRPr="001568E0" w14:paraId="29F3032D"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91"/>
          <w:jc w:val="center"/>
        </w:trPr>
        <w:tc>
          <w:tcPr>
            <w:tcW w:w="3298" w:type="dxa"/>
            <w:gridSpan w:val="3"/>
          </w:tcPr>
          <w:p w14:paraId="3970D3F3" w14:textId="5CF9F3D0" w:rsidR="00A83A9A" w:rsidRDefault="00A83A9A" w:rsidP="00A83A9A">
            <w:pPr>
              <w:jc w:val="both"/>
            </w:pPr>
            <w:r w:rsidRPr="00A83A9A">
              <w:lastRenderedPageBreak/>
              <w:t>Regula</w:t>
            </w:r>
            <w:r w:rsidR="0001372F">
              <w:t>s</w:t>
            </w:r>
            <w:r w:rsidRPr="00A83A9A">
              <w:t xml:space="preserve"> Nr. 2020/735</w:t>
            </w:r>
          </w:p>
          <w:p w14:paraId="387FEFFD" w14:textId="334BB5EF" w:rsidR="00A83A9A" w:rsidRPr="0008713B" w:rsidRDefault="00A83A9A" w:rsidP="00A83A9A">
            <w:pPr>
              <w:jc w:val="both"/>
            </w:pPr>
            <w:r>
              <w:t xml:space="preserve">1.pants </w:t>
            </w:r>
          </w:p>
        </w:tc>
        <w:tc>
          <w:tcPr>
            <w:tcW w:w="1883" w:type="dxa"/>
          </w:tcPr>
          <w:p w14:paraId="1F26872B" w14:textId="77777777" w:rsidR="00A83A9A" w:rsidRPr="00E70DC3" w:rsidRDefault="00A83A9A" w:rsidP="00A83A9A">
            <w:r w:rsidRPr="00A83A9A">
              <w:t>Noteikumu projekt</w:t>
            </w:r>
            <w:r>
              <w:t>a 1.punkts</w:t>
            </w:r>
            <w:r w:rsidRPr="00A83A9A">
              <w:t xml:space="preserve"> (noteikumu Nr.275 </w:t>
            </w:r>
            <w:r>
              <w:t>3</w:t>
            </w:r>
            <w:r w:rsidRPr="00A83A9A">
              <w:t>.</w:t>
            </w:r>
            <w:r w:rsidRPr="00A83A9A">
              <w:rPr>
                <w:vertAlign w:val="superscript"/>
              </w:rPr>
              <w:t>2</w:t>
            </w:r>
            <w:r>
              <w:t xml:space="preserve"> </w:t>
            </w:r>
            <w:r w:rsidRPr="00A83A9A">
              <w:t>punkts)</w:t>
            </w:r>
          </w:p>
        </w:tc>
        <w:tc>
          <w:tcPr>
            <w:tcW w:w="2296" w:type="dxa"/>
          </w:tcPr>
          <w:p w14:paraId="241C3053" w14:textId="77777777" w:rsidR="00A83A9A" w:rsidRPr="00417E9B" w:rsidRDefault="00A83A9A" w:rsidP="00A83A9A">
            <w:r w:rsidRPr="00417E9B">
              <w:t>ES tiesību akta vienība pārņemta pilnībā.</w:t>
            </w:r>
          </w:p>
        </w:tc>
        <w:tc>
          <w:tcPr>
            <w:tcW w:w="2304" w:type="dxa"/>
          </w:tcPr>
          <w:p w14:paraId="6876A05D" w14:textId="77777777" w:rsidR="00A83A9A" w:rsidRDefault="00A83A9A" w:rsidP="00A83A9A">
            <w:r w:rsidRPr="00417E9B">
              <w:t>Neparedz stingrākas prasības kā ES tiesību akta vienība.</w:t>
            </w:r>
          </w:p>
        </w:tc>
      </w:tr>
      <w:tr w:rsidR="00723D70" w:rsidRPr="001568E0" w14:paraId="67CCB71D"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91"/>
          <w:jc w:val="center"/>
        </w:trPr>
        <w:tc>
          <w:tcPr>
            <w:tcW w:w="3298" w:type="dxa"/>
            <w:gridSpan w:val="3"/>
          </w:tcPr>
          <w:p w14:paraId="6EF08938" w14:textId="155E47EC" w:rsidR="00723D70" w:rsidRDefault="00723D70" w:rsidP="00723D70">
            <w:pPr>
              <w:jc w:val="both"/>
            </w:pPr>
            <w:r w:rsidRPr="00A83A9A">
              <w:t>Regula</w:t>
            </w:r>
            <w:r w:rsidR="0001372F">
              <w:t>s</w:t>
            </w:r>
            <w:r w:rsidRPr="00A83A9A">
              <w:t xml:space="preserve"> Nr. 2020/735</w:t>
            </w:r>
          </w:p>
          <w:p w14:paraId="296DB7C6" w14:textId="697B1E71" w:rsidR="00723D70" w:rsidRPr="00A83A9A" w:rsidRDefault="00723D70" w:rsidP="00723D70">
            <w:pPr>
              <w:jc w:val="both"/>
            </w:pPr>
            <w:r>
              <w:t>pielikuma 5.punkts</w:t>
            </w:r>
          </w:p>
        </w:tc>
        <w:tc>
          <w:tcPr>
            <w:tcW w:w="1883" w:type="dxa"/>
          </w:tcPr>
          <w:p w14:paraId="713000B1" w14:textId="55FF125C" w:rsidR="00723D70" w:rsidRPr="00A83A9A" w:rsidRDefault="00723D70" w:rsidP="00723D70">
            <w:r w:rsidRPr="00A83A9A">
              <w:t>Noteikumu projekt</w:t>
            </w:r>
            <w:r>
              <w:t>a 1.punkts</w:t>
            </w:r>
            <w:r w:rsidRPr="00A83A9A">
              <w:t xml:space="preserve"> (noteikumu Nr.275 </w:t>
            </w:r>
            <w:r>
              <w:t>3</w:t>
            </w:r>
            <w:r w:rsidRPr="00A83A9A">
              <w:t>.</w:t>
            </w:r>
            <w:r w:rsidRPr="00A83A9A">
              <w:rPr>
                <w:vertAlign w:val="superscript"/>
              </w:rPr>
              <w:t>2</w:t>
            </w:r>
            <w:r>
              <w:t xml:space="preserve"> </w:t>
            </w:r>
            <w:r w:rsidRPr="00A83A9A">
              <w:t>punkts)</w:t>
            </w:r>
          </w:p>
        </w:tc>
        <w:tc>
          <w:tcPr>
            <w:tcW w:w="2296" w:type="dxa"/>
          </w:tcPr>
          <w:p w14:paraId="5997775E" w14:textId="3570301C" w:rsidR="00723D70" w:rsidRPr="00417E9B" w:rsidRDefault="00723D70" w:rsidP="00723D70">
            <w:r w:rsidRPr="00417E9B">
              <w:t>ES tiesību akta vienība pārņemta pilnībā.</w:t>
            </w:r>
          </w:p>
        </w:tc>
        <w:tc>
          <w:tcPr>
            <w:tcW w:w="2304" w:type="dxa"/>
          </w:tcPr>
          <w:p w14:paraId="22CB2EBC" w14:textId="2BF27B90" w:rsidR="00723D70" w:rsidRPr="00417E9B" w:rsidRDefault="00723D70" w:rsidP="00723D70">
            <w:r w:rsidRPr="00417E9B">
              <w:t>Neparedz stingrākas prasības kā ES tiesību akta vienība.</w:t>
            </w:r>
          </w:p>
        </w:tc>
      </w:tr>
      <w:tr w:rsidR="00904782" w:rsidRPr="001568E0" w14:paraId="5351528F"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91"/>
          <w:jc w:val="center"/>
        </w:trPr>
        <w:tc>
          <w:tcPr>
            <w:tcW w:w="3298" w:type="dxa"/>
            <w:gridSpan w:val="3"/>
          </w:tcPr>
          <w:p w14:paraId="15E17C71" w14:textId="5CF0A460" w:rsidR="00904782" w:rsidRPr="00A83A9A" w:rsidRDefault="00904782" w:rsidP="00904782">
            <w:pPr>
              <w:jc w:val="both"/>
            </w:pPr>
            <w:r w:rsidRPr="00723D70">
              <w:t>Regulas Nr. 142/2011 VIII pielikuma III nodaļas 4. punkta “a” apakšpunkts</w:t>
            </w:r>
          </w:p>
        </w:tc>
        <w:tc>
          <w:tcPr>
            <w:tcW w:w="1883" w:type="dxa"/>
          </w:tcPr>
          <w:p w14:paraId="066FBCB1" w14:textId="7D2C29A8" w:rsidR="00904782" w:rsidRPr="00A83A9A" w:rsidRDefault="00904782" w:rsidP="00904782">
            <w:r w:rsidRPr="00A83A9A">
              <w:t>Noteikumu projekt</w:t>
            </w:r>
            <w:r>
              <w:t>a 2.punkts</w:t>
            </w:r>
            <w:r w:rsidRPr="00A83A9A">
              <w:t xml:space="preserve"> (noteikumu Nr.275 </w:t>
            </w:r>
            <w:r>
              <w:t>19</w:t>
            </w:r>
            <w:r w:rsidRPr="00A83A9A">
              <w:t>.</w:t>
            </w:r>
            <w:r w:rsidRPr="00904782">
              <w:rPr>
                <w:vertAlign w:val="superscript"/>
              </w:rPr>
              <w:t>1</w:t>
            </w:r>
            <w:r w:rsidRPr="00A83A9A">
              <w:t>punkts)</w:t>
            </w:r>
          </w:p>
        </w:tc>
        <w:tc>
          <w:tcPr>
            <w:tcW w:w="2296" w:type="dxa"/>
          </w:tcPr>
          <w:p w14:paraId="07A68A47" w14:textId="18702552" w:rsidR="00904782" w:rsidRPr="00417E9B" w:rsidRDefault="00904782" w:rsidP="00904782">
            <w:r w:rsidRPr="00417E9B">
              <w:t>ES tiesību akta vienība pārņemta pilnībā.</w:t>
            </w:r>
          </w:p>
        </w:tc>
        <w:tc>
          <w:tcPr>
            <w:tcW w:w="2304" w:type="dxa"/>
          </w:tcPr>
          <w:p w14:paraId="1B136D35" w14:textId="21546F3E" w:rsidR="00904782" w:rsidRPr="00417E9B" w:rsidRDefault="00904782" w:rsidP="00904782">
            <w:r w:rsidRPr="00417E9B">
              <w:t>Neparedz stingrākas prasības kā ES tiesību akta vienība.</w:t>
            </w:r>
          </w:p>
        </w:tc>
      </w:tr>
      <w:tr w:rsidR="007C5A99" w:rsidRPr="001568E0" w14:paraId="6A00D7FC"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91"/>
          <w:jc w:val="center"/>
        </w:trPr>
        <w:tc>
          <w:tcPr>
            <w:tcW w:w="3298" w:type="dxa"/>
            <w:gridSpan w:val="3"/>
          </w:tcPr>
          <w:p w14:paraId="6ACDA4B2" w14:textId="4EDBC1CC" w:rsidR="0008713B" w:rsidRDefault="0008713B" w:rsidP="007C5A99">
            <w:pPr>
              <w:jc w:val="both"/>
            </w:pPr>
            <w:r w:rsidRPr="0008713B">
              <w:t>Regula</w:t>
            </w:r>
            <w:r w:rsidR="00C4537B">
              <w:t>s</w:t>
            </w:r>
            <w:r w:rsidRPr="0008713B">
              <w:t xml:space="preserve"> Nr. 999/2001</w:t>
            </w:r>
          </w:p>
          <w:p w14:paraId="6E342836" w14:textId="2D10662C" w:rsidR="002D55B9" w:rsidRPr="00A61CBB" w:rsidRDefault="00E70DC3" w:rsidP="002D55B9">
            <w:pPr>
              <w:jc w:val="both"/>
            </w:pPr>
            <w:r>
              <w:t>6</w:t>
            </w:r>
            <w:r w:rsidR="007C5A99" w:rsidRPr="007C5A99">
              <w:t>.pant</w:t>
            </w:r>
            <w:r>
              <w:t xml:space="preserve">s </w:t>
            </w:r>
          </w:p>
        </w:tc>
        <w:tc>
          <w:tcPr>
            <w:tcW w:w="1883" w:type="dxa"/>
          </w:tcPr>
          <w:p w14:paraId="61F7A104" w14:textId="77777777" w:rsidR="007C5A99" w:rsidRPr="00417E9B" w:rsidRDefault="00E70DC3" w:rsidP="007C5A99">
            <w:r w:rsidRPr="00E70DC3">
              <w:t>Noteikumu projekt</w:t>
            </w:r>
            <w:r w:rsidR="00A83A9A">
              <w:t>a 3.punkts</w:t>
            </w:r>
            <w:r w:rsidR="007C5A99" w:rsidRPr="00E70DC3">
              <w:t xml:space="preserve"> (noteikumu Nr.</w:t>
            </w:r>
            <w:r w:rsidRPr="00E70DC3">
              <w:t>275</w:t>
            </w:r>
            <w:r w:rsidR="007C5A99" w:rsidRPr="00E70DC3">
              <w:t xml:space="preserve"> </w:t>
            </w:r>
            <w:r w:rsidRPr="00E70DC3">
              <w:t>28</w:t>
            </w:r>
            <w:r w:rsidR="007C5A99" w:rsidRPr="00E70DC3">
              <w:t>.</w:t>
            </w:r>
            <w:r w:rsidRPr="00E70DC3">
              <w:rPr>
                <w:vertAlign w:val="superscript"/>
              </w:rPr>
              <w:t>1</w:t>
            </w:r>
            <w:r w:rsidRPr="00E70DC3">
              <w:t>p</w:t>
            </w:r>
            <w:r w:rsidR="007C5A99" w:rsidRPr="00E70DC3">
              <w:t>unkts)</w:t>
            </w:r>
          </w:p>
        </w:tc>
        <w:tc>
          <w:tcPr>
            <w:tcW w:w="2296" w:type="dxa"/>
          </w:tcPr>
          <w:p w14:paraId="73E90AF7" w14:textId="77777777" w:rsidR="007C5A99" w:rsidRPr="00417E9B" w:rsidRDefault="007C5A99" w:rsidP="007C5A99">
            <w:r w:rsidRPr="00417E9B">
              <w:t>ES tiesību akta vienība pārņemta pilnībā.</w:t>
            </w:r>
          </w:p>
        </w:tc>
        <w:tc>
          <w:tcPr>
            <w:tcW w:w="2304" w:type="dxa"/>
          </w:tcPr>
          <w:p w14:paraId="4E5690E1" w14:textId="77777777" w:rsidR="007C5A99" w:rsidRDefault="007C5A99" w:rsidP="007C5A99">
            <w:r w:rsidRPr="00417E9B">
              <w:t>Neparedz stingrākas prasības kā ES tiesību akta vienība.</w:t>
            </w:r>
          </w:p>
        </w:tc>
      </w:tr>
      <w:tr w:rsidR="001E2295" w:rsidRPr="001568E0" w14:paraId="47A80244"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91"/>
          <w:jc w:val="center"/>
        </w:trPr>
        <w:tc>
          <w:tcPr>
            <w:tcW w:w="3298" w:type="dxa"/>
            <w:gridSpan w:val="3"/>
          </w:tcPr>
          <w:p w14:paraId="417AA144" w14:textId="77777777" w:rsidR="001E2295" w:rsidRDefault="001E2295" w:rsidP="001E2295">
            <w:pPr>
              <w:jc w:val="both"/>
            </w:pPr>
            <w:r w:rsidRPr="0008713B">
              <w:t>Regula</w:t>
            </w:r>
            <w:r>
              <w:t>s</w:t>
            </w:r>
            <w:r w:rsidRPr="0008713B">
              <w:t xml:space="preserve"> Nr. 999/2001</w:t>
            </w:r>
          </w:p>
          <w:p w14:paraId="2B19F67D" w14:textId="61FDB5B6" w:rsidR="001E2295" w:rsidRPr="0008713B" w:rsidRDefault="001E2295" w:rsidP="001E2295">
            <w:pPr>
              <w:jc w:val="both"/>
            </w:pPr>
            <w:r w:rsidRPr="0008713B">
              <w:rPr>
                <w:bCs/>
              </w:rPr>
              <w:t>III pielikum</w:t>
            </w:r>
            <w:r>
              <w:rPr>
                <w:bCs/>
              </w:rPr>
              <w:t xml:space="preserve">s </w:t>
            </w:r>
          </w:p>
        </w:tc>
        <w:tc>
          <w:tcPr>
            <w:tcW w:w="1883" w:type="dxa"/>
          </w:tcPr>
          <w:p w14:paraId="1E11DDF9" w14:textId="5D548C69" w:rsidR="001E2295" w:rsidRPr="00E70DC3" w:rsidRDefault="001E2295" w:rsidP="001E2295">
            <w:r w:rsidRPr="00E70DC3">
              <w:t>Noteikumu projekt</w:t>
            </w:r>
            <w:r>
              <w:t>a 3.punkts</w:t>
            </w:r>
            <w:r w:rsidRPr="00E70DC3">
              <w:t xml:space="preserve"> (noteikumu Nr.275 28.</w:t>
            </w:r>
            <w:r w:rsidRPr="00E70DC3">
              <w:rPr>
                <w:vertAlign w:val="superscript"/>
              </w:rPr>
              <w:t>1</w:t>
            </w:r>
            <w:r w:rsidRPr="00E70DC3">
              <w:t>punkts)</w:t>
            </w:r>
          </w:p>
        </w:tc>
        <w:tc>
          <w:tcPr>
            <w:tcW w:w="2296" w:type="dxa"/>
          </w:tcPr>
          <w:p w14:paraId="2E7D54A7" w14:textId="0F9B7AFA" w:rsidR="001E2295" w:rsidRPr="00417E9B" w:rsidRDefault="001E2295" w:rsidP="001E2295">
            <w:r w:rsidRPr="00417E9B">
              <w:t>ES tiesību akta vienība pārņemta pilnībā.</w:t>
            </w:r>
          </w:p>
        </w:tc>
        <w:tc>
          <w:tcPr>
            <w:tcW w:w="2304" w:type="dxa"/>
          </w:tcPr>
          <w:p w14:paraId="1925512E" w14:textId="5AC992B3" w:rsidR="001E2295" w:rsidRPr="00417E9B" w:rsidRDefault="001E2295" w:rsidP="001E2295">
            <w:r w:rsidRPr="00417E9B">
              <w:t>Neparedz stingrākas prasības kā ES tiesību akta vienība.</w:t>
            </w:r>
          </w:p>
        </w:tc>
      </w:tr>
      <w:tr w:rsidR="002D55B9" w:rsidRPr="001568E0" w14:paraId="51DBADDA"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91"/>
          <w:jc w:val="center"/>
        </w:trPr>
        <w:tc>
          <w:tcPr>
            <w:tcW w:w="3298" w:type="dxa"/>
            <w:gridSpan w:val="3"/>
          </w:tcPr>
          <w:p w14:paraId="0208216C" w14:textId="7159DBDA" w:rsidR="002D55B9" w:rsidRPr="0008713B" w:rsidRDefault="002D55B9" w:rsidP="002D55B9">
            <w:pPr>
              <w:jc w:val="both"/>
            </w:pPr>
            <w:r>
              <w:rPr>
                <w:bCs/>
              </w:rPr>
              <w:t xml:space="preserve">Lēmuma </w:t>
            </w:r>
            <w:r w:rsidRPr="00360690">
              <w:rPr>
                <w:bCs/>
              </w:rPr>
              <w:t>2009/719/EK</w:t>
            </w:r>
            <w:r>
              <w:rPr>
                <w:bCs/>
              </w:rPr>
              <w:t xml:space="preserve"> 2. panta</w:t>
            </w:r>
            <w:r w:rsidR="00EE6B65">
              <w:rPr>
                <w:bCs/>
              </w:rPr>
              <w:t xml:space="preserve"> 1.punkta</w:t>
            </w:r>
            <w:r>
              <w:rPr>
                <w:bCs/>
              </w:rPr>
              <w:t xml:space="preserve"> “c” apakšpunkts</w:t>
            </w:r>
          </w:p>
        </w:tc>
        <w:tc>
          <w:tcPr>
            <w:tcW w:w="1883" w:type="dxa"/>
          </w:tcPr>
          <w:p w14:paraId="0CF6D693" w14:textId="5BAD1386" w:rsidR="002D55B9" w:rsidRPr="00E70DC3" w:rsidRDefault="002D55B9" w:rsidP="002D55B9">
            <w:r w:rsidRPr="00E70DC3">
              <w:t>Noteikumu projekt</w:t>
            </w:r>
            <w:r>
              <w:t>a 3.punkts</w:t>
            </w:r>
            <w:r w:rsidRPr="00E70DC3">
              <w:t xml:space="preserve"> (noteikumu Nr.275 28.</w:t>
            </w:r>
            <w:r w:rsidRPr="00E70DC3">
              <w:rPr>
                <w:vertAlign w:val="superscript"/>
              </w:rPr>
              <w:t>1</w:t>
            </w:r>
            <w:r w:rsidRPr="00E70DC3">
              <w:t>punkts)</w:t>
            </w:r>
          </w:p>
        </w:tc>
        <w:tc>
          <w:tcPr>
            <w:tcW w:w="2296" w:type="dxa"/>
          </w:tcPr>
          <w:p w14:paraId="74926A91" w14:textId="59A92C07" w:rsidR="002D55B9" w:rsidRPr="00417E9B" w:rsidRDefault="002D55B9" w:rsidP="002D55B9">
            <w:r w:rsidRPr="00417E9B">
              <w:t>ES tiesību akta vienība pārņemta pilnībā.</w:t>
            </w:r>
          </w:p>
        </w:tc>
        <w:tc>
          <w:tcPr>
            <w:tcW w:w="2304" w:type="dxa"/>
          </w:tcPr>
          <w:p w14:paraId="300F311B" w14:textId="4A0AE049" w:rsidR="002D55B9" w:rsidRPr="00417E9B" w:rsidRDefault="002D55B9" w:rsidP="002D55B9">
            <w:r w:rsidRPr="00417E9B">
              <w:t>Neparedz stingrākas prasības kā ES tiesību akta vienība.</w:t>
            </w:r>
          </w:p>
        </w:tc>
      </w:tr>
      <w:tr w:rsidR="002D55B9" w:rsidRPr="009E2709" w14:paraId="4F412989"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81"/>
          <w:jc w:val="center"/>
        </w:trPr>
        <w:tc>
          <w:tcPr>
            <w:tcW w:w="3298" w:type="dxa"/>
            <w:gridSpan w:val="3"/>
            <w:vAlign w:val="center"/>
          </w:tcPr>
          <w:p w14:paraId="3D6ACCFE" w14:textId="77777777" w:rsidR="002D55B9" w:rsidRPr="009E2709" w:rsidRDefault="002D55B9" w:rsidP="002D55B9">
            <w:pPr>
              <w:pStyle w:val="naiskr"/>
              <w:spacing w:before="0" w:beforeAutospacing="0" w:after="0" w:afterAutospacing="0"/>
              <w:jc w:val="both"/>
            </w:pPr>
            <w:r w:rsidRPr="009E2709">
              <w:t>Kā ir izmantota ES tiesību aktā paredzētā rīcības brīvība dalībvalstij pārņemt vai ieviest noteiktas ES tiesību akta normas. Kādēļ?</w:t>
            </w:r>
          </w:p>
        </w:tc>
        <w:tc>
          <w:tcPr>
            <w:tcW w:w="6483" w:type="dxa"/>
            <w:gridSpan w:val="3"/>
          </w:tcPr>
          <w:p w14:paraId="7286378C" w14:textId="58C63FF5" w:rsidR="00CF62B7" w:rsidRDefault="00C4537B" w:rsidP="00723D70">
            <w:pPr>
              <w:pStyle w:val="naiskr"/>
              <w:spacing w:before="0" w:beforeAutospacing="0" w:after="0" w:afterAutospacing="0"/>
              <w:jc w:val="both"/>
            </w:pPr>
            <w:r>
              <w:t xml:space="preserve">Ir izmantota </w:t>
            </w:r>
            <w:r w:rsidR="00CF62B7" w:rsidRPr="00CF62B7">
              <w:t>Regula</w:t>
            </w:r>
            <w:r w:rsidR="00AD3F35">
              <w:t>s</w:t>
            </w:r>
            <w:r w:rsidR="00CF62B7" w:rsidRPr="00CF62B7">
              <w:t xml:space="preserve"> Nr. 142/2011</w:t>
            </w:r>
            <w:r w:rsidR="00AD3F35">
              <w:t xml:space="preserve"> </w:t>
            </w:r>
            <w:r w:rsidR="00AD3F35" w:rsidRPr="00AD3F35">
              <w:t xml:space="preserve">VIII pielikuma III nodaļas </w:t>
            </w:r>
            <w:r w:rsidR="00AD3F35">
              <w:t>4</w:t>
            </w:r>
            <w:r w:rsidR="00AD3F35" w:rsidRPr="00AD3F35">
              <w:t>.</w:t>
            </w:r>
            <w:r w:rsidR="00344B36">
              <w:t> </w:t>
            </w:r>
            <w:r w:rsidR="00AD3F35" w:rsidRPr="00AD3F35">
              <w:t>punkta</w:t>
            </w:r>
            <w:r w:rsidR="00AD3F35">
              <w:t xml:space="preserve"> “a” apakšpunkt</w:t>
            </w:r>
            <w:r>
              <w:t>ā noteiktā atkāpe, kas</w:t>
            </w:r>
            <w:r w:rsidR="00AD3F35">
              <w:t xml:space="preserve"> </w:t>
            </w:r>
            <w:r w:rsidR="00CF62B7" w:rsidRPr="00CF62B7">
              <w:t>atļauj dalībvalstij izmantot atšķirīgu tirdzniecības dokumentu papīra vai elektroniskā formātā, ja dzīvnieku izcelsmes blakusprodukti un atvasinātie produkti tiek pārvadāti tās teritorijā un dokumentā ir vismaz tāda informācija, kas minēta Regulas Nr. 142/2011 VIII pielikuma III</w:t>
            </w:r>
            <w:r w:rsidR="00344B36">
              <w:t> </w:t>
            </w:r>
            <w:r w:rsidR="00CF62B7" w:rsidRPr="00CF62B7">
              <w:t>nodaļas 6. punkta “f” apakšpunktā</w:t>
            </w:r>
            <w:r w:rsidR="00AD3F35">
              <w:t>.</w:t>
            </w:r>
          </w:p>
          <w:p w14:paraId="0620C1FD" w14:textId="77777777" w:rsidR="00AD3F35" w:rsidRPr="00DA2775" w:rsidRDefault="00AD3F35" w:rsidP="00723D70">
            <w:pPr>
              <w:pStyle w:val="naiskr"/>
              <w:spacing w:before="0" w:beforeAutospacing="0" w:after="0" w:afterAutospacing="0"/>
              <w:jc w:val="both"/>
            </w:pPr>
            <w:r w:rsidRPr="00AD3F35">
              <w:t xml:space="preserve">Tiek izmantota Regulas </w:t>
            </w:r>
            <w:r w:rsidR="00723D70" w:rsidRPr="00723D70">
              <w:t>Nr. 142/2011 VIII pielikuma III nodaļas 4.</w:t>
            </w:r>
            <w:r w:rsidR="00344B36">
              <w:t> </w:t>
            </w:r>
            <w:r w:rsidR="00723D70" w:rsidRPr="00723D70">
              <w:t>punkta “a” apakšpunkt</w:t>
            </w:r>
            <w:r w:rsidR="00723D70">
              <w:t>ā</w:t>
            </w:r>
            <w:r w:rsidRPr="00AD3F35">
              <w:t xml:space="preserve"> noteiktā rīcības brīvība nepiemērot Regulas </w:t>
            </w:r>
            <w:r w:rsidR="00723D70" w:rsidRPr="00723D70">
              <w:t xml:space="preserve">Nr. 142/2011 </w:t>
            </w:r>
            <w:r w:rsidR="00723D70">
              <w:t xml:space="preserve">17. </w:t>
            </w:r>
            <w:r w:rsidRPr="00AD3F35">
              <w:t xml:space="preserve">pantā noteiktās prasības </w:t>
            </w:r>
            <w:r w:rsidR="00723D70">
              <w:t xml:space="preserve">dzīvnieku izcelsmes </w:t>
            </w:r>
            <w:r w:rsidRPr="00AD3F35">
              <w:t>blakusproduktu</w:t>
            </w:r>
            <w:r w:rsidR="00723D70">
              <w:t xml:space="preserve"> un atvasinātu produktu</w:t>
            </w:r>
            <w:r w:rsidRPr="00AD3F35">
              <w:t xml:space="preserve"> </w:t>
            </w:r>
            <w:r w:rsidR="00723D70" w:rsidRPr="00723D70">
              <w:t>pārvadāšana</w:t>
            </w:r>
            <w:r w:rsidR="00723D70">
              <w:t>i Latvijā attiecībā uz lolojumdzīvnieku līķiem un to pelniem.</w:t>
            </w:r>
            <w:r w:rsidR="00723D70" w:rsidRPr="00723D70">
              <w:t xml:space="preserve"> </w:t>
            </w:r>
            <w:r w:rsidRPr="00AD3F35">
              <w:t xml:space="preserve">Tādējādi tiek samazināts administratīvais slogs personām, kas </w:t>
            </w:r>
            <w:r w:rsidRPr="00DA2775">
              <w:t>iesaistītas blakusproduktu apritē</w:t>
            </w:r>
            <w:r w:rsidR="00344B36" w:rsidRPr="00DA2775">
              <w:t>,</w:t>
            </w:r>
            <w:r w:rsidRPr="00DA2775">
              <w:t xml:space="preserve"> un P</w:t>
            </w:r>
            <w:r w:rsidR="00C4537B" w:rsidRPr="00DA2775">
              <w:t>VD</w:t>
            </w:r>
            <w:r w:rsidRPr="00DA2775">
              <w:t>.</w:t>
            </w:r>
          </w:p>
          <w:p w14:paraId="4546FC12" w14:textId="02503D48" w:rsidR="00446C13" w:rsidRPr="00302E42" w:rsidRDefault="00EE6B65" w:rsidP="00EE6B65">
            <w:pPr>
              <w:pStyle w:val="naiskr"/>
              <w:spacing w:before="0" w:beforeAutospacing="0" w:after="0" w:afterAutospacing="0"/>
              <w:jc w:val="both"/>
            </w:pPr>
            <w:r w:rsidRPr="00302E42">
              <w:lastRenderedPageBreak/>
              <w:t>Lēmuma 2009/719/EK 2. panta 1.</w:t>
            </w:r>
            <w:r w:rsidR="001E1D8F" w:rsidRPr="00302E42">
              <w:t> </w:t>
            </w:r>
            <w:r w:rsidRPr="00302E42">
              <w:t>punktā noteikts, ka pārskatītās ikgadējās uzraudzības programmas attiecas vienīgi uz liellopiem lēmuma pielikumā iekļautajās dalībvalstīs. Lēmuma 2009/719/EK 2. panta 1.</w:t>
            </w:r>
            <w:r w:rsidR="001E1D8F" w:rsidRPr="00302E42">
              <w:t> </w:t>
            </w:r>
            <w:r w:rsidRPr="00302E42">
              <w:t>punkta “c” apakšpunkt</w:t>
            </w:r>
            <w:r w:rsidR="001E1D8F" w:rsidRPr="00302E42">
              <w:t>ā</w:t>
            </w:r>
            <w:r w:rsidRPr="00302E42">
              <w:t xml:space="preserve"> no</w:t>
            </w:r>
            <w:r w:rsidR="001E1D8F" w:rsidRPr="00302E42">
              <w:t>teikts</w:t>
            </w:r>
            <w:r w:rsidRPr="00302E42">
              <w:t xml:space="preserve">, ka šīs programmas attiecas uz liellopiem, kas ir vecāki par 48 mēnešiem un ir nobeigušies, bet nav nokauti lietošanai pārtikā vai epidēmijas likvidēšanai. Tas nozīmē, ka Latvijā galvas smadzeņu paraugu laboratoriskai izmeklēšanai uz transmisīvo sūkļveida encefalopātijas (TSE) </w:t>
            </w:r>
            <w:proofErr w:type="spellStart"/>
            <w:r w:rsidRPr="00302E42">
              <w:t>priona</w:t>
            </w:r>
            <w:proofErr w:type="spellEnd"/>
            <w:r w:rsidRPr="00302E42">
              <w:t xml:space="preserve"> proteīnu ņem </w:t>
            </w:r>
            <w:r w:rsidR="001E1D8F" w:rsidRPr="00302E42">
              <w:t xml:space="preserve">no tāda </w:t>
            </w:r>
            <w:proofErr w:type="spellStart"/>
            <w:r w:rsidRPr="00302E42">
              <w:t>nobeigušamies</w:t>
            </w:r>
            <w:proofErr w:type="spellEnd"/>
            <w:r w:rsidRPr="00302E42">
              <w:t xml:space="preserve"> liellopa līķ</w:t>
            </w:r>
            <w:r w:rsidR="001E1D8F" w:rsidRPr="00302E42">
              <w:t>a</w:t>
            </w:r>
            <w:r w:rsidRPr="00302E42">
              <w:t>, k</w:t>
            </w:r>
            <w:r w:rsidR="001E1D8F" w:rsidRPr="00302E42">
              <w:t>urš bijis</w:t>
            </w:r>
            <w:r w:rsidRPr="00302E42">
              <w:t xml:space="preserve"> vecāks par 48 mēnešiem.</w:t>
            </w:r>
          </w:p>
        </w:tc>
      </w:tr>
      <w:tr w:rsidR="002D55B9" w:rsidRPr="009E2709" w14:paraId="54B53BED"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46"/>
          <w:jc w:val="center"/>
        </w:trPr>
        <w:tc>
          <w:tcPr>
            <w:tcW w:w="3298" w:type="dxa"/>
            <w:gridSpan w:val="3"/>
            <w:vAlign w:val="center"/>
          </w:tcPr>
          <w:p w14:paraId="11E3554C" w14:textId="77777777" w:rsidR="002D55B9" w:rsidRPr="009E2709" w:rsidRDefault="002D55B9" w:rsidP="002D55B9">
            <w:pPr>
              <w:pStyle w:val="naiskr"/>
              <w:spacing w:before="0" w:beforeAutospacing="0" w:after="0" w:afterAutospacing="0"/>
              <w:jc w:val="both"/>
              <w:rPr>
                <w:i/>
              </w:rPr>
            </w:pPr>
            <w:r w:rsidRPr="009E2709">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83" w:type="dxa"/>
            <w:gridSpan w:val="3"/>
          </w:tcPr>
          <w:p w14:paraId="594C06FF" w14:textId="77777777" w:rsidR="002D55B9" w:rsidRPr="009E2709" w:rsidRDefault="002D55B9" w:rsidP="002D55B9">
            <w:pPr>
              <w:pStyle w:val="naiskr"/>
              <w:spacing w:before="0" w:beforeAutospacing="0" w:after="0" w:afterAutospacing="0"/>
            </w:pPr>
            <w:r w:rsidRPr="006022C3">
              <w:t>Projekts šo jomu neskar.</w:t>
            </w:r>
          </w:p>
        </w:tc>
      </w:tr>
      <w:tr w:rsidR="002D55B9" w:rsidRPr="009E2709" w14:paraId="5CF21D16"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47"/>
          <w:jc w:val="center"/>
        </w:trPr>
        <w:tc>
          <w:tcPr>
            <w:tcW w:w="3298" w:type="dxa"/>
            <w:gridSpan w:val="3"/>
          </w:tcPr>
          <w:p w14:paraId="47C8E464" w14:textId="77777777" w:rsidR="002D55B9" w:rsidRPr="009E2709" w:rsidRDefault="002D55B9" w:rsidP="002D55B9">
            <w:pPr>
              <w:pStyle w:val="naiskr"/>
              <w:spacing w:before="0" w:beforeAutospacing="0" w:after="0" w:afterAutospacing="0"/>
              <w:jc w:val="both"/>
            </w:pPr>
            <w:r w:rsidRPr="009E2709">
              <w:t>Cita informācija</w:t>
            </w:r>
          </w:p>
        </w:tc>
        <w:tc>
          <w:tcPr>
            <w:tcW w:w="6483" w:type="dxa"/>
            <w:gridSpan w:val="3"/>
          </w:tcPr>
          <w:p w14:paraId="00EE9C62" w14:textId="77777777" w:rsidR="002D55B9" w:rsidRPr="009E2709" w:rsidRDefault="002D55B9" w:rsidP="002D55B9">
            <w:pPr>
              <w:pStyle w:val="naiskr"/>
              <w:spacing w:before="0" w:beforeAutospacing="0" w:after="0" w:afterAutospacing="0"/>
            </w:pPr>
            <w:r>
              <w:t>Nav.</w:t>
            </w:r>
          </w:p>
        </w:tc>
      </w:tr>
      <w:tr w:rsidR="002D55B9" w:rsidRPr="009E2709" w14:paraId="365F8C99"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54"/>
          <w:jc w:val="center"/>
        </w:trPr>
        <w:tc>
          <w:tcPr>
            <w:tcW w:w="9781" w:type="dxa"/>
            <w:gridSpan w:val="6"/>
          </w:tcPr>
          <w:p w14:paraId="4F52CBC1" w14:textId="77777777" w:rsidR="002D55B9" w:rsidRPr="009E2709" w:rsidRDefault="002D55B9" w:rsidP="002D55B9">
            <w:pPr>
              <w:pStyle w:val="naiskr"/>
              <w:spacing w:before="0" w:beforeAutospacing="0" w:after="0" w:afterAutospacing="0"/>
              <w:jc w:val="center"/>
            </w:pPr>
            <w:r w:rsidRPr="009E2709">
              <w:rPr>
                <w:b/>
                <w:bCs/>
                <w:szCs w:val="20"/>
              </w:rPr>
              <w:t>2.tabula</w:t>
            </w:r>
            <w:r w:rsidRPr="009E2709">
              <w:rPr>
                <w:b/>
                <w:bCs/>
                <w:szCs w:val="20"/>
              </w:rPr>
              <w:br/>
              <w:t>Ar tiesību akta projektu izpildītās vai uzņemtās saistības, kas izriet no starptautiskajiem tiesību aktiem vai starptautiskas institūcijas vai organizācijas dokumentiem.</w:t>
            </w:r>
            <w:r w:rsidRPr="009E2709">
              <w:rPr>
                <w:b/>
                <w:bCs/>
                <w:szCs w:val="20"/>
              </w:rPr>
              <w:br/>
              <w:t>Pasākumi šo saistību izpildei</w:t>
            </w:r>
          </w:p>
        </w:tc>
      </w:tr>
      <w:tr w:rsidR="002D55B9" w:rsidRPr="009E2709" w14:paraId="7216454C"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54"/>
          <w:jc w:val="center"/>
        </w:trPr>
        <w:tc>
          <w:tcPr>
            <w:tcW w:w="9781" w:type="dxa"/>
            <w:gridSpan w:val="6"/>
          </w:tcPr>
          <w:p w14:paraId="0AA18920" w14:textId="77777777" w:rsidR="002D55B9" w:rsidRPr="003F321E" w:rsidRDefault="002D55B9" w:rsidP="002D55B9">
            <w:pPr>
              <w:pStyle w:val="naiskr"/>
              <w:spacing w:before="0" w:beforeAutospacing="0" w:after="0" w:afterAutospacing="0"/>
              <w:jc w:val="center"/>
              <w:rPr>
                <w:bCs/>
                <w:szCs w:val="20"/>
              </w:rPr>
            </w:pPr>
            <w:r w:rsidRPr="003F321E">
              <w:rPr>
                <w:bCs/>
                <w:szCs w:val="20"/>
              </w:rPr>
              <w:t>Projekts šo jomu neskar.</w:t>
            </w:r>
          </w:p>
        </w:tc>
      </w:tr>
    </w:tbl>
    <w:p w14:paraId="6DB70361" w14:textId="77777777" w:rsidR="007B5216" w:rsidRDefault="007B5216" w:rsidP="00F67455">
      <w:pPr>
        <w:pStyle w:val="Bezatstarpm"/>
        <w:rPr>
          <w:rFonts w:ascii="Times New Roman" w:hAnsi="Times New Roman" w:cs="Times New Roman"/>
          <w:sz w:val="24"/>
          <w:szCs w:val="24"/>
          <w:lang w:eastAsia="lv-LV"/>
        </w:rPr>
      </w:pPr>
    </w:p>
    <w:tbl>
      <w:tblPr>
        <w:tblW w:w="9924" w:type="dxa"/>
        <w:tblInd w:w="-431" w:type="dxa"/>
        <w:tblCellMar>
          <w:left w:w="10" w:type="dxa"/>
          <w:right w:w="10" w:type="dxa"/>
        </w:tblCellMar>
        <w:tblLook w:val="0000" w:firstRow="0" w:lastRow="0" w:firstColumn="0" w:lastColumn="0" w:noHBand="0" w:noVBand="0"/>
      </w:tblPr>
      <w:tblGrid>
        <w:gridCol w:w="710"/>
        <w:gridCol w:w="3189"/>
        <w:gridCol w:w="6025"/>
      </w:tblGrid>
      <w:tr w:rsidR="00B76F63" w:rsidRPr="00B76F63" w14:paraId="06DEBD83" w14:textId="77777777" w:rsidTr="00B76F63">
        <w:tc>
          <w:tcPr>
            <w:tcW w:w="9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98FCF" w14:textId="77777777" w:rsidR="00B76F63" w:rsidRPr="00B76F63" w:rsidRDefault="00B76F63" w:rsidP="00B76F63">
            <w:pPr>
              <w:suppressAutoHyphens/>
              <w:autoSpaceDN w:val="0"/>
              <w:jc w:val="center"/>
              <w:textAlignment w:val="baseline"/>
              <w:rPr>
                <w:b/>
              </w:rPr>
            </w:pPr>
            <w:r w:rsidRPr="00B76F63">
              <w:rPr>
                <w:b/>
              </w:rPr>
              <w:t>VI Sabiedrības līdzdalība un komunikācijas aktivitātes</w:t>
            </w:r>
          </w:p>
        </w:tc>
      </w:tr>
      <w:tr w:rsidR="00B76F63" w:rsidRPr="00B76F63" w14:paraId="2B3C23E6" w14:textId="77777777" w:rsidTr="009E45A9">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8FEBE" w14:textId="77777777" w:rsidR="00B76F63" w:rsidRPr="00B76F63" w:rsidRDefault="00B76F63" w:rsidP="00B76F63">
            <w:pPr>
              <w:suppressAutoHyphens/>
              <w:autoSpaceDN w:val="0"/>
              <w:textAlignment w:val="baseline"/>
            </w:pPr>
            <w:r w:rsidRPr="00B76F63">
              <w:t xml:space="preserve">1. </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182B0" w14:textId="77777777" w:rsidR="00B76F63" w:rsidRPr="00B76F63" w:rsidRDefault="00B76F63" w:rsidP="00B76F63">
            <w:pPr>
              <w:suppressAutoHyphens/>
              <w:autoSpaceDN w:val="0"/>
              <w:ind w:left="57" w:right="57"/>
              <w:textAlignment w:val="baseline"/>
            </w:pPr>
            <w:r w:rsidRPr="00B76F63">
              <w:t>Plānotās sabiedrības līdzdalības un komunikācijas aktivitātes saistībā ar projektu</w:t>
            </w:r>
          </w:p>
        </w:tc>
        <w:tc>
          <w:tcPr>
            <w:tcW w:w="6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94BC3" w14:textId="1C02ADE3" w:rsidR="00B76F63" w:rsidRPr="00B76F63" w:rsidRDefault="00312AF6" w:rsidP="00580D2F">
            <w:pPr>
              <w:suppressAutoHyphens/>
              <w:autoSpaceDN w:val="0"/>
              <w:jc w:val="both"/>
              <w:textAlignment w:val="baseline"/>
              <w:rPr>
                <w:rFonts w:eastAsia="Calibri"/>
                <w:highlight w:val="yellow"/>
                <w:lang w:eastAsia="en-US"/>
              </w:rPr>
            </w:pPr>
            <w:r w:rsidRPr="00FE0FD9">
              <w:t>Sabiedrības līdzdalība nodrošināta saskaņā ar Ministru kabineta 2009. gada 25. augusta noteikum</w:t>
            </w:r>
            <w:r>
              <w:t xml:space="preserve">u </w:t>
            </w:r>
            <w:r w:rsidRPr="00F71618">
              <w:t>Nr.</w:t>
            </w:r>
            <w:r>
              <w:t xml:space="preserve"> </w:t>
            </w:r>
            <w:r w:rsidRPr="00F71618">
              <w:t xml:space="preserve">970 </w:t>
            </w:r>
            <w:r>
              <w:t>“</w:t>
            </w:r>
            <w:r w:rsidRPr="00F71618">
              <w:t>Sabiedrības līdzdalības kārtība attīstības plānošanas procesā” 7.4.</w:t>
            </w:r>
            <w:r w:rsidRPr="009E7F7D">
              <w:rPr>
                <w:vertAlign w:val="superscript"/>
              </w:rPr>
              <w:t>1</w:t>
            </w:r>
            <w:r w:rsidRPr="00F71618">
              <w:t xml:space="preserve"> apakšpunkt</w:t>
            </w:r>
            <w:r>
              <w:t>u,</w:t>
            </w:r>
            <w:r w:rsidRPr="00F71618">
              <w:t xml:space="preserve"> </w:t>
            </w:r>
            <w:r w:rsidRPr="00FE0FD9">
              <w:t xml:space="preserve">sagatavojot un publicējot paziņojumu par </w:t>
            </w:r>
            <w:r>
              <w:t>sabiedrības līdzdalību un</w:t>
            </w:r>
            <w:r w:rsidRPr="00F71618">
              <w:t xml:space="preserve"> do</w:t>
            </w:r>
            <w:r>
              <w:t>do</w:t>
            </w:r>
            <w:r w:rsidRPr="00F71618">
              <w:t>t iespēj</w:t>
            </w:r>
            <w:r>
              <w:t>u</w:t>
            </w:r>
            <w:r w:rsidRPr="00F71618">
              <w:t xml:space="preserve"> rakstiski sniegt viedokli par noteikumu projektu tā izstrādes stadijā.</w:t>
            </w:r>
          </w:p>
        </w:tc>
      </w:tr>
      <w:tr w:rsidR="009E481B" w:rsidRPr="00B76F63" w14:paraId="73C19EC6" w14:textId="77777777" w:rsidTr="002631D7">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A00E7" w14:textId="77777777" w:rsidR="009E481B" w:rsidRPr="00B76F63" w:rsidRDefault="009E481B" w:rsidP="009E481B">
            <w:pPr>
              <w:suppressAutoHyphens/>
              <w:autoSpaceDN w:val="0"/>
              <w:textAlignment w:val="baseline"/>
            </w:pPr>
            <w:r w:rsidRPr="00B76F63">
              <w:t xml:space="preserve">2. </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174CB" w14:textId="77777777" w:rsidR="009E481B" w:rsidRPr="00B76F63" w:rsidRDefault="009E481B" w:rsidP="009E481B">
            <w:pPr>
              <w:suppressAutoHyphens/>
              <w:autoSpaceDN w:val="0"/>
              <w:ind w:left="57" w:right="57"/>
              <w:textAlignment w:val="baseline"/>
            </w:pPr>
            <w:r w:rsidRPr="00B76F63">
              <w:t xml:space="preserve">Sabiedrības līdzdalība projekta izstrādē </w:t>
            </w:r>
          </w:p>
        </w:tc>
        <w:tc>
          <w:tcPr>
            <w:tcW w:w="6025" w:type="dxa"/>
            <w:tcBorders>
              <w:top w:val="outset" w:sz="6" w:space="0" w:color="414142"/>
              <w:left w:val="outset" w:sz="6" w:space="0" w:color="414142"/>
              <w:bottom w:val="outset" w:sz="6" w:space="0" w:color="414142"/>
              <w:right w:val="outset" w:sz="6" w:space="0" w:color="414142"/>
            </w:tcBorders>
            <w:tcMar>
              <w:top w:w="0" w:type="dxa"/>
              <w:left w:w="108" w:type="dxa"/>
              <w:bottom w:w="0" w:type="dxa"/>
              <w:right w:w="108" w:type="dxa"/>
            </w:tcMar>
          </w:tcPr>
          <w:p w14:paraId="046D753F" w14:textId="77777777" w:rsidR="00E20483" w:rsidRDefault="00052D2C" w:rsidP="00E20483">
            <w:pPr>
              <w:jc w:val="both"/>
            </w:pPr>
            <w:r>
              <w:t>N</w:t>
            </w:r>
            <w:r w:rsidR="00580D2F" w:rsidRPr="00E70DC3">
              <w:t>oteikumu projekt</w:t>
            </w:r>
            <w:r>
              <w:t>s</w:t>
            </w:r>
            <w:r w:rsidR="00580D2F" w:rsidRPr="00E70DC3">
              <w:t xml:space="preserve"> </w:t>
            </w:r>
            <w:r>
              <w:t>publicēts Zemkopības ministrijas</w:t>
            </w:r>
            <w:r w:rsidR="00580D2F" w:rsidRPr="00E70DC3">
              <w:t xml:space="preserve"> tīmekļvietnē </w:t>
            </w:r>
            <w:hyperlink r:id="rId8" w:history="1">
              <w:r w:rsidR="007F1EF0" w:rsidRPr="0081020F">
                <w:rPr>
                  <w:rStyle w:val="Hipersaite"/>
                </w:rPr>
                <w:t>www.zm.gov.lv</w:t>
              </w:r>
            </w:hyperlink>
            <w:r w:rsidR="00580D2F" w:rsidRPr="00E70DC3">
              <w:t xml:space="preserve"> un Ministru kabineta tīmekļvietnes sadaļā “Sabiedrības līdzdalība”</w:t>
            </w:r>
            <w:r w:rsidR="006C723F">
              <w:t xml:space="preserve"> </w:t>
            </w:r>
            <w:hyperlink r:id="rId9" w:history="1">
              <w:r w:rsidR="00E20483" w:rsidRPr="00C62465">
                <w:rPr>
                  <w:rStyle w:val="Hipersaite"/>
                </w:rPr>
                <w:t>https://www.zm.gov.lv/zemkopibas-ministrija/apspriesanas/ministru-kabineta-noteikumu-projekts-grozijumi-ministru-kabineta-2012-?id=991</w:t>
              </w:r>
            </w:hyperlink>
            <w:r w:rsidR="00E20483">
              <w:t xml:space="preserve"> </w:t>
            </w:r>
          </w:p>
          <w:p w14:paraId="6B2A9438" w14:textId="5011CF7B" w:rsidR="00580D2F" w:rsidRDefault="006C723F" w:rsidP="00E20483">
            <w:pPr>
              <w:jc w:val="both"/>
            </w:pPr>
            <w:r>
              <w:t xml:space="preserve">no 2021. gada </w:t>
            </w:r>
            <w:r w:rsidR="00B01A25">
              <w:t xml:space="preserve">10. </w:t>
            </w:r>
            <w:r>
              <w:t xml:space="preserve">līdz </w:t>
            </w:r>
            <w:r w:rsidR="00B01A25">
              <w:t xml:space="preserve">24. </w:t>
            </w:r>
            <w:r>
              <w:t>februārim</w:t>
            </w:r>
            <w:r w:rsidR="00580D2F" w:rsidRPr="00E70DC3">
              <w:t xml:space="preserve">. </w:t>
            </w:r>
          </w:p>
          <w:p w14:paraId="19808D83" w14:textId="69CD0D49" w:rsidR="009E481B" w:rsidRPr="00E70DC3" w:rsidRDefault="00E20483">
            <w:pPr>
              <w:jc w:val="both"/>
            </w:pPr>
            <w:r w:rsidRPr="00E20483">
              <w:t>Noteikumu projekts saskaņots ar biedrībām “Lauksaimniecības organizāciju sadarbības padome”</w:t>
            </w:r>
            <w:r>
              <w:t>,</w:t>
            </w:r>
            <w:r w:rsidRPr="00E20483">
              <w:t xml:space="preserve"> “Zemnieku saeima” un </w:t>
            </w:r>
            <w:r w:rsidR="00344B36">
              <w:t>“</w:t>
            </w:r>
            <w:r>
              <w:t>Latvijas veterinārārstu biedrība</w:t>
            </w:r>
            <w:r w:rsidR="00344B36">
              <w:t>”</w:t>
            </w:r>
            <w:r>
              <w:t xml:space="preserve">, </w:t>
            </w:r>
            <w:r w:rsidRPr="00E20483">
              <w:t>kas ir noteikumu projekta mērķgrupa.</w:t>
            </w:r>
          </w:p>
        </w:tc>
      </w:tr>
      <w:tr w:rsidR="009E481B" w:rsidRPr="00B76F63" w14:paraId="188426C2" w14:textId="77777777" w:rsidTr="002631D7">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4F702" w14:textId="77777777" w:rsidR="009E481B" w:rsidRPr="00B76F63" w:rsidRDefault="009E481B" w:rsidP="009E481B">
            <w:pPr>
              <w:suppressAutoHyphens/>
              <w:autoSpaceDN w:val="0"/>
              <w:textAlignment w:val="baseline"/>
            </w:pPr>
            <w:r w:rsidRPr="00B76F63">
              <w:t>3.</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4E2EB" w14:textId="77777777" w:rsidR="009E481B" w:rsidRPr="00B76F63" w:rsidRDefault="009E481B" w:rsidP="009E481B">
            <w:pPr>
              <w:suppressAutoHyphens/>
              <w:autoSpaceDN w:val="0"/>
              <w:ind w:left="57" w:right="57"/>
              <w:textAlignment w:val="baseline"/>
            </w:pPr>
            <w:r w:rsidRPr="00B76F63">
              <w:t xml:space="preserve">Sabiedrības līdzdalības rezultāti </w:t>
            </w:r>
          </w:p>
        </w:tc>
        <w:tc>
          <w:tcPr>
            <w:tcW w:w="6025" w:type="dxa"/>
            <w:tcBorders>
              <w:top w:val="outset" w:sz="6" w:space="0" w:color="414142"/>
              <w:left w:val="outset" w:sz="6" w:space="0" w:color="414142"/>
              <w:bottom w:val="outset" w:sz="6" w:space="0" w:color="414142"/>
              <w:right w:val="outset" w:sz="6" w:space="0" w:color="414142"/>
            </w:tcBorders>
            <w:tcMar>
              <w:top w:w="0" w:type="dxa"/>
              <w:left w:w="108" w:type="dxa"/>
              <w:bottom w:w="0" w:type="dxa"/>
              <w:right w:w="108" w:type="dxa"/>
            </w:tcMar>
          </w:tcPr>
          <w:p w14:paraId="392CDE7B" w14:textId="6B11BC1C" w:rsidR="00312AF6" w:rsidRDefault="00312AF6" w:rsidP="00312AF6">
            <w:pPr>
              <w:jc w:val="both"/>
            </w:pPr>
            <w:r>
              <w:t xml:space="preserve">Par tīmekļvietnē </w:t>
            </w:r>
            <w:hyperlink r:id="rId10" w:history="1">
              <w:r w:rsidRPr="00C62465">
                <w:rPr>
                  <w:rStyle w:val="Hipersaite"/>
                </w:rPr>
                <w:t>www.zm.gov.lv</w:t>
              </w:r>
            </w:hyperlink>
            <w:r>
              <w:t xml:space="preserve"> ievietoto noteikumu projektu iebildumi un priekšlikumi no sabiedrības netika saņemti. </w:t>
            </w:r>
          </w:p>
          <w:p w14:paraId="13720706" w14:textId="4D52CD73" w:rsidR="00312AF6" w:rsidRPr="00E70DC3" w:rsidRDefault="00F80129" w:rsidP="00312AF6">
            <w:pPr>
              <w:jc w:val="both"/>
            </w:pPr>
            <w:r>
              <w:t xml:space="preserve">Noteikumu projekts ir saskaņots ar biedrību „Lauksaimnieku organizāciju sadarbības padome”, “Zemnieku Saeima” </w:t>
            </w:r>
            <w:r w:rsidRPr="00F80129">
              <w:t xml:space="preserve">un </w:t>
            </w:r>
            <w:r w:rsidR="00344B36">
              <w:t>“</w:t>
            </w:r>
            <w:r w:rsidRPr="00F80129">
              <w:t>Latvijas veterinārārstu biedrīb</w:t>
            </w:r>
            <w:r>
              <w:t>u</w:t>
            </w:r>
            <w:r w:rsidR="00344B36">
              <w:t>”</w:t>
            </w:r>
            <w:r w:rsidR="00312AF6">
              <w:t>,</w:t>
            </w:r>
            <w:r>
              <w:t xml:space="preserve"> </w:t>
            </w:r>
            <w:r w:rsidR="00312AF6" w:rsidRPr="006760DB">
              <w:t xml:space="preserve">kas ir noteikumu projekta </w:t>
            </w:r>
            <w:r w:rsidR="00312AF6" w:rsidRPr="006760DB">
              <w:lastRenderedPageBreak/>
              <w:t xml:space="preserve">mērķgrupa, </w:t>
            </w:r>
            <w:r w:rsidR="00344B36">
              <w:t xml:space="preserve">un tās </w:t>
            </w:r>
            <w:r w:rsidR="00312AF6" w:rsidRPr="006760DB">
              <w:t>atbalsta projekta tālāku virzību bez iebildumiem.</w:t>
            </w:r>
            <w:r w:rsidR="00312AF6">
              <w:t xml:space="preserve"> </w:t>
            </w:r>
          </w:p>
        </w:tc>
      </w:tr>
      <w:tr w:rsidR="00B76F63" w:rsidRPr="00B76F63" w14:paraId="26119070" w14:textId="77777777" w:rsidTr="009E45A9">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FA616" w14:textId="77777777" w:rsidR="00B76F63" w:rsidRPr="00B76F63" w:rsidRDefault="00B76F63" w:rsidP="00B76F63">
            <w:pPr>
              <w:suppressAutoHyphens/>
              <w:autoSpaceDN w:val="0"/>
              <w:textAlignment w:val="baseline"/>
            </w:pPr>
            <w:r w:rsidRPr="00B76F63">
              <w:lastRenderedPageBreak/>
              <w:t>4.</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36A04" w14:textId="77777777" w:rsidR="00B76F63" w:rsidRPr="00B76F63" w:rsidRDefault="00B76F63" w:rsidP="00B76F63">
            <w:pPr>
              <w:suppressAutoHyphens/>
              <w:autoSpaceDN w:val="0"/>
              <w:ind w:left="57" w:right="57"/>
              <w:textAlignment w:val="baseline"/>
            </w:pPr>
            <w:r w:rsidRPr="00B76F63">
              <w:t>Cita informācija</w:t>
            </w:r>
          </w:p>
        </w:tc>
        <w:tc>
          <w:tcPr>
            <w:tcW w:w="6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6F4FE" w14:textId="77777777" w:rsidR="00B76F63" w:rsidRPr="00B76F63" w:rsidRDefault="00B76F63" w:rsidP="00B76F63">
            <w:pPr>
              <w:suppressAutoHyphens/>
              <w:autoSpaceDN w:val="0"/>
              <w:jc w:val="both"/>
              <w:textAlignment w:val="baseline"/>
            </w:pPr>
            <w:r w:rsidRPr="00B76F63">
              <w:t xml:space="preserve">Nav. </w:t>
            </w:r>
          </w:p>
        </w:tc>
      </w:tr>
    </w:tbl>
    <w:p w14:paraId="0ADEDC34" w14:textId="77777777" w:rsidR="00F67455" w:rsidRPr="002C15A5" w:rsidRDefault="00F67455" w:rsidP="00F67455">
      <w:pPr>
        <w:pStyle w:val="Bezatstarpm"/>
        <w:rPr>
          <w:rFonts w:ascii="Times New Roman" w:hAnsi="Times New Roman" w:cs="Times New Roman"/>
          <w:b/>
          <w:sz w:val="24"/>
          <w:szCs w:val="24"/>
          <w:lang w:eastAsia="lv-LV"/>
        </w:rPr>
      </w:pPr>
      <w:r w:rsidRPr="0079316C">
        <w:rPr>
          <w:rFonts w:ascii="Times New Roman" w:hAnsi="Times New Roman" w:cs="Times New Roman"/>
          <w:sz w:val="24"/>
          <w:szCs w:val="24"/>
          <w:lang w:eastAsia="lv-LV"/>
        </w:rPr>
        <w:t xml:space="preserve"> </w:t>
      </w:r>
    </w:p>
    <w:tbl>
      <w:tblPr>
        <w:tblStyle w:val="Reatabula"/>
        <w:tblW w:w="9923" w:type="dxa"/>
        <w:jc w:val="center"/>
        <w:tblLook w:val="04A0" w:firstRow="1" w:lastRow="0" w:firstColumn="1" w:lastColumn="0" w:noHBand="0" w:noVBand="1"/>
      </w:tblPr>
      <w:tblGrid>
        <w:gridCol w:w="709"/>
        <w:gridCol w:w="3119"/>
        <w:gridCol w:w="6095"/>
      </w:tblGrid>
      <w:tr w:rsidR="00F67455" w14:paraId="2FB06074" w14:textId="77777777" w:rsidTr="00633B4C">
        <w:trPr>
          <w:jc w:val="center"/>
        </w:trPr>
        <w:tc>
          <w:tcPr>
            <w:tcW w:w="9923" w:type="dxa"/>
            <w:gridSpan w:val="3"/>
          </w:tcPr>
          <w:p w14:paraId="22B25D42" w14:textId="77777777" w:rsidR="00F67455" w:rsidRDefault="00F67455" w:rsidP="00633B4C">
            <w:pPr>
              <w:pStyle w:val="Bezatstarpm"/>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F67455" w14:paraId="2EA1B967" w14:textId="77777777" w:rsidTr="00633B4C">
        <w:trPr>
          <w:jc w:val="center"/>
        </w:trPr>
        <w:tc>
          <w:tcPr>
            <w:tcW w:w="709" w:type="dxa"/>
          </w:tcPr>
          <w:p w14:paraId="1C7113D1"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14:paraId="3911EBF4" w14:textId="77777777"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tc>
        <w:tc>
          <w:tcPr>
            <w:tcW w:w="6095" w:type="dxa"/>
          </w:tcPr>
          <w:p w14:paraId="7F95BDDD" w14:textId="0E94A6CD" w:rsidR="00F67455" w:rsidRPr="00D65792" w:rsidRDefault="00BA7B29" w:rsidP="00633B4C">
            <w:pPr>
              <w:jc w:val="both"/>
            </w:pPr>
            <w:r w:rsidRPr="00BA7B29">
              <w:t>Pārtikas un veterinārais dienests</w:t>
            </w:r>
            <w:r w:rsidR="000C2F1D">
              <w:t xml:space="preserve"> </w:t>
            </w:r>
            <w:r w:rsidRPr="00BA7B29">
              <w:t xml:space="preserve">un </w:t>
            </w:r>
            <w:r w:rsidR="00052D2C">
              <w:t>Valsts vides dienests</w:t>
            </w:r>
            <w:r w:rsidRPr="00BA7B29">
              <w:t xml:space="preserve"> </w:t>
            </w:r>
          </w:p>
        </w:tc>
      </w:tr>
      <w:tr w:rsidR="00F67455" w14:paraId="38D6E046" w14:textId="77777777" w:rsidTr="00633B4C">
        <w:trPr>
          <w:jc w:val="center"/>
        </w:trPr>
        <w:tc>
          <w:tcPr>
            <w:tcW w:w="709" w:type="dxa"/>
          </w:tcPr>
          <w:p w14:paraId="0D527079"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14:paraId="2EB19372" w14:textId="77777777" w:rsidR="00F67455"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t>Jaunu institūciju izveide, esošu institūciju likvidācija vai reorganizācija, to ietekme uz institūcijas cilvēkresursiem</w:t>
            </w:r>
          </w:p>
        </w:tc>
        <w:tc>
          <w:tcPr>
            <w:tcW w:w="6095" w:type="dxa"/>
          </w:tcPr>
          <w:p w14:paraId="6D724CCF" w14:textId="77777777" w:rsidR="009E45A9" w:rsidRDefault="009E45A9" w:rsidP="00CA73FB">
            <w:pPr>
              <w:jc w:val="both"/>
            </w:pPr>
            <w:r>
              <w:t>Saistībā ar noteikumu projekta izpildi nav nepieciešams veidot jaunas, ne arī likvidēt vai reorganizēt esošas institūcijas.</w:t>
            </w:r>
          </w:p>
          <w:p w14:paraId="54F99D94" w14:textId="77777777" w:rsidR="00F67455" w:rsidRDefault="009E45A9" w:rsidP="00CA73FB">
            <w:pPr>
              <w:jc w:val="both"/>
            </w:pPr>
            <w:r>
              <w:t>Noteikumu projekta izpilde neietekmēs institūcijām pieejamos cilvēkresursus.</w:t>
            </w:r>
          </w:p>
          <w:p w14:paraId="071F24B0" w14:textId="77777777" w:rsidR="009E481B" w:rsidRDefault="009E481B" w:rsidP="00CA73FB">
            <w:pPr>
              <w:jc w:val="both"/>
            </w:pPr>
            <w:r>
              <w:t>Nav ietekmes uz pārvaldes funkcijām un institucionālo struktūru.</w:t>
            </w:r>
          </w:p>
          <w:p w14:paraId="50CF3952" w14:textId="77777777" w:rsidR="009E481B" w:rsidRPr="00D65792" w:rsidRDefault="009E481B" w:rsidP="00CA73FB">
            <w:pPr>
              <w:jc w:val="both"/>
            </w:pPr>
            <w:r>
              <w:t>Nav paredzēta jaunu institūciju izveide, esošu institūciju likvidācija vai reorganizācija, ne arī to ietekme uz institūcijas cilvēkresursiem.</w:t>
            </w:r>
          </w:p>
        </w:tc>
      </w:tr>
      <w:tr w:rsidR="00F67455" w14:paraId="1999C0C8" w14:textId="77777777" w:rsidTr="00633B4C">
        <w:trPr>
          <w:jc w:val="center"/>
        </w:trPr>
        <w:tc>
          <w:tcPr>
            <w:tcW w:w="709" w:type="dxa"/>
          </w:tcPr>
          <w:p w14:paraId="26669CF9"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14:paraId="49A0B122" w14:textId="77777777"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14:paraId="34B8336E" w14:textId="77777777"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3A856683" w14:textId="77777777" w:rsidR="00F67455" w:rsidRDefault="00F67455" w:rsidP="00F67455">
      <w:pPr>
        <w:pStyle w:val="Bezatstarpm"/>
        <w:rPr>
          <w:rFonts w:ascii="Times New Roman" w:hAnsi="Times New Roman" w:cs="Times New Roman"/>
          <w:sz w:val="28"/>
          <w:szCs w:val="24"/>
          <w:lang w:eastAsia="lv-LV"/>
        </w:rPr>
      </w:pPr>
    </w:p>
    <w:p w14:paraId="2ABA8FB9" w14:textId="24E60AA9" w:rsidR="00F67455" w:rsidRDefault="00F67455" w:rsidP="00F67455">
      <w:pPr>
        <w:pStyle w:val="Bezatstarpm"/>
        <w:rPr>
          <w:rFonts w:ascii="Times New Roman" w:hAnsi="Times New Roman" w:cs="Times New Roman"/>
          <w:sz w:val="28"/>
          <w:szCs w:val="24"/>
          <w:lang w:eastAsia="lv-LV"/>
        </w:rPr>
      </w:pPr>
    </w:p>
    <w:p w14:paraId="2833BE4D" w14:textId="64185FB2" w:rsidR="00BB304E" w:rsidRDefault="00BB304E" w:rsidP="00F67455">
      <w:pPr>
        <w:pStyle w:val="Bezatstarpm"/>
        <w:rPr>
          <w:rFonts w:ascii="Times New Roman" w:hAnsi="Times New Roman" w:cs="Times New Roman"/>
          <w:sz w:val="28"/>
          <w:szCs w:val="24"/>
          <w:lang w:eastAsia="lv-LV"/>
        </w:rPr>
      </w:pPr>
    </w:p>
    <w:p w14:paraId="161C13B2" w14:textId="77777777" w:rsidR="00BB304E" w:rsidRPr="00035F74" w:rsidRDefault="00BB304E" w:rsidP="00F67455">
      <w:pPr>
        <w:pStyle w:val="Bezatstarpm"/>
        <w:rPr>
          <w:rFonts w:ascii="Times New Roman" w:hAnsi="Times New Roman" w:cs="Times New Roman"/>
          <w:sz w:val="28"/>
          <w:szCs w:val="24"/>
          <w:lang w:eastAsia="lv-LV"/>
        </w:rPr>
      </w:pPr>
    </w:p>
    <w:p w14:paraId="522887C5" w14:textId="4E03CEB2" w:rsidR="00F67455" w:rsidRPr="00035F74" w:rsidRDefault="00F67455" w:rsidP="00BB304E">
      <w:pPr>
        <w:ind w:firstLine="720"/>
        <w:jc w:val="both"/>
        <w:rPr>
          <w:sz w:val="28"/>
          <w:szCs w:val="28"/>
        </w:rPr>
      </w:pPr>
      <w:r>
        <w:rPr>
          <w:color w:val="000000"/>
          <w:sz w:val="28"/>
          <w:szCs w:val="28"/>
        </w:rPr>
        <w:t>Ze</w:t>
      </w:r>
      <w:r w:rsidR="00BC1506">
        <w:rPr>
          <w:color w:val="000000"/>
          <w:sz w:val="28"/>
          <w:szCs w:val="28"/>
        </w:rPr>
        <w:t xml:space="preserve">mkopības ministrs </w:t>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t>K. </w:t>
      </w:r>
      <w:r>
        <w:rPr>
          <w:color w:val="000000"/>
          <w:sz w:val="28"/>
          <w:szCs w:val="28"/>
        </w:rPr>
        <w:t>Gerhards</w:t>
      </w:r>
    </w:p>
    <w:p w14:paraId="77ED690E" w14:textId="77777777" w:rsidR="00F67455" w:rsidRDefault="00F67455" w:rsidP="00F67455">
      <w:pPr>
        <w:jc w:val="both"/>
        <w:rPr>
          <w:sz w:val="28"/>
          <w:szCs w:val="20"/>
        </w:rPr>
      </w:pPr>
    </w:p>
    <w:p w14:paraId="69E42BC7" w14:textId="77777777" w:rsidR="00F67455" w:rsidRDefault="00F67455" w:rsidP="00F67455">
      <w:pPr>
        <w:jc w:val="both"/>
        <w:rPr>
          <w:sz w:val="28"/>
          <w:szCs w:val="20"/>
        </w:rPr>
      </w:pPr>
    </w:p>
    <w:p w14:paraId="71706E7F" w14:textId="4E2C59F2" w:rsidR="00F67455" w:rsidRDefault="00F67455" w:rsidP="00F67455">
      <w:pPr>
        <w:jc w:val="both"/>
        <w:rPr>
          <w:sz w:val="28"/>
          <w:szCs w:val="20"/>
        </w:rPr>
      </w:pPr>
    </w:p>
    <w:p w14:paraId="1683814B" w14:textId="031D6234" w:rsidR="00BB304E" w:rsidRDefault="00BB304E" w:rsidP="00F67455">
      <w:pPr>
        <w:jc w:val="both"/>
        <w:rPr>
          <w:sz w:val="28"/>
          <w:szCs w:val="20"/>
        </w:rPr>
      </w:pPr>
    </w:p>
    <w:p w14:paraId="194D08B6" w14:textId="3B53DADA" w:rsidR="00BB304E" w:rsidRDefault="00BB304E" w:rsidP="00F67455">
      <w:pPr>
        <w:jc w:val="both"/>
        <w:rPr>
          <w:sz w:val="28"/>
          <w:szCs w:val="20"/>
        </w:rPr>
      </w:pPr>
    </w:p>
    <w:p w14:paraId="1AFFB889" w14:textId="5F57235A" w:rsidR="00BB304E" w:rsidRDefault="00BB304E" w:rsidP="00F67455">
      <w:pPr>
        <w:jc w:val="both"/>
        <w:rPr>
          <w:sz w:val="28"/>
          <w:szCs w:val="20"/>
        </w:rPr>
      </w:pPr>
    </w:p>
    <w:p w14:paraId="749AD9FA" w14:textId="73A94846" w:rsidR="00BB304E" w:rsidRDefault="00BB304E" w:rsidP="00F67455">
      <w:pPr>
        <w:jc w:val="both"/>
        <w:rPr>
          <w:sz w:val="28"/>
          <w:szCs w:val="20"/>
        </w:rPr>
      </w:pPr>
    </w:p>
    <w:p w14:paraId="40469A65" w14:textId="6F9DDCFF" w:rsidR="00BB304E" w:rsidRDefault="00BB304E" w:rsidP="00F67455">
      <w:pPr>
        <w:jc w:val="both"/>
        <w:rPr>
          <w:sz w:val="28"/>
          <w:szCs w:val="20"/>
        </w:rPr>
      </w:pPr>
    </w:p>
    <w:p w14:paraId="16340758" w14:textId="650A733D" w:rsidR="00BB304E" w:rsidRDefault="00BB304E" w:rsidP="00F67455">
      <w:pPr>
        <w:jc w:val="both"/>
        <w:rPr>
          <w:sz w:val="28"/>
          <w:szCs w:val="20"/>
        </w:rPr>
      </w:pPr>
    </w:p>
    <w:p w14:paraId="014BEBFC" w14:textId="00FDAB96" w:rsidR="00F67455" w:rsidRDefault="00F67455" w:rsidP="00F67455">
      <w:pPr>
        <w:jc w:val="both"/>
        <w:rPr>
          <w:sz w:val="28"/>
          <w:szCs w:val="20"/>
        </w:rPr>
      </w:pPr>
    </w:p>
    <w:p w14:paraId="1EAC4314" w14:textId="519628D6" w:rsidR="00BD5CC6" w:rsidRDefault="00BD5CC6" w:rsidP="00F67455">
      <w:pPr>
        <w:jc w:val="both"/>
        <w:rPr>
          <w:sz w:val="28"/>
          <w:szCs w:val="20"/>
        </w:rPr>
      </w:pPr>
    </w:p>
    <w:p w14:paraId="08A98588" w14:textId="6A745DDD" w:rsidR="00BD5CC6" w:rsidRDefault="00BD5CC6" w:rsidP="00F67455">
      <w:pPr>
        <w:jc w:val="both"/>
        <w:rPr>
          <w:sz w:val="28"/>
          <w:szCs w:val="20"/>
        </w:rPr>
      </w:pPr>
    </w:p>
    <w:p w14:paraId="0D41CE9D" w14:textId="30A02305" w:rsidR="00BD5CC6" w:rsidRDefault="00BD5CC6" w:rsidP="00F67455">
      <w:pPr>
        <w:jc w:val="both"/>
        <w:rPr>
          <w:sz w:val="28"/>
          <w:szCs w:val="20"/>
        </w:rPr>
      </w:pPr>
    </w:p>
    <w:p w14:paraId="0A6C4352" w14:textId="765F65B8" w:rsidR="00BD5CC6" w:rsidRDefault="00BD5CC6" w:rsidP="00F67455">
      <w:pPr>
        <w:jc w:val="both"/>
        <w:rPr>
          <w:sz w:val="28"/>
          <w:szCs w:val="20"/>
        </w:rPr>
      </w:pPr>
    </w:p>
    <w:p w14:paraId="44CE483E" w14:textId="38B64ADD" w:rsidR="00BD5CC6" w:rsidRDefault="00BD5CC6" w:rsidP="00F67455">
      <w:pPr>
        <w:jc w:val="both"/>
        <w:rPr>
          <w:sz w:val="28"/>
          <w:szCs w:val="20"/>
        </w:rPr>
      </w:pPr>
    </w:p>
    <w:p w14:paraId="4462E00B" w14:textId="2039E515" w:rsidR="00BD5CC6" w:rsidRDefault="00BD5CC6" w:rsidP="00F67455">
      <w:pPr>
        <w:jc w:val="both"/>
        <w:rPr>
          <w:sz w:val="28"/>
          <w:szCs w:val="20"/>
        </w:rPr>
      </w:pPr>
    </w:p>
    <w:p w14:paraId="68161D5C" w14:textId="33713E3F" w:rsidR="00BD5CC6" w:rsidRDefault="00BD5CC6" w:rsidP="00F67455">
      <w:pPr>
        <w:jc w:val="both"/>
        <w:rPr>
          <w:sz w:val="28"/>
          <w:szCs w:val="20"/>
        </w:rPr>
      </w:pPr>
    </w:p>
    <w:p w14:paraId="1A6DB8FA" w14:textId="7E5E0A3C" w:rsidR="00BD5CC6" w:rsidRDefault="00BD5CC6" w:rsidP="00F67455">
      <w:pPr>
        <w:jc w:val="both"/>
        <w:rPr>
          <w:sz w:val="28"/>
          <w:szCs w:val="20"/>
        </w:rPr>
      </w:pPr>
    </w:p>
    <w:p w14:paraId="78BBA192" w14:textId="51324EF5" w:rsidR="00BD5CC6" w:rsidRDefault="00BD5CC6" w:rsidP="00F67455">
      <w:pPr>
        <w:jc w:val="both"/>
        <w:rPr>
          <w:sz w:val="28"/>
          <w:szCs w:val="20"/>
        </w:rPr>
      </w:pPr>
    </w:p>
    <w:p w14:paraId="120BDCA8" w14:textId="77777777" w:rsidR="00BD5CC6" w:rsidRPr="00035F74" w:rsidRDefault="00BD5CC6" w:rsidP="00F67455">
      <w:pPr>
        <w:jc w:val="both"/>
        <w:rPr>
          <w:sz w:val="28"/>
          <w:szCs w:val="20"/>
        </w:rPr>
      </w:pPr>
      <w:bookmarkStart w:id="0" w:name="_GoBack"/>
      <w:bookmarkEnd w:id="0"/>
    </w:p>
    <w:p w14:paraId="58A8E11C" w14:textId="77777777" w:rsidR="00F67455" w:rsidRPr="00BD5CC6" w:rsidRDefault="001F066B" w:rsidP="00F67455">
      <w:pPr>
        <w:jc w:val="both"/>
      </w:pPr>
      <w:r w:rsidRPr="00BD5CC6">
        <w:t>Tora</w:t>
      </w:r>
      <w:r w:rsidR="00F67455" w:rsidRPr="00BD5CC6">
        <w:t xml:space="preserve"> 670276</w:t>
      </w:r>
      <w:r w:rsidRPr="00BD5CC6">
        <w:t>20</w:t>
      </w:r>
    </w:p>
    <w:p w14:paraId="117643F1" w14:textId="35D0571C" w:rsidR="00D942C8" w:rsidRDefault="00BD5CC6" w:rsidP="00BD5CC6">
      <w:pPr>
        <w:jc w:val="both"/>
      </w:pPr>
      <w:hyperlink r:id="rId11" w:history="1">
        <w:r w:rsidR="001F066B" w:rsidRPr="00BD5CC6">
          <w:rPr>
            <w:rStyle w:val="Hipersaite"/>
          </w:rPr>
          <w:t>aija.tora@zm.gov.lv</w:t>
        </w:r>
      </w:hyperlink>
      <w:r w:rsidR="001F066B" w:rsidRPr="00BD5CC6">
        <w:t xml:space="preserve"> </w:t>
      </w:r>
    </w:p>
    <w:sectPr w:rsidR="00D942C8" w:rsidSect="00F46203">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212A" w16cex:dateUtc="2021-01-19T07: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1388" w14:textId="77777777" w:rsidR="009F7D9B" w:rsidRDefault="009F7D9B" w:rsidP="001D46DF">
      <w:r>
        <w:separator/>
      </w:r>
    </w:p>
  </w:endnote>
  <w:endnote w:type="continuationSeparator" w:id="0">
    <w:p w14:paraId="452BA929" w14:textId="77777777" w:rsidR="009F7D9B" w:rsidRDefault="009F7D9B" w:rsidP="001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B4BD" w14:textId="16A3EA49" w:rsidR="00C96527" w:rsidRPr="00BD5CC6" w:rsidRDefault="00BD5CC6" w:rsidP="00BD5CC6">
    <w:pPr>
      <w:pStyle w:val="Kjene"/>
    </w:pPr>
    <w:r w:rsidRPr="00BD5CC6">
      <w:rPr>
        <w:sz w:val="20"/>
      </w:rPr>
      <w:t>ZManot_210421_abp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44AE" w14:textId="16B8986F" w:rsidR="00C96527" w:rsidRPr="00BD5CC6" w:rsidRDefault="00BD5CC6" w:rsidP="00BD5CC6">
    <w:pPr>
      <w:pStyle w:val="Kjene"/>
    </w:pPr>
    <w:r w:rsidRPr="00BD5CC6">
      <w:rPr>
        <w:sz w:val="20"/>
      </w:rPr>
      <w:t>ZManot_210421_abp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958B9" w14:textId="77777777" w:rsidR="009F7D9B" w:rsidRDefault="009F7D9B" w:rsidP="001D46DF">
      <w:r>
        <w:separator/>
      </w:r>
    </w:p>
  </w:footnote>
  <w:footnote w:type="continuationSeparator" w:id="0">
    <w:p w14:paraId="681519D0" w14:textId="77777777" w:rsidR="009F7D9B" w:rsidRDefault="009F7D9B" w:rsidP="001D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456685"/>
      <w:docPartObj>
        <w:docPartGallery w:val="Page Numbers (Top of Page)"/>
        <w:docPartUnique/>
      </w:docPartObj>
    </w:sdtPr>
    <w:sdtEndPr/>
    <w:sdtContent>
      <w:p w14:paraId="2AC4CC3C" w14:textId="17D4DE8D" w:rsidR="00C96527" w:rsidRDefault="00EF77F6">
        <w:pPr>
          <w:pStyle w:val="Galvene"/>
          <w:jc w:val="center"/>
        </w:pPr>
        <w:r>
          <w:fldChar w:fldCharType="begin"/>
        </w:r>
        <w:r>
          <w:instrText>PAGE   \* MERGEFORMAT</w:instrText>
        </w:r>
        <w:r>
          <w:fldChar w:fldCharType="separate"/>
        </w:r>
        <w:r w:rsidR="001E1D8F">
          <w:rPr>
            <w:noProof/>
          </w:rPr>
          <w:t>8</w:t>
        </w:r>
        <w:r>
          <w:fldChar w:fldCharType="end"/>
        </w:r>
      </w:p>
    </w:sdtContent>
  </w:sdt>
  <w:p w14:paraId="5ADBE087" w14:textId="77777777" w:rsidR="00C96527" w:rsidRDefault="00BD5CC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A282C"/>
    <w:multiLevelType w:val="multilevel"/>
    <w:tmpl w:val="8FFE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C7456"/>
    <w:multiLevelType w:val="multilevel"/>
    <w:tmpl w:val="9052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E7677"/>
    <w:multiLevelType w:val="hybridMultilevel"/>
    <w:tmpl w:val="52DC4214"/>
    <w:lvl w:ilvl="0" w:tplc="736EBA2A">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55"/>
    <w:rsid w:val="00001EC2"/>
    <w:rsid w:val="00002319"/>
    <w:rsid w:val="00006167"/>
    <w:rsid w:val="0001275C"/>
    <w:rsid w:val="0001372F"/>
    <w:rsid w:val="00013B20"/>
    <w:rsid w:val="00016276"/>
    <w:rsid w:val="000214D0"/>
    <w:rsid w:val="00023155"/>
    <w:rsid w:val="00023CB2"/>
    <w:rsid w:val="00024922"/>
    <w:rsid w:val="00025CA1"/>
    <w:rsid w:val="00027821"/>
    <w:rsid w:val="00030436"/>
    <w:rsid w:val="0003269F"/>
    <w:rsid w:val="00034534"/>
    <w:rsid w:val="00035419"/>
    <w:rsid w:val="00036053"/>
    <w:rsid w:val="00037516"/>
    <w:rsid w:val="00040438"/>
    <w:rsid w:val="00043D6D"/>
    <w:rsid w:val="00046292"/>
    <w:rsid w:val="000477BC"/>
    <w:rsid w:val="000500BF"/>
    <w:rsid w:val="0005243B"/>
    <w:rsid w:val="00052D2C"/>
    <w:rsid w:val="00055C38"/>
    <w:rsid w:val="00056B19"/>
    <w:rsid w:val="00057B1F"/>
    <w:rsid w:val="000604F5"/>
    <w:rsid w:val="00061CC7"/>
    <w:rsid w:val="000626C0"/>
    <w:rsid w:val="0006574C"/>
    <w:rsid w:val="00065A77"/>
    <w:rsid w:val="000669C5"/>
    <w:rsid w:val="000673DF"/>
    <w:rsid w:val="0007320A"/>
    <w:rsid w:val="00073666"/>
    <w:rsid w:val="00073CB9"/>
    <w:rsid w:val="00076371"/>
    <w:rsid w:val="0008188B"/>
    <w:rsid w:val="00081964"/>
    <w:rsid w:val="00082D75"/>
    <w:rsid w:val="000831C0"/>
    <w:rsid w:val="000836F0"/>
    <w:rsid w:val="0008713B"/>
    <w:rsid w:val="00094499"/>
    <w:rsid w:val="00094C50"/>
    <w:rsid w:val="00094ECB"/>
    <w:rsid w:val="0009789C"/>
    <w:rsid w:val="00097E93"/>
    <w:rsid w:val="000A1EF1"/>
    <w:rsid w:val="000A28D0"/>
    <w:rsid w:val="000A6930"/>
    <w:rsid w:val="000B12BA"/>
    <w:rsid w:val="000B41A9"/>
    <w:rsid w:val="000B6774"/>
    <w:rsid w:val="000B777C"/>
    <w:rsid w:val="000C16D5"/>
    <w:rsid w:val="000C20CE"/>
    <w:rsid w:val="000C2666"/>
    <w:rsid w:val="000C2F1D"/>
    <w:rsid w:val="000C5D29"/>
    <w:rsid w:val="000C5FDB"/>
    <w:rsid w:val="000D0941"/>
    <w:rsid w:val="000D09E6"/>
    <w:rsid w:val="000D15C4"/>
    <w:rsid w:val="000D31E1"/>
    <w:rsid w:val="000E04F9"/>
    <w:rsid w:val="000E09F8"/>
    <w:rsid w:val="000E0FED"/>
    <w:rsid w:val="000E11AA"/>
    <w:rsid w:val="000E225D"/>
    <w:rsid w:val="000E2697"/>
    <w:rsid w:val="000E26B8"/>
    <w:rsid w:val="000E32E4"/>
    <w:rsid w:val="000E58B2"/>
    <w:rsid w:val="000E63C3"/>
    <w:rsid w:val="000F42F5"/>
    <w:rsid w:val="000F5059"/>
    <w:rsid w:val="00100735"/>
    <w:rsid w:val="00101731"/>
    <w:rsid w:val="001021B8"/>
    <w:rsid w:val="00102D83"/>
    <w:rsid w:val="001047B4"/>
    <w:rsid w:val="001060FD"/>
    <w:rsid w:val="00110FFC"/>
    <w:rsid w:val="001142E4"/>
    <w:rsid w:val="001171D7"/>
    <w:rsid w:val="00117659"/>
    <w:rsid w:val="00120B53"/>
    <w:rsid w:val="00122898"/>
    <w:rsid w:val="00122901"/>
    <w:rsid w:val="001257EC"/>
    <w:rsid w:val="00125A36"/>
    <w:rsid w:val="00126F4B"/>
    <w:rsid w:val="00127481"/>
    <w:rsid w:val="001324CB"/>
    <w:rsid w:val="00132FB8"/>
    <w:rsid w:val="001348A7"/>
    <w:rsid w:val="00135CE5"/>
    <w:rsid w:val="0013676A"/>
    <w:rsid w:val="00137FB5"/>
    <w:rsid w:val="00140BF7"/>
    <w:rsid w:val="0014167E"/>
    <w:rsid w:val="001454CB"/>
    <w:rsid w:val="00146A00"/>
    <w:rsid w:val="0014768A"/>
    <w:rsid w:val="00147C11"/>
    <w:rsid w:val="00150417"/>
    <w:rsid w:val="00152538"/>
    <w:rsid w:val="001564D5"/>
    <w:rsid w:val="00156CB7"/>
    <w:rsid w:val="00157A71"/>
    <w:rsid w:val="001619B1"/>
    <w:rsid w:val="00162D48"/>
    <w:rsid w:val="001647C9"/>
    <w:rsid w:val="00166531"/>
    <w:rsid w:val="00167DBF"/>
    <w:rsid w:val="00171402"/>
    <w:rsid w:val="00174841"/>
    <w:rsid w:val="00174DE1"/>
    <w:rsid w:val="00181320"/>
    <w:rsid w:val="0018259C"/>
    <w:rsid w:val="00183E85"/>
    <w:rsid w:val="0019620F"/>
    <w:rsid w:val="001A1482"/>
    <w:rsid w:val="001A2A4D"/>
    <w:rsid w:val="001A2B2A"/>
    <w:rsid w:val="001B19F8"/>
    <w:rsid w:val="001B2D11"/>
    <w:rsid w:val="001B317B"/>
    <w:rsid w:val="001B34A9"/>
    <w:rsid w:val="001B76DF"/>
    <w:rsid w:val="001C1137"/>
    <w:rsid w:val="001D2289"/>
    <w:rsid w:val="001D27CF"/>
    <w:rsid w:val="001D2B4F"/>
    <w:rsid w:val="001D2D3F"/>
    <w:rsid w:val="001D46DF"/>
    <w:rsid w:val="001D49A5"/>
    <w:rsid w:val="001D4C47"/>
    <w:rsid w:val="001D5CD2"/>
    <w:rsid w:val="001D6E8A"/>
    <w:rsid w:val="001D778E"/>
    <w:rsid w:val="001E04E2"/>
    <w:rsid w:val="001E085A"/>
    <w:rsid w:val="001E0FA2"/>
    <w:rsid w:val="001E1D8F"/>
    <w:rsid w:val="001E2295"/>
    <w:rsid w:val="001E28B5"/>
    <w:rsid w:val="001E47AC"/>
    <w:rsid w:val="001E6CF3"/>
    <w:rsid w:val="001F0544"/>
    <w:rsid w:val="001F066B"/>
    <w:rsid w:val="001F118C"/>
    <w:rsid w:val="001F1342"/>
    <w:rsid w:val="001F1FAC"/>
    <w:rsid w:val="001F23FB"/>
    <w:rsid w:val="001F36F3"/>
    <w:rsid w:val="001F3F4F"/>
    <w:rsid w:val="001F536D"/>
    <w:rsid w:val="00204158"/>
    <w:rsid w:val="002065C0"/>
    <w:rsid w:val="00206E01"/>
    <w:rsid w:val="00207E09"/>
    <w:rsid w:val="002137B5"/>
    <w:rsid w:val="00213E04"/>
    <w:rsid w:val="002150F1"/>
    <w:rsid w:val="002168F0"/>
    <w:rsid w:val="00224F44"/>
    <w:rsid w:val="0022579A"/>
    <w:rsid w:val="002336D9"/>
    <w:rsid w:val="002362B5"/>
    <w:rsid w:val="00247597"/>
    <w:rsid w:val="00253307"/>
    <w:rsid w:val="0025464C"/>
    <w:rsid w:val="0025660A"/>
    <w:rsid w:val="00256E88"/>
    <w:rsid w:val="00257E2D"/>
    <w:rsid w:val="002624A5"/>
    <w:rsid w:val="00267E00"/>
    <w:rsid w:val="0027271A"/>
    <w:rsid w:val="00273033"/>
    <w:rsid w:val="00274789"/>
    <w:rsid w:val="002769BD"/>
    <w:rsid w:val="00277ADA"/>
    <w:rsid w:val="00277AE4"/>
    <w:rsid w:val="002808FE"/>
    <w:rsid w:val="00280B31"/>
    <w:rsid w:val="002833A3"/>
    <w:rsid w:val="002846F1"/>
    <w:rsid w:val="002A0689"/>
    <w:rsid w:val="002A33A3"/>
    <w:rsid w:val="002A3877"/>
    <w:rsid w:val="002A5C90"/>
    <w:rsid w:val="002A5CC4"/>
    <w:rsid w:val="002A72C9"/>
    <w:rsid w:val="002B110A"/>
    <w:rsid w:val="002B1A6C"/>
    <w:rsid w:val="002B3BD1"/>
    <w:rsid w:val="002C010B"/>
    <w:rsid w:val="002C053E"/>
    <w:rsid w:val="002C1C2F"/>
    <w:rsid w:val="002C6BE6"/>
    <w:rsid w:val="002D052E"/>
    <w:rsid w:val="002D08CE"/>
    <w:rsid w:val="002D11A1"/>
    <w:rsid w:val="002D178D"/>
    <w:rsid w:val="002D2CE6"/>
    <w:rsid w:val="002D55B9"/>
    <w:rsid w:val="002D640C"/>
    <w:rsid w:val="002D713C"/>
    <w:rsid w:val="002E1258"/>
    <w:rsid w:val="002E2338"/>
    <w:rsid w:val="002E284E"/>
    <w:rsid w:val="002E4F3C"/>
    <w:rsid w:val="002F3CFA"/>
    <w:rsid w:val="002F4E9F"/>
    <w:rsid w:val="002F5C7F"/>
    <w:rsid w:val="002F639C"/>
    <w:rsid w:val="002F68C6"/>
    <w:rsid w:val="00302E42"/>
    <w:rsid w:val="0030337D"/>
    <w:rsid w:val="00306A2D"/>
    <w:rsid w:val="00312AF6"/>
    <w:rsid w:val="00313A4B"/>
    <w:rsid w:val="00317F4C"/>
    <w:rsid w:val="003210A7"/>
    <w:rsid w:val="003213CB"/>
    <w:rsid w:val="00323C37"/>
    <w:rsid w:val="00325EF9"/>
    <w:rsid w:val="003301E1"/>
    <w:rsid w:val="00333E8E"/>
    <w:rsid w:val="0033485E"/>
    <w:rsid w:val="00334B82"/>
    <w:rsid w:val="00334D9F"/>
    <w:rsid w:val="003365D4"/>
    <w:rsid w:val="003407AF"/>
    <w:rsid w:val="00340EC5"/>
    <w:rsid w:val="003421E5"/>
    <w:rsid w:val="00344617"/>
    <w:rsid w:val="00344B36"/>
    <w:rsid w:val="00345D56"/>
    <w:rsid w:val="00345D93"/>
    <w:rsid w:val="003461A3"/>
    <w:rsid w:val="00346E71"/>
    <w:rsid w:val="0035462E"/>
    <w:rsid w:val="00360290"/>
    <w:rsid w:val="00360690"/>
    <w:rsid w:val="003659B6"/>
    <w:rsid w:val="00366070"/>
    <w:rsid w:val="003667BF"/>
    <w:rsid w:val="003670E2"/>
    <w:rsid w:val="00375761"/>
    <w:rsid w:val="00377E05"/>
    <w:rsid w:val="003816C3"/>
    <w:rsid w:val="00383385"/>
    <w:rsid w:val="00384DD0"/>
    <w:rsid w:val="00392167"/>
    <w:rsid w:val="00393474"/>
    <w:rsid w:val="00396589"/>
    <w:rsid w:val="00396CD9"/>
    <w:rsid w:val="003A2782"/>
    <w:rsid w:val="003A52ED"/>
    <w:rsid w:val="003B0766"/>
    <w:rsid w:val="003B13B2"/>
    <w:rsid w:val="003B16F6"/>
    <w:rsid w:val="003B4F0B"/>
    <w:rsid w:val="003B686B"/>
    <w:rsid w:val="003C0A57"/>
    <w:rsid w:val="003D0F2D"/>
    <w:rsid w:val="003D1566"/>
    <w:rsid w:val="003D4086"/>
    <w:rsid w:val="003D44F8"/>
    <w:rsid w:val="003E08C0"/>
    <w:rsid w:val="003E40AC"/>
    <w:rsid w:val="003E508D"/>
    <w:rsid w:val="003E52FA"/>
    <w:rsid w:val="003E5370"/>
    <w:rsid w:val="003E5387"/>
    <w:rsid w:val="003E5F01"/>
    <w:rsid w:val="003E6A6E"/>
    <w:rsid w:val="003F09B1"/>
    <w:rsid w:val="003F0CB6"/>
    <w:rsid w:val="003F1573"/>
    <w:rsid w:val="003F3807"/>
    <w:rsid w:val="003F3C99"/>
    <w:rsid w:val="003F6838"/>
    <w:rsid w:val="003F706D"/>
    <w:rsid w:val="003F74E0"/>
    <w:rsid w:val="004020AC"/>
    <w:rsid w:val="0040261D"/>
    <w:rsid w:val="00402B02"/>
    <w:rsid w:val="00405D43"/>
    <w:rsid w:val="0040629A"/>
    <w:rsid w:val="00406EDE"/>
    <w:rsid w:val="004104B8"/>
    <w:rsid w:val="00411CAD"/>
    <w:rsid w:val="00413419"/>
    <w:rsid w:val="00416C9D"/>
    <w:rsid w:val="00420674"/>
    <w:rsid w:val="004212F3"/>
    <w:rsid w:val="004215A9"/>
    <w:rsid w:val="0042295D"/>
    <w:rsid w:val="00423554"/>
    <w:rsid w:val="004241FB"/>
    <w:rsid w:val="00425D04"/>
    <w:rsid w:val="00426FF9"/>
    <w:rsid w:val="00427458"/>
    <w:rsid w:val="004305F5"/>
    <w:rsid w:val="0043186F"/>
    <w:rsid w:val="004322F1"/>
    <w:rsid w:val="00433D4D"/>
    <w:rsid w:val="00437D42"/>
    <w:rsid w:val="00445E67"/>
    <w:rsid w:val="00446C13"/>
    <w:rsid w:val="004470DA"/>
    <w:rsid w:val="00450B62"/>
    <w:rsid w:val="0045286D"/>
    <w:rsid w:val="004553D0"/>
    <w:rsid w:val="00456783"/>
    <w:rsid w:val="004615E8"/>
    <w:rsid w:val="00461BC4"/>
    <w:rsid w:val="00463220"/>
    <w:rsid w:val="0046594D"/>
    <w:rsid w:val="00466987"/>
    <w:rsid w:val="00470669"/>
    <w:rsid w:val="004709C6"/>
    <w:rsid w:val="00470FE6"/>
    <w:rsid w:val="004734E9"/>
    <w:rsid w:val="00473EF9"/>
    <w:rsid w:val="0047453B"/>
    <w:rsid w:val="0047709A"/>
    <w:rsid w:val="004825A3"/>
    <w:rsid w:val="00484966"/>
    <w:rsid w:val="0048618D"/>
    <w:rsid w:val="004863EC"/>
    <w:rsid w:val="00495739"/>
    <w:rsid w:val="00495A83"/>
    <w:rsid w:val="00496674"/>
    <w:rsid w:val="004A0D15"/>
    <w:rsid w:val="004A615A"/>
    <w:rsid w:val="004B0678"/>
    <w:rsid w:val="004B0DF8"/>
    <w:rsid w:val="004B2CF3"/>
    <w:rsid w:val="004B44D8"/>
    <w:rsid w:val="004B4A0E"/>
    <w:rsid w:val="004B5F4F"/>
    <w:rsid w:val="004B7FC6"/>
    <w:rsid w:val="004C056E"/>
    <w:rsid w:val="004C08A9"/>
    <w:rsid w:val="004C275B"/>
    <w:rsid w:val="004C296D"/>
    <w:rsid w:val="004C42EB"/>
    <w:rsid w:val="004C757B"/>
    <w:rsid w:val="004C7E7E"/>
    <w:rsid w:val="004D1F00"/>
    <w:rsid w:val="004D2D87"/>
    <w:rsid w:val="004D37BB"/>
    <w:rsid w:val="004D4F2A"/>
    <w:rsid w:val="004D6337"/>
    <w:rsid w:val="004E0A05"/>
    <w:rsid w:val="004E2634"/>
    <w:rsid w:val="004E2C01"/>
    <w:rsid w:val="004E53F3"/>
    <w:rsid w:val="004F2DBE"/>
    <w:rsid w:val="004F373A"/>
    <w:rsid w:val="004F3AEB"/>
    <w:rsid w:val="004F45F1"/>
    <w:rsid w:val="004F48B5"/>
    <w:rsid w:val="004F4A2F"/>
    <w:rsid w:val="004F5152"/>
    <w:rsid w:val="004F6CF5"/>
    <w:rsid w:val="004F7416"/>
    <w:rsid w:val="00500513"/>
    <w:rsid w:val="00500B7A"/>
    <w:rsid w:val="005012C9"/>
    <w:rsid w:val="005019BC"/>
    <w:rsid w:val="005038CF"/>
    <w:rsid w:val="00513AF1"/>
    <w:rsid w:val="005158C1"/>
    <w:rsid w:val="00520801"/>
    <w:rsid w:val="00522C20"/>
    <w:rsid w:val="00523F2A"/>
    <w:rsid w:val="0053009E"/>
    <w:rsid w:val="005322BF"/>
    <w:rsid w:val="00533E44"/>
    <w:rsid w:val="0053587E"/>
    <w:rsid w:val="005425C6"/>
    <w:rsid w:val="005450E4"/>
    <w:rsid w:val="00546238"/>
    <w:rsid w:val="005530A0"/>
    <w:rsid w:val="00554529"/>
    <w:rsid w:val="005567B2"/>
    <w:rsid w:val="00561A43"/>
    <w:rsid w:val="00562885"/>
    <w:rsid w:val="0056437F"/>
    <w:rsid w:val="005647BA"/>
    <w:rsid w:val="00564D37"/>
    <w:rsid w:val="00565DA5"/>
    <w:rsid w:val="005671FB"/>
    <w:rsid w:val="00575F9D"/>
    <w:rsid w:val="0057608D"/>
    <w:rsid w:val="00576B93"/>
    <w:rsid w:val="0058085A"/>
    <w:rsid w:val="00580D2F"/>
    <w:rsid w:val="0058224F"/>
    <w:rsid w:val="005828C7"/>
    <w:rsid w:val="00594010"/>
    <w:rsid w:val="00594FFE"/>
    <w:rsid w:val="00597631"/>
    <w:rsid w:val="00597D4A"/>
    <w:rsid w:val="005A2C8D"/>
    <w:rsid w:val="005A35A1"/>
    <w:rsid w:val="005A4195"/>
    <w:rsid w:val="005A4D54"/>
    <w:rsid w:val="005A5483"/>
    <w:rsid w:val="005B12F0"/>
    <w:rsid w:val="005B4C6A"/>
    <w:rsid w:val="005B6526"/>
    <w:rsid w:val="005B7576"/>
    <w:rsid w:val="005C0019"/>
    <w:rsid w:val="005C081D"/>
    <w:rsid w:val="005C57FB"/>
    <w:rsid w:val="005C6ED6"/>
    <w:rsid w:val="005D0E3D"/>
    <w:rsid w:val="005E0554"/>
    <w:rsid w:val="005E151B"/>
    <w:rsid w:val="005E2E7E"/>
    <w:rsid w:val="005E4F99"/>
    <w:rsid w:val="005E6441"/>
    <w:rsid w:val="005E7DFD"/>
    <w:rsid w:val="005F1A4A"/>
    <w:rsid w:val="005F215C"/>
    <w:rsid w:val="005F3760"/>
    <w:rsid w:val="005F564F"/>
    <w:rsid w:val="005F5AE0"/>
    <w:rsid w:val="005F6E2C"/>
    <w:rsid w:val="00600A6A"/>
    <w:rsid w:val="00607476"/>
    <w:rsid w:val="0061020A"/>
    <w:rsid w:val="0061081E"/>
    <w:rsid w:val="00610D11"/>
    <w:rsid w:val="00612A0E"/>
    <w:rsid w:val="006130A5"/>
    <w:rsid w:val="00615193"/>
    <w:rsid w:val="00616D59"/>
    <w:rsid w:val="00617C48"/>
    <w:rsid w:val="00617C73"/>
    <w:rsid w:val="0063104D"/>
    <w:rsid w:val="0063244A"/>
    <w:rsid w:val="00632E34"/>
    <w:rsid w:val="006340D2"/>
    <w:rsid w:val="00634698"/>
    <w:rsid w:val="006347FD"/>
    <w:rsid w:val="00634C75"/>
    <w:rsid w:val="00634EDD"/>
    <w:rsid w:val="006354B9"/>
    <w:rsid w:val="00635704"/>
    <w:rsid w:val="0064242E"/>
    <w:rsid w:val="0064349A"/>
    <w:rsid w:val="006436F4"/>
    <w:rsid w:val="00644907"/>
    <w:rsid w:val="00650720"/>
    <w:rsid w:val="00652C50"/>
    <w:rsid w:val="00655F6B"/>
    <w:rsid w:val="0066098D"/>
    <w:rsid w:val="00660B81"/>
    <w:rsid w:val="006612E5"/>
    <w:rsid w:val="00662AC4"/>
    <w:rsid w:val="006651AA"/>
    <w:rsid w:val="006707A5"/>
    <w:rsid w:val="00671C36"/>
    <w:rsid w:val="00672BAC"/>
    <w:rsid w:val="00673818"/>
    <w:rsid w:val="00673C9D"/>
    <w:rsid w:val="006743B7"/>
    <w:rsid w:val="00675FC5"/>
    <w:rsid w:val="0068424D"/>
    <w:rsid w:val="00684A67"/>
    <w:rsid w:val="00684ABD"/>
    <w:rsid w:val="00684E8A"/>
    <w:rsid w:val="00687B26"/>
    <w:rsid w:val="00691BBB"/>
    <w:rsid w:val="006921DB"/>
    <w:rsid w:val="00692969"/>
    <w:rsid w:val="00694FA6"/>
    <w:rsid w:val="006976A9"/>
    <w:rsid w:val="006A5407"/>
    <w:rsid w:val="006A54EE"/>
    <w:rsid w:val="006A6606"/>
    <w:rsid w:val="006B16EC"/>
    <w:rsid w:val="006B2488"/>
    <w:rsid w:val="006B697C"/>
    <w:rsid w:val="006B7BDC"/>
    <w:rsid w:val="006C08F1"/>
    <w:rsid w:val="006C18B0"/>
    <w:rsid w:val="006C2D68"/>
    <w:rsid w:val="006C410F"/>
    <w:rsid w:val="006C5AF5"/>
    <w:rsid w:val="006C6A52"/>
    <w:rsid w:val="006C723F"/>
    <w:rsid w:val="006D0425"/>
    <w:rsid w:val="006D0579"/>
    <w:rsid w:val="006D2259"/>
    <w:rsid w:val="006D51C4"/>
    <w:rsid w:val="006E4D36"/>
    <w:rsid w:val="006F1454"/>
    <w:rsid w:val="006F1627"/>
    <w:rsid w:val="006F2F1B"/>
    <w:rsid w:val="006F34D5"/>
    <w:rsid w:val="006F6ED7"/>
    <w:rsid w:val="00702069"/>
    <w:rsid w:val="007031B5"/>
    <w:rsid w:val="007046AD"/>
    <w:rsid w:val="00706B2F"/>
    <w:rsid w:val="00710412"/>
    <w:rsid w:val="00712443"/>
    <w:rsid w:val="007126D1"/>
    <w:rsid w:val="00712E0B"/>
    <w:rsid w:val="00714DFB"/>
    <w:rsid w:val="00715EE7"/>
    <w:rsid w:val="007178FD"/>
    <w:rsid w:val="007179E4"/>
    <w:rsid w:val="007212E6"/>
    <w:rsid w:val="00721B02"/>
    <w:rsid w:val="00722BEF"/>
    <w:rsid w:val="007232A3"/>
    <w:rsid w:val="00723D70"/>
    <w:rsid w:val="007265BA"/>
    <w:rsid w:val="007267E6"/>
    <w:rsid w:val="00727355"/>
    <w:rsid w:val="00734F99"/>
    <w:rsid w:val="00736C2F"/>
    <w:rsid w:val="0074257E"/>
    <w:rsid w:val="007427D8"/>
    <w:rsid w:val="00742C86"/>
    <w:rsid w:val="00744E73"/>
    <w:rsid w:val="007470D8"/>
    <w:rsid w:val="00751265"/>
    <w:rsid w:val="0075149B"/>
    <w:rsid w:val="00753D40"/>
    <w:rsid w:val="007541FA"/>
    <w:rsid w:val="00755E7D"/>
    <w:rsid w:val="00764DBE"/>
    <w:rsid w:val="007659E9"/>
    <w:rsid w:val="00765C24"/>
    <w:rsid w:val="007661BD"/>
    <w:rsid w:val="00770732"/>
    <w:rsid w:val="00772048"/>
    <w:rsid w:val="007730C9"/>
    <w:rsid w:val="00773C57"/>
    <w:rsid w:val="00776235"/>
    <w:rsid w:val="007766EE"/>
    <w:rsid w:val="0078070E"/>
    <w:rsid w:val="00784898"/>
    <w:rsid w:val="00785FBB"/>
    <w:rsid w:val="007912E1"/>
    <w:rsid w:val="00791B33"/>
    <w:rsid w:val="00796623"/>
    <w:rsid w:val="007A387D"/>
    <w:rsid w:val="007A7F30"/>
    <w:rsid w:val="007B26BE"/>
    <w:rsid w:val="007B51EC"/>
    <w:rsid w:val="007B5216"/>
    <w:rsid w:val="007B62EA"/>
    <w:rsid w:val="007C0813"/>
    <w:rsid w:val="007C1077"/>
    <w:rsid w:val="007C2627"/>
    <w:rsid w:val="007C5A99"/>
    <w:rsid w:val="007C7506"/>
    <w:rsid w:val="007C7834"/>
    <w:rsid w:val="007D0DE2"/>
    <w:rsid w:val="007D3AE0"/>
    <w:rsid w:val="007D5ADC"/>
    <w:rsid w:val="007E0FBA"/>
    <w:rsid w:val="007E2AFC"/>
    <w:rsid w:val="007F1EF0"/>
    <w:rsid w:val="007F3EF9"/>
    <w:rsid w:val="007F61C4"/>
    <w:rsid w:val="007F75B5"/>
    <w:rsid w:val="008049BE"/>
    <w:rsid w:val="00804E78"/>
    <w:rsid w:val="00806A8F"/>
    <w:rsid w:val="00811839"/>
    <w:rsid w:val="00812B1D"/>
    <w:rsid w:val="00817097"/>
    <w:rsid w:val="00817746"/>
    <w:rsid w:val="008215B5"/>
    <w:rsid w:val="00822FD0"/>
    <w:rsid w:val="00825721"/>
    <w:rsid w:val="00827B48"/>
    <w:rsid w:val="0083214D"/>
    <w:rsid w:val="00832703"/>
    <w:rsid w:val="00834DC9"/>
    <w:rsid w:val="00835D85"/>
    <w:rsid w:val="00842027"/>
    <w:rsid w:val="00844835"/>
    <w:rsid w:val="00850E21"/>
    <w:rsid w:val="00852A96"/>
    <w:rsid w:val="00853868"/>
    <w:rsid w:val="00856299"/>
    <w:rsid w:val="00861C8E"/>
    <w:rsid w:val="0086204B"/>
    <w:rsid w:val="00865684"/>
    <w:rsid w:val="00870E31"/>
    <w:rsid w:val="00876077"/>
    <w:rsid w:val="0087702E"/>
    <w:rsid w:val="0088163A"/>
    <w:rsid w:val="00883D96"/>
    <w:rsid w:val="00894623"/>
    <w:rsid w:val="008970B1"/>
    <w:rsid w:val="00897183"/>
    <w:rsid w:val="00897BF1"/>
    <w:rsid w:val="008A0089"/>
    <w:rsid w:val="008A05FF"/>
    <w:rsid w:val="008A11F7"/>
    <w:rsid w:val="008A2895"/>
    <w:rsid w:val="008A3067"/>
    <w:rsid w:val="008A308E"/>
    <w:rsid w:val="008A576D"/>
    <w:rsid w:val="008A774E"/>
    <w:rsid w:val="008B172E"/>
    <w:rsid w:val="008B3532"/>
    <w:rsid w:val="008B3A15"/>
    <w:rsid w:val="008B3F93"/>
    <w:rsid w:val="008B7AD5"/>
    <w:rsid w:val="008C07F9"/>
    <w:rsid w:val="008C1BA8"/>
    <w:rsid w:val="008C1C00"/>
    <w:rsid w:val="008C23B7"/>
    <w:rsid w:val="008C3B16"/>
    <w:rsid w:val="008C584E"/>
    <w:rsid w:val="008C7676"/>
    <w:rsid w:val="008D46D2"/>
    <w:rsid w:val="008D531B"/>
    <w:rsid w:val="008D56DC"/>
    <w:rsid w:val="008D7C40"/>
    <w:rsid w:val="008E1C2A"/>
    <w:rsid w:val="008E2B6E"/>
    <w:rsid w:val="008E4FCE"/>
    <w:rsid w:val="008E5888"/>
    <w:rsid w:val="008F1159"/>
    <w:rsid w:val="008F2612"/>
    <w:rsid w:val="008F51F1"/>
    <w:rsid w:val="0090331A"/>
    <w:rsid w:val="00904782"/>
    <w:rsid w:val="00905020"/>
    <w:rsid w:val="00907AF4"/>
    <w:rsid w:val="009116FF"/>
    <w:rsid w:val="00914A7B"/>
    <w:rsid w:val="0091673A"/>
    <w:rsid w:val="00917F9F"/>
    <w:rsid w:val="009243B1"/>
    <w:rsid w:val="009267BF"/>
    <w:rsid w:val="00931A76"/>
    <w:rsid w:val="00932A7A"/>
    <w:rsid w:val="00933D8D"/>
    <w:rsid w:val="00934056"/>
    <w:rsid w:val="00937576"/>
    <w:rsid w:val="00942675"/>
    <w:rsid w:val="009431D8"/>
    <w:rsid w:val="00947FAA"/>
    <w:rsid w:val="00950865"/>
    <w:rsid w:val="00952025"/>
    <w:rsid w:val="00957246"/>
    <w:rsid w:val="00957963"/>
    <w:rsid w:val="00960102"/>
    <w:rsid w:val="00960A4A"/>
    <w:rsid w:val="00963F24"/>
    <w:rsid w:val="00965492"/>
    <w:rsid w:val="00967679"/>
    <w:rsid w:val="00973971"/>
    <w:rsid w:val="00973A35"/>
    <w:rsid w:val="00973EEC"/>
    <w:rsid w:val="009773E6"/>
    <w:rsid w:val="009830BF"/>
    <w:rsid w:val="00987316"/>
    <w:rsid w:val="009915F9"/>
    <w:rsid w:val="00991720"/>
    <w:rsid w:val="00992690"/>
    <w:rsid w:val="00997D23"/>
    <w:rsid w:val="00997F0C"/>
    <w:rsid w:val="009A0DDC"/>
    <w:rsid w:val="009A12E6"/>
    <w:rsid w:val="009A451A"/>
    <w:rsid w:val="009A60FC"/>
    <w:rsid w:val="009A69B5"/>
    <w:rsid w:val="009A7C81"/>
    <w:rsid w:val="009A7E0B"/>
    <w:rsid w:val="009A7FD4"/>
    <w:rsid w:val="009B0041"/>
    <w:rsid w:val="009B16BA"/>
    <w:rsid w:val="009B2270"/>
    <w:rsid w:val="009B23E3"/>
    <w:rsid w:val="009B2629"/>
    <w:rsid w:val="009B2FF9"/>
    <w:rsid w:val="009C084C"/>
    <w:rsid w:val="009C4A5D"/>
    <w:rsid w:val="009C62D9"/>
    <w:rsid w:val="009D016F"/>
    <w:rsid w:val="009D0170"/>
    <w:rsid w:val="009D02A2"/>
    <w:rsid w:val="009D07EA"/>
    <w:rsid w:val="009D0D71"/>
    <w:rsid w:val="009D45A2"/>
    <w:rsid w:val="009D540F"/>
    <w:rsid w:val="009D5740"/>
    <w:rsid w:val="009D601B"/>
    <w:rsid w:val="009D7B84"/>
    <w:rsid w:val="009E2062"/>
    <w:rsid w:val="009E45A9"/>
    <w:rsid w:val="009E481B"/>
    <w:rsid w:val="009E6F8B"/>
    <w:rsid w:val="009E7886"/>
    <w:rsid w:val="009F157D"/>
    <w:rsid w:val="009F6695"/>
    <w:rsid w:val="009F7D9B"/>
    <w:rsid w:val="00A00C6B"/>
    <w:rsid w:val="00A011CA"/>
    <w:rsid w:val="00A01D90"/>
    <w:rsid w:val="00A04A5B"/>
    <w:rsid w:val="00A11FE4"/>
    <w:rsid w:val="00A138C3"/>
    <w:rsid w:val="00A14675"/>
    <w:rsid w:val="00A23E37"/>
    <w:rsid w:val="00A24793"/>
    <w:rsid w:val="00A27171"/>
    <w:rsid w:val="00A3100B"/>
    <w:rsid w:val="00A3308D"/>
    <w:rsid w:val="00A3638A"/>
    <w:rsid w:val="00A36C45"/>
    <w:rsid w:val="00A419EF"/>
    <w:rsid w:val="00A469F0"/>
    <w:rsid w:val="00A51383"/>
    <w:rsid w:val="00A51B56"/>
    <w:rsid w:val="00A52AF5"/>
    <w:rsid w:val="00A537D4"/>
    <w:rsid w:val="00A56F31"/>
    <w:rsid w:val="00A57E5C"/>
    <w:rsid w:val="00A60A6C"/>
    <w:rsid w:val="00A6134D"/>
    <w:rsid w:val="00A619CE"/>
    <w:rsid w:val="00A65F37"/>
    <w:rsid w:val="00A70FFC"/>
    <w:rsid w:val="00A751DF"/>
    <w:rsid w:val="00A77848"/>
    <w:rsid w:val="00A8241F"/>
    <w:rsid w:val="00A8333A"/>
    <w:rsid w:val="00A83A9A"/>
    <w:rsid w:val="00AA25F7"/>
    <w:rsid w:val="00AA2CB1"/>
    <w:rsid w:val="00AA48C6"/>
    <w:rsid w:val="00AA56FE"/>
    <w:rsid w:val="00AA664B"/>
    <w:rsid w:val="00AB37E0"/>
    <w:rsid w:val="00AB4B3D"/>
    <w:rsid w:val="00AB6522"/>
    <w:rsid w:val="00AB6AFD"/>
    <w:rsid w:val="00AC0F99"/>
    <w:rsid w:val="00AC112B"/>
    <w:rsid w:val="00AC310C"/>
    <w:rsid w:val="00AC61EB"/>
    <w:rsid w:val="00AD3F35"/>
    <w:rsid w:val="00AD478E"/>
    <w:rsid w:val="00AD773E"/>
    <w:rsid w:val="00AE126F"/>
    <w:rsid w:val="00AE1B50"/>
    <w:rsid w:val="00AE5B55"/>
    <w:rsid w:val="00AE67F5"/>
    <w:rsid w:val="00AF0D89"/>
    <w:rsid w:val="00AF168A"/>
    <w:rsid w:val="00AF3023"/>
    <w:rsid w:val="00AF32BB"/>
    <w:rsid w:val="00B01A25"/>
    <w:rsid w:val="00B05799"/>
    <w:rsid w:val="00B0699A"/>
    <w:rsid w:val="00B06D9E"/>
    <w:rsid w:val="00B07550"/>
    <w:rsid w:val="00B136C9"/>
    <w:rsid w:val="00B1600F"/>
    <w:rsid w:val="00B176F2"/>
    <w:rsid w:val="00B17D83"/>
    <w:rsid w:val="00B23DE1"/>
    <w:rsid w:val="00B24713"/>
    <w:rsid w:val="00B2555B"/>
    <w:rsid w:val="00B31271"/>
    <w:rsid w:val="00B33BD5"/>
    <w:rsid w:val="00B34C29"/>
    <w:rsid w:val="00B34F9E"/>
    <w:rsid w:val="00B35693"/>
    <w:rsid w:val="00B36821"/>
    <w:rsid w:val="00B41FBB"/>
    <w:rsid w:val="00B46FD3"/>
    <w:rsid w:val="00B4729B"/>
    <w:rsid w:val="00B50215"/>
    <w:rsid w:val="00B50473"/>
    <w:rsid w:val="00B52B51"/>
    <w:rsid w:val="00B53CD5"/>
    <w:rsid w:val="00B55FC9"/>
    <w:rsid w:val="00B56735"/>
    <w:rsid w:val="00B57D3C"/>
    <w:rsid w:val="00B57DB1"/>
    <w:rsid w:val="00B61CA0"/>
    <w:rsid w:val="00B65444"/>
    <w:rsid w:val="00B679F8"/>
    <w:rsid w:val="00B7105B"/>
    <w:rsid w:val="00B75C17"/>
    <w:rsid w:val="00B76F63"/>
    <w:rsid w:val="00B77C0D"/>
    <w:rsid w:val="00B809B2"/>
    <w:rsid w:val="00B83665"/>
    <w:rsid w:val="00B8490C"/>
    <w:rsid w:val="00B86410"/>
    <w:rsid w:val="00B91C43"/>
    <w:rsid w:val="00B92CED"/>
    <w:rsid w:val="00BA1EF6"/>
    <w:rsid w:val="00BA25F6"/>
    <w:rsid w:val="00BA2810"/>
    <w:rsid w:val="00BA521B"/>
    <w:rsid w:val="00BA5302"/>
    <w:rsid w:val="00BA7B29"/>
    <w:rsid w:val="00BB2922"/>
    <w:rsid w:val="00BB304E"/>
    <w:rsid w:val="00BB314E"/>
    <w:rsid w:val="00BB353E"/>
    <w:rsid w:val="00BB4546"/>
    <w:rsid w:val="00BB5BAD"/>
    <w:rsid w:val="00BC0C8D"/>
    <w:rsid w:val="00BC1506"/>
    <w:rsid w:val="00BC244C"/>
    <w:rsid w:val="00BC25CF"/>
    <w:rsid w:val="00BC55FF"/>
    <w:rsid w:val="00BC7AD5"/>
    <w:rsid w:val="00BD05AC"/>
    <w:rsid w:val="00BD0EEE"/>
    <w:rsid w:val="00BD2BDB"/>
    <w:rsid w:val="00BD2D51"/>
    <w:rsid w:val="00BD2F14"/>
    <w:rsid w:val="00BD4E73"/>
    <w:rsid w:val="00BD5536"/>
    <w:rsid w:val="00BD5CC6"/>
    <w:rsid w:val="00BD727D"/>
    <w:rsid w:val="00BE2D94"/>
    <w:rsid w:val="00BF11D0"/>
    <w:rsid w:val="00BF1E5D"/>
    <w:rsid w:val="00BF2C5B"/>
    <w:rsid w:val="00BF42A6"/>
    <w:rsid w:val="00BF48D3"/>
    <w:rsid w:val="00BF5564"/>
    <w:rsid w:val="00BF7B8B"/>
    <w:rsid w:val="00C00B22"/>
    <w:rsid w:val="00C01922"/>
    <w:rsid w:val="00C05BD4"/>
    <w:rsid w:val="00C05C16"/>
    <w:rsid w:val="00C108F4"/>
    <w:rsid w:val="00C114C5"/>
    <w:rsid w:val="00C1386C"/>
    <w:rsid w:val="00C14CF8"/>
    <w:rsid w:val="00C150B6"/>
    <w:rsid w:val="00C15CF1"/>
    <w:rsid w:val="00C15D66"/>
    <w:rsid w:val="00C161EF"/>
    <w:rsid w:val="00C22145"/>
    <w:rsid w:val="00C23172"/>
    <w:rsid w:val="00C25C9E"/>
    <w:rsid w:val="00C2741B"/>
    <w:rsid w:val="00C30F7C"/>
    <w:rsid w:val="00C33B31"/>
    <w:rsid w:val="00C35ABB"/>
    <w:rsid w:val="00C36515"/>
    <w:rsid w:val="00C3675E"/>
    <w:rsid w:val="00C3737F"/>
    <w:rsid w:val="00C42D0A"/>
    <w:rsid w:val="00C44C38"/>
    <w:rsid w:val="00C4537B"/>
    <w:rsid w:val="00C4751E"/>
    <w:rsid w:val="00C50365"/>
    <w:rsid w:val="00C52380"/>
    <w:rsid w:val="00C61C8C"/>
    <w:rsid w:val="00C62C80"/>
    <w:rsid w:val="00C63AD3"/>
    <w:rsid w:val="00C76842"/>
    <w:rsid w:val="00C809C5"/>
    <w:rsid w:val="00C80A3D"/>
    <w:rsid w:val="00C878B3"/>
    <w:rsid w:val="00C878DF"/>
    <w:rsid w:val="00C87EED"/>
    <w:rsid w:val="00C93F8A"/>
    <w:rsid w:val="00C94C2C"/>
    <w:rsid w:val="00C95BCE"/>
    <w:rsid w:val="00C96410"/>
    <w:rsid w:val="00C970E8"/>
    <w:rsid w:val="00C971ED"/>
    <w:rsid w:val="00C97847"/>
    <w:rsid w:val="00CA73FB"/>
    <w:rsid w:val="00CB0156"/>
    <w:rsid w:val="00CB255F"/>
    <w:rsid w:val="00CB41DE"/>
    <w:rsid w:val="00CB53EE"/>
    <w:rsid w:val="00CB5C6A"/>
    <w:rsid w:val="00CC0C24"/>
    <w:rsid w:val="00CC2B8D"/>
    <w:rsid w:val="00CC2F15"/>
    <w:rsid w:val="00CC2F8C"/>
    <w:rsid w:val="00CC6977"/>
    <w:rsid w:val="00CC7F60"/>
    <w:rsid w:val="00CD147A"/>
    <w:rsid w:val="00CD1620"/>
    <w:rsid w:val="00CD30F9"/>
    <w:rsid w:val="00CD564C"/>
    <w:rsid w:val="00CE1175"/>
    <w:rsid w:val="00CE4124"/>
    <w:rsid w:val="00CE4241"/>
    <w:rsid w:val="00CE48B5"/>
    <w:rsid w:val="00CE4C03"/>
    <w:rsid w:val="00CE74F9"/>
    <w:rsid w:val="00CF1D01"/>
    <w:rsid w:val="00CF2C09"/>
    <w:rsid w:val="00CF52C3"/>
    <w:rsid w:val="00CF62B7"/>
    <w:rsid w:val="00CF6F73"/>
    <w:rsid w:val="00D00FE3"/>
    <w:rsid w:val="00D01114"/>
    <w:rsid w:val="00D0193C"/>
    <w:rsid w:val="00D01F10"/>
    <w:rsid w:val="00D02011"/>
    <w:rsid w:val="00D026BC"/>
    <w:rsid w:val="00D02D8D"/>
    <w:rsid w:val="00D03206"/>
    <w:rsid w:val="00D0346F"/>
    <w:rsid w:val="00D052DC"/>
    <w:rsid w:val="00D0582E"/>
    <w:rsid w:val="00D0679E"/>
    <w:rsid w:val="00D10A6A"/>
    <w:rsid w:val="00D10DAC"/>
    <w:rsid w:val="00D116AA"/>
    <w:rsid w:val="00D12A1C"/>
    <w:rsid w:val="00D131BD"/>
    <w:rsid w:val="00D1398A"/>
    <w:rsid w:val="00D14A14"/>
    <w:rsid w:val="00D1532D"/>
    <w:rsid w:val="00D205D0"/>
    <w:rsid w:val="00D2144C"/>
    <w:rsid w:val="00D2323F"/>
    <w:rsid w:val="00D23313"/>
    <w:rsid w:val="00D241D1"/>
    <w:rsid w:val="00D26E86"/>
    <w:rsid w:val="00D273B7"/>
    <w:rsid w:val="00D27469"/>
    <w:rsid w:val="00D310D8"/>
    <w:rsid w:val="00D312FA"/>
    <w:rsid w:val="00D325A6"/>
    <w:rsid w:val="00D34F7D"/>
    <w:rsid w:val="00D359C9"/>
    <w:rsid w:val="00D40875"/>
    <w:rsid w:val="00D4099A"/>
    <w:rsid w:val="00D40EB6"/>
    <w:rsid w:val="00D42794"/>
    <w:rsid w:val="00D45C93"/>
    <w:rsid w:val="00D472CD"/>
    <w:rsid w:val="00D47DDB"/>
    <w:rsid w:val="00D54C09"/>
    <w:rsid w:val="00D5566B"/>
    <w:rsid w:val="00D565C4"/>
    <w:rsid w:val="00D569C9"/>
    <w:rsid w:val="00D5783A"/>
    <w:rsid w:val="00D578F5"/>
    <w:rsid w:val="00D6115B"/>
    <w:rsid w:val="00D62DDE"/>
    <w:rsid w:val="00D62EAC"/>
    <w:rsid w:val="00D639DA"/>
    <w:rsid w:val="00D66749"/>
    <w:rsid w:val="00D71B4D"/>
    <w:rsid w:val="00D728CD"/>
    <w:rsid w:val="00D72ADB"/>
    <w:rsid w:val="00D73169"/>
    <w:rsid w:val="00D752D7"/>
    <w:rsid w:val="00D753D2"/>
    <w:rsid w:val="00D80206"/>
    <w:rsid w:val="00D8413E"/>
    <w:rsid w:val="00D85A37"/>
    <w:rsid w:val="00D87DD1"/>
    <w:rsid w:val="00D90A0A"/>
    <w:rsid w:val="00D942C8"/>
    <w:rsid w:val="00D95043"/>
    <w:rsid w:val="00D95646"/>
    <w:rsid w:val="00D96A69"/>
    <w:rsid w:val="00D96D83"/>
    <w:rsid w:val="00DA0317"/>
    <w:rsid w:val="00DA13A2"/>
    <w:rsid w:val="00DA1744"/>
    <w:rsid w:val="00DA2775"/>
    <w:rsid w:val="00DA31C1"/>
    <w:rsid w:val="00DA58D6"/>
    <w:rsid w:val="00DA5F2A"/>
    <w:rsid w:val="00DA6604"/>
    <w:rsid w:val="00DB073B"/>
    <w:rsid w:val="00DB1B4A"/>
    <w:rsid w:val="00DB1BF5"/>
    <w:rsid w:val="00DB22EF"/>
    <w:rsid w:val="00DB4B7D"/>
    <w:rsid w:val="00DB57E1"/>
    <w:rsid w:val="00DC429A"/>
    <w:rsid w:val="00DC5943"/>
    <w:rsid w:val="00DC775F"/>
    <w:rsid w:val="00DD1962"/>
    <w:rsid w:val="00DD4C83"/>
    <w:rsid w:val="00DD6E03"/>
    <w:rsid w:val="00DE4E41"/>
    <w:rsid w:val="00DE587F"/>
    <w:rsid w:val="00DF1047"/>
    <w:rsid w:val="00DF20D4"/>
    <w:rsid w:val="00DF2E17"/>
    <w:rsid w:val="00DF2EE7"/>
    <w:rsid w:val="00DF2F10"/>
    <w:rsid w:val="00DF3273"/>
    <w:rsid w:val="00DF560A"/>
    <w:rsid w:val="00DF5880"/>
    <w:rsid w:val="00DF5E99"/>
    <w:rsid w:val="00DF5EBE"/>
    <w:rsid w:val="00DF7616"/>
    <w:rsid w:val="00E0175D"/>
    <w:rsid w:val="00E0188A"/>
    <w:rsid w:val="00E02549"/>
    <w:rsid w:val="00E03182"/>
    <w:rsid w:val="00E03CFA"/>
    <w:rsid w:val="00E04E2C"/>
    <w:rsid w:val="00E052DC"/>
    <w:rsid w:val="00E0604E"/>
    <w:rsid w:val="00E13334"/>
    <w:rsid w:val="00E14762"/>
    <w:rsid w:val="00E15E5F"/>
    <w:rsid w:val="00E20483"/>
    <w:rsid w:val="00E22657"/>
    <w:rsid w:val="00E24C5F"/>
    <w:rsid w:val="00E26269"/>
    <w:rsid w:val="00E265E7"/>
    <w:rsid w:val="00E3162B"/>
    <w:rsid w:val="00E31894"/>
    <w:rsid w:val="00E33300"/>
    <w:rsid w:val="00E33616"/>
    <w:rsid w:val="00E33F15"/>
    <w:rsid w:val="00E36E7A"/>
    <w:rsid w:val="00E41193"/>
    <w:rsid w:val="00E43D23"/>
    <w:rsid w:val="00E44259"/>
    <w:rsid w:val="00E4498F"/>
    <w:rsid w:val="00E46032"/>
    <w:rsid w:val="00E47892"/>
    <w:rsid w:val="00E47A2B"/>
    <w:rsid w:val="00E5299E"/>
    <w:rsid w:val="00E5757C"/>
    <w:rsid w:val="00E63735"/>
    <w:rsid w:val="00E6558C"/>
    <w:rsid w:val="00E70DC3"/>
    <w:rsid w:val="00E71B26"/>
    <w:rsid w:val="00E76E84"/>
    <w:rsid w:val="00E813D5"/>
    <w:rsid w:val="00E83CB5"/>
    <w:rsid w:val="00E83F6E"/>
    <w:rsid w:val="00E85CD2"/>
    <w:rsid w:val="00E85EBA"/>
    <w:rsid w:val="00E91259"/>
    <w:rsid w:val="00E937D3"/>
    <w:rsid w:val="00E93CF2"/>
    <w:rsid w:val="00EA00A6"/>
    <w:rsid w:val="00EA00CA"/>
    <w:rsid w:val="00EA0EAF"/>
    <w:rsid w:val="00EA2FF0"/>
    <w:rsid w:val="00EA39A5"/>
    <w:rsid w:val="00EA4FB4"/>
    <w:rsid w:val="00EA50CC"/>
    <w:rsid w:val="00EB2D34"/>
    <w:rsid w:val="00EB2D96"/>
    <w:rsid w:val="00EB33A3"/>
    <w:rsid w:val="00EB5593"/>
    <w:rsid w:val="00EB5B17"/>
    <w:rsid w:val="00EC17D2"/>
    <w:rsid w:val="00EC29EB"/>
    <w:rsid w:val="00EC40C7"/>
    <w:rsid w:val="00EC5EEE"/>
    <w:rsid w:val="00EC63FE"/>
    <w:rsid w:val="00EC641D"/>
    <w:rsid w:val="00EC6E98"/>
    <w:rsid w:val="00ED06F3"/>
    <w:rsid w:val="00ED3594"/>
    <w:rsid w:val="00ED4618"/>
    <w:rsid w:val="00ED5402"/>
    <w:rsid w:val="00EE0B44"/>
    <w:rsid w:val="00EE53E4"/>
    <w:rsid w:val="00EE5DAF"/>
    <w:rsid w:val="00EE636A"/>
    <w:rsid w:val="00EE6B65"/>
    <w:rsid w:val="00EE7330"/>
    <w:rsid w:val="00EE7BA0"/>
    <w:rsid w:val="00EF3422"/>
    <w:rsid w:val="00EF4525"/>
    <w:rsid w:val="00EF50FE"/>
    <w:rsid w:val="00EF5765"/>
    <w:rsid w:val="00EF5DBA"/>
    <w:rsid w:val="00EF6981"/>
    <w:rsid w:val="00EF77F6"/>
    <w:rsid w:val="00F02994"/>
    <w:rsid w:val="00F104D8"/>
    <w:rsid w:val="00F107DE"/>
    <w:rsid w:val="00F20CA8"/>
    <w:rsid w:val="00F2138A"/>
    <w:rsid w:val="00F23449"/>
    <w:rsid w:val="00F25BD6"/>
    <w:rsid w:val="00F31807"/>
    <w:rsid w:val="00F32B18"/>
    <w:rsid w:val="00F33385"/>
    <w:rsid w:val="00F363D6"/>
    <w:rsid w:val="00F3661E"/>
    <w:rsid w:val="00F36EEF"/>
    <w:rsid w:val="00F410DE"/>
    <w:rsid w:val="00F442DC"/>
    <w:rsid w:val="00F46203"/>
    <w:rsid w:val="00F5079B"/>
    <w:rsid w:val="00F5544A"/>
    <w:rsid w:val="00F56239"/>
    <w:rsid w:val="00F6125C"/>
    <w:rsid w:val="00F62951"/>
    <w:rsid w:val="00F63A13"/>
    <w:rsid w:val="00F64EF0"/>
    <w:rsid w:val="00F65054"/>
    <w:rsid w:val="00F67455"/>
    <w:rsid w:val="00F67C59"/>
    <w:rsid w:val="00F70620"/>
    <w:rsid w:val="00F7154B"/>
    <w:rsid w:val="00F74389"/>
    <w:rsid w:val="00F7604A"/>
    <w:rsid w:val="00F768D1"/>
    <w:rsid w:val="00F80129"/>
    <w:rsid w:val="00F8079C"/>
    <w:rsid w:val="00F81750"/>
    <w:rsid w:val="00F82998"/>
    <w:rsid w:val="00F83375"/>
    <w:rsid w:val="00F83D55"/>
    <w:rsid w:val="00F86F28"/>
    <w:rsid w:val="00F87166"/>
    <w:rsid w:val="00F9118A"/>
    <w:rsid w:val="00F930FD"/>
    <w:rsid w:val="00F9748C"/>
    <w:rsid w:val="00F974BF"/>
    <w:rsid w:val="00FA0B21"/>
    <w:rsid w:val="00FA330B"/>
    <w:rsid w:val="00FA3A6F"/>
    <w:rsid w:val="00FA3B4A"/>
    <w:rsid w:val="00FA5791"/>
    <w:rsid w:val="00FA6CA2"/>
    <w:rsid w:val="00FB2367"/>
    <w:rsid w:val="00FB26DF"/>
    <w:rsid w:val="00FB482B"/>
    <w:rsid w:val="00FB4DA1"/>
    <w:rsid w:val="00FB7CF2"/>
    <w:rsid w:val="00FC05E9"/>
    <w:rsid w:val="00FC3F43"/>
    <w:rsid w:val="00FC4EA7"/>
    <w:rsid w:val="00FD1C9C"/>
    <w:rsid w:val="00FD2288"/>
    <w:rsid w:val="00FE03AB"/>
    <w:rsid w:val="00FE2BA6"/>
    <w:rsid w:val="00FE3D8C"/>
    <w:rsid w:val="00FE579A"/>
    <w:rsid w:val="00FE73CF"/>
    <w:rsid w:val="00FE7890"/>
    <w:rsid w:val="00FF050A"/>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129F7D"/>
  <w15:chartTrackingRefBased/>
  <w15:docId w15:val="{67229B3C-E15F-42BE-B40B-88333EA1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6745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67455"/>
    <w:pPr>
      <w:spacing w:after="0" w:line="240" w:lineRule="auto"/>
    </w:pPr>
  </w:style>
  <w:style w:type="paragraph" w:styleId="Galvene">
    <w:name w:val="header"/>
    <w:basedOn w:val="Parasts"/>
    <w:link w:val="GalveneRakstz"/>
    <w:uiPriority w:val="99"/>
    <w:unhideWhenUsed/>
    <w:rsid w:val="00F67455"/>
    <w:pPr>
      <w:tabs>
        <w:tab w:val="center" w:pos="4513"/>
        <w:tab w:val="right" w:pos="9026"/>
      </w:tabs>
    </w:pPr>
  </w:style>
  <w:style w:type="character" w:customStyle="1" w:styleId="GalveneRakstz">
    <w:name w:val="Galvene Rakstz."/>
    <w:basedOn w:val="Noklusjumarindkopasfonts"/>
    <w:link w:val="Galvene"/>
    <w:uiPriority w:val="99"/>
    <w:rsid w:val="00F67455"/>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F67455"/>
    <w:pPr>
      <w:tabs>
        <w:tab w:val="center" w:pos="4513"/>
        <w:tab w:val="right" w:pos="9026"/>
      </w:tabs>
    </w:pPr>
  </w:style>
  <w:style w:type="character" w:customStyle="1" w:styleId="KjeneRakstz">
    <w:name w:val="Kājene Rakstz."/>
    <w:basedOn w:val="Noklusjumarindkopasfonts"/>
    <w:link w:val="Kjene"/>
    <w:rsid w:val="00F67455"/>
    <w:rPr>
      <w:rFonts w:ascii="Times New Roman" w:eastAsia="Times New Roman" w:hAnsi="Times New Roman" w:cs="Times New Roman"/>
      <w:sz w:val="24"/>
      <w:szCs w:val="24"/>
      <w:lang w:eastAsia="lv-LV"/>
    </w:rPr>
  </w:style>
  <w:style w:type="table" w:styleId="Reatabula">
    <w:name w:val="Table Grid"/>
    <w:basedOn w:val="Parastatabula"/>
    <w:uiPriority w:val="59"/>
    <w:rsid w:val="00F6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F67455"/>
    <w:rPr>
      <w:b/>
      <w:bCs/>
    </w:rPr>
  </w:style>
  <w:style w:type="paragraph" w:styleId="Balonteksts">
    <w:name w:val="Balloon Text"/>
    <w:basedOn w:val="Parasts"/>
    <w:link w:val="BalontekstsRakstz"/>
    <w:uiPriority w:val="99"/>
    <w:semiHidden/>
    <w:unhideWhenUsed/>
    <w:rsid w:val="00BE2D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D94"/>
    <w:rPr>
      <w:rFonts w:ascii="Segoe UI" w:eastAsia="Times New Roman" w:hAnsi="Segoe UI" w:cs="Segoe UI"/>
      <w:sz w:val="18"/>
      <w:szCs w:val="18"/>
      <w:lang w:eastAsia="lv-LV"/>
    </w:rPr>
  </w:style>
  <w:style w:type="character" w:styleId="Hipersaite">
    <w:name w:val="Hyperlink"/>
    <w:basedOn w:val="Noklusjumarindkopasfonts"/>
    <w:uiPriority w:val="99"/>
    <w:unhideWhenUsed/>
    <w:rsid w:val="001F066B"/>
    <w:rPr>
      <w:color w:val="0563C1" w:themeColor="hyperlink"/>
      <w:u w:val="single"/>
    </w:rPr>
  </w:style>
  <w:style w:type="paragraph" w:styleId="Sarakstarindkopa">
    <w:name w:val="List Paragraph"/>
    <w:basedOn w:val="Parasts"/>
    <w:uiPriority w:val="34"/>
    <w:qFormat/>
    <w:rsid w:val="009E481B"/>
    <w:pPr>
      <w:ind w:left="720"/>
      <w:contextualSpacing/>
    </w:pPr>
  </w:style>
  <w:style w:type="character" w:customStyle="1" w:styleId="UnresolvedMention1">
    <w:name w:val="Unresolved Mention1"/>
    <w:basedOn w:val="Noklusjumarindkopasfonts"/>
    <w:uiPriority w:val="99"/>
    <w:semiHidden/>
    <w:unhideWhenUsed/>
    <w:rsid w:val="007D0DE2"/>
    <w:rPr>
      <w:color w:val="605E5C"/>
      <w:shd w:val="clear" w:color="auto" w:fill="E1DFDD"/>
    </w:rPr>
  </w:style>
  <w:style w:type="paragraph" w:customStyle="1" w:styleId="naiskr">
    <w:name w:val="naiskr"/>
    <w:basedOn w:val="Parasts"/>
    <w:rsid w:val="007B5216"/>
    <w:pPr>
      <w:spacing w:before="100" w:beforeAutospacing="1" w:after="100" w:afterAutospacing="1"/>
    </w:pPr>
  </w:style>
  <w:style w:type="paragraph" w:customStyle="1" w:styleId="naisnod">
    <w:name w:val="naisnod"/>
    <w:basedOn w:val="Parasts"/>
    <w:rsid w:val="007B5216"/>
    <w:pPr>
      <w:spacing w:before="100" w:beforeAutospacing="1" w:after="100" w:afterAutospacing="1"/>
    </w:pPr>
  </w:style>
  <w:style w:type="character" w:styleId="Komentraatsauce">
    <w:name w:val="annotation reference"/>
    <w:basedOn w:val="Noklusjumarindkopasfonts"/>
    <w:uiPriority w:val="99"/>
    <w:semiHidden/>
    <w:unhideWhenUsed/>
    <w:rsid w:val="00082D75"/>
    <w:rPr>
      <w:sz w:val="16"/>
      <w:szCs w:val="16"/>
    </w:rPr>
  </w:style>
  <w:style w:type="paragraph" w:styleId="Komentrateksts">
    <w:name w:val="annotation text"/>
    <w:basedOn w:val="Parasts"/>
    <w:link w:val="KomentratekstsRakstz"/>
    <w:uiPriority w:val="99"/>
    <w:semiHidden/>
    <w:unhideWhenUsed/>
    <w:rsid w:val="00082D75"/>
    <w:rPr>
      <w:sz w:val="20"/>
      <w:szCs w:val="20"/>
    </w:rPr>
  </w:style>
  <w:style w:type="character" w:customStyle="1" w:styleId="KomentratekstsRakstz">
    <w:name w:val="Komentāra teksts Rakstz."/>
    <w:basedOn w:val="Noklusjumarindkopasfonts"/>
    <w:link w:val="Komentrateksts"/>
    <w:uiPriority w:val="99"/>
    <w:semiHidden/>
    <w:rsid w:val="00082D7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2D75"/>
    <w:rPr>
      <w:b/>
      <w:bCs/>
    </w:rPr>
  </w:style>
  <w:style w:type="character" w:customStyle="1" w:styleId="KomentratmaRakstz">
    <w:name w:val="Komentāra tēma Rakstz."/>
    <w:basedOn w:val="KomentratekstsRakstz"/>
    <w:link w:val="Komentratma"/>
    <w:uiPriority w:val="99"/>
    <w:semiHidden/>
    <w:rsid w:val="00082D7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ja.tora@zm.gov.lv"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s://www.zm.gov.lv/zemkopibas-ministrija/apspriesanas/ministru-kabineta-noteikumu-projekts-grozijumi-ministru-kabineta-2012-?id=991"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126E-9946-4126-9006-5EAF7347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13319</Words>
  <Characters>7593</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vt: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Aija Tora</dc:creator>
  <cp:keywords/>
  <dc:description>Aija Tora, tālr. 67027620, e-pasts: aija.tora@zm.gov.lv</dc:description>
  <cp:lastModifiedBy>Sanita Papinova</cp:lastModifiedBy>
  <cp:revision>5</cp:revision>
  <cp:lastPrinted>2019-05-15T10:59:00Z</cp:lastPrinted>
  <dcterms:created xsi:type="dcterms:W3CDTF">2021-04-23T07:16:00Z</dcterms:created>
  <dcterms:modified xsi:type="dcterms:W3CDTF">2021-05-06T12:08:00Z</dcterms:modified>
</cp:coreProperties>
</file>