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4C19" w14:textId="77777777" w:rsidR="005F740D" w:rsidRPr="00EF7C78" w:rsidRDefault="005F740D" w:rsidP="00B130CC">
      <w:pPr>
        <w:pStyle w:val="naisnod"/>
        <w:spacing w:before="0" w:beforeAutospacing="0" w:after="0" w:afterAutospacing="0"/>
        <w:jc w:val="center"/>
        <w:rPr>
          <w:b/>
          <w:color w:val="000000"/>
          <w:sz w:val="28"/>
          <w:szCs w:val="28"/>
        </w:rPr>
      </w:pPr>
      <w:r w:rsidRPr="00EF7C78">
        <w:rPr>
          <w:b/>
          <w:color w:val="000000"/>
          <w:sz w:val="28"/>
          <w:szCs w:val="28"/>
        </w:rPr>
        <w:t>Izziņa par atzinumos sniegtajiem iebildumiem</w:t>
      </w:r>
    </w:p>
    <w:p w14:paraId="494E0498" w14:textId="27A69435" w:rsidR="00FB6291" w:rsidRPr="00EF7C78" w:rsidRDefault="005E79C6" w:rsidP="000002B2">
      <w:pPr>
        <w:jc w:val="center"/>
        <w:rPr>
          <w:sz w:val="28"/>
          <w:szCs w:val="28"/>
        </w:rPr>
      </w:pPr>
      <w:r w:rsidRPr="00EF7C78">
        <w:rPr>
          <w:sz w:val="28"/>
          <w:szCs w:val="28"/>
        </w:rPr>
        <w:t xml:space="preserve">Ministru kabineta </w:t>
      </w:r>
      <w:r w:rsidR="000002B2">
        <w:rPr>
          <w:sz w:val="28"/>
          <w:szCs w:val="28"/>
        </w:rPr>
        <w:t>rīkojuma</w:t>
      </w:r>
      <w:r w:rsidRPr="00EF7C78">
        <w:rPr>
          <w:sz w:val="28"/>
          <w:szCs w:val="28"/>
        </w:rPr>
        <w:t xml:space="preserve"> projekts </w:t>
      </w:r>
      <w:r w:rsidR="00D0728B" w:rsidRPr="00EF7C78">
        <w:rPr>
          <w:sz w:val="28"/>
          <w:szCs w:val="28"/>
        </w:rPr>
        <w:t>“</w:t>
      </w:r>
      <w:bookmarkStart w:id="0" w:name="OLE_LINK16"/>
      <w:bookmarkStart w:id="1" w:name="OLE_LINK15"/>
      <w:bookmarkStart w:id="2" w:name="OLE_LINK14"/>
      <w:bookmarkStart w:id="3" w:name="OLE_LINK13"/>
      <w:bookmarkStart w:id="4" w:name="_Hlk37075616"/>
      <w:r w:rsidR="000002B2" w:rsidRPr="000002B2">
        <w:rPr>
          <w:sz w:val="28"/>
          <w:szCs w:val="28"/>
        </w:rPr>
        <w:t>Grozījum</w:t>
      </w:r>
      <w:r w:rsidR="00B71D71">
        <w:rPr>
          <w:sz w:val="28"/>
          <w:szCs w:val="28"/>
        </w:rPr>
        <w:t>i</w:t>
      </w:r>
      <w:r w:rsidR="000002B2" w:rsidRPr="000002B2">
        <w:rPr>
          <w:sz w:val="28"/>
          <w:szCs w:val="28"/>
        </w:rPr>
        <w:t xml:space="preserve"> Ministru kabineta 2021. gada 17. februāra rīkojumā Nr. 96 </w:t>
      </w:r>
      <w:r w:rsidR="00142FAF">
        <w:rPr>
          <w:sz w:val="28"/>
          <w:szCs w:val="28"/>
        </w:rPr>
        <w:t>“</w:t>
      </w:r>
      <w:r w:rsidR="000002B2" w:rsidRPr="000002B2">
        <w:rPr>
          <w:sz w:val="28"/>
          <w:szCs w:val="28"/>
        </w:rPr>
        <w:t>Par finanšu līdzekļu piešķiršanu no valsts budžeta programmas</w:t>
      </w:r>
      <w:bookmarkEnd w:id="0"/>
      <w:bookmarkEnd w:id="1"/>
      <w:bookmarkEnd w:id="2"/>
      <w:bookmarkEnd w:id="3"/>
      <w:r w:rsidR="000002B2" w:rsidRPr="000002B2">
        <w:rPr>
          <w:sz w:val="28"/>
          <w:szCs w:val="28"/>
        </w:rPr>
        <w:t xml:space="preserve"> </w:t>
      </w:r>
      <w:r w:rsidR="000002B2">
        <w:rPr>
          <w:sz w:val="28"/>
          <w:szCs w:val="28"/>
        </w:rPr>
        <w:t>“</w:t>
      </w:r>
      <w:r w:rsidR="000002B2" w:rsidRPr="000002B2">
        <w:rPr>
          <w:sz w:val="28"/>
          <w:szCs w:val="28"/>
        </w:rPr>
        <w:t>Līdzekļi neparedzētiem gadījumiem</w:t>
      </w:r>
      <w:r w:rsidR="000002B2">
        <w:rPr>
          <w:sz w:val="28"/>
          <w:szCs w:val="28"/>
        </w:rPr>
        <w:t>””</w:t>
      </w:r>
      <w:bookmarkEnd w:id="4"/>
      <w:r w:rsidR="00ED6853">
        <w:rPr>
          <w:sz w:val="28"/>
          <w:szCs w:val="28"/>
        </w:rPr>
        <w:t xml:space="preserve"> (turpmāk – projekts)</w:t>
      </w:r>
    </w:p>
    <w:p w14:paraId="511306D2" w14:textId="77777777" w:rsidR="00B130CC" w:rsidRPr="00E75B82" w:rsidRDefault="00B130CC" w:rsidP="00B130CC">
      <w:pPr>
        <w:jc w:val="center"/>
        <w:rPr>
          <w:color w:val="000000"/>
          <w:sz w:val="20"/>
          <w:szCs w:val="28"/>
        </w:rPr>
      </w:pPr>
    </w:p>
    <w:p w14:paraId="61F98AB1" w14:textId="77777777" w:rsidR="005F740D" w:rsidRPr="00AC04F8" w:rsidRDefault="005F740D" w:rsidP="00682861">
      <w:pPr>
        <w:pStyle w:val="naisf"/>
        <w:spacing w:before="0" w:beforeAutospacing="0" w:after="0" w:afterAutospacing="0"/>
        <w:jc w:val="center"/>
        <w:rPr>
          <w:b/>
          <w:color w:val="000000"/>
        </w:rPr>
      </w:pPr>
      <w:r w:rsidRPr="00AC04F8">
        <w:rPr>
          <w:b/>
          <w:color w:val="000000"/>
        </w:rPr>
        <w:t>Jautājumi, par kuriem saskaņošanā vienošanās nav panākta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420"/>
        <w:gridCol w:w="1980"/>
        <w:gridCol w:w="2700"/>
      </w:tblGrid>
      <w:tr w:rsidR="005F740D" w:rsidRPr="00AC04F8" w14:paraId="16606D7A" w14:textId="77777777" w:rsidTr="00A13ACE">
        <w:tc>
          <w:tcPr>
            <w:tcW w:w="648" w:type="dxa"/>
          </w:tcPr>
          <w:p w14:paraId="3D4A916D" w14:textId="77777777" w:rsidR="005F740D" w:rsidRPr="00AC04F8" w:rsidRDefault="005F740D" w:rsidP="00B12893">
            <w:pPr>
              <w:pStyle w:val="naisf"/>
              <w:jc w:val="center"/>
              <w:rPr>
                <w:b/>
                <w:color w:val="000000"/>
              </w:rPr>
            </w:pPr>
            <w:r w:rsidRPr="00AC04F8">
              <w:rPr>
                <w:color w:val="000000"/>
              </w:rPr>
              <w:t>Nr.</w:t>
            </w:r>
            <w:r w:rsidRPr="00AC04F8">
              <w:rPr>
                <w:color w:val="000000"/>
              </w:rPr>
              <w:br/>
              <w:t> p.k.</w:t>
            </w:r>
          </w:p>
        </w:tc>
        <w:tc>
          <w:tcPr>
            <w:tcW w:w="2700" w:type="dxa"/>
          </w:tcPr>
          <w:p w14:paraId="70B9D65D" w14:textId="77777777" w:rsidR="005F740D" w:rsidRPr="00AC04F8" w:rsidRDefault="005F740D" w:rsidP="00B12893">
            <w:pPr>
              <w:pStyle w:val="naisf"/>
              <w:jc w:val="center"/>
              <w:rPr>
                <w:b/>
                <w:color w:val="000000"/>
              </w:rPr>
            </w:pPr>
            <w:r w:rsidRPr="00AC04F8">
              <w:rPr>
                <w:color w:val="000000"/>
              </w:rPr>
              <w:t>Saskaņošanai nosūtītā projekta redakcija (konkrēta punkta (panta) redakcija)</w:t>
            </w:r>
          </w:p>
        </w:tc>
        <w:tc>
          <w:tcPr>
            <w:tcW w:w="3240" w:type="dxa"/>
          </w:tcPr>
          <w:p w14:paraId="2461B0D6" w14:textId="77777777" w:rsidR="005F740D" w:rsidRPr="00AC04F8" w:rsidRDefault="005F740D" w:rsidP="00B12893">
            <w:pPr>
              <w:pStyle w:val="naisf"/>
              <w:jc w:val="center"/>
              <w:rPr>
                <w:b/>
                <w:color w:val="000000"/>
              </w:rPr>
            </w:pPr>
            <w:r w:rsidRPr="00AC04F8">
              <w:rPr>
                <w:color w:val="000000"/>
              </w:rPr>
              <w:t>Atzinumā norādītais ministrijas (citas institūcijas) iebildums, kā arī saskaņošanā papildus izteiktais iebildums par projekta konkrēto punktu (pantu)</w:t>
            </w:r>
          </w:p>
        </w:tc>
        <w:tc>
          <w:tcPr>
            <w:tcW w:w="3420" w:type="dxa"/>
          </w:tcPr>
          <w:p w14:paraId="52C9CFBE" w14:textId="77777777" w:rsidR="005F740D" w:rsidRPr="00AC04F8" w:rsidRDefault="005F740D" w:rsidP="00B130CC">
            <w:pPr>
              <w:pStyle w:val="naisf"/>
              <w:jc w:val="center"/>
              <w:rPr>
                <w:b/>
                <w:color w:val="000000"/>
              </w:rPr>
            </w:pPr>
            <w:r w:rsidRPr="00AC04F8">
              <w:rPr>
                <w:color w:val="000000"/>
              </w:rPr>
              <w:t>Atbildīgās ministrijas pamatojums iebilduma noraidījumam</w:t>
            </w:r>
          </w:p>
        </w:tc>
        <w:tc>
          <w:tcPr>
            <w:tcW w:w="1980" w:type="dxa"/>
          </w:tcPr>
          <w:p w14:paraId="2333893C" w14:textId="77777777" w:rsidR="005F740D" w:rsidRPr="00AC04F8" w:rsidRDefault="005F740D" w:rsidP="00B12893">
            <w:pPr>
              <w:pStyle w:val="naisf"/>
              <w:jc w:val="center"/>
              <w:rPr>
                <w:b/>
                <w:color w:val="000000"/>
              </w:rPr>
            </w:pPr>
            <w:r w:rsidRPr="00AC04F8">
              <w:rPr>
                <w:color w:val="000000"/>
              </w:rPr>
              <w:t>Atzinuma sniedzēja uzturētais iebildums, ja tas atšķiras no atzinumā norādītā iebilduma pamatojuma</w:t>
            </w:r>
          </w:p>
        </w:tc>
        <w:tc>
          <w:tcPr>
            <w:tcW w:w="2700" w:type="dxa"/>
          </w:tcPr>
          <w:p w14:paraId="0B249B24" w14:textId="77777777" w:rsidR="005F740D" w:rsidRPr="00AC04F8" w:rsidRDefault="005F740D" w:rsidP="00B12893">
            <w:pPr>
              <w:pStyle w:val="naisf"/>
              <w:jc w:val="center"/>
              <w:rPr>
                <w:b/>
                <w:color w:val="000000"/>
              </w:rPr>
            </w:pPr>
            <w:r w:rsidRPr="00AC04F8">
              <w:rPr>
                <w:color w:val="000000"/>
              </w:rPr>
              <w:t>Projekta attiecīgā punkta (panta) galīgā redakcija</w:t>
            </w:r>
          </w:p>
        </w:tc>
      </w:tr>
      <w:tr w:rsidR="005F740D" w:rsidRPr="00AC04F8" w14:paraId="1EA3DAFB" w14:textId="77777777" w:rsidTr="00A13ACE">
        <w:tc>
          <w:tcPr>
            <w:tcW w:w="648" w:type="dxa"/>
          </w:tcPr>
          <w:p w14:paraId="0C549A0B" w14:textId="77777777" w:rsidR="005F740D" w:rsidRPr="00AC04F8" w:rsidRDefault="005F740D" w:rsidP="00B12893">
            <w:pPr>
              <w:pStyle w:val="naisf"/>
              <w:jc w:val="center"/>
              <w:rPr>
                <w:color w:val="000000"/>
              </w:rPr>
            </w:pPr>
            <w:r w:rsidRPr="00AC04F8">
              <w:rPr>
                <w:color w:val="000000"/>
              </w:rPr>
              <w:t>1</w:t>
            </w:r>
          </w:p>
        </w:tc>
        <w:tc>
          <w:tcPr>
            <w:tcW w:w="2700" w:type="dxa"/>
          </w:tcPr>
          <w:p w14:paraId="24A65EBB" w14:textId="77777777" w:rsidR="005F740D" w:rsidRPr="00AC04F8" w:rsidRDefault="005F740D" w:rsidP="00B12893">
            <w:pPr>
              <w:pStyle w:val="naisf"/>
              <w:jc w:val="center"/>
              <w:rPr>
                <w:color w:val="000000"/>
              </w:rPr>
            </w:pPr>
            <w:r w:rsidRPr="00AC04F8">
              <w:rPr>
                <w:color w:val="000000"/>
              </w:rPr>
              <w:t>2</w:t>
            </w:r>
          </w:p>
        </w:tc>
        <w:tc>
          <w:tcPr>
            <w:tcW w:w="3240" w:type="dxa"/>
          </w:tcPr>
          <w:p w14:paraId="1D8CF165" w14:textId="77777777" w:rsidR="005F740D" w:rsidRPr="00AC04F8" w:rsidRDefault="005F740D" w:rsidP="00B12893">
            <w:pPr>
              <w:pStyle w:val="naisf"/>
              <w:jc w:val="center"/>
              <w:rPr>
                <w:color w:val="000000"/>
              </w:rPr>
            </w:pPr>
            <w:r w:rsidRPr="00AC04F8">
              <w:rPr>
                <w:color w:val="000000"/>
              </w:rPr>
              <w:t>3</w:t>
            </w:r>
          </w:p>
        </w:tc>
        <w:tc>
          <w:tcPr>
            <w:tcW w:w="3420" w:type="dxa"/>
          </w:tcPr>
          <w:p w14:paraId="431571C7" w14:textId="77777777" w:rsidR="005F740D" w:rsidRPr="00AC04F8" w:rsidRDefault="005F740D" w:rsidP="00B12893">
            <w:pPr>
              <w:pStyle w:val="naisf"/>
              <w:jc w:val="center"/>
              <w:rPr>
                <w:color w:val="000000"/>
              </w:rPr>
            </w:pPr>
            <w:r w:rsidRPr="00AC04F8">
              <w:rPr>
                <w:color w:val="000000"/>
              </w:rPr>
              <w:t>4</w:t>
            </w:r>
          </w:p>
        </w:tc>
        <w:tc>
          <w:tcPr>
            <w:tcW w:w="1980" w:type="dxa"/>
          </w:tcPr>
          <w:p w14:paraId="28BAC113" w14:textId="77777777" w:rsidR="005F740D" w:rsidRPr="00AC04F8" w:rsidRDefault="005F740D" w:rsidP="00B12893">
            <w:pPr>
              <w:pStyle w:val="naisf"/>
              <w:jc w:val="center"/>
              <w:rPr>
                <w:color w:val="000000"/>
              </w:rPr>
            </w:pPr>
            <w:r w:rsidRPr="00AC04F8">
              <w:rPr>
                <w:color w:val="000000"/>
              </w:rPr>
              <w:t>5</w:t>
            </w:r>
          </w:p>
        </w:tc>
        <w:tc>
          <w:tcPr>
            <w:tcW w:w="2700" w:type="dxa"/>
          </w:tcPr>
          <w:p w14:paraId="1F8DD151" w14:textId="77777777" w:rsidR="005F740D" w:rsidRPr="00AC04F8" w:rsidRDefault="005F740D" w:rsidP="00B12893">
            <w:pPr>
              <w:pStyle w:val="naisf"/>
              <w:jc w:val="center"/>
              <w:rPr>
                <w:color w:val="000000"/>
              </w:rPr>
            </w:pPr>
            <w:r w:rsidRPr="00AC04F8">
              <w:rPr>
                <w:color w:val="000000"/>
              </w:rPr>
              <w:t>6</w:t>
            </w:r>
          </w:p>
        </w:tc>
      </w:tr>
    </w:tbl>
    <w:p w14:paraId="0F149EC3" w14:textId="77777777" w:rsidR="003A5046" w:rsidRDefault="003A5046" w:rsidP="003A5046">
      <w:pPr>
        <w:pStyle w:val="naisf"/>
        <w:spacing w:before="0" w:beforeAutospacing="0" w:after="0" w:afterAutospacing="0"/>
        <w:rPr>
          <w:color w:val="000000"/>
          <w:sz w:val="18"/>
        </w:rPr>
      </w:pPr>
    </w:p>
    <w:p w14:paraId="251B4E92" w14:textId="77777777" w:rsidR="00A1098C" w:rsidRPr="00E75B82" w:rsidRDefault="00A1098C" w:rsidP="003A5046">
      <w:pPr>
        <w:pStyle w:val="naisf"/>
        <w:spacing w:before="0" w:beforeAutospacing="0" w:after="0" w:afterAutospacing="0"/>
        <w:rPr>
          <w:color w:val="000000"/>
          <w:sz w:val="18"/>
        </w:rPr>
      </w:pPr>
    </w:p>
    <w:p w14:paraId="23A20591" w14:textId="77777777" w:rsidR="005F740D" w:rsidRDefault="005F740D" w:rsidP="003A5046">
      <w:pPr>
        <w:pStyle w:val="naisf"/>
        <w:spacing w:before="0" w:beforeAutospacing="0" w:after="0" w:afterAutospacing="0"/>
        <w:jc w:val="center"/>
        <w:rPr>
          <w:b/>
          <w:color w:val="000000"/>
        </w:rPr>
      </w:pPr>
      <w:r w:rsidRPr="00AC04F8">
        <w:rPr>
          <w:b/>
          <w:color w:val="000000"/>
        </w:rPr>
        <w:t>Informācija par starpministriju (starpinstitūciju) sanāksmi vai elektronisko saskaņošanu</w:t>
      </w:r>
    </w:p>
    <w:p w14:paraId="19BC4CF1" w14:textId="77777777" w:rsidR="00A1098C" w:rsidRPr="00AC04F8" w:rsidRDefault="00A1098C" w:rsidP="003A5046">
      <w:pPr>
        <w:pStyle w:val="naisf"/>
        <w:spacing w:before="0" w:beforeAutospacing="0" w:after="0" w:afterAutospacing="0"/>
        <w:jc w:val="center"/>
        <w:rPr>
          <w:b/>
          <w:color w:val="000000"/>
        </w:rPr>
      </w:pPr>
    </w:p>
    <w:p w14:paraId="67E0750B" w14:textId="77777777" w:rsidR="003A5046" w:rsidRPr="00E75B82" w:rsidRDefault="003A5046" w:rsidP="003A5046">
      <w:pPr>
        <w:pStyle w:val="naisf"/>
        <w:spacing w:before="0" w:beforeAutospacing="0" w:after="0" w:afterAutospacing="0"/>
        <w:rPr>
          <w:color w:val="000000"/>
          <w:sz w:val="18"/>
        </w:rPr>
      </w:pPr>
    </w:p>
    <w:tbl>
      <w:tblPr>
        <w:tblW w:w="12645" w:type="dxa"/>
        <w:tblCellSpacing w:w="0" w:type="dxa"/>
        <w:tblCellMar>
          <w:left w:w="0" w:type="dxa"/>
          <w:right w:w="0" w:type="dxa"/>
        </w:tblCellMar>
        <w:tblLook w:val="0000" w:firstRow="0" w:lastRow="0" w:firstColumn="0" w:lastColumn="0" w:noHBand="0" w:noVBand="0"/>
      </w:tblPr>
      <w:tblGrid>
        <w:gridCol w:w="2694"/>
        <w:gridCol w:w="3486"/>
        <w:gridCol w:w="6435"/>
        <w:gridCol w:w="30"/>
      </w:tblGrid>
      <w:tr w:rsidR="005F740D" w:rsidRPr="00AC04F8" w14:paraId="44675A6F" w14:textId="77777777" w:rsidTr="00E75B82">
        <w:trPr>
          <w:gridAfter w:val="1"/>
          <w:wAfter w:w="30" w:type="dxa"/>
          <w:tblCellSpacing w:w="0" w:type="dxa"/>
        </w:trPr>
        <w:tc>
          <w:tcPr>
            <w:tcW w:w="2694" w:type="dxa"/>
          </w:tcPr>
          <w:p w14:paraId="28F70961" w14:textId="77777777" w:rsidR="005F740D" w:rsidRPr="00AC04F8" w:rsidRDefault="005F740D" w:rsidP="003A5046">
            <w:pPr>
              <w:pStyle w:val="naiskr"/>
              <w:spacing w:before="0" w:beforeAutospacing="0" w:after="0" w:afterAutospacing="0"/>
              <w:rPr>
                <w:color w:val="000000"/>
              </w:rPr>
            </w:pPr>
            <w:r w:rsidRPr="00AC04F8">
              <w:rPr>
                <w:b/>
                <w:bCs/>
                <w:color w:val="000000"/>
              </w:rPr>
              <w:t> </w:t>
            </w:r>
            <w:r w:rsidRPr="00AC04F8">
              <w:rPr>
                <w:color w:val="000000"/>
              </w:rPr>
              <w:t>Datums</w:t>
            </w:r>
          </w:p>
        </w:tc>
        <w:tc>
          <w:tcPr>
            <w:tcW w:w="9921" w:type="dxa"/>
            <w:gridSpan w:val="2"/>
            <w:tcBorders>
              <w:top w:val="nil"/>
              <w:left w:val="nil"/>
              <w:bottom w:val="single" w:sz="8" w:space="0" w:color="000000"/>
              <w:right w:val="nil"/>
            </w:tcBorders>
          </w:tcPr>
          <w:p w14:paraId="282F94AC" w14:textId="4480AFE9" w:rsidR="005F740D" w:rsidRPr="00AC04F8" w:rsidRDefault="002D0A2F">
            <w:pPr>
              <w:pStyle w:val="naisf"/>
              <w:spacing w:before="0" w:beforeAutospacing="0" w:after="0" w:afterAutospacing="0"/>
              <w:rPr>
                <w:color w:val="000000"/>
              </w:rPr>
            </w:pPr>
            <w:r w:rsidRPr="00AC04F8">
              <w:rPr>
                <w:color w:val="000000"/>
              </w:rPr>
              <w:t xml:space="preserve">Elektroniskā saskaņošana </w:t>
            </w:r>
            <w:r w:rsidR="00441CCE">
              <w:rPr>
                <w:color w:val="000000"/>
              </w:rPr>
              <w:t>202</w:t>
            </w:r>
            <w:r w:rsidR="00ED6853">
              <w:rPr>
                <w:color w:val="000000"/>
              </w:rPr>
              <w:t>1</w:t>
            </w:r>
            <w:r w:rsidR="00D044E9">
              <w:rPr>
                <w:color w:val="000000"/>
              </w:rPr>
              <w:t xml:space="preserve">. gada </w:t>
            </w:r>
            <w:r w:rsidR="000002B2">
              <w:rPr>
                <w:color w:val="000000"/>
              </w:rPr>
              <w:t>2</w:t>
            </w:r>
            <w:r w:rsidR="00910C85">
              <w:rPr>
                <w:color w:val="000000"/>
              </w:rPr>
              <w:t>9</w:t>
            </w:r>
            <w:r w:rsidR="000002B2">
              <w:rPr>
                <w:color w:val="000000"/>
              </w:rPr>
              <w:t>.</w:t>
            </w:r>
            <w:r w:rsidR="00415D69">
              <w:rPr>
                <w:color w:val="000000"/>
              </w:rPr>
              <w:t xml:space="preserve"> </w:t>
            </w:r>
            <w:r w:rsidR="000002B2">
              <w:rPr>
                <w:color w:val="000000"/>
              </w:rPr>
              <w:t>aprīlī</w:t>
            </w:r>
            <w:r w:rsidR="00E40EFE">
              <w:rPr>
                <w:color w:val="000000"/>
              </w:rPr>
              <w:t xml:space="preserve"> un 2</w:t>
            </w:r>
            <w:r w:rsidR="006215A0">
              <w:rPr>
                <w:color w:val="000000"/>
              </w:rPr>
              <w:t>6</w:t>
            </w:r>
            <w:r w:rsidR="00E40EFE">
              <w:rPr>
                <w:color w:val="000000"/>
              </w:rPr>
              <w:t>. maijā</w:t>
            </w:r>
          </w:p>
        </w:tc>
      </w:tr>
      <w:tr w:rsidR="005F740D" w:rsidRPr="00AC04F8" w14:paraId="53A2AE75" w14:textId="77777777" w:rsidTr="00E75B82">
        <w:trPr>
          <w:gridAfter w:val="1"/>
          <w:wAfter w:w="30" w:type="dxa"/>
          <w:tblCellSpacing w:w="0" w:type="dxa"/>
        </w:trPr>
        <w:tc>
          <w:tcPr>
            <w:tcW w:w="2694" w:type="dxa"/>
          </w:tcPr>
          <w:p w14:paraId="4C0526E5" w14:textId="77777777" w:rsidR="005F740D" w:rsidRPr="00AC04F8" w:rsidRDefault="005F740D" w:rsidP="003A5046">
            <w:pPr>
              <w:pStyle w:val="naisf"/>
              <w:spacing w:before="0" w:beforeAutospacing="0" w:after="0" w:afterAutospacing="0"/>
              <w:rPr>
                <w:color w:val="000000"/>
              </w:rPr>
            </w:pPr>
            <w:r w:rsidRPr="00AC04F8">
              <w:rPr>
                <w:color w:val="000000"/>
              </w:rPr>
              <w:t> </w:t>
            </w:r>
          </w:p>
        </w:tc>
        <w:tc>
          <w:tcPr>
            <w:tcW w:w="9921" w:type="dxa"/>
            <w:gridSpan w:val="2"/>
            <w:tcBorders>
              <w:top w:val="nil"/>
              <w:left w:val="nil"/>
              <w:bottom w:val="nil"/>
              <w:right w:val="nil"/>
            </w:tcBorders>
          </w:tcPr>
          <w:p w14:paraId="7CB1FF79" w14:textId="77777777" w:rsidR="005F740D" w:rsidRPr="00AC04F8" w:rsidRDefault="005F740D" w:rsidP="003A5046">
            <w:pPr>
              <w:pStyle w:val="naisf"/>
              <w:spacing w:before="0" w:beforeAutospacing="0" w:after="0" w:afterAutospacing="0"/>
              <w:rPr>
                <w:color w:val="000000"/>
              </w:rPr>
            </w:pPr>
            <w:r w:rsidRPr="00AC04F8">
              <w:rPr>
                <w:color w:val="000000"/>
              </w:rPr>
              <w:t> </w:t>
            </w:r>
          </w:p>
        </w:tc>
      </w:tr>
      <w:tr w:rsidR="005F740D" w:rsidRPr="00AC04F8" w14:paraId="27DB2FF7" w14:textId="77777777" w:rsidTr="00E75B82">
        <w:trPr>
          <w:gridAfter w:val="1"/>
          <w:wAfter w:w="30" w:type="dxa"/>
          <w:tblCellSpacing w:w="0" w:type="dxa"/>
        </w:trPr>
        <w:tc>
          <w:tcPr>
            <w:tcW w:w="2694" w:type="dxa"/>
            <w:vAlign w:val="center"/>
          </w:tcPr>
          <w:p w14:paraId="230B8EC1" w14:textId="77777777" w:rsidR="005F740D" w:rsidRPr="00AC04F8" w:rsidRDefault="005F740D" w:rsidP="003A5046">
            <w:pPr>
              <w:pStyle w:val="naiskr"/>
              <w:spacing w:before="0" w:beforeAutospacing="0" w:after="0" w:afterAutospacing="0"/>
              <w:rPr>
                <w:color w:val="000000"/>
              </w:rPr>
            </w:pPr>
            <w:r w:rsidRPr="00AC04F8">
              <w:rPr>
                <w:color w:val="000000"/>
              </w:rPr>
              <w:t>Saskaņošanas dalībnieki</w:t>
            </w:r>
          </w:p>
        </w:tc>
        <w:tc>
          <w:tcPr>
            <w:tcW w:w="9921" w:type="dxa"/>
            <w:gridSpan w:val="2"/>
            <w:tcBorders>
              <w:bottom w:val="single" w:sz="4" w:space="0" w:color="auto"/>
            </w:tcBorders>
            <w:vAlign w:val="center"/>
          </w:tcPr>
          <w:p w14:paraId="0D704A33" w14:textId="2E078366" w:rsidR="005F740D" w:rsidRPr="00AC04F8" w:rsidRDefault="000002B2" w:rsidP="00311AC1">
            <w:pPr>
              <w:pStyle w:val="naisf"/>
              <w:spacing w:before="0" w:beforeAutospacing="0" w:after="0" w:afterAutospacing="0"/>
              <w:rPr>
                <w:color w:val="000000"/>
              </w:rPr>
            </w:pPr>
            <w:r>
              <w:rPr>
                <w:color w:val="000000"/>
              </w:rPr>
              <w:t>Vairis Šantars, Finanšu ministrija</w:t>
            </w:r>
          </w:p>
        </w:tc>
      </w:tr>
      <w:tr w:rsidR="005F740D" w:rsidRPr="00AC04F8" w14:paraId="03A72A74" w14:textId="77777777" w:rsidTr="00E75B82">
        <w:trPr>
          <w:gridAfter w:val="1"/>
          <w:wAfter w:w="30" w:type="dxa"/>
          <w:tblCellSpacing w:w="0" w:type="dxa"/>
        </w:trPr>
        <w:tc>
          <w:tcPr>
            <w:tcW w:w="2694" w:type="dxa"/>
            <w:vAlign w:val="center"/>
          </w:tcPr>
          <w:p w14:paraId="1ECBDB5E"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9921" w:type="dxa"/>
            <w:gridSpan w:val="2"/>
            <w:tcBorders>
              <w:top w:val="single" w:sz="4" w:space="0" w:color="auto"/>
              <w:left w:val="nil"/>
              <w:bottom w:val="single" w:sz="4" w:space="0" w:color="auto"/>
              <w:right w:val="nil"/>
            </w:tcBorders>
            <w:vAlign w:val="center"/>
          </w:tcPr>
          <w:p w14:paraId="0DAB6750" w14:textId="71489F84" w:rsidR="00D0728B" w:rsidRPr="00AC04F8" w:rsidRDefault="00D0728B" w:rsidP="003A5046">
            <w:pPr>
              <w:pStyle w:val="naiskr"/>
              <w:spacing w:before="0" w:beforeAutospacing="0" w:after="0" w:afterAutospacing="0"/>
              <w:rPr>
                <w:color w:val="000000"/>
              </w:rPr>
            </w:pPr>
          </w:p>
        </w:tc>
      </w:tr>
      <w:tr w:rsidR="006D0875" w:rsidRPr="00AC04F8" w14:paraId="3104EDA6" w14:textId="77777777" w:rsidTr="00E75B82">
        <w:trPr>
          <w:gridAfter w:val="1"/>
          <w:wAfter w:w="30" w:type="dxa"/>
          <w:tblCellSpacing w:w="0" w:type="dxa"/>
        </w:trPr>
        <w:tc>
          <w:tcPr>
            <w:tcW w:w="2694" w:type="dxa"/>
            <w:vAlign w:val="center"/>
          </w:tcPr>
          <w:p w14:paraId="3F145512" w14:textId="77777777" w:rsidR="006D0875" w:rsidRPr="00AC04F8" w:rsidRDefault="006D0875" w:rsidP="003A5046">
            <w:pPr>
              <w:pStyle w:val="naiskr"/>
              <w:spacing w:before="0" w:beforeAutospacing="0" w:after="0" w:afterAutospacing="0"/>
              <w:rPr>
                <w:color w:val="000000"/>
              </w:rPr>
            </w:pPr>
            <w:r w:rsidRPr="00AC04F8">
              <w:rPr>
                <w:color w:val="000000"/>
              </w:rPr>
              <w:t> </w:t>
            </w:r>
          </w:p>
        </w:tc>
        <w:tc>
          <w:tcPr>
            <w:tcW w:w="9921" w:type="dxa"/>
            <w:gridSpan w:val="2"/>
            <w:vAlign w:val="center"/>
          </w:tcPr>
          <w:p w14:paraId="0A105E79" w14:textId="77777777" w:rsidR="006D0875" w:rsidRPr="00AC04F8" w:rsidRDefault="006D0875" w:rsidP="003A5046">
            <w:pPr>
              <w:pStyle w:val="naiskr"/>
              <w:spacing w:before="0" w:beforeAutospacing="0" w:after="0" w:afterAutospacing="0"/>
              <w:rPr>
                <w:color w:val="000000"/>
              </w:rPr>
            </w:pPr>
            <w:r w:rsidRPr="00AC04F8">
              <w:rPr>
                <w:color w:val="000000"/>
              </w:rPr>
              <w:t>  </w:t>
            </w:r>
          </w:p>
        </w:tc>
      </w:tr>
      <w:tr w:rsidR="006D0875" w:rsidRPr="00AC04F8" w14:paraId="41583776" w14:textId="77777777" w:rsidTr="00E75B82">
        <w:trPr>
          <w:tblCellSpacing w:w="0" w:type="dxa"/>
        </w:trPr>
        <w:tc>
          <w:tcPr>
            <w:tcW w:w="6180" w:type="dxa"/>
            <w:gridSpan w:val="2"/>
          </w:tcPr>
          <w:p w14:paraId="251DBACB" w14:textId="77777777" w:rsidR="006D0875" w:rsidRPr="00AC04F8" w:rsidRDefault="006D0875" w:rsidP="003A5046">
            <w:pPr>
              <w:pStyle w:val="naiskr"/>
              <w:spacing w:before="0" w:beforeAutospacing="0" w:after="0" w:afterAutospacing="0"/>
              <w:rPr>
                <w:color w:val="000000"/>
              </w:rPr>
            </w:pPr>
            <w:r w:rsidRPr="00AC04F8">
              <w:rPr>
                <w:color w:val="000000"/>
              </w:rPr>
              <w:t>Saskaņošanas dalībnieki izskatīja šādu ministriju (citu institūciju) iebildumus</w:t>
            </w:r>
          </w:p>
        </w:tc>
        <w:tc>
          <w:tcPr>
            <w:tcW w:w="6465" w:type="dxa"/>
            <w:gridSpan w:val="2"/>
          </w:tcPr>
          <w:p w14:paraId="0093CE26" w14:textId="502F9B2A" w:rsidR="006D0875" w:rsidRPr="00AC04F8" w:rsidRDefault="000002B2" w:rsidP="00441CCE">
            <w:pPr>
              <w:pStyle w:val="naiskr"/>
              <w:spacing w:before="0" w:beforeAutospacing="0" w:after="0" w:afterAutospacing="0"/>
              <w:rPr>
                <w:color w:val="000000"/>
              </w:rPr>
            </w:pPr>
            <w:r>
              <w:rPr>
                <w:color w:val="000000"/>
              </w:rPr>
              <w:t>Finanšu</w:t>
            </w:r>
            <w:r w:rsidR="002D0A2F" w:rsidRPr="00AC04F8">
              <w:rPr>
                <w:color w:val="000000"/>
              </w:rPr>
              <w:t xml:space="preserve"> ministrijas</w:t>
            </w:r>
          </w:p>
        </w:tc>
      </w:tr>
      <w:tr w:rsidR="005F740D" w:rsidRPr="00AC04F8" w14:paraId="211275F5" w14:textId="77777777" w:rsidTr="00E75B82">
        <w:trPr>
          <w:tblCellSpacing w:w="0" w:type="dxa"/>
        </w:trPr>
        <w:tc>
          <w:tcPr>
            <w:tcW w:w="6180" w:type="dxa"/>
            <w:gridSpan w:val="2"/>
          </w:tcPr>
          <w:p w14:paraId="7054716C"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tcPr>
          <w:p w14:paraId="72903371" w14:textId="4D608A46" w:rsidR="005F740D" w:rsidRPr="00AC04F8" w:rsidRDefault="005F740D" w:rsidP="003A5046">
            <w:pPr>
              <w:pStyle w:val="naisf"/>
              <w:spacing w:before="0" w:beforeAutospacing="0" w:after="0" w:afterAutospacing="0"/>
              <w:rPr>
                <w:color w:val="000000"/>
              </w:rPr>
            </w:pPr>
          </w:p>
        </w:tc>
      </w:tr>
      <w:tr w:rsidR="005F740D" w:rsidRPr="00AC04F8" w14:paraId="35099B38" w14:textId="77777777" w:rsidTr="00E75B82">
        <w:trPr>
          <w:tblCellSpacing w:w="0" w:type="dxa"/>
        </w:trPr>
        <w:tc>
          <w:tcPr>
            <w:tcW w:w="12645" w:type="dxa"/>
            <w:gridSpan w:val="4"/>
            <w:vAlign w:val="center"/>
          </w:tcPr>
          <w:p w14:paraId="5C43EDE0" w14:textId="77777777" w:rsidR="005F740D" w:rsidRPr="00AC04F8" w:rsidRDefault="005F740D" w:rsidP="003A5046">
            <w:pPr>
              <w:pStyle w:val="naislab"/>
              <w:spacing w:before="0" w:beforeAutospacing="0" w:after="0" w:afterAutospacing="0"/>
              <w:rPr>
                <w:color w:val="000000"/>
              </w:rPr>
            </w:pPr>
            <w:r w:rsidRPr="00AC04F8">
              <w:rPr>
                <w:color w:val="000000"/>
              </w:rPr>
              <w:t> </w:t>
            </w:r>
          </w:p>
        </w:tc>
      </w:tr>
      <w:tr w:rsidR="005F740D" w:rsidRPr="00AC04F8" w14:paraId="5080F6EC" w14:textId="77777777" w:rsidTr="00E75B82">
        <w:trPr>
          <w:tblCellSpacing w:w="0" w:type="dxa"/>
        </w:trPr>
        <w:tc>
          <w:tcPr>
            <w:tcW w:w="6180" w:type="dxa"/>
            <w:gridSpan w:val="2"/>
            <w:vAlign w:val="center"/>
          </w:tcPr>
          <w:p w14:paraId="4C947BF3" w14:textId="77777777" w:rsidR="005F740D" w:rsidRPr="00AC04F8" w:rsidRDefault="005F740D" w:rsidP="003A5046">
            <w:pPr>
              <w:pStyle w:val="naiskr"/>
              <w:spacing w:before="0" w:beforeAutospacing="0" w:after="0" w:afterAutospacing="0"/>
              <w:rPr>
                <w:color w:val="000000"/>
              </w:rPr>
            </w:pPr>
            <w:r w:rsidRPr="00AC04F8">
              <w:rPr>
                <w:color w:val="000000"/>
              </w:rPr>
              <w:t>Ministrijas (citas institūcijas), kuras nav ieradušās uz sanāksmi vai kuras nav atbildējušas uz uzaicinājumu piedalīties elektroniskajā saskaņošanā</w:t>
            </w:r>
          </w:p>
        </w:tc>
        <w:tc>
          <w:tcPr>
            <w:tcW w:w="6465" w:type="dxa"/>
            <w:gridSpan w:val="2"/>
            <w:vAlign w:val="center"/>
          </w:tcPr>
          <w:p w14:paraId="7763F37D" w14:textId="77777777" w:rsidR="005F740D" w:rsidRPr="00AC04F8" w:rsidRDefault="002D0A2F" w:rsidP="003A5046">
            <w:pPr>
              <w:pStyle w:val="naiskr"/>
              <w:spacing w:before="0" w:beforeAutospacing="0" w:after="0" w:afterAutospacing="0"/>
              <w:rPr>
                <w:color w:val="000000"/>
              </w:rPr>
            </w:pPr>
            <w:r w:rsidRPr="00AC04F8">
              <w:rPr>
                <w:color w:val="000000"/>
              </w:rPr>
              <w:t xml:space="preserve">  Nav.</w:t>
            </w:r>
          </w:p>
        </w:tc>
      </w:tr>
      <w:tr w:rsidR="005F740D" w:rsidRPr="00AC04F8" w14:paraId="21E97B14" w14:textId="77777777" w:rsidTr="00E75B82">
        <w:trPr>
          <w:tblCellSpacing w:w="0" w:type="dxa"/>
        </w:trPr>
        <w:tc>
          <w:tcPr>
            <w:tcW w:w="6180" w:type="dxa"/>
            <w:gridSpan w:val="2"/>
            <w:vAlign w:val="center"/>
          </w:tcPr>
          <w:p w14:paraId="7E8DA6F4"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vAlign w:val="center"/>
          </w:tcPr>
          <w:p w14:paraId="1B4ADC13" w14:textId="77777777" w:rsidR="005F740D" w:rsidRPr="00AC04F8" w:rsidRDefault="005F740D" w:rsidP="003A5046">
            <w:pPr>
              <w:pStyle w:val="naiskr"/>
              <w:spacing w:before="0" w:beforeAutospacing="0" w:after="0" w:afterAutospacing="0"/>
              <w:rPr>
                <w:color w:val="000000"/>
              </w:rPr>
            </w:pPr>
            <w:r w:rsidRPr="00AC04F8">
              <w:rPr>
                <w:color w:val="000000"/>
              </w:rPr>
              <w:t> </w:t>
            </w:r>
          </w:p>
        </w:tc>
      </w:tr>
    </w:tbl>
    <w:p w14:paraId="0B49921A" w14:textId="77777777" w:rsidR="005F740D" w:rsidRPr="00AC04F8" w:rsidRDefault="005F740D" w:rsidP="00E75B82">
      <w:pPr>
        <w:pStyle w:val="naisf"/>
        <w:tabs>
          <w:tab w:val="left" w:pos="915"/>
          <w:tab w:val="left" w:pos="1665"/>
          <w:tab w:val="center" w:pos="7001"/>
        </w:tabs>
        <w:jc w:val="center"/>
        <w:rPr>
          <w:b/>
          <w:color w:val="000000"/>
        </w:rPr>
      </w:pPr>
      <w:r w:rsidRPr="00AC04F8">
        <w:rPr>
          <w:b/>
          <w:color w:val="000000"/>
        </w:rPr>
        <w:lastRenderedPageBreak/>
        <w:t>II. Jautājumi, par kuriem saskaņošanā vienošanās ir panākta</w:t>
      </w:r>
    </w:p>
    <w:tbl>
      <w:tblPr>
        <w:tblW w:w="14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92"/>
        <w:gridCol w:w="2203"/>
        <w:gridCol w:w="378"/>
        <w:gridCol w:w="4532"/>
        <w:gridCol w:w="1269"/>
        <w:gridCol w:w="2020"/>
        <w:gridCol w:w="3071"/>
      </w:tblGrid>
      <w:tr w:rsidR="000548C4" w:rsidRPr="00AC04F8" w14:paraId="48AD1A72" w14:textId="77777777" w:rsidTr="0068097A">
        <w:trPr>
          <w:gridBefore w:val="1"/>
          <w:wBefore w:w="113" w:type="dxa"/>
        </w:trPr>
        <w:tc>
          <w:tcPr>
            <w:tcW w:w="792" w:type="dxa"/>
          </w:tcPr>
          <w:p w14:paraId="2076A4CC" w14:textId="77777777" w:rsidR="00585FCA" w:rsidRPr="00AC04F8" w:rsidRDefault="00585FCA" w:rsidP="00B12893">
            <w:pPr>
              <w:pStyle w:val="naisnod"/>
              <w:jc w:val="center"/>
              <w:rPr>
                <w:color w:val="000000"/>
              </w:rPr>
            </w:pPr>
            <w:r w:rsidRPr="00AC04F8">
              <w:rPr>
                <w:color w:val="000000"/>
              </w:rPr>
              <w:t>Nr. p.k.</w:t>
            </w:r>
          </w:p>
        </w:tc>
        <w:tc>
          <w:tcPr>
            <w:tcW w:w="2581" w:type="dxa"/>
            <w:gridSpan w:val="2"/>
          </w:tcPr>
          <w:p w14:paraId="029CE62D" w14:textId="77777777" w:rsidR="00585FCA" w:rsidRPr="00AC04F8" w:rsidRDefault="00585FCA" w:rsidP="00B12893">
            <w:pPr>
              <w:pStyle w:val="naisnod"/>
              <w:jc w:val="center"/>
              <w:rPr>
                <w:color w:val="000000"/>
              </w:rPr>
            </w:pPr>
            <w:r w:rsidRPr="00AC04F8">
              <w:rPr>
                <w:color w:val="000000"/>
              </w:rPr>
              <w:t>Saskaņošanai nosūtītā projekta redakcija (konkrēta punkta (panta) redakcija)</w:t>
            </w:r>
          </w:p>
        </w:tc>
        <w:tc>
          <w:tcPr>
            <w:tcW w:w="4532" w:type="dxa"/>
          </w:tcPr>
          <w:p w14:paraId="58370B70" w14:textId="77777777" w:rsidR="00585FCA" w:rsidRPr="00AC04F8" w:rsidRDefault="00585FCA" w:rsidP="00B12893">
            <w:pPr>
              <w:pStyle w:val="naisnod"/>
              <w:jc w:val="center"/>
              <w:rPr>
                <w:color w:val="000000"/>
              </w:rPr>
            </w:pPr>
            <w:r w:rsidRPr="00AC04F8">
              <w:rPr>
                <w:color w:val="000000"/>
              </w:rPr>
              <w:t>Atzinumā norādītais ministrijas (citas institūcijas) iebildums, kā arī saskaņošanā papildus izteiktais iebildums par projekta konkrēto punktu (pantu)</w:t>
            </w:r>
          </w:p>
        </w:tc>
        <w:tc>
          <w:tcPr>
            <w:tcW w:w="3289" w:type="dxa"/>
            <w:gridSpan w:val="2"/>
          </w:tcPr>
          <w:p w14:paraId="52BE9F48" w14:textId="77777777" w:rsidR="00585FCA" w:rsidRPr="00AC04F8" w:rsidRDefault="00585FCA" w:rsidP="00B12893">
            <w:pPr>
              <w:pStyle w:val="naisnod"/>
              <w:jc w:val="center"/>
              <w:rPr>
                <w:color w:val="000000"/>
              </w:rPr>
            </w:pPr>
            <w:r w:rsidRPr="00AC04F8">
              <w:rPr>
                <w:color w:val="000000"/>
              </w:rPr>
              <w:t>Atbildīgās ministrijas norāde par to, ka iebildums ir ņemts vērā, vai informācija par saskaņošanā panākto alternatīvo risinājumu</w:t>
            </w:r>
          </w:p>
        </w:tc>
        <w:tc>
          <w:tcPr>
            <w:tcW w:w="3071" w:type="dxa"/>
          </w:tcPr>
          <w:p w14:paraId="75F16498" w14:textId="77777777" w:rsidR="00585FCA" w:rsidRPr="00AC04F8" w:rsidRDefault="00585FCA" w:rsidP="00B12893">
            <w:pPr>
              <w:pStyle w:val="naisnod"/>
              <w:jc w:val="center"/>
              <w:rPr>
                <w:color w:val="000000"/>
              </w:rPr>
            </w:pPr>
            <w:r w:rsidRPr="00AC04F8">
              <w:rPr>
                <w:color w:val="000000"/>
              </w:rPr>
              <w:t>Projekta attiecīgā punkta (panta) galīgā redakcija</w:t>
            </w:r>
          </w:p>
        </w:tc>
      </w:tr>
      <w:tr w:rsidR="000548C4" w:rsidRPr="00AC04F8" w14:paraId="0ADD399A" w14:textId="77777777" w:rsidTr="0068097A">
        <w:trPr>
          <w:gridBefore w:val="1"/>
          <w:wBefore w:w="113" w:type="dxa"/>
        </w:trPr>
        <w:tc>
          <w:tcPr>
            <w:tcW w:w="792" w:type="dxa"/>
          </w:tcPr>
          <w:p w14:paraId="33DC71BD" w14:textId="77777777" w:rsidR="00585FCA" w:rsidRPr="00AC04F8" w:rsidRDefault="00585FCA" w:rsidP="00B12893">
            <w:pPr>
              <w:pStyle w:val="naisnod"/>
              <w:jc w:val="center"/>
              <w:rPr>
                <w:color w:val="000000"/>
              </w:rPr>
            </w:pPr>
            <w:r w:rsidRPr="00AC04F8">
              <w:rPr>
                <w:color w:val="000000"/>
              </w:rPr>
              <w:t>1</w:t>
            </w:r>
          </w:p>
        </w:tc>
        <w:tc>
          <w:tcPr>
            <w:tcW w:w="2581" w:type="dxa"/>
            <w:gridSpan w:val="2"/>
          </w:tcPr>
          <w:p w14:paraId="2B042FD6" w14:textId="77777777" w:rsidR="00585FCA" w:rsidRPr="00AC04F8" w:rsidRDefault="00585FCA" w:rsidP="00B12893">
            <w:pPr>
              <w:pStyle w:val="naisnod"/>
              <w:jc w:val="center"/>
              <w:rPr>
                <w:color w:val="000000"/>
              </w:rPr>
            </w:pPr>
            <w:r w:rsidRPr="00AC04F8">
              <w:rPr>
                <w:color w:val="000000"/>
              </w:rPr>
              <w:t>2</w:t>
            </w:r>
          </w:p>
        </w:tc>
        <w:tc>
          <w:tcPr>
            <w:tcW w:w="4532" w:type="dxa"/>
          </w:tcPr>
          <w:p w14:paraId="5AABE5DB" w14:textId="77777777" w:rsidR="00585FCA" w:rsidRPr="00AC04F8" w:rsidRDefault="00585FCA" w:rsidP="00B12893">
            <w:pPr>
              <w:pStyle w:val="naisnod"/>
              <w:jc w:val="center"/>
              <w:rPr>
                <w:color w:val="000000"/>
              </w:rPr>
            </w:pPr>
            <w:r w:rsidRPr="00AC04F8">
              <w:rPr>
                <w:color w:val="000000"/>
              </w:rPr>
              <w:t>3</w:t>
            </w:r>
          </w:p>
        </w:tc>
        <w:tc>
          <w:tcPr>
            <w:tcW w:w="3289" w:type="dxa"/>
            <w:gridSpan w:val="2"/>
          </w:tcPr>
          <w:p w14:paraId="0F9DD67B" w14:textId="77777777" w:rsidR="00585FCA" w:rsidRPr="00AC04F8" w:rsidRDefault="00585FCA" w:rsidP="00B12893">
            <w:pPr>
              <w:pStyle w:val="naisnod"/>
              <w:jc w:val="center"/>
              <w:rPr>
                <w:color w:val="000000"/>
              </w:rPr>
            </w:pPr>
            <w:r w:rsidRPr="00AC04F8">
              <w:rPr>
                <w:color w:val="000000"/>
              </w:rPr>
              <w:t>4</w:t>
            </w:r>
          </w:p>
        </w:tc>
        <w:tc>
          <w:tcPr>
            <w:tcW w:w="3071" w:type="dxa"/>
          </w:tcPr>
          <w:p w14:paraId="3539F0F2" w14:textId="77777777" w:rsidR="00585FCA" w:rsidRPr="00AC04F8" w:rsidRDefault="00585FCA" w:rsidP="00B12893">
            <w:pPr>
              <w:pStyle w:val="naisnod"/>
              <w:jc w:val="center"/>
              <w:rPr>
                <w:color w:val="000000"/>
              </w:rPr>
            </w:pPr>
            <w:r w:rsidRPr="00AC04F8">
              <w:rPr>
                <w:color w:val="000000"/>
              </w:rPr>
              <w:t>5</w:t>
            </w:r>
          </w:p>
        </w:tc>
      </w:tr>
      <w:tr w:rsidR="00976112" w:rsidRPr="00AC04F8" w14:paraId="27FFD1D3" w14:textId="77777777" w:rsidTr="0068097A">
        <w:trPr>
          <w:gridBefore w:val="1"/>
          <w:wBefore w:w="113" w:type="dxa"/>
        </w:trPr>
        <w:tc>
          <w:tcPr>
            <w:tcW w:w="14265" w:type="dxa"/>
            <w:gridSpan w:val="7"/>
            <w:tcBorders>
              <w:left w:val="single" w:sz="4" w:space="0" w:color="auto"/>
              <w:bottom w:val="single" w:sz="4" w:space="0" w:color="auto"/>
              <w:right w:val="single" w:sz="4" w:space="0" w:color="auto"/>
            </w:tcBorders>
          </w:tcPr>
          <w:p w14:paraId="63F77992" w14:textId="01C57CF2" w:rsidR="00976112" w:rsidRPr="00AC04F8" w:rsidRDefault="000002B2" w:rsidP="00976112">
            <w:pPr>
              <w:jc w:val="center"/>
              <w:rPr>
                <w:b/>
                <w:color w:val="000000"/>
              </w:rPr>
            </w:pPr>
            <w:r>
              <w:rPr>
                <w:b/>
                <w:color w:val="000000"/>
              </w:rPr>
              <w:t xml:space="preserve">Finanšu </w:t>
            </w:r>
            <w:r w:rsidR="00FB6291" w:rsidRPr="00AC04F8">
              <w:rPr>
                <w:b/>
                <w:color w:val="000000"/>
              </w:rPr>
              <w:t>ministrija</w:t>
            </w:r>
          </w:p>
        </w:tc>
      </w:tr>
      <w:tr w:rsidR="000548C4" w:rsidRPr="00AC04F8" w14:paraId="44E461DE"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E82FA7F" w14:textId="15C67CC5" w:rsidR="00112DD0" w:rsidRDefault="000002B2" w:rsidP="00112DD0">
            <w:pPr>
              <w:pStyle w:val="naisnod"/>
              <w:jc w:val="center"/>
              <w:rPr>
                <w:color w:val="000000"/>
              </w:rPr>
            </w:pPr>
            <w:r>
              <w:rPr>
                <w:color w:val="000000"/>
              </w:rPr>
              <w:t>1.</w:t>
            </w:r>
          </w:p>
        </w:tc>
        <w:tc>
          <w:tcPr>
            <w:tcW w:w="2581" w:type="dxa"/>
            <w:gridSpan w:val="2"/>
            <w:tcBorders>
              <w:top w:val="single" w:sz="4" w:space="0" w:color="auto"/>
              <w:left w:val="single" w:sz="4" w:space="0" w:color="auto"/>
              <w:bottom w:val="single" w:sz="4" w:space="0" w:color="auto"/>
              <w:right w:val="single" w:sz="4" w:space="0" w:color="auto"/>
            </w:tcBorders>
          </w:tcPr>
          <w:p w14:paraId="43B59E0B" w14:textId="1B234070" w:rsidR="0062656D" w:rsidRPr="0062656D" w:rsidRDefault="006C74B1" w:rsidP="0062656D">
            <w:pPr>
              <w:ind w:right="12"/>
              <w:jc w:val="both"/>
              <w:rPr>
                <w:color w:val="000000" w:themeColor="text1"/>
              </w:rPr>
            </w:pPr>
            <w:r>
              <w:rPr>
                <w:color w:val="000000" w:themeColor="text1"/>
              </w:rPr>
              <w:t>“</w:t>
            </w:r>
            <w:r w:rsidR="0062656D" w:rsidRPr="0062656D">
              <w:rPr>
                <w:color w:val="000000" w:themeColor="text1"/>
              </w:rPr>
              <w:t>1.1. atbalstam ražotājiem lauksaimniecības, zivsaimniecības un pārtikas nozarē, tostarp cūkkopībā un mājputnu ražošanā, lai mazinātu Covid-19 izplatības negatīvo ietekmi, – finansējumu, kas nepārsniedz 24 200 000 </w:t>
            </w:r>
            <w:proofErr w:type="spellStart"/>
            <w:r w:rsidR="0062656D" w:rsidRPr="00F94C3E">
              <w:rPr>
                <w:i/>
                <w:color w:val="000000" w:themeColor="text1"/>
              </w:rPr>
              <w:t>euro</w:t>
            </w:r>
            <w:proofErr w:type="spellEnd"/>
            <w:r w:rsidR="0062656D" w:rsidRPr="0062656D">
              <w:rPr>
                <w:color w:val="000000" w:themeColor="text1"/>
              </w:rPr>
              <w:t>;</w:t>
            </w:r>
            <w:r>
              <w:rPr>
                <w:color w:val="000000" w:themeColor="text1"/>
              </w:rPr>
              <w:t>”</w:t>
            </w:r>
          </w:p>
          <w:p w14:paraId="297CD919" w14:textId="77777777" w:rsidR="0062656D" w:rsidRPr="0062656D" w:rsidRDefault="0062656D" w:rsidP="0062656D">
            <w:pPr>
              <w:ind w:right="12"/>
              <w:jc w:val="both"/>
              <w:rPr>
                <w:color w:val="000000" w:themeColor="text1"/>
              </w:rPr>
            </w:pPr>
          </w:p>
          <w:p w14:paraId="73DAB778" w14:textId="583F08CA" w:rsidR="0062656D" w:rsidRPr="0062656D" w:rsidRDefault="006C74B1" w:rsidP="0062656D">
            <w:pPr>
              <w:shd w:val="clear" w:color="auto" w:fill="FFFFFF"/>
              <w:spacing w:line="293" w:lineRule="atLeast"/>
              <w:ind w:right="12"/>
              <w:jc w:val="both"/>
              <w:rPr>
                <w:color w:val="000000" w:themeColor="text1"/>
              </w:rPr>
            </w:pPr>
            <w:r>
              <w:rPr>
                <w:color w:val="000000" w:themeColor="text1"/>
              </w:rPr>
              <w:t>“</w:t>
            </w:r>
            <w:r w:rsidR="0062656D" w:rsidRPr="0062656D">
              <w:rPr>
                <w:color w:val="000000" w:themeColor="text1"/>
              </w:rPr>
              <w:t xml:space="preserve">1.2. atbalstam sabiedrībai ar ierobežotu atbildību "Bulduru Dārzkopības vidusskola", lai mazinātu ārkārtas situācijas negatīvo ietekmi, veicot infrastruktūras avārijas remontdarbus, kā arī </w:t>
            </w:r>
            <w:r w:rsidR="0062656D" w:rsidRPr="0062656D">
              <w:rPr>
                <w:color w:val="000000" w:themeColor="text1"/>
              </w:rPr>
              <w:lastRenderedPageBreak/>
              <w:t xml:space="preserve">nodrošinot atbilstošu un drošu mācību vidi skolas audzēkņiem un skolas darbības nepārtrauktību, – finansējumu, kas nepārsniedz 1 300 000 </w:t>
            </w:r>
            <w:proofErr w:type="spellStart"/>
            <w:r w:rsidR="0062656D" w:rsidRPr="00F94C3E">
              <w:rPr>
                <w:i/>
                <w:color w:val="000000" w:themeColor="text1"/>
              </w:rPr>
              <w:t>euro</w:t>
            </w:r>
            <w:proofErr w:type="spellEnd"/>
            <w:r w:rsidR="0062656D" w:rsidRPr="0062656D">
              <w:rPr>
                <w:color w:val="000000" w:themeColor="text1"/>
              </w:rPr>
              <w:t>;</w:t>
            </w:r>
            <w:r>
              <w:rPr>
                <w:color w:val="000000" w:themeColor="text1"/>
              </w:rPr>
              <w:t>”</w:t>
            </w:r>
          </w:p>
          <w:p w14:paraId="079A40D3" w14:textId="77777777" w:rsidR="0062656D" w:rsidRPr="0062656D" w:rsidRDefault="0062656D" w:rsidP="0062656D">
            <w:pPr>
              <w:shd w:val="clear" w:color="auto" w:fill="FFFFFF"/>
              <w:spacing w:line="293" w:lineRule="atLeast"/>
              <w:ind w:right="12"/>
              <w:jc w:val="both"/>
              <w:rPr>
                <w:color w:val="000000" w:themeColor="text1"/>
              </w:rPr>
            </w:pPr>
          </w:p>
          <w:p w14:paraId="71D0A536" w14:textId="378A576D" w:rsidR="00112DD0" w:rsidRPr="0062656D" w:rsidRDefault="000002B2" w:rsidP="0062656D">
            <w:pPr>
              <w:shd w:val="clear" w:color="auto" w:fill="FFFFFF"/>
              <w:spacing w:line="293" w:lineRule="atLeast"/>
              <w:ind w:right="12"/>
              <w:jc w:val="both"/>
              <w:rPr>
                <w:color w:val="000000" w:themeColor="text1"/>
              </w:rPr>
            </w:pPr>
            <w:r w:rsidRPr="0062656D">
              <w:rPr>
                <w:color w:val="000000" w:themeColor="text1"/>
              </w:rPr>
              <w:t>Anotācijas I sadaļa un III sadaļa</w:t>
            </w:r>
            <w:r w:rsidR="002C4175">
              <w:rPr>
                <w:color w:val="000000" w:themeColor="text1"/>
              </w:rPr>
              <w:t>s</w:t>
            </w:r>
            <w:r w:rsidRPr="0062656D">
              <w:rPr>
                <w:color w:val="000000" w:themeColor="text1"/>
              </w:rPr>
              <w:t xml:space="preserve"> 6.punkts.</w:t>
            </w:r>
          </w:p>
        </w:tc>
        <w:tc>
          <w:tcPr>
            <w:tcW w:w="4532" w:type="dxa"/>
            <w:tcBorders>
              <w:top w:val="single" w:sz="4" w:space="0" w:color="auto"/>
              <w:left w:val="single" w:sz="4" w:space="0" w:color="auto"/>
              <w:bottom w:val="single" w:sz="4" w:space="0" w:color="auto"/>
              <w:right w:val="single" w:sz="4" w:space="0" w:color="auto"/>
            </w:tcBorders>
          </w:tcPr>
          <w:p w14:paraId="6C5F08F8" w14:textId="0DDAE7B7" w:rsidR="00112DD0" w:rsidRPr="004D02E3" w:rsidRDefault="000002B2" w:rsidP="00863B5F">
            <w:pPr>
              <w:ind w:right="12"/>
              <w:jc w:val="both"/>
            </w:pPr>
            <w:r w:rsidRPr="00BD2BF2">
              <w:rPr>
                <w:color w:val="000000" w:themeColor="text1"/>
              </w:rPr>
              <w:lastRenderedPageBreak/>
              <w:t>Par rīkojuma projekta iekļautajiem grozījumiem, kas paredz atbalstu ražotājiem lauksaimniecības, zivsaimniecības un pārtikas nozarē, tostarp cūkkopībā un mājputnu ražošanā, lai mazinātu Covid-19 izplatības negatīvo ietekmi, anotācijā sniegtais skaidrojums norāda, ka atbalsts ir nepieciešams, lai tai skaitā turpinātu 2020.</w:t>
            </w:r>
            <w:r w:rsidR="00F94C3E">
              <w:rPr>
                <w:color w:val="000000" w:themeColor="text1"/>
              </w:rPr>
              <w:t xml:space="preserve"> </w:t>
            </w:r>
            <w:r w:rsidRPr="00BD2BF2">
              <w:rPr>
                <w:color w:val="000000" w:themeColor="text1"/>
              </w:rPr>
              <w:t>gada ietvaros paredzētā atbalsta sniegšanu, kas tika piešķirts saskaņā ar Ministru kabineta 2020.gada 14.aprīļa noteikumiem Nr.219 “Kārtība, kādā piešķir, administrē un uzrauga valsts atbalstu lauksaimniecībai, lai mazinātu Covid-19 izplatības negatīvo ietekmi” (turpmāk – MK noteikumi Nr.</w:t>
            </w:r>
            <w:r w:rsidR="00F94C3E">
              <w:rPr>
                <w:color w:val="000000" w:themeColor="text1"/>
              </w:rPr>
              <w:t xml:space="preserve"> </w:t>
            </w:r>
            <w:r w:rsidRPr="00BD2BF2">
              <w:rPr>
                <w:color w:val="000000" w:themeColor="text1"/>
              </w:rPr>
              <w:t>219), jo atbalsta griestu dēļ daļa atbalsta pretendent</w:t>
            </w:r>
            <w:r>
              <w:rPr>
                <w:color w:val="000000" w:themeColor="text1"/>
              </w:rPr>
              <w:t>i</w:t>
            </w:r>
            <w:r w:rsidRPr="00BD2BF2">
              <w:rPr>
                <w:color w:val="000000" w:themeColor="text1"/>
              </w:rPr>
              <w:t xml:space="preserve"> nesaņēma visu tiem aprēķināto atbalstu, bet atsevišķiem pretendentiem atbalsts netika izmaksāts līdz 2020.</w:t>
            </w:r>
            <w:r w:rsidR="00F94C3E">
              <w:rPr>
                <w:color w:val="000000" w:themeColor="text1"/>
              </w:rPr>
              <w:t xml:space="preserve"> </w:t>
            </w:r>
            <w:r w:rsidRPr="00BD2BF2">
              <w:rPr>
                <w:color w:val="000000" w:themeColor="text1"/>
              </w:rPr>
              <w:t>gada 31.</w:t>
            </w:r>
            <w:r w:rsidR="00F94C3E">
              <w:rPr>
                <w:color w:val="000000" w:themeColor="text1"/>
              </w:rPr>
              <w:t xml:space="preserve"> </w:t>
            </w:r>
            <w:r w:rsidRPr="00BD2BF2">
              <w:rPr>
                <w:color w:val="000000" w:themeColor="text1"/>
              </w:rPr>
              <w:t>decembrim saistībā ar dažādām juridiskām procedūrām</w:t>
            </w:r>
            <w:r w:rsidRPr="0063548B">
              <w:rPr>
                <w:color w:val="000000" w:themeColor="text1"/>
              </w:rPr>
              <w:t xml:space="preserve">. Norādām, ka tādā veidā mērķis tiek paplašināts, tomēr vienlaikus atbalsta kopējais apmērs pret šobrīd spēkā esošo </w:t>
            </w:r>
            <w:r w:rsidRPr="0063548B">
              <w:rPr>
                <w:color w:val="000000" w:themeColor="text1"/>
              </w:rPr>
              <w:lastRenderedPageBreak/>
              <w:t xml:space="preserve">apmēru, tiek samazināts. </w:t>
            </w:r>
            <w:r w:rsidRPr="00BE7683">
              <w:rPr>
                <w:color w:val="000000" w:themeColor="text1"/>
              </w:rPr>
              <w:t>Ņemot vērā minēto, anotācijā nepieciešams skaidrot, kāpēc kopējais atbalsta apmērs ir samazināms, kādi apstākļi ir mainījušies pret sākotnējo situāciju, kā arī sniegt informāciju par precizēto atbalsta apmēra aprēķinu anotācijas III sadaļas 6.punktā.</w:t>
            </w:r>
          </w:p>
        </w:tc>
        <w:tc>
          <w:tcPr>
            <w:tcW w:w="3289" w:type="dxa"/>
            <w:gridSpan w:val="2"/>
            <w:tcBorders>
              <w:left w:val="single" w:sz="4" w:space="0" w:color="auto"/>
              <w:bottom w:val="single" w:sz="4" w:space="0" w:color="auto"/>
            </w:tcBorders>
          </w:tcPr>
          <w:p w14:paraId="4AAF9DFD" w14:textId="5B9BFF1A" w:rsidR="0062656D" w:rsidRDefault="0062656D" w:rsidP="00F539B3">
            <w:pPr>
              <w:ind w:right="12"/>
              <w:jc w:val="both"/>
              <w:rPr>
                <w:b/>
                <w:iCs/>
              </w:rPr>
            </w:pPr>
            <w:r w:rsidRPr="0062656D">
              <w:rPr>
                <w:b/>
                <w:iCs/>
              </w:rPr>
              <w:lastRenderedPageBreak/>
              <w:t>Ņemts vērā.</w:t>
            </w:r>
          </w:p>
          <w:p w14:paraId="0A96624A" w14:textId="314659F1" w:rsidR="0062656D" w:rsidRDefault="0062656D" w:rsidP="00F539B3">
            <w:pPr>
              <w:ind w:right="12"/>
              <w:jc w:val="both"/>
              <w:rPr>
                <w:color w:val="000000" w:themeColor="text1"/>
              </w:rPr>
            </w:pPr>
            <w:r w:rsidRPr="000465E2">
              <w:rPr>
                <w:iCs/>
              </w:rPr>
              <w:t>Rīkojumā projektā</w:t>
            </w:r>
            <w:r w:rsidR="004E3C69">
              <w:rPr>
                <w:iCs/>
              </w:rPr>
              <w:t xml:space="preserve"> </w:t>
            </w:r>
            <w:r w:rsidRPr="000465E2">
              <w:rPr>
                <w:iCs/>
              </w:rPr>
              <w:t>svītrots 1.2.</w:t>
            </w:r>
            <w:r w:rsidR="00415D69">
              <w:rPr>
                <w:iCs/>
              </w:rPr>
              <w:t> </w:t>
            </w:r>
            <w:r w:rsidRPr="000465E2">
              <w:rPr>
                <w:iCs/>
              </w:rPr>
              <w:t>apakšpunkts</w:t>
            </w:r>
            <w:r>
              <w:rPr>
                <w:iCs/>
              </w:rPr>
              <w:t xml:space="preserve">, kas paredzēja atbalstu SIA </w:t>
            </w:r>
            <w:r w:rsidRPr="00BD2BF2">
              <w:rPr>
                <w:color w:val="000000" w:themeColor="text1"/>
              </w:rPr>
              <w:t>“Bulduru Dārzkopības vidusskola”</w:t>
            </w:r>
            <w:r w:rsidR="004E3C69">
              <w:rPr>
                <w:color w:val="000000" w:themeColor="text1"/>
              </w:rPr>
              <w:t xml:space="preserve">, </w:t>
            </w:r>
            <w:r w:rsidR="00142FAF">
              <w:rPr>
                <w:color w:val="000000" w:themeColor="text1"/>
              </w:rPr>
              <w:t xml:space="preserve">un </w:t>
            </w:r>
            <w:r w:rsidR="004E3C69">
              <w:rPr>
                <w:color w:val="000000" w:themeColor="text1"/>
              </w:rPr>
              <w:t>attiecīgi precizē</w:t>
            </w:r>
            <w:r w:rsidR="00142FAF">
              <w:rPr>
                <w:color w:val="000000" w:themeColor="text1"/>
              </w:rPr>
              <w:t>ta</w:t>
            </w:r>
            <w:r w:rsidR="004E3C69">
              <w:rPr>
                <w:color w:val="000000" w:themeColor="text1"/>
              </w:rPr>
              <w:t xml:space="preserve"> anotācij</w:t>
            </w:r>
            <w:r w:rsidR="00142FAF">
              <w:rPr>
                <w:color w:val="000000" w:themeColor="text1"/>
              </w:rPr>
              <w:t>a</w:t>
            </w:r>
            <w:r w:rsidR="004E3C69">
              <w:rPr>
                <w:color w:val="000000" w:themeColor="text1"/>
              </w:rPr>
              <w:t>.</w:t>
            </w:r>
          </w:p>
          <w:p w14:paraId="64507C9F" w14:textId="77777777" w:rsidR="004E3C69" w:rsidRDefault="004E3C69" w:rsidP="00F539B3">
            <w:pPr>
              <w:ind w:right="12"/>
              <w:jc w:val="both"/>
              <w:rPr>
                <w:color w:val="000000" w:themeColor="text1"/>
              </w:rPr>
            </w:pPr>
          </w:p>
          <w:p w14:paraId="0C079AB6" w14:textId="63BA23B8" w:rsidR="00A50CFD" w:rsidRPr="00F539B3" w:rsidRDefault="00F94C3E" w:rsidP="00F539B3">
            <w:pPr>
              <w:ind w:right="12"/>
              <w:jc w:val="both"/>
              <w:rPr>
                <w:color w:val="000000" w:themeColor="text1"/>
              </w:rPr>
            </w:pPr>
            <w:r>
              <w:rPr>
                <w:iCs/>
              </w:rPr>
              <w:t>R</w:t>
            </w:r>
            <w:r w:rsidR="0062656D">
              <w:rPr>
                <w:iCs/>
              </w:rPr>
              <w:t xml:space="preserve">īkojuma projekts neparedz mainīt kopējo ar </w:t>
            </w:r>
            <w:r w:rsidR="0062656D" w:rsidRPr="00F539B3">
              <w:rPr>
                <w:color w:val="000000" w:themeColor="text1"/>
              </w:rPr>
              <w:t>Ministru kabinet</w:t>
            </w:r>
            <w:r w:rsidR="0062656D">
              <w:rPr>
                <w:color w:val="000000" w:themeColor="text1"/>
              </w:rPr>
              <w:t>a</w:t>
            </w:r>
            <w:r w:rsidR="0062656D" w:rsidRPr="00F539B3">
              <w:rPr>
                <w:color w:val="000000" w:themeColor="text1"/>
              </w:rPr>
              <w:t xml:space="preserve"> 2021. gada 17.</w:t>
            </w:r>
            <w:r w:rsidR="00142FAF">
              <w:rPr>
                <w:color w:val="000000" w:themeColor="text1"/>
              </w:rPr>
              <w:t> </w:t>
            </w:r>
            <w:r w:rsidR="0062656D" w:rsidRPr="00F539B3">
              <w:rPr>
                <w:color w:val="000000" w:themeColor="text1"/>
              </w:rPr>
              <w:t>februār</w:t>
            </w:r>
            <w:r w:rsidR="0062656D">
              <w:rPr>
                <w:color w:val="000000" w:themeColor="text1"/>
              </w:rPr>
              <w:t xml:space="preserve">a </w:t>
            </w:r>
            <w:r w:rsidR="0062656D" w:rsidRPr="00F539B3">
              <w:rPr>
                <w:color w:val="000000" w:themeColor="text1"/>
              </w:rPr>
              <w:t>rīkojum</w:t>
            </w:r>
            <w:r w:rsidR="0062656D">
              <w:rPr>
                <w:color w:val="000000" w:themeColor="text1"/>
              </w:rPr>
              <w:t>u</w:t>
            </w:r>
            <w:r w:rsidR="0062656D" w:rsidRPr="00F539B3">
              <w:rPr>
                <w:color w:val="000000" w:themeColor="text1"/>
              </w:rPr>
              <w:t xml:space="preserve"> Nr. 96 “Par finanšu līdzekļu piešķiršanu no valsts budžeta programmas “Līdzekļi neparedzētiem gadījumiem””</w:t>
            </w:r>
            <w:r w:rsidR="008D6538">
              <w:rPr>
                <w:color w:val="000000" w:themeColor="text1"/>
              </w:rPr>
              <w:t xml:space="preserve"> (turpmāk – MK rīkojums Nr.</w:t>
            </w:r>
            <w:r w:rsidR="00142FAF">
              <w:rPr>
                <w:color w:val="000000" w:themeColor="text1"/>
              </w:rPr>
              <w:t> </w:t>
            </w:r>
            <w:r w:rsidR="008D6538">
              <w:rPr>
                <w:color w:val="000000" w:themeColor="text1"/>
              </w:rPr>
              <w:t>96)</w:t>
            </w:r>
            <w:r w:rsidR="0062656D">
              <w:rPr>
                <w:iCs/>
              </w:rPr>
              <w:t xml:space="preserve"> piešķirto budžeta apmēru</w:t>
            </w:r>
            <w:r w:rsidR="008D6538">
              <w:rPr>
                <w:iCs/>
              </w:rPr>
              <w:t xml:space="preserve"> </w:t>
            </w:r>
            <w:r w:rsidR="008D6538" w:rsidRPr="00F539B3">
              <w:rPr>
                <w:color w:val="000000" w:themeColor="text1"/>
              </w:rPr>
              <w:t>Covid-19 krīzes seku mazināšanai un kapacitātes stiprināšanai lauksaimniecībā</w:t>
            </w:r>
            <w:r w:rsidR="008D6538">
              <w:rPr>
                <w:color w:val="000000" w:themeColor="text1"/>
              </w:rPr>
              <w:t xml:space="preserve">, proti, līdz </w:t>
            </w:r>
            <w:r w:rsidR="00A50CFD" w:rsidRPr="00F539B3">
              <w:rPr>
                <w:color w:val="000000" w:themeColor="text1"/>
              </w:rPr>
              <w:t xml:space="preserve">45 500 000 </w:t>
            </w:r>
            <w:proofErr w:type="spellStart"/>
            <w:r w:rsidR="00A50CFD" w:rsidRPr="00DC22F7">
              <w:rPr>
                <w:i/>
                <w:color w:val="000000" w:themeColor="text1"/>
              </w:rPr>
              <w:t>euro</w:t>
            </w:r>
            <w:proofErr w:type="spellEnd"/>
            <w:r w:rsidR="008D6538">
              <w:rPr>
                <w:color w:val="000000" w:themeColor="text1"/>
              </w:rPr>
              <w:t>.</w:t>
            </w:r>
            <w:r w:rsidR="00A50CFD" w:rsidRPr="00F539B3">
              <w:rPr>
                <w:color w:val="000000" w:themeColor="text1"/>
              </w:rPr>
              <w:t xml:space="preserve"> </w:t>
            </w:r>
          </w:p>
          <w:p w14:paraId="2DC95245" w14:textId="52643982" w:rsidR="00F539B3" w:rsidRPr="00F539B3" w:rsidRDefault="008D6538" w:rsidP="00F539B3">
            <w:pPr>
              <w:ind w:right="12"/>
              <w:jc w:val="both"/>
              <w:rPr>
                <w:color w:val="000000" w:themeColor="text1"/>
              </w:rPr>
            </w:pPr>
            <w:r>
              <w:rPr>
                <w:color w:val="000000" w:themeColor="text1"/>
              </w:rPr>
              <w:t>Tomēr r</w:t>
            </w:r>
            <w:r w:rsidR="00F539B3" w:rsidRPr="00F539B3">
              <w:rPr>
                <w:color w:val="000000" w:themeColor="text1"/>
              </w:rPr>
              <w:t>īkojuma projekt</w:t>
            </w:r>
            <w:r w:rsidR="00142FAF">
              <w:rPr>
                <w:color w:val="000000" w:themeColor="text1"/>
              </w:rPr>
              <w:t>ā</w:t>
            </w:r>
            <w:r w:rsidR="00F539B3" w:rsidRPr="00F539B3">
              <w:rPr>
                <w:color w:val="000000" w:themeColor="text1"/>
              </w:rPr>
              <w:t xml:space="preserve"> no kopējā budžeta 45 500</w:t>
            </w:r>
            <w:r w:rsidR="00415D69">
              <w:rPr>
                <w:color w:val="000000" w:themeColor="text1"/>
              </w:rPr>
              <w:t> </w:t>
            </w:r>
            <w:r w:rsidR="00F539B3" w:rsidRPr="00F539B3">
              <w:rPr>
                <w:color w:val="000000" w:themeColor="text1"/>
              </w:rPr>
              <w:t>000</w:t>
            </w:r>
            <w:r w:rsidR="00415D69">
              <w:rPr>
                <w:color w:val="000000" w:themeColor="text1"/>
              </w:rPr>
              <w:t> </w:t>
            </w:r>
            <w:proofErr w:type="spellStart"/>
            <w:r w:rsidR="00F539B3" w:rsidRPr="00DC22F7">
              <w:rPr>
                <w:i/>
                <w:color w:val="000000" w:themeColor="text1"/>
              </w:rPr>
              <w:t>euro</w:t>
            </w:r>
            <w:proofErr w:type="spellEnd"/>
            <w:r w:rsidR="00F539B3" w:rsidRPr="00F539B3">
              <w:rPr>
                <w:color w:val="000000" w:themeColor="text1"/>
              </w:rPr>
              <w:t xml:space="preserve"> </w:t>
            </w:r>
            <w:r w:rsidR="00F539B3" w:rsidRPr="00F539B3">
              <w:rPr>
                <w:color w:val="000000" w:themeColor="text1"/>
              </w:rPr>
              <w:lastRenderedPageBreak/>
              <w:t>paredzēt</w:t>
            </w:r>
            <w:r w:rsidR="00142FAF">
              <w:rPr>
                <w:color w:val="000000" w:themeColor="text1"/>
              </w:rPr>
              <w:t>s</w:t>
            </w:r>
            <w:r w:rsidR="00F539B3" w:rsidRPr="00F539B3">
              <w:rPr>
                <w:color w:val="000000" w:themeColor="text1"/>
              </w:rPr>
              <w:t xml:space="preserve"> finansējum</w:t>
            </w:r>
            <w:r w:rsidR="00142FAF">
              <w:rPr>
                <w:color w:val="000000" w:themeColor="text1"/>
              </w:rPr>
              <w:t>s</w:t>
            </w:r>
            <w:r w:rsidR="00F539B3" w:rsidRPr="00F539B3">
              <w:rPr>
                <w:color w:val="000000" w:themeColor="text1"/>
              </w:rPr>
              <w:t xml:space="preserve"> 25 500 000 </w:t>
            </w:r>
            <w:proofErr w:type="spellStart"/>
            <w:r w:rsidR="00F539B3" w:rsidRPr="00DC22F7">
              <w:rPr>
                <w:i/>
                <w:color w:val="000000" w:themeColor="text1"/>
              </w:rPr>
              <w:t>euro</w:t>
            </w:r>
            <w:proofErr w:type="spellEnd"/>
            <w:r w:rsidR="00F539B3" w:rsidRPr="00F539B3">
              <w:rPr>
                <w:color w:val="000000" w:themeColor="text1"/>
              </w:rPr>
              <w:t xml:space="preserve"> apmērā atbalstam ražotājiem, arī primārajiem ražotājiem, lauksaimniecības,</w:t>
            </w:r>
            <w:r w:rsidR="00DC22F7">
              <w:rPr>
                <w:color w:val="000000" w:themeColor="text1"/>
              </w:rPr>
              <w:t xml:space="preserve"> </w:t>
            </w:r>
            <w:r w:rsidR="00F539B3" w:rsidRPr="00F539B3">
              <w:rPr>
                <w:color w:val="000000" w:themeColor="text1"/>
              </w:rPr>
              <w:t>zivsaimniecības un pārtikas nozarē, tostarp cūkkopībā un mājputnu ražošanā, neizdalot konkrētas lauksaimniecības nozares</w:t>
            </w:r>
            <w:r>
              <w:rPr>
                <w:color w:val="000000" w:themeColor="text1"/>
              </w:rPr>
              <w:t xml:space="preserve">, kā tas </w:t>
            </w:r>
            <w:r w:rsidR="00415D69">
              <w:rPr>
                <w:color w:val="000000" w:themeColor="text1"/>
              </w:rPr>
              <w:t>pašlaik</w:t>
            </w:r>
            <w:r>
              <w:rPr>
                <w:color w:val="000000" w:themeColor="text1"/>
              </w:rPr>
              <w:t xml:space="preserve"> ir noteikts MK rīkojumā Nr. 96</w:t>
            </w:r>
            <w:r w:rsidR="00F539B3" w:rsidRPr="00F539B3">
              <w:rPr>
                <w:color w:val="000000" w:themeColor="text1"/>
              </w:rPr>
              <w:t>.</w:t>
            </w:r>
          </w:p>
          <w:p w14:paraId="684E256B" w14:textId="0757E7C8" w:rsidR="00F539B3" w:rsidRPr="00F539B3" w:rsidRDefault="008D6538" w:rsidP="00F539B3">
            <w:pPr>
              <w:ind w:right="12"/>
              <w:jc w:val="both"/>
              <w:rPr>
                <w:color w:val="000000" w:themeColor="text1"/>
              </w:rPr>
            </w:pPr>
            <w:r>
              <w:rPr>
                <w:color w:val="000000" w:themeColor="text1"/>
              </w:rPr>
              <w:t>Projekta m</w:t>
            </w:r>
            <w:r w:rsidR="00F539B3" w:rsidRPr="00F539B3">
              <w:rPr>
                <w:color w:val="000000" w:themeColor="text1"/>
              </w:rPr>
              <w:t xml:space="preserve">ērķis ir paredzēt atbalstu </w:t>
            </w:r>
            <w:r w:rsidRPr="00F539B3">
              <w:rPr>
                <w:color w:val="000000" w:themeColor="text1"/>
              </w:rPr>
              <w:t xml:space="preserve">ne tikai </w:t>
            </w:r>
            <w:r w:rsidR="00F539B3" w:rsidRPr="00F539B3">
              <w:rPr>
                <w:color w:val="000000" w:themeColor="text1"/>
              </w:rPr>
              <w:t>cūkkopības un mājputnu nozarē, bet arī citām nozarēm, jo:</w:t>
            </w:r>
          </w:p>
          <w:p w14:paraId="7BD76977" w14:textId="461A9D5B" w:rsidR="00E17B44" w:rsidRDefault="00075E2A" w:rsidP="004E3C69">
            <w:pPr>
              <w:ind w:right="12" w:firstLine="485"/>
              <w:jc w:val="both"/>
            </w:pPr>
            <w:r>
              <w:t xml:space="preserve">1) </w:t>
            </w:r>
            <w:r w:rsidR="00142FAF">
              <w:t>g</w:t>
            </w:r>
            <w:r w:rsidR="0062656D" w:rsidRPr="00075E2A">
              <w:t>an Latvijas, gan eksporta lauksaimniecības un pārtikas tirgū joprojām ir spēkā dažādi ierobežojumi, kas saistīti ar Covid-19 izplatības mazināšanu, un tirgus tendences liecina, ka situācija saglabājas nestabila un j</w:t>
            </w:r>
            <w:r w:rsidR="00CC4DEB">
              <w:t>ū</w:t>
            </w:r>
            <w:r w:rsidR="0062656D" w:rsidRPr="00075E2A">
              <w:t>tīga ne tikai cūkgaļas un mājputnu gaļas nozarē, bet arī liellopu audzēšanas un citās nozarēs</w:t>
            </w:r>
            <w:r w:rsidR="00F94C3E" w:rsidRPr="00075E2A">
              <w:t xml:space="preserve"> (</w:t>
            </w:r>
            <w:r w:rsidR="004E3C69" w:rsidRPr="004E3C69">
              <w:t>dārzkopības kultūru audzēšanas un zivsaimniecība</w:t>
            </w:r>
            <w:r w:rsidR="004E3C69">
              <w:t>s</w:t>
            </w:r>
            <w:r w:rsidR="00F94C3E" w:rsidRPr="00075E2A">
              <w:t>)</w:t>
            </w:r>
            <w:r w:rsidR="0062656D" w:rsidRPr="00075E2A">
              <w:t xml:space="preserve">. </w:t>
            </w:r>
            <w:r w:rsidR="0062656D">
              <w:t xml:space="preserve">Tādējādi </w:t>
            </w:r>
            <w:r w:rsidR="00415D69">
              <w:t xml:space="preserve">grozījumi </w:t>
            </w:r>
            <w:r w:rsidR="0062656D">
              <w:t>rīkojum</w:t>
            </w:r>
            <w:r w:rsidR="00415D69">
              <w:t>a</w:t>
            </w:r>
            <w:r w:rsidR="0062656D">
              <w:t xml:space="preserve"> projektā ļautu operatīvi rīkoties tirgus krīzes apstākļos</w:t>
            </w:r>
            <w:r w:rsidR="002E15DE">
              <w:t>;</w:t>
            </w:r>
          </w:p>
          <w:p w14:paraId="57B343DA" w14:textId="446A5E40" w:rsidR="004E3C69" w:rsidRPr="00AF702B" w:rsidRDefault="00075E2A">
            <w:pPr>
              <w:ind w:firstLine="536"/>
              <w:jc w:val="both"/>
            </w:pPr>
            <w:r>
              <w:lastRenderedPageBreak/>
              <w:t>2)</w:t>
            </w:r>
            <w:r w:rsidRPr="00075E2A">
              <w:t xml:space="preserve"> </w:t>
            </w:r>
            <w:r w:rsidR="004E3C69" w:rsidRPr="004E3C69">
              <w:t>Zemkopības ministrijas aprēķini liecina, ka laikā no 2020. gada novembra līdz 2021.</w:t>
            </w:r>
            <w:r w:rsidR="00142FAF">
              <w:t> </w:t>
            </w:r>
            <w:r w:rsidR="004E3C69" w:rsidRPr="004E3C69">
              <w:t>gada janvārim cūkkopības nozares ražotāju kopējie ieņēmumi bija samazinājušies par 36,1</w:t>
            </w:r>
            <w:r w:rsidR="00142FAF">
              <w:t> </w:t>
            </w:r>
            <w:r w:rsidR="004E3C69" w:rsidRPr="004E3C69">
              <w:t>% salīdzin</w:t>
            </w:r>
            <w:r w:rsidR="00142FAF">
              <w:t>ājumā</w:t>
            </w:r>
            <w:r w:rsidR="004E3C69" w:rsidRPr="004E3C69">
              <w:t xml:space="preserve"> ar vidējo </w:t>
            </w:r>
            <w:r w:rsidR="004E3C69" w:rsidRPr="00AF702B">
              <w:t xml:space="preserve">ceturkšņa rādītāju 2019. gadā. </w:t>
            </w:r>
            <w:r w:rsidR="00706661" w:rsidRPr="00AF702B">
              <w:rPr>
                <w:bCs/>
              </w:rPr>
              <w:t xml:space="preserve">Nozares ražotāju kopējie ieņēmumi tiek aprēķināti kā kautuvēm Latvijā realizēto cūku vērtības un eksportēto dzīvo cūku (tostarp sivēnu) vērtības summa. </w:t>
            </w:r>
            <w:r w:rsidR="002E15DE" w:rsidRPr="00AF702B">
              <w:rPr>
                <w:bCs/>
              </w:rPr>
              <w:t>Nozares ražotāju kopējo ieņēmumu izmaiņas apr</w:t>
            </w:r>
            <w:r w:rsidR="00706661" w:rsidRPr="00AF702B">
              <w:rPr>
                <w:bCs/>
              </w:rPr>
              <w:t>ēķin</w:t>
            </w:r>
            <w:r w:rsidR="002E15DE" w:rsidRPr="00AF702B">
              <w:rPr>
                <w:bCs/>
              </w:rPr>
              <w:t>a</w:t>
            </w:r>
            <w:r w:rsidR="00706661" w:rsidRPr="00AF702B">
              <w:rPr>
                <w:bCs/>
              </w:rPr>
              <w:t xml:space="preserve"> Zemkopības ministrija, izmantojot Centrālās Statistikas pārvaldes</w:t>
            </w:r>
            <w:r w:rsidR="007C285C" w:rsidRPr="00AF702B">
              <w:rPr>
                <w:bCs/>
              </w:rPr>
              <w:t xml:space="preserve"> (turpmāk – CSP)</w:t>
            </w:r>
            <w:r w:rsidR="00706661" w:rsidRPr="00AF702B">
              <w:rPr>
                <w:bCs/>
              </w:rPr>
              <w:t xml:space="preserve"> datus par kautuvēs nokauto cūku skaitu un vidējo cenu (veidlapas LAL040m un LAC020m) un par eksportēto dzīvu cūku skaitu un vērtību (veidlapa ATD080m).</w:t>
            </w:r>
          </w:p>
          <w:p w14:paraId="133EDCC9" w14:textId="06138082" w:rsidR="004E3C69" w:rsidRDefault="004E3C69" w:rsidP="004E3C69">
            <w:pPr>
              <w:ind w:firstLine="536"/>
              <w:jc w:val="both"/>
              <w:rPr>
                <w:b/>
              </w:rPr>
            </w:pPr>
            <w:r w:rsidRPr="00AF702B">
              <w:t xml:space="preserve">Kopš š.g. marta situācija cūkkopības nozarē uzlabojas, kaut arī cenas joprojām ir zemākas nekā pagājušajā gadā: </w:t>
            </w:r>
            <w:r w:rsidR="00706661" w:rsidRPr="00AF702B">
              <w:t xml:space="preserve">pēc </w:t>
            </w:r>
            <w:proofErr w:type="spellStart"/>
            <w:r w:rsidR="00706661" w:rsidRPr="00AF702B">
              <w:t>Agroresursu</w:t>
            </w:r>
            <w:proofErr w:type="spellEnd"/>
            <w:r w:rsidR="00706661" w:rsidRPr="00AF702B">
              <w:t xml:space="preserve"> un ekonomikas institūta (turpmāk – AREI) datiem</w:t>
            </w:r>
            <w:r w:rsidR="002E15DE" w:rsidRPr="00AF702B">
              <w:t>,</w:t>
            </w:r>
            <w:r w:rsidR="00706661" w:rsidRPr="00AF702B">
              <w:t xml:space="preserve"> </w:t>
            </w:r>
            <w:r w:rsidRPr="00AF702B">
              <w:t xml:space="preserve">cūkgaļas (S un E klases) </w:t>
            </w:r>
            <w:r w:rsidRPr="00AF702B">
              <w:lastRenderedPageBreak/>
              <w:t>vidējās</w:t>
            </w:r>
            <w:r w:rsidRPr="004E3C69">
              <w:t xml:space="preserve"> iepirkuma cenas Latvijā 2021.</w:t>
            </w:r>
            <w:r w:rsidR="002E15DE">
              <w:t> </w:t>
            </w:r>
            <w:r w:rsidRPr="004E3C69">
              <w:t>gada 26. aprīlī bija attiecīgi par 17,7% un 19,2% zemākas nekā pirms gada. Tādējādi 2021. gada februārī ieņēmumu samazinājums salīdzin</w:t>
            </w:r>
            <w:r w:rsidR="00142FAF">
              <w:t>ājumā</w:t>
            </w:r>
            <w:r w:rsidRPr="004E3C69">
              <w:t xml:space="preserve"> ar 2019. gada vidējo mēneša rādītāju, pēc Zemkopības ministrijas aprēķiniem</w:t>
            </w:r>
            <w:r w:rsidR="00142FAF">
              <w:t>,</w:t>
            </w:r>
            <w:r w:rsidRPr="004E3C69">
              <w:t xml:space="preserve"> sasniedz 23 %</w:t>
            </w:r>
            <w:r w:rsidR="00142FAF">
              <w:t>,</w:t>
            </w:r>
            <w:r w:rsidRPr="004E3C69">
              <w:t xml:space="preserve"> un šādu samazinājuma apmēru var prognozēt visam laikposmam no 2021. gada februāra līdz aprīlim.</w:t>
            </w:r>
          </w:p>
          <w:p w14:paraId="6DA8D5A5" w14:textId="3535A38A" w:rsidR="004E3C69" w:rsidRPr="004E3C69" w:rsidRDefault="004E3C69" w:rsidP="004E3C69">
            <w:pPr>
              <w:ind w:firstLine="536"/>
              <w:jc w:val="both"/>
            </w:pPr>
            <w:r>
              <w:t>Turklāt, ievērojot</w:t>
            </w:r>
            <w:r w:rsidRPr="009A717C">
              <w:t xml:space="preserve"> prognoz</w:t>
            </w:r>
            <w:r>
              <w:t>es</w:t>
            </w:r>
            <w:r w:rsidRPr="009A717C">
              <w:t xml:space="preserve"> par situācijas uzlabošanos kopumā gan ES, gan pasaulē saistībā ar Covid-19 izplatības samazināšanos un ierobežojumu pakāpenisku mazināšanu, </w:t>
            </w:r>
            <w:r>
              <w:t>patlaban</w:t>
            </w:r>
            <w:r w:rsidRPr="009A717C">
              <w:t xml:space="preserve"> var </w:t>
            </w:r>
            <w:r>
              <w:t>uzskatīt</w:t>
            </w:r>
            <w:r w:rsidRPr="009A717C">
              <w:t>, ka līdz gada beigām cūkaudzētāju ieņēmumu samazinājums būs ievērojami mazāks</w:t>
            </w:r>
            <w:r>
              <w:t>,</w:t>
            </w:r>
            <w:r w:rsidRPr="009A717C">
              <w:t xml:space="preserve"> nekā tas bija laikā no 2020. gada novembra līdz 2021.</w:t>
            </w:r>
            <w:r w:rsidR="00142FAF">
              <w:t> </w:t>
            </w:r>
            <w:r w:rsidRPr="009A717C">
              <w:t>gada janvārim</w:t>
            </w:r>
            <w:r w:rsidRPr="004E3C69">
              <w:t>. Tādējādi laikposmam no 2021. gada maija līdz jūlijam un laikposmam no augusta līdz septembri salīdzin</w:t>
            </w:r>
            <w:r w:rsidR="00142FAF">
              <w:t>ājumā</w:t>
            </w:r>
            <w:r w:rsidRPr="004E3C69">
              <w:t xml:space="preserve"> ar 2019.</w:t>
            </w:r>
            <w:r w:rsidR="00142FAF">
              <w:t> </w:t>
            </w:r>
            <w:r w:rsidRPr="004E3C69">
              <w:t xml:space="preserve">gada vidējo mēneša </w:t>
            </w:r>
            <w:r w:rsidRPr="004E3C69">
              <w:lastRenderedPageBreak/>
              <w:t>rādītāju tiek prognozēts, ka ieņēmumu samazinājums varētu sasniegt attiecīgi 7</w:t>
            </w:r>
            <w:r w:rsidR="00CC4DEB">
              <w:t> </w:t>
            </w:r>
            <w:r w:rsidRPr="004E3C69">
              <w:t>un 5</w:t>
            </w:r>
            <w:r w:rsidR="00142FAF">
              <w:t> </w:t>
            </w:r>
            <w:r w:rsidRPr="004E3C69">
              <w:t>procentus.</w:t>
            </w:r>
          </w:p>
          <w:p w14:paraId="0BF62B2F" w14:textId="7155D5C0" w:rsidR="00075E2A" w:rsidRPr="004E3C69" w:rsidRDefault="004E3C69" w:rsidP="004E3C69">
            <w:pPr>
              <w:ind w:firstLine="536"/>
              <w:jc w:val="both"/>
            </w:pPr>
            <w:r w:rsidRPr="004E3C69">
              <w:t>Kopumā var prognozēt, ka</w:t>
            </w:r>
            <w:r w:rsidR="00142FAF">
              <w:t>,</w:t>
            </w:r>
            <w:r w:rsidRPr="004E3C69">
              <w:t xml:space="preserve"> situācija</w:t>
            </w:r>
            <w:r w:rsidR="00142FAF">
              <w:t>i</w:t>
            </w:r>
            <w:r w:rsidRPr="004E3C69">
              <w:t xml:space="preserve"> uzlabo</w:t>
            </w:r>
            <w:r w:rsidR="00142FAF">
              <w:t>joties,</w:t>
            </w:r>
            <w:r w:rsidR="00142FAF" w:rsidRPr="004E3C69">
              <w:t xml:space="preserve"> </w:t>
            </w:r>
            <w:r w:rsidRPr="004E3C69">
              <w:t xml:space="preserve">netiks izmantots viss piešķirtais finansējums, tādējādi finansējums cūkkopības nozarei var tikt samazināts no 14 500 000 </w:t>
            </w:r>
            <w:proofErr w:type="spellStart"/>
            <w:r w:rsidRPr="004E3C69">
              <w:rPr>
                <w:i/>
              </w:rPr>
              <w:t>euro</w:t>
            </w:r>
            <w:proofErr w:type="spellEnd"/>
            <w:r w:rsidRPr="004E3C69">
              <w:rPr>
                <w:i/>
              </w:rPr>
              <w:t xml:space="preserve"> </w:t>
            </w:r>
            <w:r w:rsidRPr="004E3C69">
              <w:t xml:space="preserve">uz 12 700 000 </w:t>
            </w:r>
            <w:proofErr w:type="spellStart"/>
            <w:r w:rsidRPr="004E3C69">
              <w:rPr>
                <w:i/>
              </w:rPr>
              <w:t>euro</w:t>
            </w:r>
            <w:proofErr w:type="spellEnd"/>
            <w:r w:rsidR="00142FAF">
              <w:t>;</w:t>
            </w:r>
          </w:p>
          <w:p w14:paraId="4F2F6979" w14:textId="6C45FA7E" w:rsidR="00BE7683" w:rsidRPr="00BE7683" w:rsidRDefault="00F94C3E" w:rsidP="00BE7683">
            <w:pPr>
              <w:ind w:firstLine="536"/>
              <w:jc w:val="both"/>
            </w:pPr>
            <w:r w:rsidRPr="00F94C3E">
              <w:t>3)</w:t>
            </w:r>
            <w:r w:rsidR="004E3C69">
              <w:t xml:space="preserve"> </w:t>
            </w:r>
            <w:r w:rsidR="007C285C">
              <w:t>m</w:t>
            </w:r>
            <w:r w:rsidR="007C285C" w:rsidRPr="00B0191C">
              <w:t>ājputnu gaļas nozarē</w:t>
            </w:r>
            <w:r w:rsidR="002E15DE">
              <w:t>,</w:t>
            </w:r>
            <w:r w:rsidR="007C285C">
              <w:t xml:space="preserve"> </w:t>
            </w:r>
            <w:r w:rsidR="007C285C" w:rsidRPr="00AF702B">
              <w:t>pēc Zemkopības ministrijas aprēķiniem, ņemot vērā CSP un AREI datus, laikā</w:t>
            </w:r>
            <w:r w:rsidR="007C285C" w:rsidRPr="00BE7683">
              <w:t xml:space="preserve"> </w:t>
            </w:r>
            <w:r w:rsidR="00BE7683" w:rsidRPr="00BE7683">
              <w:t>no 2021. gada janvāra līdz martam salīdzin</w:t>
            </w:r>
            <w:r w:rsidR="00142FAF">
              <w:t>ājumā</w:t>
            </w:r>
            <w:r w:rsidR="00BE7683" w:rsidRPr="00BE7683">
              <w:t xml:space="preserve"> ar tādu pašu laikposmu 2020.</w:t>
            </w:r>
            <w:r w:rsidR="00CC4DEB">
              <w:t> </w:t>
            </w:r>
            <w:r w:rsidR="00BE7683" w:rsidRPr="00BE7683">
              <w:t xml:space="preserve">gadā ieņēmumi </w:t>
            </w:r>
            <w:r w:rsidR="00142FAF">
              <w:t xml:space="preserve">ir </w:t>
            </w:r>
            <w:r w:rsidR="00BE7683" w:rsidRPr="00BE7683">
              <w:t>samazinājušies par 8</w:t>
            </w:r>
            <w:r w:rsidR="00142FAF">
              <w:t> </w:t>
            </w:r>
            <w:r w:rsidR="00BE7683" w:rsidRPr="00BE7683">
              <w:t>%. Savukārt olu ražošanas nozarē laikā no 2021.</w:t>
            </w:r>
            <w:r w:rsidR="00CC4DEB">
              <w:t> </w:t>
            </w:r>
            <w:r w:rsidR="00BE7683" w:rsidRPr="00BE7683">
              <w:t>gada janvāra līdz martam salīdzin</w:t>
            </w:r>
            <w:r w:rsidR="00142FAF">
              <w:t>ājumā</w:t>
            </w:r>
            <w:r w:rsidR="00BE7683" w:rsidRPr="00BE7683">
              <w:t xml:space="preserve"> ar tādu pašu laikposmu 2020.</w:t>
            </w:r>
            <w:r w:rsidR="00142FAF">
              <w:t> </w:t>
            </w:r>
            <w:r w:rsidR="00BE7683" w:rsidRPr="00BE7683">
              <w:t xml:space="preserve">gadā ieņēmumi </w:t>
            </w:r>
            <w:r w:rsidR="00142FAF">
              <w:t xml:space="preserve">ir </w:t>
            </w:r>
            <w:r w:rsidR="00BE7683" w:rsidRPr="00BE7683">
              <w:t>samazinājušies par 9</w:t>
            </w:r>
            <w:r w:rsidR="00142FAF">
              <w:t> </w:t>
            </w:r>
            <w:r w:rsidR="00BE7683" w:rsidRPr="00BE7683">
              <w:t xml:space="preserve">%. </w:t>
            </w:r>
          </w:p>
          <w:p w14:paraId="68EE2C7C" w14:textId="5B30D074" w:rsidR="00BE7683" w:rsidRPr="00AF702B" w:rsidRDefault="00BE7683" w:rsidP="00BE7683">
            <w:pPr>
              <w:ind w:firstLine="536"/>
              <w:jc w:val="both"/>
            </w:pPr>
            <w:proofErr w:type="spellStart"/>
            <w:r w:rsidRPr="00BE7683">
              <w:rPr>
                <w:i/>
              </w:rPr>
              <w:t>Horeca</w:t>
            </w:r>
            <w:proofErr w:type="spellEnd"/>
            <w:r w:rsidR="00CC4DEB">
              <w:t> </w:t>
            </w:r>
            <w:r w:rsidRPr="00BE7683">
              <w:t xml:space="preserve">sektorā samazinājās pieprasījums pēc olām, tādēļ liels apjoms olu, kas paredzētas pārdošanai svaigā veidā, tiek novirzīts uz </w:t>
            </w:r>
            <w:r w:rsidRPr="00BE7683">
              <w:lastRenderedPageBreak/>
              <w:t>pārstrādi, kur to iepirkuma cena ir par 40 % zemāka</w:t>
            </w:r>
            <w:r w:rsidRPr="00AF702B">
              <w:t xml:space="preserve">. </w:t>
            </w:r>
            <w:r w:rsidR="00D30512" w:rsidRPr="00AF702B">
              <w:t xml:space="preserve">Saskaņā ar AREI datiem vistu </w:t>
            </w:r>
            <w:r w:rsidRPr="00AF702B">
              <w:t>olu  iepirkuma cena 2021.</w:t>
            </w:r>
            <w:r w:rsidR="00CC4DEB">
              <w:t> </w:t>
            </w:r>
            <w:r w:rsidRPr="00AF702B">
              <w:t>gada martā salīdzin</w:t>
            </w:r>
            <w:r w:rsidR="00142FAF" w:rsidRPr="00AF702B">
              <w:t>ājumā</w:t>
            </w:r>
            <w:r w:rsidRPr="00AF702B">
              <w:t xml:space="preserve"> ar 2020.</w:t>
            </w:r>
            <w:r w:rsidR="00142FAF" w:rsidRPr="00AF702B">
              <w:t> </w:t>
            </w:r>
            <w:r w:rsidRPr="00AF702B">
              <w:t>gada martu ir samazinājusies: XL</w:t>
            </w:r>
            <w:r w:rsidR="00CC4DEB">
              <w:t> </w:t>
            </w:r>
            <w:r w:rsidRPr="00AF702B">
              <w:t>klases olām</w:t>
            </w:r>
            <w:r w:rsidR="00142FAF" w:rsidRPr="00AF702B">
              <w:t> –</w:t>
            </w:r>
            <w:r w:rsidRPr="00AF702B">
              <w:t xml:space="preserve"> par 13%</w:t>
            </w:r>
            <w:r w:rsidR="00142FAF" w:rsidRPr="00AF702B">
              <w:t>,</w:t>
            </w:r>
            <w:r w:rsidRPr="00AF702B">
              <w:t xml:space="preserve"> S klasēs olām par </w:t>
            </w:r>
            <w:r w:rsidR="00142FAF" w:rsidRPr="00AF702B">
              <w:t xml:space="preserve">– </w:t>
            </w:r>
            <w:r w:rsidRPr="00AF702B">
              <w:t xml:space="preserve">11% un M klases olām </w:t>
            </w:r>
            <w:r w:rsidR="00142FAF" w:rsidRPr="00AF702B">
              <w:t xml:space="preserve">– </w:t>
            </w:r>
            <w:r w:rsidRPr="00AF702B">
              <w:t>par 1%.</w:t>
            </w:r>
          </w:p>
          <w:p w14:paraId="142D6F9C" w14:textId="44A205E4" w:rsidR="00BE7683" w:rsidRPr="00BE7683" w:rsidRDefault="00D30512" w:rsidP="00BE7683">
            <w:pPr>
              <w:ind w:firstLine="536"/>
              <w:jc w:val="both"/>
            </w:pPr>
            <w:r w:rsidRPr="00AF702B">
              <w:t>Saskaņā ar CSP datiem</w:t>
            </w:r>
            <w:r>
              <w:t xml:space="preserve"> m</w:t>
            </w:r>
            <w:r w:rsidR="00BE7683" w:rsidRPr="00BE7683">
              <w:t>azumtirdzniecības cenas vistas gaļai 2021. gada martā salīdzin</w:t>
            </w:r>
            <w:r w:rsidR="00142FAF">
              <w:t>ājumā</w:t>
            </w:r>
            <w:r w:rsidR="00BE7683" w:rsidRPr="00BE7683">
              <w:t xml:space="preserve"> ar 2020.</w:t>
            </w:r>
            <w:r w:rsidR="00142FAF">
              <w:t> </w:t>
            </w:r>
            <w:r w:rsidR="00BE7683" w:rsidRPr="00BE7683">
              <w:t>gada martu ir samazinājusies</w:t>
            </w:r>
            <w:r w:rsidR="00142FAF">
              <w:t>:</w:t>
            </w:r>
            <w:r w:rsidR="00BE7683" w:rsidRPr="00BE7683">
              <w:t xml:space="preserve"> vistas </w:t>
            </w:r>
            <w:r w:rsidR="00142FAF" w:rsidRPr="00BE7683">
              <w:t>filejai</w:t>
            </w:r>
            <w:r w:rsidR="002E15DE">
              <w:t xml:space="preserve"> </w:t>
            </w:r>
            <w:r w:rsidR="00142FAF">
              <w:t xml:space="preserve">– </w:t>
            </w:r>
            <w:r w:rsidR="00BE7683" w:rsidRPr="00BE7683">
              <w:t>par 7 %, vistu stilbiem</w:t>
            </w:r>
            <w:r w:rsidR="002E15DE">
              <w:t> </w:t>
            </w:r>
            <w:r w:rsidR="00142FAF">
              <w:t xml:space="preserve">– </w:t>
            </w:r>
            <w:r w:rsidR="00BE7683" w:rsidRPr="00BE7683">
              <w:t>par 11</w:t>
            </w:r>
            <w:r w:rsidR="00142FAF">
              <w:t> </w:t>
            </w:r>
            <w:r w:rsidR="00BE7683" w:rsidRPr="00BE7683">
              <w:t>%, bet vistai (veselam cālim)</w:t>
            </w:r>
            <w:r w:rsidR="00142FAF">
              <w:t> –</w:t>
            </w:r>
            <w:r w:rsidR="00BE7683" w:rsidRPr="00BE7683">
              <w:t xml:space="preserve"> par 2 %.</w:t>
            </w:r>
          </w:p>
          <w:p w14:paraId="2E1F6FFE" w14:textId="7AB9EAB2" w:rsidR="00BE7683" w:rsidRPr="00BE7683" w:rsidRDefault="00BE7683" w:rsidP="00BE7683">
            <w:pPr>
              <w:ind w:firstLine="536"/>
              <w:jc w:val="both"/>
            </w:pPr>
            <w:r w:rsidRPr="00BE7683">
              <w:t>Eksporta apjom</w:t>
            </w:r>
            <w:r w:rsidR="00142FAF">
              <w:t>s</w:t>
            </w:r>
            <w:r w:rsidR="002E15DE">
              <w:t>,</w:t>
            </w:r>
            <w:r w:rsidRPr="00BE7683">
              <w:t xml:space="preserve"> </w:t>
            </w:r>
            <w:r w:rsidR="00D30512" w:rsidRPr="00AF702B">
              <w:t xml:space="preserve">pēc </w:t>
            </w:r>
            <w:r w:rsidR="00D30512" w:rsidRPr="00AF702B">
              <w:rPr>
                <w:i/>
              </w:rPr>
              <w:t>Eurostat</w:t>
            </w:r>
            <w:r w:rsidR="00D30512" w:rsidRPr="00AF702B">
              <w:t xml:space="preserve"> datiem</w:t>
            </w:r>
            <w:r w:rsidR="002E15DE" w:rsidRPr="00AF702B">
              <w:t>,</w:t>
            </w:r>
            <w:r w:rsidR="00D30512" w:rsidRPr="00AF702B">
              <w:t xml:space="preserve"> </w:t>
            </w:r>
            <w:r w:rsidRPr="00AF702B">
              <w:t>svaigām olām un mājputnu gaļai 2020.</w:t>
            </w:r>
            <w:r w:rsidR="00142FAF" w:rsidRPr="00AF702B">
              <w:t> </w:t>
            </w:r>
            <w:r w:rsidRPr="00AF702B">
              <w:t>ga</w:t>
            </w:r>
            <w:r w:rsidRPr="00BE7683">
              <w:t>dā salīdzin</w:t>
            </w:r>
            <w:r w:rsidR="00142FAF">
              <w:t>ājumā</w:t>
            </w:r>
            <w:r w:rsidRPr="00BE7683">
              <w:t xml:space="preserve"> ar 2019.</w:t>
            </w:r>
            <w:r w:rsidR="00142FAF">
              <w:t> </w:t>
            </w:r>
            <w:r w:rsidRPr="00BE7683">
              <w:t>gadu ir samazinājies par aptuveni 11</w:t>
            </w:r>
            <w:r w:rsidR="002E15DE">
              <w:t> </w:t>
            </w:r>
            <w:r w:rsidRPr="00BE7683">
              <w:t>milj.</w:t>
            </w:r>
            <w:r w:rsidR="00CC4DEB">
              <w:t> </w:t>
            </w:r>
            <w:proofErr w:type="spellStart"/>
            <w:r w:rsidRPr="00BE7683">
              <w:rPr>
                <w:i/>
              </w:rPr>
              <w:t>euro</w:t>
            </w:r>
            <w:proofErr w:type="spellEnd"/>
            <w:r w:rsidRPr="00BE7683">
              <w:t>. 2020.</w:t>
            </w:r>
            <w:r w:rsidR="00142FAF">
              <w:t> </w:t>
            </w:r>
            <w:r w:rsidRPr="00BE7683">
              <w:t>gadā salīdzin</w:t>
            </w:r>
            <w:r w:rsidR="00142FAF">
              <w:t>ājumā</w:t>
            </w:r>
            <w:r w:rsidRPr="00BE7683">
              <w:t xml:space="preserve"> ar 2019.</w:t>
            </w:r>
            <w:r w:rsidR="00142FAF">
              <w:t> </w:t>
            </w:r>
            <w:r w:rsidRPr="00BE7683">
              <w:t>gadu būtiski ir samazinājies eksports</w:t>
            </w:r>
            <w:r w:rsidR="00142FAF">
              <w:t>:</w:t>
            </w:r>
            <w:r w:rsidRPr="00BE7683">
              <w:t xml:space="preserve"> vistas gaļai </w:t>
            </w:r>
            <w:r w:rsidR="00142FAF">
              <w:t xml:space="preserve">– </w:t>
            </w:r>
            <w:r w:rsidRPr="00BE7683">
              <w:t xml:space="preserve">par 16 %, </w:t>
            </w:r>
            <w:r w:rsidR="00142FAF" w:rsidRPr="00BE7683">
              <w:t>olām</w:t>
            </w:r>
            <w:r w:rsidR="002E15DE">
              <w:t> </w:t>
            </w:r>
            <w:r w:rsidR="00142FAF">
              <w:t xml:space="preserve">– </w:t>
            </w:r>
            <w:r w:rsidRPr="00BE7683">
              <w:t>par 23</w:t>
            </w:r>
            <w:r w:rsidR="00142FAF">
              <w:t> </w:t>
            </w:r>
            <w:r w:rsidRPr="00BE7683">
              <w:t>%. Arī 2021. gadā ir novērojams būtisks eksporta samazinājums attiecībā pret 2020. gadu. Periodā no 2021.</w:t>
            </w:r>
            <w:r w:rsidR="00142FAF">
              <w:t> </w:t>
            </w:r>
            <w:r w:rsidRPr="00BE7683">
              <w:t xml:space="preserve">gada janvāra līdz martam </w:t>
            </w:r>
            <w:r w:rsidRPr="00BE7683">
              <w:lastRenderedPageBreak/>
              <w:t>salīdzin</w:t>
            </w:r>
            <w:r w:rsidR="00142FAF">
              <w:t>ājumā</w:t>
            </w:r>
            <w:r w:rsidRPr="00BE7683">
              <w:t xml:space="preserve"> ar at</w:t>
            </w:r>
            <w:r w:rsidR="00142FAF">
              <w:t>bilstošo</w:t>
            </w:r>
            <w:r w:rsidRPr="00BE7683">
              <w:t xml:space="preserve"> periodu 2020. gadā vistas gaļa</w:t>
            </w:r>
            <w:r w:rsidR="00142FAF">
              <w:t>s</w:t>
            </w:r>
            <w:r w:rsidRPr="00BE7683">
              <w:t xml:space="preserve"> </w:t>
            </w:r>
            <w:r w:rsidR="00142FAF" w:rsidRPr="00BE7683">
              <w:t xml:space="preserve">eksports </w:t>
            </w:r>
            <w:r w:rsidRPr="00BE7683">
              <w:t xml:space="preserve">samazinājās par 5 %, </w:t>
            </w:r>
            <w:r w:rsidR="00142FAF">
              <w:t>bet</w:t>
            </w:r>
            <w:r w:rsidR="00142FAF" w:rsidRPr="00BE7683">
              <w:t xml:space="preserve"> </w:t>
            </w:r>
            <w:r w:rsidRPr="00BE7683">
              <w:t>olām</w:t>
            </w:r>
            <w:r w:rsidR="002E15DE">
              <w:t xml:space="preserve"> </w:t>
            </w:r>
            <w:r w:rsidR="00142FAF">
              <w:t>–</w:t>
            </w:r>
            <w:r w:rsidRPr="00BE7683">
              <w:t xml:space="preserve"> par 87 %.</w:t>
            </w:r>
          </w:p>
          <w:p w14:paraId="07181F38" w14:textId="21127133" w:rsidR="00BE7683" w:rsidRPr="00BE7683" w:rsidRDefault="00D30512" w:rsidP="00BE7683">
            <w:pPr>
              <w:ind w:firstLine="536"/>
              <w:jc w:val="both"/>
            </w:pPr>
            <w:r>
              <w:t xml:space="preserve">Tajā pašā laikā </w:t>
            </w:r>
            <w:r w:rsidRPr="00AF702B">
              <w:t>saskaņā ar Latvijas Olu un putnu gaļas ražotāju asociācijas sniegto informāciju</w:t>
            </w:r>
            <w:r>
              <w:t xml:space="preserve"> </w:t>
            </w:r>
            <w:r w:rsidRPr="00B0191C">
              <w:t>ir palielinājušās</w:t>
            </w:r>
            <w:r w:rsidR="00BE7683" w:rsidRPr="00BE7683">
              <w:t xml:space="preserve"> putnu barības izmaksas: sojai – par 27</w:t>
            </w:r>
            <w:r w:rsidR="00142FAF">
              <w:t> </w:t>
            </w:r>
            <w:r w:rsidR="00BE7683" w:rsidRPr="00BE7683">
              <w:t>%, kviešiem – par 42 %, eļļai – par 53 %</w:t>
            </w:r>
            <w:r w:rsidR="00142FAF">
              <w:t>. T</w:t>
            </w:r>
            <w:r w:rsidR="00BE7683" w:rsidRPr="00BE7683">
              <w:t xml:space="preserve">as ir lielākais izmaksu postenis kopējā izmaksu portfelī  un putnu dzīvsvara kg ražošanas izmaksās veido 60 %. </w:t>
            </w:r>
          </w:p>
          <w:p w14:paraId="17868F4C" w14:textId="243A4383" w:rsidR="00BE7683" w:rsidRPr="00BE7683" w:rsidRDefault="00BE7683" w:rsidP="00BE7683">
            <w:pPr>
              <w:ind w:firstLine="536"/>
              <w:jc w:val="both"/>
            </w:pPr>
            <w:r w:rsidRPr="00BE7683">
              <w:t>Pamatojoties uz informāciju, kas iegūta no Valsts ieņēmumu dienesta (turpmāk – VID) par mājputnu nozares uzņēmumiem, kuriem periodā no 2020. gada marta līdz 2021. gada martam neto apgrozījums samazinājies par 5</w:t>
            </w:r>
            <w:r w:rsidR="00142FAF">
              <w:t> </w:t>
            </w:r>
            <w:r w:rsidRPr="00BE7683">
              <w:t>% vai 30%</w:t>
            </w:r>
            <w:r w:rsidR="00142FAF">
              <w:t>,</w:t>
            </w:r>
            <w:r w:rsidRPr="00BE7683">
              <w:t xml:space="preserve"> tika aplēsts, ka nepieciešamais finansējums paredzētajam atbalstam nepārsniegs 9 350 000 </w:t>
            </w:r>
            <w:proofErr w:type="spellStart"/>
            <w:r w:rsidRPr="00BE7683">
              <w:rPr>
                <w:i/>
              </w:rPr>
              <w:t>euro</w:t>
            </w:r>
            <w:proofErr w:type="spellEnd"/>
            <w:r w:rsidRPr="00BE7683">
              <w:t xml:space="preserve">. Tādējādi finansējums mājputnu nozarei var tikt samazināts no 11 000 000 </w:t>
            </w:r>
            <w:proofErr w:type="spellStart"/>
            <w:r w:rsidRPr="00BE7683">
              <w:rPr>
                <w:i/>
              </w:rPr>
              <w:t>euro</w:t>
            </w:r>
            <w:proofErr w:type="spellEnd"/>
            <w:r w:rsidRPr="00BE7683">
              <w:rPr>
                <w:i/>
              </w:rPr>
              <w:t xml:space="preserve"> </w:t>
            </w:r>
            <w:r w:rsidRPr="00BE7683">
              <w:t xml:space="preserve">uz 9 350 000 </w:t>
            </w:r>
            <w:proofErr w:type="spellStart"/>
            <w:r w:rsidRPr="00BE7683">
              <w:rPr>
                <w:i/>
              </w:rPr>
              <w:t>euro</w:t>
            </w:r>
            <w:proofErr w:type="spellEnd"/>
            <w:r w:rsidR="00142FAF">
              <w:rPr>
                <w:i/>
              </w:rPr>
              <w:t>;</w:t>
            </w:r>
          </w:p>
          <w:p w14:paraId="6E2A8577" w14:textId="496DB8D5" w:rsidR="004E3C69" w:rsidRDefault="00161F79" w:rsidP="004E3C69">
            <w:pPr>
              <w:ind w:firstLine="536"/>
              <w:jc w:val="both"/>
            </w:pPr>
            <w:r>
              <w:lastRenderedPageBreak/>
              <w:t xml:space="preserve">4) </w:t>
            </w:r>
            <w:bookmarkStart w:id="5" w:name="_Hlk72404870"/>
            <w:r w:rsidR="00706661" w:rsidRPr="00AF702B">
              <w:t xml:space="preserve">Zemkopības ministrijas aprēķini liecina, ka </w:t>
            </w:r>
            <w:r w:rsidR="00142FAF" w:rsidRPr="00AF702B">
              <w:t>l</w:t>
            </w:r>
            <w:r w:rsidR="004E3C69" w:rsidRPr="00AF702B">
              <w:t>iellopu</w:t>
            </w:r>
            <w:r w:rsidR="004E3C69" w:rsidRPr="004E3C69">
              <w:t xml:space="preserve"> nozarei laikā no 2020. gada oktobra līdz decembrim ieņēmumi ir samazinājušies par 9,1</w:t>
            </w:r>
            <w:r w:rsidR="00142FAF">
              <w:t> </w:t>
            </w:r>
            <w:r w:rsidR="004E3C69" w:rsidRPr="004E3C69">
              <w:t>% salīdzin</w:t>
            </w:r>
            <w:r w:rsidR="00142FAF">
              <w:t>ājumā</w:t>
            </w:r>
            <w:r w:rsidR="004E3C69" w:rsidRPr="004E3C69">
              <w:t xml:space="preserve"> ar iepriekšējo </w:t>
            </w:r>
            <w:r w:rsidR="00CC4DEB">
              <w:t>trīs</w:t>
            </w:r>
            <w:r w:rsidR="004E3C69" w:rsidRPr="004E3C69">
              <w:t xml:space="preserve"> gadu vidējo rādītāju attiecīgaj</w:t>
            </w:r>
            <w:r w:rsidR="00142FAF">
              <w:t>ā</w:t>
            </w:r>
            <w:r w:rsidR="004E3C69" w:rsidRPr="004E3C69">
              <w:t xml:space="preserve"> laikposm</w:t>
            </w:r>
            <w:r w:rsidR="00142FAF">
              <w:t>ā</w:t>
            </w:r>
            <w:r w:rsidR="004E3C69" w:rsidRPr="004E3C69">
              <w:t>. Savukārt laikā no 2021. gada janvāra līdz februārim nozares ieņēmumi ir samazinājušies par 11,5</w:t>
            </w:r>
            <w:r w:rsidR="00142FAF">
              <w:t> </w:t>
            </w:r>
            <w:r w:rsidR="004E3C69" w:rsidRPr="004E3C69">
              <w:t>% salīdzin</w:t>
            </w:r>
            <w:r w:rsidR="00142FAF">
              <w:t>ājumā</w:t>
            </w:r>
            <w:r w:rsidR="004E3C69" w:rsidRPr="004E3C69">
              <w:t xml:space="preserve"> ar iepriekšējo </w:t>
            </w:r>
            <w:r w:rsidR="00142FAF">
              <w:t>trīs</w:t>
            </w:r>
            <w:r w:rsidR="004E3C69" w:rsidRPr="004E3C69">
              <w:t xml:space="preserve"> gadu vidējo rādītāju attiecīga</w:t>
            </w:r>
            <w:r w:rsidR="00142FAF">
              <w:t>jā</w:t>
            </w:r>
            <w:r w:rsidR="004E3C69" w:rsidRPr="004E3C69">
              <w:t xml:space="preserve"> laikaposm</w:t>
            </w:r>
            <w:r w:rsidR="00142FAF">
              <w:t>ā</w:t>
            </w:r>
            <w:r w:rsidR="004E3C69" w:rsidRPr="004E3C69">
              <w:t xml:space="preserve">. </w:t>
            </w:r>
            <w:r w:rsidR="00142FAF">
              <w:t>K</w:t>
            </w:r>
            <w:r w:rsidR="004E3C69" w:rsidRPr="004E3C69">
              <w:t xml:space="preserve">opumā </w:t>
            </w:r>
            <w:r w:rsidR="00FE7A08">
              <w:t xml:space="preserve">tas </w:t>
            </w:r>
            <w:r w:rsidR="004E3C69" w:rsidRPr="004E3C69">
              <w:t xml:space="preserve">veido nozares ieņēmumu samazinājumu par 2 800 000 </w:t>
            </w:r>
            <w:proofErr w:type="spellStart"/>
            <w:r w:rsidR="004E3C69" w:rsidRPr="004E3C69">
              <w:rPr>
                <w:i/>
              </w:rPr>
              <w:t>euro</w:t>
            </w:r>
            <w:proofErr w:type="spellEnd"/>
            <w:r w:rsidR="004E3C69" w:rsidRPr="004E3C69">
              <w:t>.</w:t>
            </w:r>
          </w:p>
          <w:p w14:paraId="4E1B82CA" w14:textId="48EAA94D" w:rsidR="00706661" w:rsidRPr="00AF702B" w:rsidRDefault="00706661" w:rsidP="004E3C69">
            <w:pPr>
              <w:ind w:firstLine="536"/>
              <w:jc w:val="both"/>
              <w:rPr>
                <w:bCs/>
              </w:rPr>
            </w:pPr>
            <w:r w:rsidRPr="00AF702B">
              <w:rPr>
                <w:bCs/>
              </w:rPr>
              <w:t xml:space="preserve">Nozares ražotāju kopējie ieņēmumi tiek aprēķināti kā kautuvēm Latvijā realizēto liellopu vērtības un eksportēto dzīvo liellopu vērtības summa. </w:t>
            </w:r>
            <w:r w:rsidR="002E15DE" w:rsidRPr="00AF702B">
              <w:rPr>
                <w:bCs/>
              </w:rPr>
              <w:t>N</w:t>
            </w:r>
            <w:r w:rsidRPr="00AF702B">
              <w:rPr>
                <w:bCs/>
              </w:rPr>
              <w:t>ozares ražotāju kopējo ieņēmumu izmaiņ</w:t>
            </w:r>
            <w:r w:rsidR="002E15DE" w:rsidRPr="00AF702B">
              <w:rPr>
                <w:bCs/>
              </w:rPr>
              <w:t>as aprēķina</w:t>
            </w:r>
            <w:r w:rsidRPr="00AF702B">
              <w:rPr>
                <w:bCs/>
              </w:rPr>
              <w:t xml:space="preserve"> Zemkopības ministrija, izmantojot Centrālās Statistikas pārvaldes datus par kautuvēs nokauto liellopu skaitu un vidējo cenu (veidlapas LAL040m un LAC020m) un par eksportēto dzīvu liellopu</w:t>
            </w:r>
            <w:r>
              <w:rPr>
                <w:b/>
                <w:bCs/>
              </w:rPr>
              <w:t xml:space="preserve"> </w:t>
            </w:r>
            <w:r w:rsidRPr="00AF702B">
              <w:rPr>
                <w:bCs/>
              </w:rPr>
              <w:lastRenderedPageBreak/>
              <w:t>skaitu un vērtību (veidlapa ATD080m).</w:t>
            </w:r>
          </w:p>
          <w:p w14:paraId="7B285589" w14:textId="11589B20" w:rsidR="00706661" w:rsidRDefault="00706661" w:rsidP="004E3C69">
            <w:pPr>
              <w:ind w:firstLine="536"/>
              <w:jc w:val="both"/>
            </w:pPr>
            <w:r w:rsidRPr="00AF702B">
              <w:t>Ieņēmumu samazinājumu veicināja iepirkuma cenas kritumu pēc ierobežojumiem, kas tika ieviesti</w:t>
            </w:r>
            <w:r w:rsidRPr="00AF702B" w:rsidDel="00262295">
              <w:t xml:space="preserve"> </w:t>
            </w:r>
            <w:r w:rsidRPr="00AF702B">
              <w:t>Covid-19 dēļ, kā arī pieprasījuma kritumu trešo valstu tirgū (tāpēc eksportējām mazāk dzīvnieku un samazinājās gaļas ražošana). Jāpiebilst, ka</w:t>
            </w:r>
            <w:r w:rsidR="002E15DE" w:rsidRPr="00AF702B">
              <w:t>,</w:t>
            </w:r>
            <w:r w:rsidRPr="00AF702B">
              <w:t xml:space="preserve"> pēc AREI datiem</w:t>
            </w:r>
            <w:r w:rsidR="002E15DE" w:rsidRPr="00AF702B">
              <w:t>,</w:t>
            </w:r>
            <w:r w:rsidRPr="00AF702B">
              <w:t xml:space="preserve"> laikposmā no 2020. gada oktobra līdz decembrim</w:t>
            </w:r>
            <w:r w:rsidRPr="00CD0B1A">
              <w:t xml:space="preserve"> un no 2021.</w:t>
            </w:r>
            <w:r w:rsidR="00CC4DEB">
              <w:t> </w:t>
            </w:r>
            <w:r w:rsidRPr="00CD0B1A">
              <w:t xml:space="preserve">gada janvāra līdz februārim dzīvo liellopu cenas ir bijušas attiecīgi par 9 % un 1 % zemākas salīdzinājumā ar iepriekšējo trīs gadu vidējo rādītāju attiecīgajā laikposmā. Tas ir </w:t>
            </w:r>
            <w:r w:rsidRPr="00AF702B">
              <w:t xml:space="preserve">izskaidrojams arī ar to, ka </w:t>
            </w:r>
            <w:r w:rsidR="002E15DE" w:rsidRPr="00AF702B">
              <w:t xml:space="preserve">saskaņā ar </w:t>
            </w:r>
            <w:r w:rsidR="002E15DE" w:rsidRPr="00AF702B">
              <w:rPr>
                <w:i/>
              </w:rPr>
              <w:t xml:space="preserve">Eurostat </w:t>
            </w:r>
            <w:r w:rsidR="002E15DE" w:rsidRPr="00AF702B">
              <w:t xml:space="preserve">datiem </w:t>
            </w:r>
            <w:r w:rsidRPr="00AF702B">
              <w:t>Latvijas dzīvo liellopu</w:t>
            </w:r>
            <w:r w:rsidRPr="00CD0B1A">
              <w:t xml:space="preserve"> eksports uz svarīgajiem galamērķiem 2020.</w:t>
            </w:r>
            <w:r w:rsidR="00CC4DEB">
              <w:t> </w:t>
            </w:r>
            <w:r w:rsidRPr="00CD0B1A">
              <w:t>gadā atšķirībā no 2019.</w:t>
            </w:r>
            <w:r w:rsidR="002E15DE">
              <w:t> </w:t>
            </w:r>
            <w:r w:rsidRPr="00CD0B1A">
              <w:t>gada bija samazinājies: uz Lietuvu – par 10 %, uz Turciju</w:t>
            </w:r>
            <w:r w:rsidR="002E15DE">
              <w:t> </w:t>
            </w:r>
            <w:r w:rsidRPr="00CD0B1A">
              <w:t>– par 8 %</w:t>
            </w:r>
            <w:r>
              <w:t>.</w:t>
            </w:r>
          </w:p>
          <w:p w14:paraId="72A76E54" w14:textId="102BCB71" w:rsidR="004E3C69" w:rsidRDefault="004E3C69" w:rsidP="004E3C69">
            <w:pPr>
              <w:ind w:firstLine="536"/>
              <w:jc w:val="both"/>
            </w:pPr>
            <w:r w:rsidRPr="004E3C69">
              <w:t xml:space="preserve">Tādējādi nozarei būtu jāparedz atbalsts 2 800 000 </w:t>
            </w:r>
            <w:proofErr w:type="spellStart"/>
            <w:r w:rsidRPr="004E3C69">
              <w:rPr>
                <w:i/>
              </w:rPr>
              <w:t>euro</w:t>
            </w:r>
            <w:proofErr w:type="spellEnd"/>
            <w:r w:rsidRPr="004E3C69">
              <w:t xml:space="preserve"> apmērā</w:t>
            </w:r>
            <w:bookmarkEnd w:id="5"/>
            <w:r w:rsidRPr="004E3C69">
              <w:t>, lai mazinātu Covid-19 negatīvo ietekmi uz ražotāju finansiālo situāciju</w:t>
            </w:r>
            <w:r w:rsidR="00FE7A08">
              <w:t>;</w:t>
            </w:r>
          </w:p>
          <w:p w14:paraId="263DFD66" w14:textId="7B19FBC8" w:rsidR="004E3C69" w:rsidRPr="00EF70FD" w:rsidRDefault="00161F79" w:rsidP="004E3C69">
            <w:pPr>
              <w:ind w:firstLine="536"/>
              <w:jc w:val="both"/>
              <w:rPr>
                <w:b/>
              </w:rPr>
            </w:pPr>
            <w:r>
              <w:lastRenderedPageBreak/>
              <w:t xml:space="preserve">5) </w:t>
            </w:r>
            <w:bookmarkStart w:id="6" w:name="_Hlk72403513"/>
            <w:r w:rsidR="00FE7A08">
              <w:t>d</w:t>
            </w:r>
            <w:r w:rsidR="004E3C69" w:rsidRPr="004E3C69">
              <w:t xml:space="preserve">ārzkopības kultūru audzēšanas un zivsaimniecības nozares uzņēmumi </w:t>
            </w:r>
            <w:bookmarkEnd w:id="6"/>
            <w:r w:rsidR="004E3C69" w:rsidRPr="004E3C69">
              <w:t xml:space="preserve">ir būtiski cietuši no pieprasījuma krituma </w:t>
            </w:r>
            <w:proofErr w:type="spellStart"/>
            <w:r w:rsidR="004E3C69" w:rsidRPr="004E3C69">
              <w:rPr>
                <w:i/>
              </w:rPr>
              <w:t>Horeca</w:t>
            </w:r>
            <w:proofErr w:type="spellEnd"/>
            <w:r w:rsidR="004E3C69" w:rsidRPr="004E3C69">
              <w:t xml:space="preserve"> sektorā. Pēc VID datiem</w:t>
            </w:r>
            <w:r w:rsidR="00FE7A08">
              <w:t>,</w:t>
            </w:r>
            <w:r w:rsidR="004E3C69" w:rsidRPr="004E3C69">
              <w:t xml:space="preserve"> 183</w:t>
            </w:r>
            <w:r w:rsidR="00CC4DEB">
              <w:t> </w:t>
            </w:r>
            <w:r w:rsidR="004E3C69" w:rsidRPr="004E3C69">
              <w:t>šo nozaru uzņēmumiem laikposmā no 2020.</w:t>
            </w:r>
            <w:r w:rsidR="00CC4DEB">
              <w:t> </w:t>
            </w:r>
            <w:r w:rsidR="004E3C69" w:rsidRPr="004E3C69">
              <w:t>gada 30.</w:t>
            </w:r>
            <w:r w:rsidR="00CC4DEB">
              <w:t> </w:t>
            </w:r>
            <w:r w:rsidR="004E3C69" w:rsidRPr="004E3C69">
              <w:t>oktobra līdz 2021.</w:t>
            </w:r>
            <w:r w:rsidR="00CC4DEB">
              <w:t> </w:t>
            </w:r>
            <w:r w:rsidR="004E3C69" w:rsidRPr="004E3C69">
              <w:t>gada martam neto apgrozījums ir samazinājies par vairāk nekā 15 %. Ņemot vērā neto apgrozījuma samazinājumu dārzkopības kultūru audzēšanas un zivsaimniecības nozarē</w:t>
            </w:r>
            <w:r w:rsidR="00FE7A08">
              <w:t>,</w:t>
            </w:r>
            <w:r w:rsidR="004E3C69" w:rsidRPr="004E3C69">
              <w:t xml:space="preserve"> var prognozēt, ka nepieciešamais  atbalsta ap</w:t>
            </w:r>
            <w:r w:rsidR="00FE7A08">
              <w:t>mērs</w:t>
            </w:r>
            <w:r w:rsidR="004E3C69" w:rsidRPr="004E3C69">
              <w:t xml:space="preserve"> ir aptuveni 650 000 </w:t>
            </w:r>
            <w:proofErr w:type="spellStart"/>
            <w:r w:rsidR="004E3C69" w:rsidRPr="004E3C69">
              <w:rPr>
                <w:i/>
              </w:rPr>
              <w:t>euro</w:t>
            </w:r>
            <w:proofErr w:type="spellEnd"/>
            <w:r w:rsidR="004E3C69" w:rsidRPr="004E3C69">
              <w:rPr>
                <w:i/>
              </w:rPr>
              <w:t xml:space="preserve">, </w:t>
            </w:r>
            <w:r w:rsidR="004E3C69" w:rsidRPr="004E3C69">
              <w:t xml:space="preserve">lai mazinātu </w:t>
            </w:r>
            <w:proofErr w:type="spellStart"/>
            <w:r w:rsidR="004E3C69" w:rsidRPr="004E3C69">
              <w:t>Covid-19</w:t>
            </w:r>
            <w:proofErr w:type="spellEnd"/>
            <w:r w:rsidR="004E3C69" w:rsidRPr="004E3C69">
              <w:t xml:space="preserve"> negatīvo ietekmi uz ražotāju finansiālo situāciju.</w:t>
            </w:r>
          </w:p>
          <w:p w14:paraId="40672C94" w14:textId="5745A7AA" w:rsidR="00F94C3E" w:rsidRDefault="00F94C3E" w:rsidP="00E17B44">
            <w:pPr>
              <w:ind w:right="12"/>
              <w:jc w:val="both"/>
            </w:pPr>
          </w:p>
          <w:p w14:paraId="14E7F1C8" w14:textId="632982A0" w:rsidR="0062656D" w:rsidRPr="0062656D" w:rsidRDefault="0062656D" w:rsidP="0062656D">
            <w:pPr>
              <w:jc w:val="both"/>
              <w:rPr>
                <w:iCs/>
              </w:rPr>
            </w:pPr>
            <w:r>
              <w:rPr>
                <w:iCs/>
              </w:rPr>
              <w:t xml:space="preserve">Par katru attiecīgo ierosināto </w:t>
            </w:r>
            <w:r w:rsidRPr="002214C2">
              <w:rPr>
                <w:iCs/>
              </w:rPr>
              <w:t>rīkojuma</w:t>
            </w:r>
            <w:r>
              <w:rPr>
                <w:iCs/>
              </w:rPr>
              <w:t xml:space="preserve"> projekta</w:t>
            </w:r>
            <w:r w:rsidRPr="002214C2">
              <w:rPr>
                <w:iCs/>
              </w:rPr>
              <w:t xml:space="preserve"> 1.1.</w:t>
            </w:r>
            <w:r w:rsidR="00415D69">
              <w:rPr>
                <w:iCs/>
              </w:rPr>
              <w:t> </w:t>
            </w:r>
            <w:r>
              <w:rPr>
                <w:iCs/>
              </w:rPr>
              <w:t>apakš</w:t>
            </w:r>
            <w:r w:rsidRPr="002214C2">
              <w:rPr>
                <w:iCs/>
              </w:rPr>
              <w:t>punktā paredzēto</w:t>
            </w:r>
            <w:r>
              <w:rPr>
                <w:iCs/>
              </w:rPr>
              <w:t xml:space="preserve"> atbalsta pasākumu lemtu Ministru kabinets </w:t>
            </w:r>
            <w:r w:rsidRPr="002214C2">
              <w:rPr>
                <w:iCs/>
              </w:rPr>
              <w:t>normatīvajos aktos noteiktajā kārtībā.</w:t>
            </w:r>
          </w:p>
        </w:tc>
        <w:tc>
          <w:tcPr>
            <w:tcW w:w="3071" w:type="dxa"/>
            <w:tcBorders>
              <w:bottom w:val="single" w:sz="4" w:space="0" w:color="auto"/>
              <w:right w:val="single" w:sz="4" w:space="0" w:color="auto"/>
            </w:tcBorders>
          </w:tcPr>
          <w:p w14:paraId="7B52BCF9" w14:textId="302892FF" w:rsidR="006F1B88" w:rsidRPr="00AF702B" w:rsidRDefault="006F1B88" w:rsidP="006F1B88">
            <w:pPr>
              <w:shd w:val="clear" w:color="auto" w:fill="FFFFFF"/>
              <w:spacing w:line="293" w:lineRule="atLeast"/>
              <w:jc w:val="both"/>
            </w:pPr>
            <w:r w:rsidRPr="006F1B88">
              <w:lastRenderedPageBreak/>
              <w:t xml:space="preserve">Izdarīt Ministru kabineta 2021. gada 17. februāra rīkojumā Nr. 96 "Par finanšu līdzekļu piešķiršanu no valsts budžeta programmas "Līdzekļi neparedzētiem gadījumiem"" (Latvijas Vēstnesis, 2021, 34. nr.) </w:t>
            </w:r>
            <w:r w:rsidRPr="00AF702B">
              <w:t>šādus grozījumus:</w:t>
            </w:r>
          </w:p>
          <w:p w14:paraId="71085866" w14:textId="3373C4D4" w:rsidR="006F1B88" w:rsidRPr="00AF702B" w:rsidRDefault="006F1B88" w:rsidP="006F1B88">
            <w:pPr>
              <w:shd w:val="clear" w:color="auto" w:fill="FFFFFF"/>
              <w:spacing w:line="293" w:lineRule="atLeast"/>
              <w:jc w:val="both"/>
            </w:pPr>
            <w:r w:rsidRPr="00AF702B">
              <w:t>1. Izteikt 1.1. apakšpunktu šādā redakcijā:</w:t>
            </w:r>
          </w:p>
          <w:p w14:paraId="683441C8" w14:textId="7F902862" w:rsidR="006F1B88" w:rsidRPr="00AF702B" w:rsidRDefault="006F1B88" w:rsidP="006F1B88">
            <w:pPr>
              <w:shd w:val="clear" w:color="auto" w:fill="FFFFFF"/>
              <w:spacing w:line="293" w:lineRule="atLeast"/>
              <w:jc w:val="both"/>
            </w:pPr>
            <w:r w:rsidRPr="00AF702B">
              <w:tab/>
              <w:t>"1.1. atbalstam ražotājiem lauksaimniecības, zivsaimniecības un pārtikas nozarē, tostarp cūkkopībā un mājputnu ražošanā, lai mazinātu Covid-19 izplatības negatīvo ietekmi, – finansējumu, kas nepārsniedz 25 500 000 </w:t>
            </w:r>
            <w:proofErr w:type="spellStart"/>
            <w:r w:rsidRPr="00AF702B">
              <w:rPr>
                <w:i/>
              </w:rPr>
              <w:t>euro</w:t>
            </w:r>
            <w:proofErr w:type="spellEnd"/>
            <w:r w:rsidRPr="00AF702B">
              <w:t>;"</w:t>
            </w:r>
            <w:r w:rsidR="002E15DE" w:rsidRPr="00AF702B">
              <w:t>.</w:t>
            </w:r>
          </w:p>
          <w:p w14:paraId="37CC71E5" w14:textId="77777777" w:rsidR="006F1B88" w:rsidRPr="00AF702B" w:rsidRDefault="006F1B88" w:rsidP="006F1B88">
            <w:pPr>
              <w:shd w:val="clear" w:color="auto" w:fill="FFFFFF"/>
              <w:spacing w:line="293" w:lineRule="atLeast"/>
              <w:jc w:val="both"/>
            </w:pPr>
          </w:p>
          <w:p w14:paraId="7528F5C2" w14:textId="5E608B7F" w:rsidR="004E3C69" w:rsidRPr="00AF702B" w:rsidRDefault="006F1B88" w:rsidP="006F1B88">
            <w:pPr>
              <w:shd w:val="clear" w:color="auto" w:fill="FFFFFF"/>
              <w:spacing w:line="293" w:lineRule="atLeast"/>
              <w:jc w:val="both"/>
            </w:pPr>
            <w:r w:rsidRPr="00AF702B">
              <w:t>2. Svītrot 1.2. apakšpunktu.</w:t>
            </w:r>
          </w:p>
          <w:p w14:paraId="2133377C" w14:textId="55D71696" w:rsidR="006C74B1" w:rsidRPr="002D28F5" w:rsidRDefault="002C4175" w:rsidP="002D28F5">
            <w:pPr>
              <w:shd w:val="clear" w:color="auto" w:fill="FFFFFF"/>
              <w:spacing w:line="293" w:lineRule="atLeast"/>
              <w:jc w:val="both"/>
            </w:pPr>
            <w:r>
              <w:lastRenderedPageBreak/>
              <w:t xml:space="preserve">Precizēta </w:t>
            </w:r>
            <w:r w:rsidR="006C74B1">
              <w:t>anotācijas I sadaļ</w:t>
            </w:r>
            <w:r>
              <w:t>a</w:t>
            </w:r>
            <w:r w:rsidR="00415D69">
              <w:t xml:space="preserve"> un</w:t>
            </w:r>
            <w:r w:rsidR="006C74B1">
              <w:t xml:space="preserve"> III</w:t>
            </w:r>
            <w:r w:rsidR="00415D69">
              <w:t> </w:t>
            </w:r>
            <w:r w:rsidR="006C74B1">
              <w:t>sadaļas 6.</w:t>
            </w:r>
            <w:r w:rsidR="00415D69">
              <w:t xml:space="preserve"> </w:t>
            </w:r>
            <w:r w:rsidR="006C74B1">
              <w:t>punkt</w:t>
            </w:r>
            <w:r>
              <w:t>s</w:t>
            </w:r>
            <w:r w:rsidR="006C74B1">
              <w:t>.</w:t>
            </w:r>
          </w:p>
        </w:tc>
      </w:tr>
      <w:tr w:rsidR="000548C4" w:rsidRPr="00AC04F8" w14:paraId="716C7EF5"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088B68FA" w14:textId="3B3351B9" w:rsidR="00112DD0" w:rsidRDefault="000002B2" w:rsidP="00112DD0">
            <w:pPr>
              <w:pStyle w:val="naisnod"/>
              <w:jc w:val="center"/>
              <w:rPr>
                <w:color w:val="000000"/>
              </w:rPr>
            </w:pPr>
            <w:r>
              <w:rPr>
                <w:color w:val="000000"/>
              </w:rPr>
              <w:lastRenderedPageBreak/>
              <w:t>2.</w:t>
            </w:r>
          </w:p>
        </w:tc>
        <w:tc>
          <w:tcPr>
            <w:tcW w:w="2581" w:type="dxa"/>
            <w:gridSpan w:val="2"/>
            <w:tcBorders>
              <w:top w:val="single" w:sz="4" w:space="0" w:color="auto"/>
              <w:left w:val="single" w:sz="4" w:space="0" w:color="auto"/>
              <w:bottom w:val="single" w:sz="4" w:space="0" w:color="auto"/>
              <w:right w:val="single" w:sz="4" w:space="0" w:color="auto"/>
            </w:tcBorders>
          </w:tcPr>
          <w:p w14:paraId="674704CD" w14:textId="1C8DD7D4" w:rsidR="00112DD0" w:rsidRPr="009B39EB" w:rsidRDefault="00094256" w:rsidP="009B39EB">
            <w:pPr>
              <w:shd w:val="clear" w:color="auto" w:fill="FFFFFF"/>
              <w:spacing w:line="293" w:lineRule="atLeast"/>
              <w:jc w:val="both"/>
            </w:pPr>
            <w:r>
              <w:t>Anotācija I sadaļa.</w:t>
            </w:r>
          </w:p>
        </w:tc>
        <w:tc>
          <w:tcPr>
            <w:tcW w:w="4532" w:type="dxa"/>
            <w:tcBorders>
              <w:top w:val="single" w:sz="4" w:space="0" w:color="auto"/>
              <w:left w:val="single" w:sz="4" w:space="0" w:color="auto"/>
              <w:bottom w:val="single" w:sz="4" w:space="0" w:color="auto"/>
              <w:right w:val="single" w:sz="4" w:space="0" w:color="auto"/>
            </w:tcBorders>
          </w:tcPr>
          <w:p w14:paraId="2A901F57" w14:textId="683CB2AE" w:rsidR="00112DD0" w:rsidRPr="009B39EB" w:rsidRDefault="000002B2" w:rsidP="00863B5F">
            <w:pPr>
              <w:ind w:right="12"/>
              <w:jc w:val="both"/>
            </w:pPr>
            <w:r w:rsidRPr="00BD2BF2">
              <w:rPr>
                <w:color w:val="000000" w:themeColor="text1"/>
              </w:rPr>
              <w:t xml:space="preserve">Norādām, ka Finanšu ministrijā ir saņemti saskaņošanai arī attiecīgi Ministru kabineta noteikumu projekti par atbalstu cūkkopības nozarei, mājputnu </w:t>
            </w:r>
            <w:r w:rsidRPr="0063548B">
              <w:rPr>
                <w:color w:val="000000" w:themeColor="text1"/>
              </w:rPr>
              <w:t xml:space="preserve">nozarei un grozījumi MK noteikumos Nr.219, kuros </w:t>
            </w:r>
            <w:r w:rsidRPr="00BE7683">
              <w:rPr>
                <w:color w:val="000000" w:themeColor="text1"/>
              </w:rPr>
              <w:t xml:space="preserve">atbalsta apmērs </w:t>
            </w:r>
            <w:r w:rsidRPr="00BE7683">
              <w:rPr>
                <w:color w:val="000000" w:themeColor="text1"/>
              </w:rPr>
              <w:lastRenderedPageBreak/>
              <w:t>kopā pārsniedz rīkojuma projektā paredzēto apmēru atbalstam ražotājiem lauksaimniecības, zivsaimniecības</w:t>
            </w:r>
            <w:r w:rsidRPr="00BD2BF2">
              <w:rPr>
                <w:color w:val="000000" w:themeColor="text1"/>
              </w:rPr>
              <w:t xml:space="preserve"> un pārtikas nozarē, tostarp cūkkopībā un mājputnu ražošanā, lai mazinātu Covid-19 izplatības negatīvo ietekmi.</w:t>
            </w:r>
          </w:p>
        </w:tc>
        <w:tc>
          <w:tcPr>
            <w:tcW w:w="3289" w:type="dxa"/>
            <w:gridSpan w:val="2"/>
            <w:tcBorders>
              <w:left w:val="single" w:sz="4" w:space="0" w:color="auto"/>
              <w:bottom w:val="single" w:sz="4" w:space="0" w:color="auto"/>
            </w:tcBorders>
          </w:tcPr>
          <w:p w14:paraId="0C115D1D" w14:textId="77777777" w:rsidR="0009188D" w:rsidRPr="005B635A" w:rsidRDefault="0009188D" w:rsidP="0009188D">
            <w:pPr>
              <w:ind w:right="12"/>
              <w:jc w:val="both"/>
              <w:rPr>
                <w:b/>
                <w:iCs/>
              </w:rPr>
            </w:pPr>
            <w:r w:rsidRPr="005B635A">
              <w:rPr>
                <w:b/>
                <w:iCs/>
              </w:rPr>
              <w:lastRenderedPageBreak/>
              <w:t>Ņemts vērā.</w:t>
            </w:r>
          </w:p>
          <w:p w14:paraId="7876B53C" w14:textId="190A90B6" w:rsidR="002C4175" w:rsidRDefault="0009188D" w:rsidP="00F965E9">
            <w:pPr>
              <w:jc w:val="both"/>
              <w:rPr>
                <w:iCs/>
              </w:rPr>
            </w:pPr>
            <w:r w:rsidRPr="005B635A">
              <w:rPr>
                <w:iCs/>
              </w:rPr>
              <w:t xml:space="preserve">Izvērtējot </w:t>
            </w:r>
            <w:r w:rsidR="005B635A">
              <w:rPr>
                <w:iCs/>
              </w:rPr>
              <w:t xml:space="preserve">Finanšu ministrijas </w:t>
            </w:r>
            <w:r w:rsidRPr="005B635A">
              <w:rPr>
                <w:iCs/>
              </w:rPr>
              <w:t>iebildumu</w:t>
            </w:r>
            <w:r w:rsidR="005B635A">
              <w:rPr>
                <w:iCs/>
              </w:rPr>
              <w:t>s</w:t>
            </w:r>
            <w:r w:rsidRPr="005B635A">
              <w:rPr>
                <w:iCs/>
              </w:rPr>
              <w:t>, Zemkopības ministrija norāda, ka g</w:t>
            </w:r>
            <w:r w:rsidR="00E17B44" w:rsidRPr="005B635A">
              <w:rPr>
                <w:iCs/>
              </w:rPr>
              <w:t xml:space="preserve">rozījumi Ministru kabineta 2020. gada </w:t>
            </w:r>
            <w:r w:rsidR="00E17B44" w:rsidRPr="005B635A">
              <w:rPr>
                <w:iCs/>
              </w:rPr>
              <w:lastRenderedPageBreak/>
              <w:t>14. aprīļa noteikumos Nr. 219 “Kārtība, kādā piešķir, administrē un uzrauga valsts atbalstu lauksaimniecībai, lai mazinātu Covid-19 izplatības negatīvo ietekmi” (turpmāk – MK noteikumi Nr. 219)</w:t>
            </w:r>
            <w:r w:rsidR="004E3C69">
              <w:rPr>
                <w:iCs/>
              </w:rPr>
              <w:t>, kas iesniegti Finanšu un Tieslietu ministrijām saskaņošanai 2020.</w:t>
            </w:r>
            <w:r w:rsidR="00FE7A08">
              <w:rPr>
                <w:iCs/>
              </w:rPr>
              <w:t> </w:t>
            </w:r>
            <w:r w:rsidR="004E3C69">
              <w:rPr>
                <w:iCs/>
              </w:rPr>
              <w:t>gada 16. aprīlī,</w:t>
            </w:r>
            <w:r w:rsidR="00E17B44" w:rsidRPr="005B635A">
              <w:rPr>
                <w:iCs/>
              </w:rPr>
              <w:t xml:space="preserve"> </w:t>
            </w:r>
            <w:r w:rsidR="005B635A">
              <w:rPr>
                <w:iCs/>
              </w:rPr>
              <w:t>netiks virzīti</w:t>
            </w:r>
            <w:r w:rsidR="00FE7A08">
              <w:rPr>
                <w:iCs/>
              </w:rPr>
              <w:t xml:space="preserve"> tālāk</w:t>
            </w:r>
            <w:r w:rsidR="00E17B44" w:rsidRPr="005B635A">
              <w:rPr>
                <w:iCs/>
              </w:rPr>
              <w:t>.</w:t>
            </w:r>
          </w:p>
          <w:p w14:paraId="49A938EA" w14:textId="77777777" w:rsidR="004E3C69" w:rsidRDefault="004E3C69" w:rsidP="00F965E9">
            <w:pPr>
              <w:jc w:val="both"/>
              <w:rPr>
                <w:iCs/>
              </w:rPr>
            </w:pPr>
          </w:p>
          <w:p w14:paraId="760F1189" w14:textId="031D02F0" w:rsidR="008D1727" w:rsidRPr="005B635A" w:rsidRDefault="002C4175">
            <w:pPr>
              <w:jc w:val="both"/>
              <w:rPr>
                <w:iCs/>
              </w:rPr>
            </w:pPr>
            <w:r>
              <w:rPr>
                <w:iCs/>
              </w:rPr>
              <w:t>Tādējādi anotācija</w:t>
            </w:r>
            <w:r w:rsidR="00FE7A08">
              <w:rPr>
                <w:iCs/>
              </w:rPr>
              <w:t>s</w:t>
            </w:r>
            <w:r>
              <w:rPr>
                <w:iCs/>
              </w:rPr>
              <w:t xml:space="preserve"> I sadaļā svītrota informācija par nepieciešamajiem grozījumiem MK noteikumos Nr. 219, k</w:t>
            </w:r>
            <w:r w:rsidR="00FE7A08">
              <w:rPr>
                <w:iCs/>
              </w:rPr>
              <w:t>uri</w:t>
            </w:r>
            <w:r>
              <w:rPr>
                <w:iCs/>
              </w:rPr>
              <w:t xml:space="preserve"> paredzēja ar 2021. gadam pieejamo finansējumu nosegt atbalstu tiem pretendentiem, k</w:t>
            </w:r>
            <w:r w:rsidR="00FE7A08">
              <w:rPr>
                <w:iCs/>
              </w:rPr>
              <w:t>as</w:t>
            </w:r>
            <w:r>
              <w:rPr>
                <w:iCs/>
              </w:rPr>
              <w:t xml:space="preserve"> 2020. gadā nesaņēma visu tiem aprēķināto atbalstu noteikt</w:t>
            </w:r>
            <w:r w:rsidR="00FE7A08">
              <w:rPr>
                <w:iCs/>
              </w:rPr>
              <w:t>o</w:t>
            </w:r>
            <w:r>
              <w:rPr>
                <w:iCs/>
              </w:rPr>
              <w:t xml:space="preserve"> atbalsta griest</w:t>
            </w:r>
            <w:r w:rsidR="00FE7A08">
              <w:rPr>
                <w:iCs/>
              </w:rPr>
              <w:t>u</w:t>
            </w:r>
            <w:r>
              <w:rPr>
                <w:iCs/>
              </w:rPr>
              <w:t xml:space="preserve"> </w:t>
            </w:r>
            <w:r w:rsidR="00FE7A08">
              <w:rPr>
                <w:iCs/>
              </w:rPr>
              <w:t xml:space="preserve">dēļ </w:t>
            </w:r>
            <w:r>
              <w:rPr>
                <w:iCs/>
              </w:rPr>
              <w:t xml:space="preserve">saskaņā ar Eiropas Komisijas </w:t>
            </w:r>
            <w:r>
              <w:t xml:space="preserve">Paziņojumu par pagaidu regulējumu valsts atbalsta pasākumiem, ar ko atbalsta ekonomiku pašreizējā Covid-19 uzliesmojuma situācijā (turpmāk </w:t>
            </w:r>
            <w:r w:rsidR="00FE7A08">
              <w:t>–</w:t>
            </w:r>
            <w:r>
              <w:t xml:space="preserve"> Pagaidu regulējums).</w:t>
            </w:r>
          </w:p>
        </w:tc>
        <w:tc>
          <w:tcPr>
            <w:tcW w:w="3071" w:type="dxa"/>
            <w:tcBorders>
              <w:bottom w:val="single" w:sz="4" w:space="0" w:color="auto"/>
              <w:right w:val="single" w:sz="4" w:space="0" w:color="auto"/>
            </w:tcBorders>
          </w:tcPr>
          <w:p w14:paraId="3B20B92B" w14:textId="267C29CE" w:rsidR="00112DD0" w:rsidRPr="009B39EB" w:rsidRDefault="002C4175" w:rsidP="00112DD0">
            <w:pPr>
              <w:widowControl w:val="0"/>
              <w:tabs>
                <w:tab w:val="left" w:pos="720"/>
                <w:tab w:val="left" w:pos="993"/>
              </w:tabs>
              <w:jc w:val="both"/>
            </w:pPr>
            <w:r>
              <w:lastRenderedPageBreak/>
              <w:t>Precizēta</w:t>
            </w:r>
            <w:r w:rsidR="00094256">
              <w:t xml:space="preserve"> anotācijas I sadaļ</w:t>
            </w:r>
            <w:r>
              <w:t>a</w:t>
            </w:r>
            <w:r w:rsidR="00094256">
              <w:t>.</w:t>
            </w:r>
          </w:p>
        </w:tc>
      </w:tr>
      <w:tr w:rsidR="00863B5F" w:rsidRPr="00AC04F8" w14:paraId="1CBEFF4A"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A4F8320" w14:textId="07F8DD7E" w:rsidR="00863B5F" w:rsidRDefault="000002B2" w:rsidP="00112DD0">
            <w:pPr>
              <w:pStyle w:val="naisnod"/>
              <w:jc w:val="center"/>
              <w:rPr>
                <w:color w:val="000000"/>
              </w:rPr>
            </w:pPr>
            <w:r>
              <w:rPr>
                <w:color w:val="000000"/>
              </w:rPr>
              <w:t>3.</w:t>
            </w:r>
          </w:p>
        </w:tc>
        <w:tc>
          <w:tcPr>
            <w:tcW w:w="2581" w:type="dxa"/>
            <w:gridSpan w:val="2"/>
            <w:tcBorders>
              <w:top w:val="single" w:sz="4" w:space="0" w:color="auto"/>
              <w:left w:val="single" w:sz="4" w:space="0" w:color="auto"/>
              <w:bottom w:val="single" w:sz="4" w:space="0" w:color="auto"/>
              <w:right w:val="single" w:sz="4" w:space="0" w:color="auto"/>
            </w:tcBorders>
          </w:tcPr>
          <w:p w14:paraId="076641DD" w14:textId="01549D9D" w:rsidR="00863B5F" w:rsidRPr="004D02E3" w:rsidRDefault="00094256" w:rsidP="0010626A">
            <w:pPr>
              <w:pStyle w:val="Paraststmeklis"/>
              <w:spacing w:before="0" w:after="0"/>
              <w:ind w:right="13"/>
              <w:jc w:val="both"/>
            </w:pPr>
            <w:r>
              <w:t>Anotācijas I sadaļa.</w:t>
            </w:r>
          </w:p>
        </w:tc>
        <w:tc>
          <w:tcPr>
            <w:tcW w:w="4532" w:type="dxa"/>
            <w:tcBorders>
              <w:top w:val="single" w:sz="4" w:space="0" w:color="auto"/>
              <w:left w:val="single" w:sz="4" w:space="0" w:color="auto"/>
              <w:bottom w:val="single" w:sz="4" w:space="0" w:color="auto"/>
              <w:right w:val="single" w:sz="4" w:space="0" w:color="auto"/>
            </w:tcBorders>
          </w:tcPr>
          <w:p w14:paraId="78F96996" w14:textId="6B61589E" w:rsidR="00863B5F" w:rsidRPr="00F611E2" w:rsidRDefault="000002B2" w:rsidP="00863B5F">
            <w:pPr>
              <w:ind w:right="12"/>
              <w:jc w:val="both"/>
            </w:pPr>
            <w:r w:rsidRPr="00BD2BF2">
              <w:rPr>
                <w:color w:val="000000" w:themeColor="text1"/>
              </w:rPr>
              <w:t xml:space="preserve">Vēršam uzmanību, ka </w:t>
            </w:r>
            <w:r w:rsidRPr="00BE7683">
              <w:rPr>
                <w:color w:val="000000" w:themeColor="text1"/>
              </w:rPr>
              <w:t xml:space="preserve">Valsts kontroles starpziņojumā “Zemkopības ministrijai piešķirto papildu līdzekļu valsts atbalstam </w:t>
            </w:r>
            <w:r w:rsidRPr="00BE7683">
              <w:rPr>
                <w:color w:val="000000" w:themeColor="text1"/>
              </w:rPr>
              <w:lastRenderedPageBreak/>
              <w:t xml:space="preserve">lauksaimniecībai, lai mazinātu Covid-19 izplatības negatīvo ietekmi, pieprasījuma pamatojums un izlietojums” ir sniegta informācija, ka ar atbalsta pasākumiem, kas tika sniegti saskaņā ar MK noteikumiem Nr.219, ne tikai tika kompensēts noteiktais nozares ieņēmumu samazinājums, bet pat palielināti ieņēmumi salīdzinājumā ar attiecīgiem iepriekšējo gadu periodiem (piemēram, tika norādīts, ka pēc revidentu aplēses valsts atbalsts piena lopkopības nozarē par vismaz 7,3 milj. </w:t>
            </w:r>
            <w:proofErr w:type="spellStart"/>
            <w:r w:rsidRPr="00BE7683">
              <w:rPr>
                <w:i/>
                <w:color w:val="000000" w:themeColor="text1"/>
              </w:rPr>
              <w:t>euro</w:t>
            </w:r>
            <w:proofErr w:type="spellEnd"/>
            <w:r w:rsidRPr="00BE7683">
              <w:rPr>
                <w:color w:val="000000" w:themeColor="text1"/>
              </w:rPr>
              <w:t xml:space="preserve"> pārsniedza ieņēmumu samazinājuma apjomu).</w:t>
            </w:r>
            <w:r w:rsidRPr="0063548B">
              <w:rPr>
                <w:color w:val="000000" w:themeColor="text1"/>
              </w:rPr>
              <w:t xml:space="preserve"> Ņemot vērā minēto, </w:t>
            </w:r>
            <w:r w:rsidRPr="00BE7683">
              <w:rPr>
                <w:color w:val="000000" w:themeColor="text1"/>
              </w:rPr>
              <w:t>nepieciešams sniegt skaidrojumu, kāpēc ar rīkojumu projektu tiek paredzēts, ka daļa atbalsta būs sniedzama, veicot grozījumus MK noteikumos Nr.219, tādā veidā paredzot sniegt atbalstu pasākumiem, kas saskaņā ar iepriekš minēto Valsts kontroles ziņojumu savu mērķu ir sasnieguši un pat pārsnieguši.</w:t>
            </w:r>
          </w:p>
        </w:tc>
        <w:tc>
          <w:tcPr>
            <w:tcW w:w="3289" w:type="dxa"/>
            <w:gridSpan w:val="2"/>
            <w:tcBorders>
              <w:left w:val="single" w:sz="4" w:space="0" w:color="auto"/>
              <w:bottom w:val="single" w:sz="4" w:space="0" w:color="auto"/>
            </w:tcBorders>
          </w:tcPr>
          <w:p w14:paraId="07FE5751" w14:textId="5332C66C" w:rsidR="00F965E9" w:rsidRPr="0086052F" w:rsidRDefault="00F965E9" w:rsidP="00F965E9">
            <w:pPr>
              <w:jc w:val="both"/>
              <w:rPr>
                <w:b/>
              </w:rPr>
            </w:pPr>
            <w:r w:rsidRPr="0086052F">
              <w:rPr>
                <w:b/>
              </w:rPr>
              <w:lastRenderedPageBreak/>
              <w:t>Ņemts vērā.</w:t>
            </w:r>
          </w:p>
          <w:p w14:paraId="0093731D" w14:textId="1ED60FE6" w:rsidR="004E3C69" w:rsidRDefault="005B635A" w:rsidP="00F965E9">
            <w:pPr>
              <w:jc w:val="both"/>
              <w:rPr>
                <w:iCs/>
              </w:rPr>
            </w:pPr>
            <w:r w:rsidRPr="005B635A">
              <w:rPr>
                <w:iCs/>
              </w:rPr>
              <w:t xml:space="preserve">Izvērtējot </w:t>
            </w:r>
            <w:r>
              <w:rPr>
                <w:iCs/>
              </w:rPr>
              <w:t xml:space="preserve">Finanšu ministrijas </w:t>
            </w:r>
            <w:r w:rsidRPr="005B635A">
              <w:rPr>
                <w:iCs/>
              </w:rPr>
              <w:t>iebildumu</w:t>
            </w:r>
            <w:r>
              <w:rPr>
                <w:iCs/>
              </w:rPr>
              <w:t>s</w:t>
            </w:r>
            <w:r w:rsidRPr="005B635A">
              <w:rPr>
                <w:iCs/>
              </w:rPr>
              <w:t xml:space="preserve">, grozījumi Ministru </w:t>
            </w:r>
            <w:r w:rsidRPr="005B635A">
              <w:rPr>
                <w:iCs/>
              </w:rPr>
              <w:lastRenderedPageBreak/>
              <w:t>kabineta 2020. gada 14. aprīļa noteikumos Nr. 219 “Kārtība, kādā piešķir, administrē un uzrauga valsts atbalstu lauksaimniecībai, lai mazinātu Covid-19 izplatības negatīvo ietekmi” (turpmāk – MK noteikumi Nr. 219)</w:t>
            </w:r>
            <w:r w:rsidR="004E3C69">
              <w:rPr>
                <w:iCs/>
              </w:rPr>
              <w:t>, k</w:t>
            </w:r>
            <w:r w:rsidR="00FE7A08">
              <w:rPr>
                <w:iCs/>
              </w:rPr>
              <w:t>uri</w:t>
            </w:r>
            <w:r w:rsidR="004E3C69">
              <w:rPr>
                <w:iCs/>
              </w:rPr>
              <w:t xml:space="preserve"> iesniegti Finanšu un Tieslietu ministrijām saskaņošanai 2020.</w:t>
            </w:r>
            <w:r w:rsidR="00FE7A08">
              <w:rPr>
                <w:iCs/>
              </w:rPr>
              <w:t> </w:t>
            </w:r>
            <w:r w:rsidR="004E3C69">
              <w:rPr>
                <w:iCs/>
              </w:rPr>
              <w:t>gada 16. aprīlī,</w:t>
            </w:r>
            <w:r w:rsidR="001E0EE3">
              <w:rPr>
                <w:iCs/>
              </w:rPr>
              <w:t xml:space="preserve"> </w:t>
            </w:r>
            <w:r>
              <w:rPr>
                <w:iCs/>
              </w:rPr>
              <w:t>netiks virzīti</w:t>
            </w:r>
            <w:r w:rsidR="00FE7A08">
              <w:rPr>
                <w:iCs/>
              </w:rPr>
              <w:t xml:space="preserve"> tālāk</w:t>
            </w:r>
            <w:r w:rsidRPr="005B635A">
              <w:rPr>
                <w:iCs/>
              </w:rPr>
              <w:t>.</w:t>
            </w:r>
          </w:p>
          <w:p w14:paraId="16F1F41F" w14:textId="647CD988" w:rsidR="001E0EE3" w:rsidRDefault="001E0EE3" w:rsidP="00F965E9">
            <w:pPr>
              <w:jc w:val="both"/>
              <w:rPr>
                <w:iCs/>
              </w:rPr>
            </w:pPr>
            <w:r>
              <w:rPr>
                <w:iCs/>
              </w:rPr>
              <w:t>Tādējādi anotācija</w:t>
            </w:r>
            <w:r w:rsidR="00FE7A08">
              <w:rPr>
                <w:iCs/>
              </w:rPr>
              <w:t>s</w:t>
            </w:r>
            <w:r>
              <w:rPr>
                <w:iCs/>
              </w:rPr>
              <w:t xml:space="preserve"> I sadaļā svītrota informācija par nepieciešamajiem grozījumiem MK noteikumos Nr. 219, k</w:t>
            </w:r>
            <w:r w:rsidR="00FE7A08">
              <w:rPr>
                <w:iCs/>
              </w:rPr>
              <w:t>uri</w:t>
            </w:r>
            <w:r>
              <w:rPr>
                <w:iCs/>
              </w:rPr>
              <w:t xml:space="preserve"> paredzēja ar 2021. gadam pieejamo finansējumu nosegt atbalstu tiem pretendentiem, k</w:t>
            </w:r>
            <w:r w:rsidR="00FE7A08">
              <w:rPr>
                <w:iCs/>
              </w:rPr>
              <w:t>as</w:t>
            </w:r>
            <w:r>
              <w:rPr>
                <w:iCs/>
              </w:rPr>
              <w:t xml:space="preserve"> 2020. gadā nesaņēma visu tiem aprēķināto atbalstu noteikt</w:t>
            </w:r>
            <w:r w:rsidR="00FE7A08">
              <w:rPr>
                <w:iCs/>
              </w:rPr>
              <w:t>o</w:t>
            </w:r>
            <w:r>
              <w:rPr>
                <w:iCs/>
              </w:rPr>
              <w:t xml:space="preserve"> atbalsta griest</w:t>
            </w:r>
            <w:r w:rsidR="00FE7A08">
              <w:rPr>
                <w:iCs/>
              </w:rPr>
              <w:t>u</w:t>
            </w:r>
            <w:r>
              <w:rPr>
                <w:iCs/>
              </w:rPr>
              <w:t xml:space="preserve"> </w:t>
            </w:r>
            <w:r w:rsidR="00FE7A08">
              <w:rPr>
                <w:iCs/>
              </w:rPr>
              <w:t xml:space="preserve">dēļ </w:t>
            </w:r>
            <w:r>
              <w:rPr>
                <w:iCs/>
              </w:rPr>
              <w:t xml:space="preserve">saskaņā ar </w:t>
            </w:r>
            <w:r>
              <w:t>Pagaidu regulējum</w:t>
            </w:r>
            <w:r w:rsidR="002C4175">
              <w:t>u.</w:t>
            </w:r>
            <w:r>
              <w:rPr>
                <w:iCs/>
              </w:rPr>
              <w:t xml:space="preserve"> </w:t>
            </w:r>
          </w:p>
          <w:p w14:paraId="1121D6C8" w14:textId="77777777" w:rsidR="001E0EE3" w:rsidRDefault="001E0EE3" w:rsidP="00F965E9">
            <w:pPr>
              <w:jc w:val="both"/>
              <w:rPr>
                <w:iCs/>
              </w:rPr>
            </w:pPr>
          </w:p>
          <w:p w14:paraId="0FF08712" w14:textId="24B22B12" w:rsidR="005B635A" w:rsidRDefault="005B635A" w:rsidP="00F965E9">
            <w:pPr>
              <w:jc w:val="both"/>
              <w:rPr>
                <w:color w:val="000000" w:themeColor="text1"/>
              </w:rPr>
            </w:pPr>
            <w:r>
              <w:rPr>
                <w:iCs/>
              </w:rPr>
              <w:t xml:space="preserve">Attiecībā uz Valsts kontroles </w:t>
            </w:r>
            <w:r w:rsidRPr="005B635A">
              <w:rPr>
                <w:color w:val="000000" w:themeColor="text1"/>
              </w:rPr>
              <w:t>starpziņojumā “Zemkopības ministrijai piešķirto papildu līdzekļu valsts atbalstam lauksaimniecībai, lai mazinātu Covid-19 izplatības negatīvo ietekmi, pieprasījuma pamatojums un izlietojums”</w:t>
            </w:r>
            <w:r>
              <w:rPr>
                <w:color w:val="000000" w:themeColor="text1"/>
              </w:rPr>
              <w:t xml:space="preserve"> </w:t>
            </w:r>
            <w:r>
              <w:rPr>
                <w:color w:val="000000" w:themeColor="text1"/>
              </w:rPr>
              <w:lastRenderedPageBreak/>
              <w:t xml:space="preserve">konstatēto, Zemkopības </w:t>
            </w:r>
            <w:r w:rsidR="002C4175">
              <w:rPr>
                <w:color w:val="000000" w:themeColor="text1"/>
              </w:rPr>
              <w:t>sniedz š</w:t>
            </w:r>
            <w:r w:rsidR="008B6932">
              <w:rPr>
                <w:color w:val="000000" w:themeColor="text1"/>
              </w:rPr>
              <w:t>ād</w:t>
            </w:r>
            <w:r w:rsidR="002C4175">
              <w:rPr>
                <w:color w:val="000000" w:themeColor="text1"/>
              </w:rPr>
              <w:t>u informāciju</w:t>
            </w:r>
            <w:r>
              <w:rPr>
                <w:color w:val="000000" w:themeColor="text1"/>
              </w:rPr>
              <w:t>:</w:t>
            </w:r>
          </w:p>
          <w:p w14:paraId="4930AB54" w14:textId="721BB999" w:rsidR="005B635A" w:rsidRDefault="005B635A" w:rsidP="00F965E9">
            <w:pPr>
              <w:jc w:val="both"/>
            </w:pPr>
            <w:r>
              <w:rPr>
                <w:iCs/>
              </w:rPr>
              <w:t xml:space="preserve">1) </w:t>
            </w:r>
            <w:r w:rsidR="00DF4F28">
              <w:t>Zemkopības ministrijas aprēķini par nozaru ražotāju ieņēmumu izmaiņām laikposmos kopš Covid-19 izplatības liecina par ievērojamām svārstībām, īpaši</w:t>
            </w:r>
            <w:r w:rsidR="00EA5681">
              <w:t xml:space="preserve"> </w:t>
            </w:r>
            <w:r w:rsidR="00DF4F28">
              <w:t>liellopu audzēšanā</w:t>
            </w:r>
            <w:r w:rsidR="00EA5681">
              <w:t xml:space="preserve">: no </w:t>
            </w:r>
            <w:r w:rsidR="00DF4F28">
              <w:t>2020.</w:t>
            </w:r>
            <w:r w:rsidR="008B6932">
              <w:t> </w:t>
            </w:r>
            <w:r w:rsidR="00DF4F28">
              <w:t xml:space="preserve">gada aprīļa </w:t>
            </w:r>
            <w:r w:rsidR="00EA5681">
              <w:t>līdz</w:t>
            </w:r>
            <w:r w:rsidR="00DF4F28">
              <w:t xml:space="preserve"> jūnija</w:t>
            </w:r>
            <w:r w:rsidR="00EA5681">
              <w:t>m salīdzin</w:t>
            </w:r>
            <w:r w:rsidR="008B6932">
              <w:t>ājumā</w:t>
            </w:r>
            <w:r w:rsidR="00EA5681">
              <w:t xml:space="preserve"> ar tādu pašu periodu iepriekšējos </w:t>
            </w:r>
            <w:r w:rsidR="008B6932">
              <w:t>trīs</w:t>
            </w:r>
            <w:r w:rsidR="00EA5681">
              <w:t xml:space="preserve"> gados ieņēmumu samazinājums </w:t>
            </w:r>
            <w:r w:rsidR="008B6932">
              <w:t xml:space="preserve">bija </w:t>
            </w:r>
            <w:r w:rsidR="00DF4F28">
              <w:t>26,8</w:t>
            </w:r>
            <w:r w:rsidR="00CC4DEB">
              <w:t> </w:t>
            </w:r>
            <w:r w:rsidR="00DF4F28">
              <w:t>%</w:t>
            </w:r>
            <w:r w:rsidR="00EA5681">
              <w:t xml:space="preserve"> (tajā pašā laikā ieņēmumi uz </w:t>
            </w:r>
            <w:r w:rsidR="008B6932">
              <w:t>vienu</w:t>
            </w:r>
            <w:r w:rsidR="00EA5681">
              <w:t xml:space="preserve"> liellopu samazinājās par 12</w:t>
            </w:r>
            <w:r w:rsidR="00CC4DEB">
              <w:t> </w:t>
            </w:r>
            <w:r w:rsidR="00EA5681">
              <w:t>%</w:t>
            </w:r>
            <w:r w:rsidR="00DF4F28">
              <w:t>)</w:t>
            </w:r>
            <w:r w:rsidR="008B6932">
              <w:t>. Arī</w:t>
            </w:r>
            <w:r w:rsidR="00DF4F28">
              <w:t xml:space="preserve"> cūkkopībā</w:t>
            </w:r>
            <w:r w:rsidR="00EA5681">
              <w:t xml:space="preserve"> no </w:t>
            </w:r>
            <w:r w:rsidR="00DF4F28">
              <w:t xml:space="preserve">2020. gada jūlija </w:t>
            </w:r>
            <w:r w:rsidR="00EA5681">
              <w:t>līdz</w:t>
            </w:r>
            <w:r w:rsidR="00DF4F28">
              <w:t xml:space="preserve"> oktobr</w:t>
            </w:r>
            <w:r w:rsidR="00EA5681">
              <w:t>im salīdzin</w:t>
            </w:r>
            <w:r w:rsidR="008B6932">
              <w:t>ājumā</w:t>
            </w:r>
            <w:r w:rsidR="00EA5681">
              <w:t xml:space="preserve"> ar tādu pašu periodu 2019. gadā</w:t>
            </w:r>
            <w:r w:rsidR="008B6932">
              <w:t xml:space="preserve"> </w:t>
            </w:r>
            <w:r w:rsidR="00EA5681">
              <w:t xml:space="preserve">ieņēmumu samazinājums </w:t>
            </w:r>
            <w:r w:rsidR="008B6932">
              <w:t>bi</w:t>
            </w:r>
            <w:r w:rsidR="00EA5681">
              <w:t xml:space="preserve">ja </w:t>
            </w:r>
            <w:r w:rsidR="00DF4F28">
              <w:t>25,7</w:t>
            </w:r>
            <w:r w:rsidR="008B6932">
              <w:t> </w:t>
            </w:r>
            <w:r w:rsidR="00DF4F28">
              <w:t>%</w:t>
            </w:r>
            <w:r w:rsidR="00EA5681">
              <w:t xml:space="preserve"> (tajā pašā laikā ieņēmumi vidēji uz </w:t>
            </w:r>
            <w:r w:rsidR="008B6932">
              <w:t>vienu</w:t>
            </w:r>
            <w:r w:rsidR="00EA5681">
              <w:t xml:space="preserve"> nobarotu cūku samazinājās par </w:t>
            </w:r>
            <w:r w:rsidR="001E0EE3">
              <w:t>23</w:t>
            </w:r>
            <w:r w:rsidR="00CC4DEB">
              <w:t> </w:t>
            </w:r>
            <w:r w:rsidR="00EA5681">
              <w:t>%</w:t>
            </w:r>
            <w:r w:rsidR="00DF4F28">
              <w:t>)</w:t>
            </w:r>
            <w:r w:rsidR="008B6932">
              <w:t>;</w:t>
            </w:r>
          </w:p>
          <w:p w14:paraId="3B52885D" w14:textId="2CAC2183" w:rsidR="00DF4F28" w:rsidRDefault="00EA5681" w:rsidP="00DF4F28">
            <w:pPr>
              <w:jc w:val="both"/>
            </w:pPr>
            <w:r>
              <w:t xml:space="preserve">2) </w:t>
            </w:r>
            <w:r w:rsidR="00DF4F28">
              <w:t>Zemkopības ministrijas aprēķini liecina, ka piena ražošanā ieņēmumu samazinājums laikā no 2020.</w:t>
            </w:r>
            <w:r w:rsidR="008B6932">
              <w:t> </w:t>
            </w:r>
            <w:r w:rsidR="00DF4F28">
              <w:t>gada aprīļa līdz jūnijam salīdzin</w:t>
            </w:r>
            <w:r w:rsidR="008B6932">
              <w:t>ājumā</w:t>
            </w:r>
            <w:r w:rsidR="00DF4F28">
              <w:t xml:space="preserve"> ar at</w:t>
            </w:r>
            <w:r w:rsidR="008B6932">
              <w:t>bilstošo</w:t>
            </w:r>
            <w:r w:rsidR="00DF4F28">
              <w:t xml:space="preserve"> periodu iepriekšējos </w:t>
            </w:r>
            <w:r w:rsidR="008B6932">
              <w:t>trīs</w:t>
            </w:r>
            <w:r w:rsidR="00DF4F28">
              <w:t xml:space="preserve"> gados sasniedza 9,1</w:t>
            </w:r>
            <w:r w:rsidR="00CC4DEB">
              <w:t> </w:t>
            </w:r>
            <w:r w:rsidR="00DF4F28">
              <w:t>%</w:t>
            </w:r>
            <w:r>
              <w:t xml:space="preserve"> (cenai </w:t>
            </w:r>
            <w:r>
              <w:lastRenderedPageBreak/>
              <w:t>samazinoties par 7,2</w:t>
            </w:r>
            <w:r w:rsidR="00CC4DEB">
              <w:t> </w:t>
            </w:r>
            <w:r>
              <w:t>%)</w:t>
            </w:r>
            <w:r w:rsidR="00DF4F28">
              <w:t>, bet laikā no 2020. gada jūlija līdz septembrim salīdzin</w:t>
            </w:r>
            <w:r w:rsidR="008B6932">
              <w:t>ājumā</w:t>
            </w:r>
            <w:r w:rsidR="00DF4F28">
              <w:t xml:space="preserve"> ar </w:t>
            </w:r>
            <w:r w:rsidR="008B6932">
              <w:t>atbilstošo periodu iepriekšējos trīs</w:t>
            </w:r>
            <w:r w:rsidR="008B6932" w:rsidDel="008B6932">
              <w:t xml:space="preserve"> </w:t>
            </w:r>
            <w:r w:rsidR="00DF4F28">
              <w:t xml:space="preserve">gados </w:t>
            </w:r>
            <w:r w:rsidR="008B6932">
              <w:t>–</w:t>
            </w:r>
            <w:r w:rsidR="00DF4F28">
              <w:t xml:space="preserve"> 7,7</w:t>
            </w:r>
            <w:r w:rsidR="001E0EE3">
              <w:t xml:space="preserve"> </w:t>
            </w:r>
            <w:r w:rsidR="00DF4F28">
              <w:t>%</w:t>
            </w:r>
            <w:r>
              <w:t xml:space="preserve"> (cenai samazinoties par 7,3</w:t>
            </w:r>
            <w:r w:rsidR="001E0EE3">
              <w:t xml:space="preserve"> </w:t>
            </w:r>
            <w:r>
              <w:t>%)</w:t>
            </w:r>
            <w:r w:rsidR="008B6932">
              <w:t>;</w:t>
            </w:r>
          </w:p>
          <w:p w14:paraId="15F31416" w14:textId="628E6D0A" w:rsidR="00DF4F28" w:rsidRDefault="00EA5681" w:rsidP="00DF4F28">
            <w:pPr>
              <w:jc w:val="both"/>
            </w:pPr>
            <w:r>
              <w:t>3) Zemkopības ministrijas aprēķini liecina, ka l</w:t>
            </w:r>
            <w:r w:rsidR="00DF4F28">
              <w:t>iellopu ražošanā papildus jau iepriekšminētajam periodam</w:t>
            </w:r>
            <w:r w:rsidR="001E0EE3">
              <w:t xml:space="preserve"> ieņēmumu samazinājums</w:t>
            </w:r>
            <w:r w:rsidR="00DF4F28">
              <w:t xml:space="preserve"> laikā no 2020.</w:t>
            </w:r>
            <w:r w:rsidR="00CC4DEB">
              <w:t> </w:t>
            </w:r>
            <w:r w:rsidR="00DF4F28">
              <w:t>gada jūlija līdz septembrim salīdzin</w:t>
            </w:r>
            <w:r w:rsidR="008B6932">
              <w:t>ājumā</w:t>
            </w:r>
            <w:r w:rsidR="00DF4F28">
              <w:t xml:space="preserve"> ar </w:t>
            </w:r>
            <w:r w:rsidR="008B6932">
              <w:t>atbilstošo periodu iepriekšējos trīs</w:t>
            </w:r>
            <w:r w:rsidR="00DF4F28">
              <w:t xml:space="preserve"> gados</w:t>
            </w:r>
            <w:r>
              <w:t xml:space="preserve"> </w:t>
            </w:r>
            <w:r w:rsidR="008B6932">
              <w:t>bijis</w:t>
            </w:r>
            <w:r>
              <w:t xml:space="preserve"> 5,2</w:t>
            </w:r>
            <w:r w:rsidR="001E0EE3">
              <w:t xml:space="preserve"> </w:t>
            </w:r>
            <w:r>
              <w:t>%</w:t>
            </w:r>
            <w:r w:rsidR="001E0EE3">
              <w:t xml:space="preserve"> (tajā pašā laikā ieņēmumi uz 1 liellopu samazinājās par 12 %)</w:t>
            </w:r>
            <w:r w:rsidR="008B6932">
              <w:t>;</w:t>
            </w:r>
          </w:p>
          <w:p w14:paraId="5F541841" w14:textId="0CF9F94B" w:rsidR="00DF4F28" w:rsidRDefault="001E0EE3" w:rsidP="00DF4F28">
            <w:pPr>
              <w:jc w:val="both"/>
            </w:pPr>
            <w:r>
              <w:t>4) Zemkopības ministrijas aprēķini liecina, ka c</w:t>
            </w:r>
            <w:r w:rsidR="00EA5681">
              <w:t>ūkkopības nozarē papildus jau iepriekšminētajam periodam</w:t>
            </w:r>
            <w:r>
              <w:t xml:space="preserve"> ieņēmumu samazinājums</w:t>
            </w:r>
            <w:r w:rsidR="00EA5681">
              <w:t xml:space="preserve"> laikā no </w:t>
            </w:r>
            <w:r>
              <w:t>2020.</w:t>
            </w:r>
            <w:r w:rsidR="00CC4DEB">
              <w:t> </w:t>
            </w:r>
            <w:r>
              <w:t>gada aprīļa līdz jūnijam salīdzin</w:t>
            </w:r>
            <w:r w:rsidR="008B6932">
              <w:t>ājumā</w:t>
            </w:r>
            <w:r>
              <w:t xml:space="preserve"> ar tādu pašu periodu 2019. gad</w:t>
            </w:r>
            <w:r w:rsidR="008B6932">
              <w:t>ā</w:t>
            </w:r>
            <w:r>
              <w:t xml:space="preserve"> </w:t>
            </w:r>
            <w:r w:rsidR="008B6932">
              <w:t xml:space="preserve">bija  </w:t>
            </w:r>
            <w:r>
              <w:t>11,2</w:t>
            </w:r>
            <w:r w:rsidR="008B6932">
              <w:t> </w:t>
            </w:r>
            <w:r>
              <w:t xml:space="preserve">% (tajā pašā laikā ieņēmumi vidēji uz </w:t>
            </w:r>
            <w:r w:rsidR="008B6932">
              <w:t>vienu</w:t>
            </w:r>
            <w:r>
              <w:t xml:space="preserve"> nobarotu cūku samazinājās par 10</w:t>
            </w:r>
            <w:r w:rsidR="008B6932">
              <w:t> </w:t>
            </w:r>
            <w:r>
              <w:t xml:space="preserve">%). </w:t>
            </w:r>
            <w:r w:rsidR="00DF4F28">
              <w:t>Turklāt attiecībā uz cūkkopības nozari</w:t>
            </w:r>
            <w:r>
              <w:t xml:space="preserve"> Zemkopības ministrija vērš uzmanību, ka </w:t>
            </w:r>
            <w:r w:rsidR="00DF4F28">
              <w:t xml:space="preserve">2020. gada novembra beigās </w:t>
            </w:r>
            <w:r w:rsidR="008B6932">
              <w:t>un</w:t>
            </w:r>
            <w:r w:rsidR="00DF4F28">
              <w:t xml:space="preserve"> </w:t>
            </w:r>
            <w:r w:rsidR="00DF4F28">
              <w:lastRenderedPageBreak/>
              <w:t>decembra sākumā tika sasniegti vēsturiski zemākie cūkgaļas iepirkuma cenu līmeņi</w:t>
            </w:r>
            <w:r w:rsidR="008B6932">
              <w:t>;</w:t>
            </w:r>
          </w:p>
          <w:p w14:paraId="1354A970" w14:textId="149BBF8E" w:rsidR="001E0EE3" w:rsidRPr="001E0EE3" w:rsidRDefault="001E0EE3">
            <w:pPr>
              <w:jc w:val="both"/>
            </w:pPr>
            <w:r>
              <w:t xml:space="preserve">5) Zemkopības ministrijas aprēķini, </w:t>
            </w:r>
            <w:r w:rsidR="008B6932">
              <w:t>pamatojoties uz</w:t>
            </w:r>
            <w:r>
              <w:t xml:space="preserve"> SUDAT dat</w:t>
            </w:r>
            <w:r w:rsidR="008B6932">
              <w:t>iem</w:t>
            </w:r>
            <w:r>
              <w:t>, liecina, ka gan piena ražošanā, gan liellopu audzēšanā saimniecību ieņēmumu samazināšanās par 5</w:t>
            </w:r>
            <w:r w:rsidR="008B6932">
              <w:t> </w:t>
            </w:r>
            <w:r>
              <w:t>% var samazināt saimniecību rentabilitāti pat par 89 %, būtiski apdraudot saimniecību finansiālo stabilitāti. Arī šo aspektu Zemkopības ministrija ņēma vērā, veidojot atbalsta nosacījumus.</w:t>
            </w:r>
          </w:p>
        </w:tc>
        <w:tc>
          <w:tcPr>
            <w:tcW w:w="3071" w:type="dxa"/>
            <w:tcBorders>
              <w:bottom w:val="single" w:sz="4" w:space="0" w:color="auto"/>
              <w:right w:val="single" w:sz="4" w:space="0" w:color="auto"/>
            </w:tcBorders>
          </w:tcPr>
          <w:p w14:paraId="31F4F09A" w14:textId="0C745621" w:rsidR="003322BC" w:rsidRPr="00E35AEF" w:rsidRDefault="002C4175" w:rsidP="00112DD0">
            <w:pPr>
              <w:widowControl w:val="0"/>
              <w:tabs>
                <w:tab w:val="left" w:pos="720"/>
                <w:tab w:val="left" w:pos="993"/>
              </w:tabs>
              <w:jc w:val="both"/>
            </w:pPr>
            <w:r>
              <w:lastRenderedPageBreak/>
              <w:t>Precizēta anotācijas</w:t>
            </w:r>
            <w:r w:rsidR="0064189B">
              <w:t xml:space="preserve"> I sadaļ</w:t>
            </w:r>
            <w:r>
              <w:t>a</w:t>
            </w:r>
            <w:r w:rsidR="001E0EE3">
              <w:t>.</w:t>
            </w:r>
          </w:p>
        </w:tc>
      </w:tr>
      <w:tr w:rsidR="00C95E7C" w:rsidRPr="00AC04F8" w14:paraId="0F2D80E8"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6548E53" w14:textId="3DE73A55" w:rsidR="00C95E7C" w:rsidRDefault="000002B2" w:rsidP="00C95E7C">
            <w:pPr>
              <w:pStyle w:val="naisnod"/>
              <w:jc w:val="center"/>
              <w:rPr>
                <w:color w:val="000000"/>
              </w:rPr>
            </w:pPr>
            <w:r>
              <w:rPr>
                <w:color w:val="000000"/>
              </w:rPr>
              <w:lastRenderedPageBreak/>
              <w:t>4.</w:t>
            </w:r>
          </w:p>
        </w:tc>
        <w:tc>
          <w:tcPr>
            <w:tcW w:w="2581" w:type="dxa"/>
            <w:gridSpan w:val="2"/>
            <w:tcBorders>
              <w:top w:val="single" w:sz="4" w:space="0" w:color="auto"/>
              <w:left w:val="single" w:sz="4" w:space="0" w:color="auto"/>
              <w:bottom w:val="single" w:sz="4" w:space="0" w:color="auto"/>
              <w:right w:val="single" w:sz="4" w:space="0" w:color="auto"/>
            </w:tcBorders>
          </w:tcPr>
          <w:p w14:paraId="6941179D" w14:textId="1409C642" w:rsidR="00C95E7C" w:rsidRPr="000465E2" w:rsidRDefault="000465E2" w:rsidP="000465E2">
            <w:pPr>
              <w:ind w:right="12"/>
              <w:jc w:val="both"/>
              <w:rPr>
                <w:color w:val="000000" w:themeColor="text1"/>
              </w:rPr>
            </w:pPr>
            <w:r w:rsidRPr="000465E2">
              <w:rPr>
                <w:color w:val="000000" w:themeColor="text1"/>
              </w:rPr>
              <w:t xml:space="preserve">1.2. atbalstam sabiedrībai ar ierobežotu atbildību "Bulduru Dārzkopības vidusskola", lai mazinātu ārkārtas situācijas negatīvo ietekmi, veicot infrastruktūras avārijas remontdarbus, kā arī nodrošinot atbilstošu un drošu mācību vidi skolas audzēkņiem un skolas darbības nepārtrauktību, – finansējumu, kas </w:t>
            </w:r>
            <w:r w:rsidRPr="000465E2">
              <w:rPr>
                <w:color w:val="000000" w:themeColor="text1"/>
              </w:rPr>
              <w:lastRenderedPageBreak/>
              <w:t xml:space="preserve">nepārsniedz 1 300 000 </w:t>
            </w:r>
            <w:proofErr w:type="spellStart"/>
            <w:r w:rsidRPr="000465E2">
              <w:rPr>
                <w:color w:val="000000" w:themeColor="text1"/>
              </w:rPr>
              <w:t>euro</w:t>
            </w:r>
            <w:proofErr w:type="spellEnd"/>
            <w:r w:rsidRPr="000465E2">
              <w:rPr>
                <w:color w:val="000000" w:themeColor="text1"/>
              </w:rPr>
              <w:t>;</w:t>
            </w:r>
          </w:p>
        </w:tc>
        <w:tc>
          <w:tcPr>
            <w:tcW w:w="4532" w:type="dxa"/>
            <w:tcBorders>
              <w:top w:val="single" w:sz="4" w:space="0" w:color="auto"/>
              <w:left w:val="single" w:sz="4" w:space="0" w:color="auto"/>
              <w:bottom w:val="single" w:sz="4" w:space="0" w:color="auto"/>
              <w:right w:val="single" w:sz="4" w:space="0" w:color="auto"/>
            </w:tcBorders>
          </w:tcPr>
          <w:p w14:paraId="0133C52B" w14:textId="413B82A8" w:rsidR="00C95E7C" w:rsidRPr="00F611E2" w:rsidRDefault="000002B2" w:rsidP="00C95E7C">
            <w:pPr>
              <w:ind w:right="12"/>
              <w:jc w:val="both"/>
            </w:pPr>
            <w:r w:rsidRPr="00BD2BF2">
              <w:rPr>
                <w:color w:val="000000" w:themeColor="text1"/>
              </w:rPr>
              <w:lastRenderedPageBreak/>
              <w:t xml:space="preserve">Rīkojuma projektā iekļautie grozījumi paredz atbalstu SIA “Bulduru Dārzkopības vidusskola” (turpmāk – vidusskola), kas pēc būtības neatbilst sākotnējam atbalsta mērķim, kas paredzēts Ministru kabineta 2021.gada 17.februāra rīkojumā Nr.96, proti, Covid-19 krīzes seku mazināšanai un kapacitātes stiprināšanai lauksaimniecībā. Papildus no anotācijā sniegtās informācijas </w:t>
            </w:r>
            <w:r w:rsidRPr="0063548B">
              <w:rPr>
                <w:color w:val="000000" w:themeColor="text1"/>
              </w:rPr>
              <w:t>secināms, ka šis atbalsts plānots vidusskolas remontdarbu veikšanai, kas uzskatāms par ieguldījumu infrastruktūrā. Ņemot vērā minēto, uzskatām, ka atbalsts vidusskolai nav nodrošināms no</w:t>
            </w:r>
            <w:r w:rsidRPr="00BD2BF2">
              <w:rPr>
                <w:color w:val="000000" w:themeColor="text1"/>
              </w:rPr>
              <w:t xml:space="preserve"> Ministru kabineta 2021.gada 17.februāra rīkojumā Nr.96 rezervētajiem līdzekļiem.</w:t>
            </w:r>
          </w:p>
        </w:tc>
        <w:tc>
          <w:tcPr>
            <w:tcW w:w="3289" w:type="dxa"/>
            <w:gridSpan w:val="2"/>
            <w:tcBorders>
              <w:left w:val="single" w:sz="4" w:space="0" w:color="auto"/>
              <w:bottom w:val="single" w:sz="4" w:space="0" w:color="auto"/>
            </w:tcBorders>
          </w:tcPr>
          <w:p w14:paraId="00F38AB5" w14:textId="77777777" w:rsidR="00C95E7C" w:rsidRDefault="000465E2" w:rsidP="00C95E7C">
            <w:pPr>
              <w:jc w:val="both"/>
              <w:rPr>
                <w:b/>
                <w:iCs/>
              </w:rPr>
            </w:pPr>
            <w:r w:rsidRPr="000465E2">
              <w:rPr>
                <w:b/>
                <w:iCs/>
              </w:rPr>
              <w:t>Ņemts vērā.</w:t>
            </w:r>
          </w:p>
          <w:p w14:paraId="6F62BA31" w14:textId="619E27EA" w:rsidR="000465E2" w:rsidRPr="000465E2" w:rsidRDefault="000465E2" w:rsidP="00C95E7C">
            <w:pPr>
              <w:jc w:val="both"/>
              <w:rPr>
                <w:iCs/>
              </w:rPr>
            </w:pPr>
            <w:r w:rsidRPr="000465E2">
              <w:rPr>
                <w:iCs/>
              </w:rPr>
              <w:t>Rīkojumā projektā svītrots 1.2.</w:t>
            </w:r>
            <w:r w:rsidR="00415D69">
              <w:rPr>
                <w:iCs/>
              </w:rPr>
              <w:t> </w:t>
            </w:r>
            <w:r w:rsidRPr="000465E2">
              <w:rPr>
                <w:iCs/>
              </w:rPr>
              <w:t>apakšpunkts.</w:t>
            </w:r>
          </w:p>
        </w:tc>
        <w:tc>
          <w:tcPr>
            <w:tcW w:w="3071" w:type="dxa"/>
            <w:tcBorders>
              <w:bottom w:val="single" w:sz="4" w:space="0" w:color="auto"/>
              <w:right w:val="single" w:sz="4" w:space="0" w:color="auto"/>
            </w:tcBorders>
          </w:tcPr>
          <w:p w14:paraId="72D5CD2F" w14:textId="36021C7A" w:rsidR="00C95E7C" w:rsidRPr="00C95E7C" w:rsidRDefault="000465E2" w:rsidP="00C95E7C">
            <w:pPr>
              <w:widowControl w:val="0"/>
              <w:tabs>
                <w:tab w:val="left" w:pos="720"/>
                <w:tab w:val="left" w:pos="993"/>
              </w:tabs>
              <w:jc w:val="both"/>
            </w:pPr>
            <w:r>
              <w:t>1.2. apakšpunkts svītrots.</w:t>
            </w:r>
          </w:p>
        </w:tc>
      </w:tr>
      <w:tr w:rsidR="00C95E7C" w:rsidRPr="00AC04F8" w14:paraId="3C72E0F3"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FB70F6F" w14:textId="252E18AA" w:rsidR="00C95E7C" w:rsidRDefault="000002B2" w:rsidP="00C95E7C">
            <w:pPr>
              <w:pStyle w:val="naisnod"/>
              <w:jc w:val="center"/>
              <w:rPr>
                <w:color w:val="000000"/>
              </w:rPr>
            </w:pPr>
            <w:r>
              <w:rPr>
                <w:color w:val="000000"/>
              </w:rPr>
              <w:t>5.</w:t>
            </w:r>
          </w:p>
        </w:tc>
        <w:tc>
          <w:tcPr>
            <w:tcW w:w="2581" w:type="dxa"/>
            <w:gridSpan w:val="2"/>
            <w:tcBorders>
              <w:top w:val="single" w:sz="4" w:space="0" w:color="auto"/>
              <w:left w:val="single" w:sz="4" w:space="0" w:color="auto"/>
              <w:bottom w:val="single" w:sz="4" w:space="0" w:color="auto"/>
              <w:right w:val="single" w:sz="4" w:space="0" w:color="auto"/>
            </w:tcBorders>
          </w:tcPr>
          <w:p w14:paraId="1A2D7AB0" w14:textId="487F68DB" w:rsidR="00C95E7C" w:rsidRPr="00D1206B" w:rsidRDefault="000465E2" w:rsidP="00C95E7C">
            <w:pPr>
              <w:shd w:val="clear" w:color="auto" w:fill="FFFFFF"/>
              <w:spacing w:line="293" w:lineRule="atLeast"/>
              <w:jc w:val="both"/>
            </w:pPr>
            <w:r>
              <w:t>Anotācija I sadaļa, III sadaļas 6. punkts</w:t>
            </w:r>
          </w:p>
        </w:tc>
        <w:tc>
          <w:tcPr>
            <w:tcW w:w="4532" w:type="dxa"/>
            <w:tcBorders>
              <w:top w:val="single" w:sz="4" w:space="0" w:color="auto"/>
              <w:left w:val="single" w:sz="4" w:space="0" w:color="auto"/>
              <w:bottom w:val="single" w:sz="4" w:space="0" w:color="auto"/>
              <w:right w:val="single" w:sz="4" w:space="0" w:color="auto"/>
            </w:tcBorders>
          </w:tcPr>
          <w:p w14:paraId="5DC8620A" w14:textId="07BCAB46" w:rsidR="00C95E7C" w:rsidRPr="00F611E2" w:rsidRDefault="000002B2" w:rsidP="00C95E7C">
            <w:pPr>
              <w:ind w:right="12"/>
              <w:jc w:val="both"/>
            </w:pPr>
            <w:r w:rsidRPr="00BD2BF2">
              <w:rPr>
                <w:color w:val="000000" w:themeColor="text1"/>
              </w:rPr>
              <w:t xml:space="preserve">Anotācijā norādīts, ka vidusskolas infrastruktūras uzturēšanai tiek izmantoti pašu ieņēmumi, kas Covid-19 ietekmē ir būtiski samazinājušies, vienlaikus nav sniegts pamatojums, kā tieši un kādā apmērā Covid-19 infekcijas izplatība ir ietekmējusi pašu ieņēmumu samazināšos. Vienlaikus norādām, </w:t>
            </w:r>
            <w:r w:rsidRPr="0063548B">
              <w:rPr>
                <w:color w:val="000000" w:themeColor="text1"/>
              </w:rPr>
              <w:t>ka šobrīd nevienai profesionālās izglītības iestādei, kā arī augstākās izglītības iestādei netiek kompensēta pašu ieņēmumu samazināšanās, attiecīgi vidusskola nav uzskatāma par izņēmumu šai pieejai. Turklāt vēršam uzmanību, ka no 2017.gada, kad vidusskola kļuva par kapitālsabiedrību</w:t>
            </w:r>
            <w:r w:rsidRPr="00BD2BF2">
              <w:rPr>
                <w:color w:val="000000" w:themeColor="text1"/>
              </w:rPr>
              <w:t xml:space="preserve">, kurā visas kapitāla daļas pieder Latvijas Lauksaimniecības universitātei, kura ir Zemkopības ministrijas pārraudzībā, tai jau ir papildus piešķirts valsts budžeta finansējums 2,4 milj. </w:t>
            </w:r>
            <w:proofErr w:type="spellStart"/>
            <w:r w:rsidRPr="00BD2BF2">
              <w:rPr>
                <w:i/>
                <w:color w:val="000000" w:themeColor="text1"/>
              </w:rPr>
              <w:t>euro</w:t>
            </w:r>
            <w:proofErr w:type="spellEnd"/>
            <w:r w:rsidRPr="00BD2BF2">
              <w:rPr>
                <w:color w:val="000000" w:themeColor="text1"/>
              </w:rPr>
              <w:t xml:space="preserve"> dažādiem infrastruktūras uzlabojumiem</w:t>
            </w:r>
          </w:p>
        </w:tc>
        <w:tc>
          <w:tcPr>
            <w:tcW w:w="3289" w:type="dxa"/>
            <w:gridSpan w:val="2"/>
            <w:tcBorders>
              <w:left w:val="single" w:sz="4" w:space="0" w:color="auto"/>
              <w:bottom w:val="single" w:sz="4" w:space="0" w:color="auto"/>
            </w:tcBorders>
          </w:tcPr>
          <w:p w14:paraId="5E86CA19" w14:textId="77777777" w:rsidR="00C95E7C" w:rsidRDefault="000465E2" w:rsidP="00C95E7C">
            <w:pPr>
              <w:jc w:val="both"/>
              <w:rPr>
                <w:b/>
                <w:iCs/>
              </w:rPr>
            </w:pPr>
            <w:r w:rsidRPr="000465E2">
              <w:rPr>
                <w:b/>
                <w:iCs/>
              </w:rPr>
              <w:t>Ņemts vērā.</w:t>
            </w:r>
          </w:p>
          <w:p w14:paraId="3445ED8C" w14:textId="774FCFE4" w:rsidR="000465E2" w:rsidRPr="004D02E3" w:rsidRDefault="00415D69" w:rsidP="00C95E7C">
            <w:pPr>
              <w:jc w:val="both"/>
              <w:rPr>
                <w:b/>
                <w:iCs/>
              </w:rPr>
            </w:pPr>
            <w:r>
              <w:t>P</w:t>
            </w:r>
            <w:r w:rsidR="000465E2">
              <w:t>recizē</w:t>
            </w:r>
            <w:r>
              <w:t>ta</w:t>
            </w:r>
            <w:r w:rsidR="000465E2">
              <w:t xml:space="preserve"> anotācijas I sadaļ</w:t>
            </w:r>
            <w:r>
              <w:t>a</w:t>
            </w:r>
            <w:r w:rsidR="000465E2">
              <w:t xml:space="preserve"> un III sadaļas 6. punkt</w:t>
            </w:r>
            <w:r>
              <w:t>s</w:t>
            </w:r>
            <w:r w:rsidR="000465E2">
              <w:t xml:space="preserve">, svītrojot informāciju par </w:t>
            </w:r>
            <w:r w:rsidR="000465E2" w:rsidRPr="00BD2BF2">
              <w:rPr>
                <w:color w:val="000000" w:themeColor="text1"/>
              </w:rPr>
              <w:t>atbalstu SIA “Bulduru Dārzkopības vidusskola”</w:t>
            </w:r>
            <w:r w:rsidR="000465E2">
              <w:rPr>
                <w:color w:val="000000" w:themeColor="text1"/>
              </w:rPr>
              <w:t>.</w:t>
            </w:r>
          </w:p>
        </w:tc>
        <w:tc>
          <w:tcPr>
            <w:tcW w:w="3071" w:type="dxa"/>
            <w:tcBorders>
              <w:bottom w:val="single" w:sz="4" w:space="0" w:color="auto"/>
              <w:right w:val="single" w:sz="4" w:space="0" w:color="auto"/>
            </w:tcBorders>
          </w:tcPr>
          <w:p w14:paraId="5FEDAF81" w14:textId="4BE75530" w:rsidR="00C95E7C" w:rsidRPr="00D1206B" w:rsidRDefault="00415D69" w:rsidP="00C95E7C">
            <w:pPr>
              <w:widowControl w:val="0"/>
              <w:tabs>
                <w:tab w:val="left" w:pos="720"/>
                <w:tab w:val="left" w:pos="993"/>
              </w:tabs>
              <w:jc w:val="both"/>
            </w:pPr>
            <w:r>
              <w:t>Precizēta anotācijas I sadaļa un III sadaļas 6. punkts</w:t>
            </w:r>
            <w:r w:rsidR="000465E2">
              <w:t>.</w:t>
            </w:r>
          </w:p>
        </w:tc>
      </w:tr>
      <w:tr w:rsidR="00C95E7C" w:rsidRPr="00AC04F8" w14:paraId="5FBB333B"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E2C9223" w14:textId="227BEA4B" w:rsidR="00C95E7C" w:rsidRDefault="00742F06" w:rsidP="00C95E7C">
            <w:pPr>
              <w:pStyle w:val="naisnod"/>
              <w:jc w:val="center"/>
              <w:rPr>
                <w:color w:val="000000"/>
              </w:rPr>
            </w:pPr>
            <w:r>
              <w:rPr>
                <w:color w:val="000000"/>
              </w:rPr>
              <w:t>6.</w:t>
            </w:r>
          </w:p>
        </w:tc>
        <w:tc>
          <w:tcPr>
            <w:tcW w:w="2581" w:type="dxa"/>
            <w:gridSpan w:val="2"/>
            <w:tcBorders>
              <w:top w:val="single" w:sz="4" w:space="0" w:color="auto"/>
              <w:left w:val="single" w:sz="4" w:space="0" w:color="auto"/>
              <w:bottom w:val="single" w:sz="4" w:space="0" w:color="auto"/>
              <w:right w:val="single" w:sz="4" w:space="0" w:color="auto"/>
            </w:tcBorders>
          </w:tcPr>
          <w:p w14:paraId="1E5CE101" w14:textId="77777777" w:rsidR="00C95E7C" w:rsidRDefault="000465E2" w:rsidP="00C95E7C">
            <w:pPr>
              <w:shd w:val="clear" w:color="auto" w:fill="FFFFFF"/>
              <w:spacing w:line="240" w:lineRule="atLeast"/>
              <w:jc w:val="both"/>
              <w:rPr>
                <w:color w:val="000000" w:themeColor="text1"/>
              </w:rPr>
            </w:pPr>
            <w:r w:rsidRPr="000465E2">
              <w:rPr>
                <w:color w:val="000000" w:themeColor="text1"/>
              </w:rPr>
              <w:t xml:space="preserve">1.2. atbalstam sabiedrībai ar ierobežotu atbildību "Bulduru Dārzkopības vidusskola", lai mazinātu ārkārtas situācijas negatīvo ietekmi, veicot infrastruktūras avārijas remontdarbus, kā arī </w:t>
            </w:r>
            <w:r w:rsidRPr="000465E2">
              <w:rPr>
                <w:color w:val="000000" w:themeColor="text1"/>
              </w:rPr>
              <w:lastRenderedPageBreak/>
              <w:t xml:space="preserve">nodrošinot atbilstošu un drošu mācību vidi skolas audzēkņiem un skolas darbības nepārtrauktību, – finansējumu, kas nepārsniedz 1 300 000 </w:t>
            </w:r>
            <w:proofErr w:type="spellStart"/>
            <w:r w:rsidRPr="000465E2">
              <w:rPr>
                <w:color w:val="000000" w:themeColor="text1"/>
              </w:rPr>
              <w:t>euro</w:t>
            </w:r>
            <w:proofErr w:type="spellEnd"/>
            <w:r w:rsidRPr="000465E2">
              <w:rPr>
                <w:color w:val="000000" w:themeColor="text1"/>
              </w:rPr>
              <w:t>;</w:t>
            </w:r>
          </w:p>
          <w:p w14:paraId="22FFDAC6" w14:textId="77777777" w:rsidR="000465E2" w:rsidRDefault="000465E2" w:rsidP="00C95E7C">
            <w:pPr>
              <w:shd w:val="clear" w:color="auto" w:fill="FFFFFF"/>
              <w:spacing w:line="240" w:lineRule="atLeast"/>
              <w:jc w:val="both"/>
              <w:rPr>
                <w:color w:val="000000" w:themeColor="text1"/>
              </w:rPr>
            </w:pPr>
          </w:p>
          <w:p w14:paraId="2EEF039C" w14:textId="39A8F725" w:rsidR="000465E2" w:rsidRPr="00E35AEF" w:rsidRDefault="000465E2" w:rsidP="00C95E7C">
            <w:pPr>
              <w:shd w:val="clear" w:color="auto" w:fill="FFFFFF"/>
              <w:spacing w:line="240" w:lineRule="atLeast"/>
              <w:jc w:val="both"/>
            </w:pPr>
            <w:r>
              <w:t>Anotācija</w:t>
            </w:r>
            <w:r w:rsidR="002C4175">
              <w:t>s</w:t>
            </w:r>
            <w:r>
              <w:t xml:space="preserve"> I sadaļa</w:t>
            </w:r>
          </w:p>
        </w:tc>
        <w:tc>
          <w:tcPr>
            <w:tcW w:w="4532" w:type="dxa"/>
            <w:tcBorders>
              <w:top w:val="single" w:sz="4" w:space="0" w:color="auto"/>
              <w:left w:val="single" w:sz="4" w:space="0" w:color="auto"/>
              <w:bottom w:val="single" w:sz="4" w:space="0" w:color="auto"/>
              <w:right w:val="single" w:sz="4" w:space="0" w:color="auto"/>
            </w:tcBorders>
          </w:tcPr>
          <w:p w14:paraId="226A48AC" w14:textId="3BC247CB" w:rsidR="00C95E7C" w:rsidRPr="00F611E2" w:rsidRDefault="00742F06" w:rsidP="00C95E7C">
            <w:pPr>
              <w:ind w:right="12"/>
              <w:jc w:val="both"/>
            </w:pPr>
            <w:r w:rsidRPr="00BD2BF2">
              <w:rPr>
                <w:color w:val="000000" w:themeColor="text1"/>
              </w:rPr>
              <w:lastRenderedPageBreak/>
              <w:t>Rīkojuma projektā un anotācijā norādīts, ka a</w:t>
            </w:r>
            <w:r>
              <w:rPr>
                <w:color w:val="000000" w:themeColor="text1"/>
              </w:rPr>
              <w:t>tbalsts vidusskolai nepieciešam</w:t>
            </w:r>
            <w:r w:rsidRPr="00BD2BF2">
              <w:rPr>
                <w:color w:val="000000" w:themeColor="text1"/>
              </w:rPr>
              <w:t xml:space="preserve">s, lai mazinātu ārkārtas situācijas negatīvo ietekmi, tomēr </w:t>
            </w:r>
            <w:r w:rsidRPr="0063548B">
              <w:rPr>
                <w:color w:val="000000" w:themeColor="text1"/>
              </w:rPr>
              <w:t>minētais pamatojums ir nekorekts, jo ārkārtas situācija nav radījusi nepieciešamību veikt vidusskolā remontdarbus, kam finansējums tiek pieprasīts. Ņemot vērā</w:t>
            </w:r>
            <w:r w:rsidRPr="00BD2BF2">
              <w:rPr>
                <w:color w:val="000000" w:themeColor="text1"/>
              </w:rPr>
              <w:t xml:space="preserve"> minēto, kā arī 5.iebildumā norādīto, uzskatām, ka jautājums par finansējumu vidusskolas </w:t>
            </w:r>
            <w:r w:rsidRPr="00BD2BF2">
              <w:rPr>
                <w:color w:val="000000" w:themeColor="text1"/>
              </w:rPr>
              <w:lastRenderedPageBreak/>
              <w:t>remontdarbu veikšanai ir skatāms Ministru kabinetā ikgadējā valsts budžeta un vidēja termiņa budžeta ietvara likumprojektu sagatavošanas procesā, Zemkopības ministrijai iesniedzot prioritārā pasākuma pieteikumu.</w:t>
            </w:r>
          </w:p>
        </w:tc>
        <w:tc>
          <w:tcPr>
            <w:tcW w:w="3289" w:type="dxa"/>
            <w:gridSpan w:val="2"/>
            <w:tcBorders>
              <w:left w:val="single" w:sz="4" w:space="0" w:color="auto"/>
              <w:bottom w:val="single" w:sz="4" w:space="0" w:color="auto"/>
            </w:tcBorders>
          </w:tcPr>
          <w:p w14:paraId="464A57BB" w14:textId="77777777" w:rsidR="000465E2" w:rsidRDefault="000465E2" w:rsidP="000465E2">
            <w:pPr>
              <w:jc w:val="both"/>
              <w:rPr>
                <w:b/>
                <w:iCs/>
              </w:rPr>
            </w:pPr>
            <w:r w:rsidRPr="000465E2">
              <w:rPr>
                <w:b/>
                <w:iCs/>
              </w:rPr>
              <w:lastRenderedPageBreak/>
              <w:t>Ņemts vērā.</w:t>
            </w:r>
          </w:p>
          <w:p w14:paraId="6272AF85" w14:textId="361078BD" w:rsidR="00C95E7C" w:rsidRPr="00C95E7C" w:rsidRDefault="000465E2" w:rsidP="000465E2">
            <w:pPr>
              <w:jc w:val="both"/>
              <w:rPr>
                <w:iCs/>
              </w:rPr>
            </w:pPr>
            <w:r w:rsidRPr="000465E2">
              <w:rPr>
                <w:iCs/>
              </w:rPr>
              <w:t>Rīkojumā projektā svītrots 1.2.</w:t>
            </w:r>
            <w:r w:rsidR="00415D69">
              <w:rPr>
                <w:iCs/>
              </w:rPr>
              <w:t> </w:t>
            </w:r>
            <w:r w:rsidRPr="000465E2">
              <w:rPr>
                <w:iCs/>
              </w:rPr>
              <w:t>apakšpunkts</w:t>
            </w:r>
            <w:r>
              <w:rPr>
                <w:iCs/>
              </w:rPr>
              <w:t xml:space="preserve">, kā arī </w:t>
            </w:r>
            <w:r w:rsidR="008B6932">
              <w:t>p</w:t>
            </w:r>
            <w:r w:rsidR="00415D69">
              <w:t>recizēta anotācijas I sadaļa un III sadaļas 6. punkts</w:t>
            </w:r>
            <w:r>
              <w:t xml:space="preserve">, svītrojot informāciju par </w:t>
            </w:r>
            <w:r w:rsidRPr="00BD2BF2">
              <w:rPr>
                <w:color w:val="000000" w:themeColor="text1"/>
              </w:rPr>
              <w:t>atbalstu SIA “Bulduru Dārzkopības vidusskola”</w:t>
            </w:r>
            <w:r>
              <w:rPr>
                <w:color w:val="000000" w:themeColor="text1"/>
              </w:rPr>
              <w:t>.</w:t>
            </w:r>
          </w:p>
        </w:tc>
        <w:tc>
          <w:tcPr>
            <w:tcW w:w="3071" w:type="dxa"/>
            <w:tcBorders>
              <w:bottom w:val="single" w:sz="4" w:space="0" w:color="auto"/>
              <w:right w:val="single" w:sz="4" w:space="0" w:color="auto"/>
            </w:tcBorders>
          </w:tcPr>
          <w:p w14:paraId="68374A7E" w14:textId="77777777" w:rsidR="00C95E7C" w:rsidRDefault="000465E2" w:rsidP="00C95E7C">
            <w:pPr>
              <w:widowControl w:val="0"/>
              <w:tabs>
                <w:tab w:val="left" w:pos="720"/>
                <w:tab w:val="left" w:pos="993"/>
              </w:tabs>
              <w:jc w:val="both"/>
            </w:pPr>
            <w:r>
              <w:t>1.2. apakšpunkts svītrots.</w:t>
            </w:r>
          </w:p>
          <w:p w14:paraId="7157132D" w14:textId="77777777" w:rsidR="002C4175" w:rsidRDefault="002C4175" w:rsidP="00C95E7C">
            <w:pPr>
              <w:widowControl w:val="0"/>
              <w:tabs>
                <w:tab w:val="left" w:pos="720"/>
                <w:tab w:val="left" w:pos="993"/>
              </w:tabs>
              <w:jc w:val="both"/>
            </w:pPr>
          </w:p>
          <w:p w14:paraId="64C474A1" w14:textId="5148CFC1" w:rsidR="000465E2" w:rsidRPr="004D02E3" w:rsidRDefault="00415D69" w:rsidP="00C95E7C">
            <w:pPr>
              <w:widowControl w:val="0"/>
              <w:tabs>
                <w:tab w:val="left" w:pos="720"/>
                <w:tab w:val="left" w:pos="993"/>
              </w:tabs>
              <w:jc w:val="both"/>
            </w:pPr>
            <w:r>
              <w:t>Precizēta anotācijas I sadaļa un III sadaļas 6. punkts</w:t>
            </w:r>
            <w:r w:rsidR="000465E2">
              <w:t>.</w:t>
            </w:r>
          </w:p>
        </w:tc>
      </w:tr>
      <w:tr w:rsidR="007F2E13" w:rsidRPr="00AC04F8" w14:paraId="0293F982"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6E3D09A" w14:textId="59A5E519" w:rsidR="007F2E13" w:rsidRDefault="007F2E13" w:rsidP="00C95E7C">
            <w:pPr>
              <w:pStyle w:val="naisnod"/>
              <w:jc w:val="center"/>
              <w:rPr>
                <w:color w:val="000000"/>
              </w:rPr>
            </w:pPr>
            <w:r>
              <w:rPr>
                <w:color w:val="000000"/>
              </w:rPr>
              <w:t>7.</w:t>
            </w:r>
          </w:p>
        </w:tc>
        <w:tc>
          <w:tcPr>
            <w:tcW w:w="2581" w:type="dxa"/>
            <w:gridSpan w:val="2"/>
            <w:tcBorders>
              <w:top w:val="single" w:sz="4" w:space="0" w:color="auto"/>
              <w:left w:val="single" w:sz="4" w:space="0" w:color="auto"/>
              <w:bottom w:val="single" w:sz="4" w:space="0" w:color="auto"/>
              <w:right w:val="single" w:sz="4" w:space="0" w:color="auto"/>
            </w:tcBorders>
          </w:tcPr>
          <w:p w14:paraId="4CC69BD5" w14:textId="5778357E" w:rsidR="007F2E13" w:rsidRPr="000465E2" w:rsidRDefault="002C4175" w:rsidP="00C95E7C">
            <w:pPr>
              <w:shd w:val="clear" w:color="auto" w:fill="FFFFFF"/>
              <w:spacing w:line="240" w:lineRule="atLeast"/>
              <w:jc w:val="both"/>
              <w:rPr>
                <w:color w:val="000000" w:themeColor="text1"/>
              </w:rPr>
            </w:pPr>
            <w:r>
              <w:rPr>
                <w:color w:val="000000" w:themeColor="text1"/>
              </w:rPr>
              <w:t>Anotācijas I sadaļa un III sadaļas 6. punkts</w:t>
            </w:r>
          </w:p>
        </w:tc>
        <w:tc>
          <w:tcPr>
            <w:tcW w:w="4532" w:type="dxa"/>
            <w:tcBorders>
              <w:top w:val="single" w:sz="4" w:space="0" w:color="auto"/>
              <w:left w:val="single" w:sz="4" w:space="0" w:color="auto"/>
              <w:bottom w:val="single" w:sz="4" w:space="0" w:color="auto"/>
              <w:right w:val="single" w:sz="4" w:space="0" w:color="auto"/>
            </w:tcBorders>
          </w:tcPr>
          <w:p w14:paraId="7A5505D4" w14:textId="4DFF5332" w:rsidR="007F2E13" w:rsidRPr="00BD2BF2" w:rsidRDefault="007F2E13" w:rsidP="00C95E7C">
            <w:pPr>
              <w:ind w:right="12"/>
              <w:jc w:val="both"/>
              <w:rPr>
                <w:color w:val="000000" w:themeColor="text1"/>
              </w:rPr>
            </w:pPr>
            <w:r w:rsidRPr="007F2E13">
              <w:rPr>
                <w:color w:val="000000" w:themeColor="text1"/>
              </w:rPr>
              <w:t xml:space="preserve">Uzskatām, </w:t>
            </w:r>
            <w:r w:rsidRPr="00BE7683">
              <w:rPr>
                <w:color w:val="000000" w:themeColor="text1"/>
              </w:rPr>
              <w:t>ka ar 2021. gadam pieejamo finansējumu nebūtu turpināma atbalsta sniegšana par 2020. gada ietvaros īstenotajiem atbalsta pasākumiem, kuriem atbalsts bija paredzēts par situāciju līdz 2020. gada 31. oktobrim, jo</w:t>
            </w:r>
            <w:r w:rsidRPr="007F2E13">
              <w:rPr>
                <w:color w:val="000000" w:themeColor="text1"/>
              </w:rPr>
              <w:t xml:space="preserve"> šāds atbalsts bija sniedzams no 2020.</w:t>
            </w:r>
            <w:r>
              <w:rPr>
                <w:color w:val="000000" w:themeColor="text1"/>
              </w:rPr>
              <w:t xml:space="preserve"> </w:t>
            </w:r>
            <w:r w:rsidRPr="007F2E13">
              <w:rPr>
                <w:color w:val="000000" w:themeColor="text1"/>
              </w:rPr>
              <w:t>gadam pieejamā finansējuma, kas tika atbalstīts ar Ministru kabineta 2020.</w:t>
            </w:r>
            <w:r>
              <w:rPr>
                <w:color w:val="000000" w:themeColor="text1"/>
              </w:rPr>
              <w:t xml:space="preserve"> </w:t>
            </w:r>
            <w:r w:rsidRPr="007F2E13">
              <w:rPr>
                <w:color w:val="000000" w:themeColor="text1"/>
              </w:rPr>
              <w:t>gada 17.</w:t>
            </w:r>
            <w:r>
              <w:rPr>
                <w:color w:val="000000" w:themeColor="text1"/>
              </w:rPr>
              <w:t xml:space="preserve"> </w:t>
            </w:r>
            <w:r w:rsidRPr="007F2E13">
              <w:rPr>
                <w:color w:val="000000" w:themeColor="text1"/>
              </w:rPr>
              <w:t>aprīļa rīkojumu Nr.</w:t>
            </w:r>
            <w:r>
              <w:rPr>
                <w:color w:val="000000" w:themeColor="text1"/>
              </w:rPr>
              <w:t xml:space="preserve"> </w:t>
            </w:r>
            <w:r w:rsidRPr="007F2E13">
              <w:rPr>
                <w:color w:val="000000" w:themeColor="text1"/>
              </w:rPr>
              <w:t>200 “Par finanšu līdzekļu piešķiršanu no valsts budžeta programmas “Līdzekļi neparedzētiem gadījumiem”” (turpmāk – MK rīkojums Nr.</w:t>
            </w:r>
            <w:r>
              <w:rPr>
                <w:color w:val="000000" w:themeColor="text1"/>
              </w:rPr>
              <w:t xml:space="preserve"> </w:t>
            </w:r>
            <w:r w:rsidRPr="007F2E13">
              <w:rPr>
                <w:color w:val="000000" w:themeColor="text1"/>
              </w:rPr>
              <w:t xml:space="preserve">200) un netika pilnā apmērā izmantots (pieejamais finansējums bija 45,5 milj. </w:t>
            </w:r>
            <w:proofErr w:type="spellStart"/>
            <w:r w:rsidRPr="007F2E13">
              <w:rPr>
                <w:i/>
                <w:color w:val="000000" w:themeColor="text1"/>
              </w:rPr>
              <w:t>euro</w:t>
            </w:r>
            <w:proofErr w:type="spellEnd"/>
            <w:r w:rsidRPr="007F2E13">
              <w:rPr>
                <w:color w:val="000000" w:themeColor="text1"/>
              </w:rPr>
              <w:t xml:space="preserve">, no kuriem Zemkopības ministrija atbilstoši faktiskajai nepieciešamībai pieprasīja 37,6 milj. </w:t>
            </w:r>
            <w:proofErr w:type="spellStart"/>
            <w:r w:rsidRPr="007F2E13">
              <w:rPr>
                <w:i/>
                <w:color w:val="000000" w:themeColor="text1"/>
              </w:rPr>
              <w:t>euro</w:t>
            </w:r>
            <w:proofErr w:type="spellEnd"/>
            <w:r w:rsidRPr="007F2E13">
              <w:rPr>
                <w:color w:val="000000" w:themeColor="text1"/>
              </w:rPr>
              <w:t>, t.sk. Ministru kabineta 2020.</w:t>
            </w:r>
            <w:r w:rsidR="000C0679">
              <w:rPr>
                <w:color w:val="000000" w:themeColor="text1"/>
              </w:rPr>
              <w:t xml:space="preserve"> </w:t>
            </w:r>
            <w:r w:rsidRPr="007F2E13">
              <w:rPr>
                <w:color w:val="000000" w:themeColor="text1"/>
              </w:rPr>
              <w:t>gada 14.</w:t>
            </w:r>
            <w:r w:rsidR="000C0679">
              <w:rPr>
                <w:color w:val="000000" w:themeColor="text1"/>
              </w:rPr>
              <w:t xml:space="preserve"> </w:t>
            </w:r>
            <w:r w:rsidRPr="007F2E13">
              <w:rPr>
                <w:color w:val="000000" w:themeColor="text1"/>
              </w:rPr>
              <w:t>aprīļa noteikumu Nr.</w:t>
            </w:r>
            <w:r w:rsidR="000C0679">
              <w:rPr>
                <w:color w:val="000000" w:themeColor="text1"/>
              </w:rPr>
              <w:t xml:space="preserve"> </w:t>
            </w:r>
            <w:r w:rsidRPr="007F2E13">
              <w:rPr>
                <w:color w:val="000000" w:themeColor="text1"/>
              </w:rPr>
              <w:t>219 “Kārtība, kādā piešķir, administrē un uzrauga valsts atbalstu lauksaimniecībai, lai mazinātu Covid-19 izplatības negatīvo ietekmi” (turpmāk – MK noteikumi Nr.</w:t>
            </w:r>
            <w:r w:rsidR="000C0679">
              <w:rPr>
                <w:color w:val="000000" w:themeColor="text1"/>
              </w:rPr>
              <w:t xml:space="preserve"> </w:t>
            </w:r>
            <w:r w:rsidRPr="007F2E13">
              <w:rPr>
                <w:color w:val="000000" w:themeColor="text1"/>
              </w:rPr>
              <w:t xml:space="preserve">219) izpildei pieejami bija </w:t>
            </w:r>
            <w:r w:rsidRPr="007F2E13">
              <w:rPr>
                <w:color w:val="000000" w:themeColor="text1"/>
              </w:rPr>
              <w:lastRenderedPageBreak/>
              <w:t xml:space="preserve">35,5 milj. </w:t>
            </w:r>
            <w:proofErr w:type="spellStart"/>
            <w:r w:rsidRPr="007F2E13">
              <w:rPr>
                <w:i/>
                <w:color w:val="000000" w:themeColor="text1"/>
              </w:rPr>
              <w:t>euro</w:t>
            </w:r>
            <w:proofErr w:type="spellEnd"/>
            <w:r w:rsidRPr="007F2E13">
              <w:rPr>
                <w:color w:val="000000" w:themeColor="text1"/>
              </w:rPr>
              <w:t xml:space="preserve">, no kuriem Zemkopības ministrija atbilstoši faktiskajai nepieciešamībai pieprasīja 29,5 milj. </w:t>
            </w:r>
            <w:proofErr w:type="spellStart"/>
            <w:r w:rsidRPr="007F2E13">
              <w:rPr>
                <w:i/>
                <w:color w:val="000000" w:themeColor="text1"/>
              </w:rPr>
              <w:t>euro</w:t>
            </w:r>
            <w:proofErr w:type="spellEnd"/>
            <w:r w:rsidRPr="007F2E13">
              <w:rPr>
                <w:color w:val="000000" w:themeColor="text1"/>
              </w:rPr>
              <w:t xml:space="preserve">). Attiecīgi </w:t>
            </w:r>
            <w:r w:rsidRPr="00BE7683">
              <w:rPr>
                <w:color w:val="000000" w:themeColor="text1"/>
              </w:rPr>
              <w:t>nepiekrītam anotācijā sniegtajai argumentācijai, ka atbalstu nebija iespējams izmaksāt atbalsta griestu dēļ, jo MK rīkojumā Nr. 200 un MK noteikumos Nr. 219 bija iespējams ierosināt un virzīt izskatīšanai Ministru kabinetā nepieciešamos grozījumus, ko attiecībā uz MK noteikumiem Nr.</w:t>
            </w:r>
            <w:r w:rsidR="000C0679" w:rsidRPr="00BE7683">
              <w:rPr>
                <w:color w:val="000000" w:themeColor="text1"/>
              </w:rPr>
              <w:t xml:space="preserve"> </w:t>
            </w:r>
            <w:r w:rsidRPr="00BE7683">
              <w:rPr>
                <w:color w:val="000000" w:themeColor="text1"/>
              </w:rPr>
              <w:t>219 Zemkopības ministrija</w:t>
            </w:r>
            <w:r w:rsidRPr="007F2E13">
              <w:rPr>
                <w:color w:val="000000" w:themeColor="text1"/>
              </w:rPr>
              <w:t xml:space="preserve"> arī vairākkārt 2020.</w:t>
            </w:r>
            <w:r w:rsidR="000C0679">
              <w:rPr>
                <w:color w:val="000000" w:themeColor="text1"/>
              </w:rPr>
              <w:t xml:space="preserve"> </w:t>
            </w:r>
            <w:r w:rsidRPr="007F2E13">
              <w:rPr>
                <w:color w:val="000000" w:themeColor="text1"/>
              </w:rPr>
              <w:t xml:space="preserve">gada ietvaros veica, attiecīgi atbalsta griestu jautājumu bija iespējams novērst. Kā arī, </w:t>
            </w:r>
            <w:r w:rsidRPr="00BE7683">
              <w:rPr>
                <w:color w:val="000000" w:themeColor="text1"/>
              </w:rPr>
              <w:t>ja atbalstu nebija iespējams izmaksāt nesakārtotu juridisku jautājumu dēļ, tad tas ir pietiekams pamats atbalsta nepiešķiršanai nevis atkārtotas situācijas izvērtēšanai pēc ilgāka laika. Vienlaikus Zemkopības ministrija pēc būtības anotācijā nav sniegusi atbildi par Valsts kontroles starpziņojumā “Zemkopības ministrijai piešķirto papildu līdzekļu valsts atbalstam lauksaimniecībai, lai mazinātu Covid-19 izplatības negatīvo ietekmi, pieprasījuma pamatojums un izlietojums” konstatēto par 2020.gada ietvaros izmaksāto atbalstu lauksaimniecībā, anotācijā tikai tiek norādīts, ka atbalsts par 2020.</w:t>
            </w:r>
            <w:r w:rsidR="000C0679" w:rsidRPr="00BE7683">
              <w:rPr>
                <w:color w:val="000000" w:themeColor="text1"/>
              </w:rPr>
              <w:t xml:space="preserve"> </w:t>
            </w:r>
            <w:r w:rsidRPr="00BE7683">
              <w:rPr>
                <w:color w:val="000000" w:themeColor="text1"/>
              </w:rPr>
              <w:t>gada atbalsta pasākumiem tiks piešķirts tiem atbalsta pretendentiem, kuri varēs pierādīt, ka 2020.</w:t>
            </w:r>
            <w:r w:rsidR="000C0679" w:rsidRPr="00BE7683">
              <w:rPr>
                <w:color w:val="000000" w:themeColor="text1"/>
              </w:rPr>
              <w:t xml:space="preserve"> </w:t>
            </w:r>
            <w:r w:rsidRPr="00BE7683">
              <w:rPr>
                <w:color w:val="000000" w:themeColor="text1"/>
              </w:rPr>
              <w:t xml:space="preserve">gadā saņemtais atbalsts nekompensē attiecīgā laika posma ieņēmumu samazinājumu. Ņemot vērā </w:t>
            </w:r>
            <w:r w:rsidRPr="00BE7683">
              <w:rPr>
                <w:color w:val="000000" w:themeColor="text1"/>
              </w:rPr>
              <w:lastRenderedPageBreak/>
              <w:t>minēto, lūdzam atkārtoti pārskatīt paredzētos grozījumus rīkojuma projektā un precizēt anotācijā sniegto informāciju.</w:t>
            </w:r>
          </w:p>
        </w:tc>
        <w:tc>
          <w:tcPr>
            <w:tcW w:w="3289" w:type="dxa"/>
            <w:gridSpan w:val="2"/>
            <w:tcBorders>
              <w:left w:val="single" w:sz="4" w:space="0" w:color="auto"/>
              <w:bottom w:val="single" w:sz="4" w:space="0" w:color="auto"/>
            </w:tcBorders>
          </w:tcPr>
          <w:p w14:paraId="239E9FC0" w14:textId="77777777" w:rsidR="007F2E13" w:rsidRDefault="007F2E13" w:rsidP="000465E2">
            <w:pPr>
              <w:jc w:val="both"/>
              <w:rPr>
                <w:b/>
                <w:iCs/>
              </w:rPr>
            </w:pPr>
            <w:r>
              <w:rPr>
                <w:b/>
                <w:iCs/>
              </w:rPr>
              <w:lastRenderedPageBreak/>
              <w:t>Ņemts vērā.</w:t>
            </w:r>
          </w:p>
          <w:p w14:paraId="53BEE043" w14:textId="0B4B1A1A" w:rsidR="000C0679" w:rsidRDefault="000C0679" w:rsidP="000465E2">
            <w:pPr>
              <w:jc w:val="both"/>
              <w:rPr>
                <w:iCs/>
              </w:rPr>
            </w:pPr>
            <w:r>
              <w:rPr>
                <w:iCs/>
              </w:rPr>
              <w:t>Ar 2021. gadam pieejamo finansējumu netiks turpināta atbalsta sniegšana par 2020.</w:t>
            </w:r>
            <w:r w:rsidR="008B6932">
              <w:rPr>
                <w:iCs/>
              </w:rPr>
              <w:t> </w:t>
            </w:r>
            <w:r>
              <w:rPr>
                <w:iCs/>
              </w:rPr>
              <w:t>gad</w:t>
            </w:r>
            <w:r w:rsidR="008B6932">
              <w:rPr>
                <w:iCs/>
              </w:rPr>
              <w:t>ā</w:t>
            </w:r>
            <w:r>
              <w:rPr>
                <w:iCs/>
              </w:rPr>
              <w:t xml:space="preserve"> īstenotajiem atbalsta pasākumiem, kuriem atbalsts bija paredzēts par situāciju līdz 2020. gada 31. oktobrim.</w:t>
            </w:r>
          </w:p>
          <w:p w14:paraId="4AB9B540" w14:textId="0665E6EF" w:rsidR="000C0679" w:rsidRDefault="000C0679" w:rsidP="000465E2">
            <w:pPr>
              <w:jc w:val="both"/>
              <w:rPr>
                <w:iCs/>
              </w:rPr>
            </w:pPr>
            <w:r>
              <w:rPr>
                <w:iCs/>
              </w:rPr>
              <w:t xml:space="preserve">Tajā pašā </w:t>
            </w:r>
            <w:r w:rsidRPr="00AF702B">
              <w:rPr>
                <w:iCs/>
              </w:rPr>
              <w:t>laikā Zemkopības ministrija nepiekrīt Finanšu ministrijas norādei attiecībā uz Zemkopības ministrijas sniegto argumentāciju, ka atbalstu nebija iespējams izmaksāt pilnā apmērā griestu dēļ, jo MK</w:t>
            </w:r>
            <w:r>
              <w:rPr>
                <w:iCs/>
              </w:rPr>
              <w:t xml:space="preserve"> rīkojumā Nr.</w:t>
            </w:r>
            <w:r w:rsidR="00CC4DEB">
              <w:rPr>
                <w:iCs/>
              </w:rPr>
              <w:t> </w:t>
            </w:r>
            <w:r>
              <w:rPr>
                <w:iCs/>
              </w:rPr>
              <w:t>200 un MK noteikumos Nr.</w:t>
            </w:r>
            <w:r w:rsidR="00CC4DEB">
              <w:rPr>
                <w:iCs/>
              </w:rPr>
              <w:t> </w:t>
            </w:r>
            <w:r>
              <w:rPr>
                <w:iCs/>
              </w:rPr>
              <w:t>219 bija iespējams ierosināt un virzīt izskatīšanai Ministru kabinetā nepieciešamos</w:t>
            </w:r>
            <w:r w:rsidR="008B6932">
              <w:rPr>
                <w:iCs/>
              </w:rPr>
              <w:t xml:space="preserve"> </w:t>
            </w:r>
            <w:r>
              <w:rPr>
                <w:iCs/>
              </w:rPr>
              <w:t>grozījumus.</w:t>
            </w:r>
          </w:p>
          <w:p w14:paraId="5971568B" w14:textId="07BE8111" w:rsidR="000C0679" w:rsidRDefault="000C0679" w:rsidP="000465E2">
            <w:pPr>
              <w:jc w:val="both"/>
              <w:rPr>
                <w:i/>
              </w:rPr>
            </w:pPr>
            <w:r>
              <w:rPr>
                <w:iCs/>
              </w:rPr>
              <w:t xml:space="preserve">Zemkopības ministrija atkārtoti norāda, ka </w:t>
            </w:r>
            <w:r>
              <w:t xml:space="preserve">2020. gadā Latvijas lauksaimniekiem piena, liellopu </w:t>
            </w:r>
            <w:r>
              <w:lastRenderedPageBreak/>
              <w:t>audzēšanas un cūkkopības nozarē tika piešķirts atbalsts ienākumu stabilizēšanai saskaņā ar Eiropas Komisijas Paziņojumu par pagaidu regulējumu valsts atbalsta pasākumiem, ar ko atbalsta ekonomiku pašreizējā Covid-19 uzliesmojuma situācijā (turpmāk</w:t>
            </w:r>
            <w:r w:rsidR="00CC4DEB">
              <w:t> </w:t>
            </w:r>
            <w:r>
              <w:t>– Pagaidu regulējums), tostarp paredzot, ka atbalsts jāpiešķir līdz 2020.</w:t>
            </w:r>
            <w:r w:rsidR="008B6932">
              <w:t> </w:t>
            </w:r>
            <w:r>
              <w:t>gada 31. decembrim, bet ne vairāk kā 100</w:t>
            </w:r>
            <w:r w:rsidR="00CC4DEB">
              <w:t> </w:t>
            </w:r>
            <w:r>
              <w:t xml:space="preserve">000 </w:t>
            </w:r>
            <w:proofErr w:type="spellStart"/>
            <w:r w:rsidRPr="00C412B3">
              <w:rPr>
                <w:i/>
              </w:rPr>
              <w:t>euro</w:t>
            </w:r>
            <w:proofErr w:type="spellEnd"/>
            <w:r>
              <w:t xml:space="preserve"> vienam atbalsta pretendentam primārajā lauksaimniecības ražošanā. Šo atbalsta griestu dēļ daļa atbalsta pretendentu nesaņēma visu tiem aprēķināto atbalstu</w:t>
            </w:r>
            <w:r w:rsidR="009F3E2C">
              <w:t xml:space="preserve">, </w:t>
            </w:r>
            <w:r w:rsidRPr="003E00F3">
              <w:rPr>
                <w:iCs/>
              </w:rPr>
              <w:t>kopēj</w:t>
            </w:r>
            <w:r>
              <w:rPr>
                <w:iCs/>
              </w:rPr>
              <w:t>ai</w:t>
            </w:r>
            <w:r w:rsidRPr="003E00F3">
              <w:rPr>
                <w:iCs/>
              </w:rPr>
              <w:t xml:space="preserve"> nesaņemt</w:t>
            </w:r>
            <w:r>
              <w:rPr>
                <w:iCs/>
              </w:rPr>
              <w:t>ajai</w:t>
            </w:r>
            <w:r w:rsidRPr="003E00F3">
              <w:rPr>
                <w:iCs/>
              </w:rPr>
              <w:t xml:space="preserve"> summa</w:t>
            </w:r>
            <w:r>
              <w:rPr>
                <w:iCs/>
              </w:rPr>
              <w:t>i</w:t>
            </w:r>
            <w:r w:rsidRPr="003E00F3">
              <w:rPr>
                <w:iCs/>
              </w:rPr>
              <w:t xml:space="preserve"> </w:t>
            </w:r>
            <w:r>
              <w:rPr>
                <w:iCs/>
              </w:rPr>
              <w:t>veidojot</w:t>
            </w:r>
            <w:r w:rsidRPr="003E00F3">
              <w:rPr>
                <w:iCs/>
              </w:rPr>
              <w:t xml:space="preserve"> 6</w:t>
            </w:r>
            <w:r>
              <w:rPr>
                <w:iCs/>
              </w:rPr>
              <w:t> 561 597</w:t>
            </w:r>
            <w:r w:rsidRPr="003E00F3">
              <w:rPr>
                <w:iCs/>
              </w:rPr>
              <w:t xml:space="preserve"> </w:t>
            </w:r>
            <w:proofErr w:type="spellStart"/>
            <w:r w:rsidRPr="00AF6756">
              <w:rPr>
                <w:i/>
              </w:rPr>
              <w:t>euro</w:t>
            </w:r>
            <w:proofErr w:type="spellEnd"/>
            <w:r>
              <w:rPr>
                <w:i/>
              </w:rPr>
              <w:t>.</w:t>
            </w:r>
          </w:p>
          <w:p w14:paraId="3CE38801" w14:textId="07046ECC" w:rsidR="009F3E2C" w:rsidRDefault="000C0679" w:rsidP="009F3E2C">
            <w:pPr>
              <w:ind w:firstLine="394"/>
              <w:jc w:val="both"/>
              <w:rPr>
                <w:iCs/>
              </w:rPr>
            </w:pPr>
            <w:r w:rsidRPr="009F3E2C">
              <w:rPr>
                <w:iCs/>
              </w:rPr>
              <w:t>Eiropas Komisija 2021.</w:t>
            </w:r>
            <w:r w:rsidR="008B6932">
              <w:rPr>
                <w:iCs/>
              </w:rPr>
              <w:t> </w:t>
            </w:r>
            <w:r w:rsidRPr="009F3E2C">
              <w:rPr>
                <w:iCs/>
              </w:rPr>
              <w:t>gada 28.</w:t>
            </w:r>
            <w:r w:rsidR="008B6932">
              <w:rPr>
                <w:iCs/>
              </w:rPr>
              <w:t> </w:t>
            </w:r>
            <w:r w:rsidRPr="009F3E2C">
              <w:rPr>
                <w:iCs/>
              </w:rPr>
              <w:t>janvārī palielināja</w:t>
            </w:r>
            <w:r w:rsidRPr="003E00F3">
              <w:rPr>
                <w:iCs/>
              </w:rPr>
              <w:t xml:space="preserve"> atbalsta griestus</w:t>
            </w:r>
            <w:r>
              <w:rPr>
                <w:iCs/>
              </w:rPr>
              <w:t xml:space="preserve"> no 100 000 līdz</w:t>
            </w:r>
            <w:r w:rsidRPr="003E00F3">
              <w:rPr>
                <w:iCs/>
              </w:rPr>
              <w:t xml:space="preserve"> 225</w:t>
            </w:r>
            <w:r>
              <w:rPr>
                <w:iCs/>
              </w:rPr>
              <w:t xml:space="preserve"> 000 </w:t>
            </w:r>
            <w:proofErr w:type="spellStart"/>
            <w:r w:rsidRPr="00AF6756">
              <w:rPr>
                <w:i/>
              </w:rPr>
              <w:t>euro</w:t>
            </w:r>
            <w:proofErr w:type="spellEnd"/>
            <w:r w:rsidRPr="003E00F3">
              <w:rPr>
                <w:iCs/>
              </w:rPr>
              <w:t xml:space="preserve"> vienam atbalsta pretendentam</w:t>
            </w:r>
            <w:r>
              <w:rPr>
                <w:iCs/>
              </w:rPr>
              <w:t>, kā arī pagarināja pagaidu regulējuma darbības termiņu līdz 2021. gada 31. decembrim.</w:t>
            </w:r>
          </w:p>
          <w:p w14:paraId="1E236CD7" w14:textId="5856E055" w:rsidR="000C0679" w:rsidRPr="006F1B88" w:rsidRDefault="000C0679" w:rsidP="009F3E2C">
            <w:pPr>
              <w:ind w:firstLine="394"/>
              <w:jc w:val="both"/>
              <w:rPr>
                <w:color w:val="000000" w:themeColor="text1"/>
              </w:rPr>
            </w:pPr>
            <w:r w:rsidRPr="006F1B88">
              <w:rPr>
                <w:iCs/>
              </w:rPr>
              <w:t xml:space="preserve">Tādējādi Zemkopības ministrija nekādā gadījumā </w:t>
            </w:r>
            <w:r w:rsidRPr="006F1B88">
              <w:rPr>
                <w:iCs/>
              </w:rPr>
              <w:lastRenderedPageBreak/>
              <w:t xml:space="preserve">nevarēja ierosināt un virzīt izskatīšanai Ministru kabinetā nepieciešamos grozījumus </w:t>
            </w:r>
            <w:r w:rsidRPr="006F1B88">
              <w:rPr>
                <w:color w:val="000000" w:themeColor="text1"/>
              </w:rPr>
              <w:t>MK rīkojumā Nr.</w:t>
            </w:r>
            <w:r w:rsidR="008B6932" w:rsidRPr="006F1B88">
              <w:rPr>
                <w:color w:val="000000" w:themeColor="text1"/>
              </w:rPr>
              <w:t> </w:t>
            </w:r>
            <w:r w:rsidRPr="006F1B88">
              <w:rPr>
                <w:color w:val="000000" w:themeColor="text1"/>
              </w:rPr>
              <w:t>200 un MK noteikumos Nr.</w:t>
            </w:r>
            <w:r w:rsidR="00CC4DEB">
              <w:rPr>
                <w:color w:val="000000" w:themeColor="text1"/>
              </w:rPr>
              <w:t> </w:t>
            </w:r>
            <w:r w:rsidRPr="006F1B88">
              <w:rPr>
                <w:color w:val="000000" w:themeColor="text1"/>
              </w:rPr>
              <w:t xml:space="preserve">219 </w:t>
            </w:r>
            <w:r w:rsidR="009F3E2C" w:rsidRPr="006F1B88">
              <w:rPr>
                <w:color w:val="000000" w:themeColor="text1"/>
              </w:rPr>
              <w:t>2020. gada laikā, jo lēmums par atbalsta griestu palielināšanu tika pieņemts</w:t>
            </w:r>
            <w:r w:rsidR="004E3C69" w:rsidRPr="006F1B88">
              <w:rPr>
                <w:color w:val="000000" w:themeColor="text1"/>
              </w:rPr>
              <w:t xml:space="preserve"> tikai</w:t>
            </w:r>
            <w:r w:rsidR="009F3E2C" w:rsidRPr="006F1B88">
              <w:rPr>
                <w:color w:val="000000" w:themeColor="text1"/>
              </w:rPr>
              <w:t xml:space="preserve"> 2021.</w:t>
            </w:r>
            <w:r w:rsidR="00CC4DEB">
              <w:rPr>
                <w:color w:val="000000" w:themeColor="text1"/>
              </w:rPr>
              <w:t> </w:t>
            </w:r>
            <w:r w:rsidR="009F3E2C" w:rsidRPr="006F1B88">
              <w:rPr>
                <w:color w:val="000000" w:themeColor="text1"/>
              </w:rPr>
              <w:t>gada 28.</w:t>
            </w:r>
            <w:r w:rsidR="00CC4DEB">
              <w:rPr>
                <w:color w:val="000000" w:themeColor="text1"/>
              </w:rPr>
              <w:t> </w:t>
            </w:r>
            <w:r w:rsidR="009F3E2C" w:rsidRPr="006F1B88">
              <w:rPr>
                <w:color w:val="000000" w:themeColor="text1"/>
              </w:rPr>
              <w:t>janvārī.</w:t>
            </w:r>
          </w:p>
          <w:p w14:paraId="4862B6CD" w14:textId="418437A1" w:rsidR="009F3E2C" w:rsidRDefault="009F3E2C" w:rsidP="009F3E2C">
            <w:pPr>
              <w:ind w:firstLine="394"/>
              <w:jc w:val="both"/>
            </w:pPr>
            <w:r>
              <w:rPr>
                <w:color w:val="000000" w:themeColor="text1"/>
              </w:rPr>
              <w:t>Turklāt pēc</w:t>
            </w:r>
            <w:r w:rsidR="008B6932">
              <w:rPr>
                <w:color w:val="000000" w:themeColor="text1"/>
              </w:rPr>
              <w:t xml:space="preserve"> tam, kad</w:t>
            </w:r>
            <w:r>
              <w:rPr>
                <w:color w:val="000000" w:themeColor="text1"/>
              </w:rPr>
              <w:t xml:space="preserve"> </w:t>
            </w:r>
            <w:r w:rsidR="008B6932">
              <w:rPr>
                <w:color w:val="000000" w:themeColor="text1"/>
              </w:rPr>
              <w:t xml:space="preserve">bija stājušies spēkā </w:t>
            </w:r>
            <w:r>
              <w:rPr>
                <w:color w:val="000000" w:themeColor="text1"/>
              </w:rPr>
              <w:t>grozījum</w:t>
            </w:r>
            <w:r w:rsidR="008B6932">
              <w:rPr>
                <w:color w:val="000000" w:themeColor="text1"/>
              </w:rPr>
              <w:t>i</w:t>
            </w:r>
            <w:r>
              <w:rPr>
                <w:color w:val="000000" w:themeColor="text1"/>
              </w:rPr>
              <w:t xml:space="preserve"> Pagaidu regulējumā</w:t>
            </w:r>
            <w:r w:rsidR="008B6932">
              <w:rPr>
                <w:color w:val="000000" w:themeColor="text1"/>
              </w:rPr>
              <w:t xml:space="preserve">, </w:t>
            </w:r>
            <w:r>
              <w:rPr>
                <w:color w:val="000000" w:themeColor="text1"/>
              </w:rPr>
              <w:t>Zemkopības ministrija 2021.</w:t>
            </w:r>
            <w:r w:rsidR="002E15DE">
              <w:rPr>
                <w:color w:val="000000" w:themeColor="text1"/>
              </w:rPr>
              <w:t> </w:t>
            </w:r>
            <w:r>
              <w:rPr>
                <w:color w:val="000000" w:themeColor="text1"/>
              </w:rPr>
              <w:t>gada 5. februārī</w:t>
            </w:r>
            <w:r w:rsidR="008B6932">
              <w:rPr>
                <w:color w:val="000000" w:themeColor="text1"/>
              </w:rPr>
              <w:t>,</w:t>
            </w:r>
            <w:r>
              <w:rPr>
                <w:color w:val="000000" w:themeColor="text1"/>
              </w:rPr>
              <w:t xml:space="preserve"> </w:t>
            </w:r>
            <w:r w:rsidR="008B6932">
              <w:rPr>
                <w:color w:val="000000" w:themeColor="text1"/>
              </w:rPr>
              <w:t xml:space="preserve">atbildot uz Finanšu ministrijas pieprasījumu, sniedza informāciju par to, </w:t>
            </w:r>
            <w:r>
              <w:rPr>
                <w:color w:val="000000" w:themeColor="text1"/>
              </w:rPr>
              <w:t xml:space="preserve">ka </w:t>
            </w:r>
            <w:r>
              <w:t>plāno izmaiņas jau saskaņotajās valsts atbalsta shēmās</w:t>
            </w:r>
            <w:r w:rsidR="008B6932">
              <w:t>, ievērojot</w:t>
            </w:r>
            <w:r>
              <w:t xml:space="preserve"> Pagaidu regulējumu.</w:t>
            </w:r>
          </w:p>
          <w:p w14:paraId="74717C76" w14:textId="77777777" w:rsidR="009F3E2C" w:rsidRDefault="009F3E2C" w:rsidP="009F3E2C">
            <w:pPr>
              <w:ind w:firstLine="394"/>
              <w:jc w:val="both"/>
              <w:rPr>
                <w:iCs/>
              </w:rPr>
            </w:pPr>
          </w:p>
          <w:p w14:paraId="2ACD92D9" w14:textId="528619CB" w:rsidR="009F3E2C" w:rsidRPr="000C0679" w:rsidRDefault="009F3E2C">
            <w:pPr>
              <w:ind w:firstLine="394"/>
              <w:jc w:val="both"/>
              <w:rPr>
                <w:iCs/>
              </w:rPr>
            </w:pPr>
            <w:r>
              <w:rPr>
                <w:color w:val="000000" w:themeColor="text1"/>
              </w:rPr>
              <w:t>Atbildi p</w:t>
            </w:r>
            <w:r w:rsidRPr="009F3E2C">
              <w:rPr>
                <w:color w:val="000000" w:themeColor="text1"/>
              </w:rPr>
              <w:t>ar Valsts kontroles starpziņojumā “Zemkopības ministrijai piešķirto papildu līdzekļu valsts atbalstam lauksaimniecībai, lai mazinātu Covid-19 izplatības negatīvo ietekmi, pieprasījuma pamatojums un izlietojums” konstatēto par 2020.</w:t>
            </w:r>
            <w:r w:rsidR="008B6932">
              <w:rPr>
                <w:color w:val="000000" w:themeColor="text1"/>
              </w:rPr>
              <w:t> </w:t>
            </w:r>
            <w:r w:rsidRPr="009F3E2C">
              <w:rPr>
                <w:color w:val="000000" w:themeColor="text1"/>
              </w:rPr>
              <w:t>gad</w:t>
            </w:r>
            <w:r w:rsidR="008B6932">
              <w:rPr>
                <w:color w:val="000000" w:themeColor="text1"/>
              </w:rPr>
              <w:t>ā</w:t>
            </w:r>
            <w:r w:rsidRPr="009F3E2C">
              <w:rPr>
                <w:color w:val="000000" w:themeColor="text1"/>
              </w:rPr>
              <w:t xml:space="preserve"> izmaksāto atbalstu </w:t>
            </w:r>
            <w:r w:rsidRPr="009F3E2C">
              <w:rPr>
                <w:color w:val="000000" w:themeColor="text1"/>
              </w:rPr>
              <w:lastRenderedPageBreak/>
              <w:t>lauksaimniecībā</w:t>
            </w:r>
            <w:r>
              <w:rPr>
                <w:color w:val="000000" w:themeColor="text1"/>
              </w:rPr>
              <w:t xml:space="preserve"> skatīt izziņas 3.</w:t>
            </w:r>
            <w:r w:rsidR="008B6932">
              <w:rPr>
                <w:color w:val="000000" w:themeColor="text1"/>
              </w:rPr>
              <w:t> </w:t>
            </w:r>
            <w:r>
              <w:rPr>
                <w:color w:val="000000" w:themeColor="text1"/>
              </w:rPr>
              <w:t>punkt</w:t>
            </w:r>
            <w:r w:rsidR="002C4175">
              <w:rPr>
                <w:color w:val="000000" w:themeColor="text1"/>
              </w:rPr>
              <w:t>ā.</w:t>
            </w:r>
          </w:p>
        </w:tc>
        <w:tc>
          <w:tcPr>
            <w:tcW w:w="3071" w:type="dxa"/>
            <w:tcBorders>
              <w:bottom w:val="single" w:sz="4" w:space="0" w:color="auto"/>
              <w:right w:val="single" w:sz="4" w:space="0" w:color="auto"/>
            </w:tcBorders>
          </w:tcPr>
          <w:p w14:paraId="2B8759FD" w14:textId="0794E430" w:rsidR="007F2E13" w:rsidRDefault="002C4175" w:rsidP="00C95E7C">
            <w:pPr>
              <w:widowControl w:val="0"/>
              <w:tabs>
                <w:tab w:val="left" w:pos="720"/>
                <w:tab w:val="left" w:pos="993"/>
              </w:tabs>
              <w:jc w:val="both"/>
            </w:pPr>
            <w:r>
              <w:rPr>
                <w:color w:val="000000" w:themeColor="text1"/>
              </w:rPr>
              <w:lastRenderedPageBreak/>
              <w:t>Precizēta anotācijas I sadaļa un III sadaļas 6. punkts.</w:t>
            </w:r>
          </w:p>
        </w:tc>
      </w:tr>
      <w:tr w:rsidR="007F2E13" w:rsidRPr="00AC04F8" w14:paraId="2B4F5B59"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31B27E68" w14:textId="1E727BE9" w:rsidR="007F2E13" w:rsidRDefault="007F2E13" w:rsidP="00C95E7C">
            <w:pPr>
              <w:pStyle w:val="naisnod"/>
              <w:jc w:val="center"/>
              <w:rPr>
                <w:color w:val="000000"/>
              </w:rPr>
            </w:pPr>
            <w:r>
              <w:rPr>
                <w:color w:val="000000"/>
              </w:rPr>
              <w:lastRenderedPageBreak/>
              <w:t>8.</w:t>
            </w:r>
          </w:p>
        </w:tc>
        <w:tc>
          <w:tcPr>
            <w:tcW w:w="2581" w:type="dxa"/>
            <w:gridSpan w:val="2"/>
            <w:tcBorders>
              <w:top w:val="single" w:sz="4" w:space="0" w:color="auto"/>
              <w:left w:val="single" w:sz="4" w:space="0" w:color="auto"/>
              <w:bottom w:val="single" w:sz="4" w:space="0" w:color="auto"/>
              <w:right w:val="single" w:sz="4" w:space="0" w:color="auto"/>
            </w:tcBorders>
          </w:tcPr>
          <w:p w14:paraId="27A8201E" w14:textId="50823B8C" w:rsidR="007F2E13" w:rsidRPr="000465E2" w:rsidRDefault="002C4175" w:rsidP="00C95E7C">
            <w:pPr>
              <w:shd w:val="clear" w:color="auto" w:fill="FFFFFF"/>
              <w:spacing w:line="240" w:lineRule="atLeast"/>
              <w:jc w:val="both"/>
              <w:rPr>
                <w:color w:val="000000" w:themeColor="text1"/>
              </w:rPr>
            </w:pPr>
            <w:r>
              <w:rPr>
                <w:color w:val="000000" w:themeColor="text1"/>
              </w:rPr>
              <w:t>Anotācijas III sadaļas 6. punkts.</w:t>
            </w:r>
          </w:p>
        </w:tc>
        <w:tc>
          <w:tcPr>
            <w:tcW w:w="4532" w:type="dxa"/>
            <w:tcBorders>
              <w:top w:val="single" w:sz="4" w:space="0" w:color="auto"/>
              <w:left w:val="single" w:sz="4" w:space="0" w:color="auto"/>
              <w:bottom w:val="single" w:sz="4" w:space="0" w:color="auto"/>
              <w:right w:val="single" w:sz="4" w:space="0" w:color="auto"/>
            </w:tcBorders>
          </w:tcPr>
          <w:p w14:paraId="77E4EB8C" w14:textId="7F4A4D05" w:rsidR="007F2E13" w:rsidRPr="007F2E13" w:rsidRDefault="007F2E13" w:rsidP="00C95E7C">
            <w:pPr>
              <w:ind w:right="12"/>
              <w:jc w:val="both"/>
              <w:rPr>
                <w:color w:val="000000" w:themeColor="text1"/>
              </w:rPr>
            </w:pPr>
            <w:r w:rsidRPr="007F2E13">
              <w:rPr>
                <w:color w:val="000000" w:themeColor="text1"/>
              </w:rPr>
              <w:t>Vēršam uzmanību, ka izziņas II sadaļas 1.</w:t>
            </w:r>
            <w:r w:rsidRPr="00BE7683">
              <w:rPr>
                <w:color w:val="000000" w:themeColor="text1"/>
              </w:rPr>
              <w:t xml:space="preserve">punktā minētais Finanšu ministrijas iebildums ir ņemts vērā tikai daļēji, ņemot vērā, ka anotācijā nav sniegti detalizēti aprēķini par precizētā atbalsta apmēra 25 500 000 </w:t>
            </w:r>
            <w:proofErr w:type="spellStart"/>
            <w:r w:rsidRPr="00BE7683">
              <w:rPr>
                <w:i/>
                <w:color w:val="000000" w:themeColor="text1"/>
              </w:rPr>
              <w:t>euro</w:t>
            </w:r>
            <w:proofErr w:type="spellEnd"/>
            <w:r w:rsidRPr="00BE7683">
              <w:rPr>
                <w:i/>
                <w:color w:val="000000" w:themeColor="text1"/>
              </w:rPr>
              <w:t xml:space="preserve"> </w:t>
            </w:r>
            <w:r w:rsidRPr="00BE7683">
              <w:rPr>
                <w:color w:val="000000" w:themeColor="text1"/>
              </w:rPr>
              <w:t>plānoto sadalījumu pa atbalsta jomām, attiecīgi lūdzam papildināt anotācijas III sadaļas 6.punktu ar attiecīgiem aprēķiniem.</w:t>
            </w:r>
          </w:p>
        </w:tc>
        <w:tc>
          <w:tcPr>
            <w:tcW w:w="3289" w:type="dxa"/>
            <w:gridSpan w:val="2"/>
            <w:tcBorders>
              <w:left w:val="single" w:sz="4" w:space="0" w:color="auto"/>
              <w:bottom w:val="single" w:sz="4" w:space="0" w:color="auto"/>
            </w:tcBorders>
          </w:tcPr>
          <w:p w14:paraId="4360DC0F" w14:textId="77777777" w:rsidR="007F2E13" w:rsidRDefault="002C4175" w:rsidP="000465E2">
            <w:pPr>
              <w:jc w:val="both"/>
              <w:rPr>
                <w:b/>
                <w:iCs/>
              </w:rPr>
            </w:pPr>
            <w:r>
              <w:rPr>
                <w:b/>
                <w:iCs/>
              </w:rPr>
              <w:t xml:space="preserve">Ņemts vērā. </w:t>
            </w:r>
          </w:p>
          <w:p w14:paraId="3AEAF7BF" w14:textId="3C5D0D54" w:rsidR="002C4175" w:rsidRDefault="004E3C69" w:rsidP="000465E2">
            <w:pPr>
              <w:jc w:val="both"/>
              <w:rPr>
                <w:iCs/>
              </w:rPr>
            </w:pPr>
            <w:r w:rsidRPr="004E3C69">
              <w:rPr>
                <w:iCs/>
              </w:rPr>
              <w:t xml:space="preserve">Precizēta informācija anotācijas </w:t>
            </w:r>
            <w:r>
              <w:rPr>
                <w:iCs/>
              </w:rPr>
              <w:t xml:space="preserve">I sadaļā un </w:t>
            </w:r>
            <w:r w:rsidRPr="004E3C69">
              <w:rPr>
                <w:iCs/>
              </w:rPr>
              <w:t xml:space="preserve">III sadaļas 6. punktā. </w:t>
            </w:r>
          </w:p>
          <w:p w14:paraId="05DA2FF8" w14:textId="58EEFD21" w:rsidR="004E3C69" w:rsidRDefault="004E3C69" w:rsidP="004E3C69">
            <w:pPr>
              <w:jc w:val="both"/>
              <w:rPr>
                <w:iCs/>
              </w:rPr>
            </w:pPr>
            <w:r>
              <w:rPr>
                <w:iCs/>
              </w:rPr>
              <w:t xml:space="preserve">Papildus </w:t>
            </w:r>
            <w:r w:rsidR="008B6932">
              <w:rPr>
                <w:iCs/>
              </w:rPr>
              <w:t>izvērs</w:t>
            </w:r>
            <w:r>
              <w:rPr>
                <w:iCs/>
              </w:rPr>
              <w:t>tu informāciju skatīt izziņas 1. punktā.</w:t>
            </w:r>
          </w:p>
          <w:p w14:paraId="1FF62F63" w14:textId="77777777" w:rsidR="004E3C69" w:rsidRDefault="004E3C69" w:rsidP="004E3C69">
            <w:pPr>
              <w:jc w:val="both"/>
            </w:pPr>
          </w:p>
          <w:p w14:paraId="3579FE04" w14:textId="52B8E1DF" w:rsidR="004E3C69" w:rsidRDefault="004E3C69" w:rsidP="004E3C69">
            <w:pPr>
              <w:jc w:val="both"/>
            </w:pPr>
            <w:r w:rsidRPr="004E3C69">
              <w:t>Liellopu nozarei laikā no 2020.</w:t>
            </w:r>
            <w:r w:rsidR="008B6932">
              <w:t> </w:t>
            </w:r>
            <w:r w:rsidRPr="004E3C69">
              <w:t>gada oktobra līdz decembrim nozares ieņēmumi ir samazinājušies par 9,1</w:t>
            </w:r>
            <w:r w:rsidR="002E15DE">
              <w:t> </w:t>
            </w:r>
            <w:r w:rsidRPr="004E3C69">
              <w:t>% salīdzin</w:t>
            </w:r>
            <w:r w:rsidR="008B6932">
              <w:t>ājumā</w:t>
            </w:r>
            <w:r w:rsidRPr="004E3C69">
              <w:t xml:space="preserve"> ar iepriekšējo </w:t>
            </w:r>
            <w:r w:rsidR="008B6932">
              <w:t>trīs</w:t>
            </w:r>
            <w:r w:rsidRPr="004E3C69">
              <w:t xml:space="preserve"> gadu vidējo rādītāju attiecīgaj</w:t>
            </w:r>
            <w:r w:rsidR="008B6932">
              <w:t>ā</w:t>
            </w:r>
            <w:r w:rsidRPr="004E3C69">
              <w:t xml:space="preserve"> laikaposm</w:t>
            </w:r>
            <w:r w:rsidR="008B6932">
              <w:t>ā</w:t>
            </w:r>
            <w:r w:rsidRPr="004E3C69">
              <w:t>. Savukārt laikā no 2021.</w:t>
            </w:r>
            <w:r w:rsidR="002E15DE">
              <w:t> </w:t>
            </w:r>
            <w:r w:rsidRPr="004E3C69">
              <w:t>gada janvāra līdz februārim nozares ieņēmumi ir samazinājušies par 11,5</w:t>
            </w:r>
            <w:r w:rsidR="002E15DE">
              <w:t> </w:t>
            </w:r>
            <w:r w:rsidRPr="004E3C69">
              <w:t xml:space="preserve">% </w:t>
            </w:r>
            <w:r w:rsidR="008B6932" w:rsidRPr="004E3C69">
              <w:t>salīdzin</w:t>
            </w:r>
            <w:r w:rsidR="008B6932">
              <w:t>ājumā</w:t>
            </w:r>
            <w:r w:rsidR="008B6932" w:rsidRPr="004E3C69">
              <w:t xml:space="preserve"> ar iepriekšējo </w:t>
            </w:r>
            <w:r w:rsidR="008B6932">
              <w:t>trīs</w:t>
            </w:r>
            <w:r w:rsidR="008B6932" w:rsidRPr="004E3C69">
              <w:t xml:space="preserve"> gadu vidējo rādītāju attiecīgaj</w:t>
            </w:r>
            <w:r w:rsidR="008B6932">
              <w:t>ā</w:t>
            </w:r>
            <w:r w:rsidR="008B6932" w:rsidRPr="004E3C69">
              <w:t xml:space="preserve"> laikaposm</w:t>
            </w:r>
            <w:r w:rsidR="008B6932">
              <w:t>ā</w:t>
            </w:r>
            <w:r w:rsidRPr="004E3C69">
              <w:t xml:space="preserve">. Tas kopumā veido nozares ieņēmumu samazinājumu par 2 800 000 </w:t>
            </w:r>
            <w:proofErr w:type="spellStart"/>
            <w:r w:rsidRPr="004E3C69">
              <w:rPr>
                <w:i/>
              </w:rPr>
              <w:t>euro</w:t>
            </w:r>
            <w:proofErr w:type="spellEnd"/>
            <w:r w:rsidRPr="004E3C69">
              <w:t>.</w:t>
            </w:r>
          </w:p>
          <w:p w14:paraId="4B018D2F" w14:textId="0883A77D" w:rsidR="00BE7683" w:rsidRPr="00BE7683" w:rsidRDefault="00BE7683" w:rsidP="004E3C69">
            <w:pPr>
              <w:jc w:val="both"/>
              <w:rPr>
                <w:i/>
              </w:rPr>
            </w:pPr>
            <w:r w:rsidRPr="00BE7683">
              <w:t>Pēc</w:t>
            </w:r>
            <w:r w:rsidR="00CC4DEB">
              <w:t> </w:t>
            </w:r>
            <w:r w:rsidRPr="00BE7683">
              <w:t>VID</w:t>
            </w:r>
            <w:r w:rsidR="00CC4DEB">
              <w:t> </w:t>
            </w:r>
            <w:r w:rsidRPr="00BE7683">
              <w:t>datiem</w:t>
            </w:r>
            <w:r w:rsidR="008B6932">
              <w:t>,</w:t>
            </w:r>
            <w:r w:rsidRPr="00BE7683">
              <w:t xml:space="preserve"> 183</w:t>
            </w:r>
            <w:r w:rsidR="00CC4DEB">
              <w:t> </w:t>
            </w:r>
            <w:r w:rsidRPr="00BE7683">
              <w:t>dārzkopības kultūru audzēšanas un zivsaimniecības nozaru uzņēmumiem laikposmā no 2020.</w:t>
            </w:r>
            <w:r w:rsidR="00CC4DEB">
              <w:t> </w:t>
            </w:r>
            <w:r w:rsidRPr="00BE7683">
              <w:t>gada 30.</w:t>
            </w:r>
            <w:r w:rsidR="00CC4DEB">
              <w:t> </w:t>
            </w:r>
            <w:r w:rsidRPr="00BE7683">
              <w:t>oktobra līdz 2021.</w:t>
            </w:r>
            <w:r w:rsidR="002E15DE">
              <w:t> </w:t>
            </w:r>
            <w:r w:rsidRPr="00BE7683">
              <w:t xml:space="preserve">gada martam neto apgrozījums ir samazinājies par vairāk nekā 15 %. Aprēķinātais </w:t>
            </w:r>
            <w:r w:rsidRPr="00BE7683">
              <w:lastRenderedPageBreak/>
              <w:t>15</w:t>
            </w:r>
            <w:r w:rsidR="002E15DE">
              <w:t> </w:t>
            </w:r>
            <w:r w:rsidRPr="00BE7683">
              <w:t xml:space="preserve">% neto apgrozījuma samazinājums šo nozaru uzņēmumiem </w:t>
            </w:r>
            <w:r w:rsidR="008B6932">
              <w:t xml:space="preserve">naudas izteiksmē </w:t>
            </w:r>
            <w:r w:rsidRPr="00BE7683">
              <w:t xml:space="preserve">ir aptuveni 650 000 </w:t>
            </w:r>
            <w:proofErr w:type="spellStart"/>
            <w:r w:rsidRPr="00BE7683">
              <w:rPr>
                <w:i/>
              </w:rPr>
              <w:t>euro</w:t>
            </w:r>
            <w:proofErr w:type="spellEnd"/>
            <w:r w:rsidRPr="00BE7683">
              <w:rPr>
                <w:i/>
              </w:rPr>
              <w:t>.</w:t>
            </w:r>
          </w:p>
          <w:p w14:paraId="242D5318" w14:textId="2B3F1B7E" w:rsidR="002C4175" w:rsidRPr="000465E2" w:rsidRDefault="004E3C69">
            <w:pPr>
              <w:jc w:val="both"/>
              <w:rPr>
                <w:b/>
                <w:iCs/>
              </w:rPr>
            </w:pPr>
            <w:bookmarkStart w:id="7" w:name="_Hlk72403868"/>
            <w:r w:rsidRPr="004E3C69">
              <w:t>Kopš š.g. marta situācija cūkkopības nozarē uzlabojas, kaut arī cenas joprojām ir zemākas nekā pagājušajā gadā</w:t>
            </w:r>
            <w:r w:rsidR="008B6932">
              <w:t>.</w:t>
            </w:r>
            <w:r w:rsidRPr="004E3C69">
              <w:t xml:space="preserve"> </w:t>
            </w:r>
            <w:r w:rsidR="008B6932">
              <w:t>Turklāt,</w:t>
            </w:r>
            <w:r w:rsidRPr="004E3C69">
              <w:t xml:space="preserve"> ievērojot prognozes par situācijas uzlabošanos kopumā gan ES, gan pasaulē saistībā ar Covid-19 izplatības samazināšanos un ierobežojumu pakāpenisku mazināšanu, patlaban var uzskatīt, ka līdz gada beigām cūkaudzētāju ieņēmumu samazinājums būs ievērojami mazāks un netiks izmantots</w:t>
            </w:r>
            <w:r w:rsidRPr="007014B1">
              <w:rPr>
                <w:b/>
              </w:rPr>
              <w:t xml:space="preserve"> </w:t>
            </w:r>
            <w:r w:rsidRPr="004E3C69">
              <w:t>viss piešķirtais finansējums. Tāpat arī mājputnu nozarē</w:t>
            </w:r>
            <w:r w:rsidR="008B6932">
              <w:t>,</w:t>
            </w:r>
            <w:r w:rsidRPr="004E3C69">
              <w:t xml:space="preserve"> pēc VID datiem</w:t>
            </w:r>
            <w:r w:rsidR="008B6932">
              <w:t>,</w:t>
            </w:r>
            <w:r w:rsidRPr="004E3C69">
              <w:t xml:space="preserve"> var prognozēt, ka netiks izmantots viss piešķirtais finansējums. Savukārt ņemot vērā identificētās problēmas un vajadzības liellopu, dārzkopības  kultūru audzēšanas un zivsaimniecības nozarēs, finansējums cūkkopības nozarei var tikt samazināts no 14 500 000 uz 12 700 000 </w:t>
            </w:r>
            <w:proofErr w:type="spellStart"/>
            <w:r w:rsidRPr="004E3C69">
              <w:rPr>
                <w:i/>
              </w:rPr>
              <w:t>euro</w:t>
            </w:r>
            <w:proofErr w:type="spellEnd"/>
            <w:r w:rsidRPr="004E3C69">
              <w:rPr>
                <w:i/>
              </w:rPr>
              <w:t xml:space="preserve"> </w:t>
            </w:r>
            <w:r w:rsidRPr="004E3C69">
              <w:t>un</w:t>
            </w:r>
            <w:r w:rsidRPr="004E3C69">
              <w:rPr>
                <w:i/>
              </w:rPr>
              <w:t xml:space="preserve"> </w:t>
            </w:r>
            <w:r w:rsidRPr="004E3C69">
              <w:t xml:space="preserve">mājputnu nozarei </w:t>
            </w:r>
            <w:r w:rsidR="008B6932">
              <w:t>–</w:t>
            </w:r>
            <w:r w:rsidRPr="004E3C69">
              <w:t xml:space="preserve"> no </w:t>
            </w:r>
            <w:r w:rsidRPr="004E3C69">
              <w:lastRenderedPageBreak/>
              <w:t xml:space="preserve">11 000 000 uz 9 350 000 </w:t>
            </w:r>
            <w:proofErr w:type="spellStart"/>
            <w:r w:rsidRPr="004E3C69">
              <w:rPr>
                <w:i/>
              </w:rPr>
              <w:t>euro</w:t>
            </w:r>
            <w:bookmarkEnd w:id="7"/>
            <w:proofErr w:type="spellEnd"/>
            <w:r w:rsidRPr="004E3C69">
              <w:rPr>
                <w:i/>
              </w:rPr>
              <w:t xml:space="preserve"> </w:t>
            </w:r>
            <w:r w:rsidRPr="004E3C69">
              <w:t>(piemērojot proporcionālu samazinājumu).</w:t>
            </w:r>
          </w:p>
        </w:tc>
        <w:tc>
          <w:tcPr>
            <w:tcW w:w="3071" w:type="dxa"/>
            <w:tcBorders>
              <w:bottom w:val="single" w:sz="4" w:space="0" w:color="auto"/>
              <w:right w:val="single" w:sz="4" w:space="0" w:color="auto"/>
            </w:tcBorders>
          </w:tcPr>
          <w:p w14:paraId="79D995A9" w14:textId="7C19C22E" w:rsidR="007F2E13" w:rsidRDefault="002C4175" w:rsidP="00C95E7C">
            <w:pPr>
              <w:widowControl w:val="0"/>
              <w:tabs>
                <w:tab w:val="left" w:pos="720"/>
                <w:tab w:val="left" w:pos="993"/>
              </w:tabs>
              <w:jc w:val="both"/>
            </w:pPr>
            <w:r>
              <w:lastRenderedPageBreak/>
              <w:t>Precizēts anotācijas</w:t>
            </w:r>
            <w:r w:rsidR="00D126A6">
              <w:t xml:space="preserve"> I sadaļa un </w:t>
            </w:r>
            <w:r>
              <w:t>III sadaļas 6.punkts.</w:t>
            </w:r>
          </w:p>
        </w:tc>
      </w:tr>
      <w:tr w:rsidR="007F2E13" w:rsidRPr="00AC04F8" w14:paraId="1A449EE5"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78D1374A" w14:textId="123850F9" w:rsidR="007F2E13" w:rsidRDefault="007F2E13" w:rsidP="00C95E7C">
            <w:pPr>
              <w:pStyle w:val="naisnod"/>
              <w:jc w:val="center"/>
              <w:rPr>
                <w:color w:val="000000"/>
              </w:rPr>
            </w:pPr>
            <w:r>
              <w:rPr>
                <w:color w:val="000000"/>
              </w:rPr>
              <w:lastRenderedPageBreak/>
              <w:t xml:space="preserve">9. </w:t>
            </w:r>
          </w:p>
        </w:tc>
        <w:tc>
          <w:tcPr>
            <w:tcW w:w="2581" w:type="dxa"/>
            <w:gridSpan w:val="2"/>
            <w:tcBorders>
              <w:top w:val="single" w:sz="4" w:space="0" w:color="auto"/>
              <w:left w:val="single" w:sz="4" w:space="0" w:color="auto"/>
              <w:bottom w:val="single" w:sz="4" w:space="0" w:color="auto"/>
              <w:right w:val="single" w:sz="4" w:space="0" w:color="auto"/>
            </w:tcBorders>
          </w:tcPr>
          <w:p w14:paraId="456463DD" w14:textId="77777777" w:rsidR="007F2E13" w:rsidRPr="007F2E13" w:rsidRDefault="007F2E13" w:rsidP="007F2E13">
            <w:pPr>
              <w:ind w:right="12"/>
              <w:jc w:val="both"/>
              <w:rPr>
                <w:color w:val="000000" w:themeColor="text1"/>
              </w:rPr>
            </w:pPr>
            <w:r w:rsidRPr="007F2E13">
              <w:rPr>
                <w:color w:val="000000" w:themeColor="text1"/>
              </w:rPr>
              <w:t>Izdarīt Ministru kabineta 2021. gada 17. februāra rīkojumā Nr. 96 "Par finanšu līdzekļu piešķiršanu no valsts budžeta programmas "Līdzekļi neparedzētiem gadījumiem"" (Latvijas Vēstnesis, 2021, 34. nr.) grozījumu un izteikt 1.1. apakšpunktu šādā redakcijā:</w:t>
            </w:r>
          </w:p>
          <w:p w14:paraId="0D430760" w14:textId="568F66DE" w:rsidR="007F2E13" w:rsidRPr="000465E2" w:rsidRDefault="007F2E13" w:rsidP="007F2E13">
            <w:pPr>
              <w:ind w:right="12"/>
              <w:jc w:val="both"/>
              <w:rPr>
                <w:color w:val="000000" w:themeColor="text1"/>
              </w:rPr>
            </w:pPr>
            <w:r w:rsidRPr="007F2E13">
              <w:rPr>
                <w:color w:val="000000" w:themeColor="text1"/>
              </w:rPr>
              <w:t>"1.1. atbalstam ražotājiem lauksaimniecības, zivsaimniecības un pārtikas nozarē, tostarp cūkkopībā un mājputnu ražošanā, lai mazinātu Covid-19 izplatības negatīvo ietekmi, – finansējumu, kas nepārsniedz 25 500 000 </w:t>
            </w:r>
            <w:proofErr w:type="spellStart"/>
            <w:r w:rsidRPr="007F2E13">
              <w:rPr>
                <w:i/>
                <w:color w:val="000000" w:themeColor="text1"/>
              </w:rPr>
              <w:t>euro</w:t>
            </w:r>
            <w:proofErr w:type="spellEnd"/>
            <w:r w:rsidRPr="007F2E13">
              <w:rPr>
                <w:color w:val="000000" w:themeColor="text1"/>
              </w:rPr>
              <w:t>;"</w:t>
            </w:r>
            <w:r>
              <w:rPr>
                <w:color w:val="000000" w:themeColor="text1"/>
              </w:rPr>
              <w:t>.</w:t>
            </w:r>
          </w:p>
        </w:tc>
        <w:tc>
          <w:tcPr>
            <w:tcW w:w="4532" w:type="dxa"/>
            <w:tcBorders>
              <w:top w:val="single" w:sz="4" w:space="0" w:color="auto"/>
              <w:left w:val="single" w:sz="4" w:space="0" w:color="auto"/>
              <w:bottom w:val="single" w:sz="4" w:space="0" w:color="auto"/>
              <w:right w:val="single" w:sz="4" w:space="0" w:color="auto"/>
            </w:tcBorders>
          </w:tcPr>
          <w:p w14:paraId="5F7E9A28" w14:textId="08B1DFFC" w:rsidR="007F2E13" w:rsidRPr="007F2E13" w:rsidRDefault="007F2E13" w:rsidP="00C95E7C">
            <w:pPr>
              <w:ind w:right="12"/>
              <w:jc w:val="both"/>
              <w:rPr>
                <w:color w:val="000000" w:themeColor="text1"/>
              </w:rPr>
            </w:pPr>
            <w:r w:rsidRPr="007F2E13">
              <w:rPr>
                <w:color w:val="000000" w:themeColor="text1"/>
              </w:rPr>
              <w:t xml:space="preserve">Ņemot vērā, ka rīkojuma projekts paredz izteikt 1.1.apakšpunktu jaunā redakcijā, t.sk. apvienojot atbalstu cūkkopības nozarei un mājputnu nozarei </w:t>
            </w:r>
            <w:r w:rsidRPr="00BE7683">
              <w:rPr>
                <w:color w:val="000000" w:themeColor="text1"/>
              </w:rPr>
              <w:t>vienā atbalsta summā, lūdzam rīkojuma projektu papildināt ar punktu, kas paredz svītrot Ministru kabineta 2021.gada 17.februāra rīkojuma Nr.96 “Par finanšu līdzekļu piešķiršanu no valsts budžeta programmas “Līdzekļi neparedzētiem gadījumiem”” 1.2.apakšpunktu.</w:t>
            </w:r>
          </w:p>
        </w:tc>
        <w:tc>
          <w:tcPr>
            <w:tcW w:w="3289" w:type="dxa"/>
            <w:gridSpan w:val="2"/>
            <w:tcBorders>
              <w:left w:val="single" w:sz="4" w:space="0" w:color="auto"/>
              <w:bottom w:val="single" w:sz="4" w:space="0" w:color="auto"/>
            </w:tcBorders>
          </w:tcPr>
          <w:p w14:paraId="16413F99" w14:textId="77777777" w:rsidR="007F2E13" w:rsidRDefault="007F2E13" w:rsidP="000465E2">
            <w:pPr>
              <w:jc w:val="both"/>
              <w:rPr>
                <w:b/>
                <w:iCs/>
              </w:rPr>
            </w:pPr>
            <w:r>
              <w:rPr>
                <w:b/>
                <w:iCs/>
              </w:rPr>
              <w:t>Ņemts vērā.</w:t>
            </w:r>
          </w:p>
          <w:p w14:paraId="16ECD7C9" w14:textId="05B6F2DB" w:rsidR="007F2E13" w:rsidRPr="007F2E13" w:rsidRDefault="007F2E13" w:rsidP="000465E2">
            <w:pPr>
              <w:jc w:val="both"/>
              <w:rPr>
                <w:iCs/>
              </w:rPr>
            </w:pPr>
            <w:r>
              <w:rPr>
                <w:iCs/>
              </w:rPr>
              <w:t>Projekts precizēts, paredzot svītrot 1.2. apakšpunktu.</w:t>
            </w:r>
          </w:p>
        </w:tc>
        <w:tc>
          <w:tcPr>
            <w:tcW w:w="3071" w:type="dxa"/>
            <w:tcBorders>
              <w:bottom w:val="single" w:sz="4" w:space="0" w:color="auto"/>
              <w:right w:val="single" w:sz="4" w:space="0" w:color="auto"/>
            </w:tcBorders>
          </w:tcPr>
          <w:p w14:paraId="425B7A19" w14:textId="77777777" w:rsidR="006F1B88" w:rsidRPr="00AF702B" w:rsidRDefault="006F1B88" w:rsidP="006F1B88">
            <w:pPr>
              <w:shd w:val="clear" w:color="auto" w:fill="FFFFFF"/>
              <w:spacing w:line="293" w:lineRule="atLeast"/>
              <w:jc w:val="both"/>
            </w:pPr>
            <w:r w:rsidRPr="006F1B88">
              <w:t xml:space="preserve">Izdarīt Ministru kabineta 2021. gada 17. februāra rīkojumā Nr. 96 "Par finanšu līdzekļu piešķiršanu no valsts budžeta programmas "Līdzekļi neparedzētiem gadījumiem"" (Latvijas Vēstnesis, 2021, 34. nr.) </w:t>
            </w:r>
            <w:r w:rsidRPr="00AF702B">
              <w:t>šādus grozījumus:</w:t>
            </w:r>
          </w:p>
          <w:p w14:paraId="4A67DC89" w14:textId="77777777" w:rsidR="006F1B88" w:rsidRPr="00AF702B" w:rsidRDefault="006F1B88" w:rsidP="006F1B88">
            <w:pPr>
              <w:shd w:val="clear" w:color="auto" w:fill="FFFFFF"/>
              <w:spacing w:line="293" w:lineRule="atLeast"/>
              <w:jc w:val="both"/>
            </w:pPr>
            <w:r w:rsidRPr="00AF702B">
              <w:t>1. Izteikt 1.1. apakšpunktu šādā redakcijā:</w:t>
            </w:r>
          </w:p>
          <w:p w14:paraId="0D844A3D" w14:textId="2A60C2F0" w:rsidR="006F1B88" w:rsidRPr="00AF702B" w:rsidRDefault="006F1B88" w:rsidP="006F1B88">
            <w:pPr>
              <w:shd w:val="clear" w:color="auto" w:fill="FFFFFF"/>
              <w:spacing w:line="293" w:lineRule="atLeast"/>
              <w:jc w:val="both"/>
            </w:pPr>
            <w:r w:rsidRPr="00AF702B">
              <w:tab/>
              <w:t>"1.1. atbalstam ražotājiem lauksaimniecības, zivsaimniecības un pārtikas nozarē, tostarp cūkkopībā un mājputnu ražošanā, lai mazinātu Covid-19 izplatības negatīvo ietekmi, – finansējumu, kas nepārsniedz 25 500 000 </w:t>
            </w:r>
            <w:proofErr w:type="spellStart"/>
            <w:r w:rsidRPr="00AF702B">
              <w:rPr>
                <w:i/>
              </w:rPr>
              <w:t>euro</w:t>
            </w:r>
            <w:proofErr w:type="spellEnd"/>
            <w:r w:rsidRPr="00AF702B">
              <w:t>;"</w:t>
            </w:r>
            <w:r w:rsidR="002E15DE" w:rsidRPr="00AF702B">
              <w:t>.</w:t>
            </w:r>
          </w:p>
          <w:p w14:paraId="2720D12A" w14:textId="77777777" w:rsidR="006F1B88" w:rsidRPr="00AF702B" w:rsidRDefault="006F1B88" w:rsidP="006F1B88">
            <w:pPr>
              <w:shd w:val="clear" w:color="auto" w:fill="FFFFFF"/>
              <w:spacing w:line="293" w:lineRule="atLeast"/>
              <w:jc w:val="both"/>
            </w:pPr>
          </w:p>
          <w:p w14:paraId="171EF909" w14:textId="3DBD2E1E" w:rsidR="007F2E13" w:rsidRPr="007F2E13" w:rsidRDefault="006F1B88" w:rsidP="00EC1B57">
            <w:pPr>
              <w:shd w:val="clear" w:color="auto" w:fill="FFFFFF"/>
              <w:spacing w:line="293" w:lineRule="atLeast"/>
              <w:jc w:val="both"/>
              <w:rPr>
                <w:color w:val="000000" w:themeColor="text1"/>
              </w:rPr>
            </w:pPr>
            <w:r w:rsidRPr="00AF702B">
              <w:t>2. Svītrot 1.2. apakšpunktu.</w:t>
            </w:r>
          </w:p>
        </w:tc>
      </w:tr>
      <w:tr w:rsidR="00DC28B8" w:rsidRPr="00712B66" w14:paraId="1BD801F7"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4FB0C22B" w14:textId="39BA5D8D" w:rsidR="00DC28B8" w:rsidRPr="00712B66" w:rsidRDefault="00DC28B8" w:rsidP="00DC28B8">
            <w:pPr>
              <w:pStyle w:val="naiskr"/>
              <w:spacing w:before="0" w:after="0"/>
            </w:pPr>
            <w:r w:rsidRPr="00712B66">
              <w:t>Atbildīgā amatpersona</w:t>
            </w:r>
          </w:p>
        </w:tc>
        <w:tc>
          <w:tcPr>
            <w:tcW w:w="6179" w:type="dxa"/>
            <w:gridSpan w:val="3"/>
          </w:tcPr>
          <w:p w14:paraId="4B15BBF2" w14:textId="77777777" w:rsidR="00DC28B8" w:rsidRPr="00712B66" w:rsidRDefault="00DC28B8" w:rsidP="00DC28B8">
            <w:pPr>
              <w:pStyle w:val="naiskr"/>
              <w:spacing w:before="0" w:after="0"/>
              <w:ind w:firstLine="720"/>
            </w:pPr>
            <w:r w:rsidRPr="00712B66">
              <w:t>  </w:t>
            </w:r>
          </w:p>
        </w:tc>
      </w:tr>
      <w:tr w:rsidR="00DC28B8" w:rsidRPr="00712B66" w14:paraId="5F82262B"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48D02C68" w14:textId="77777777" w:rsidR="00DC28B8" w:rsidRPr="00712B66" w:rsidRDefault="00DC28B8" w:rsidP="00DC28B8">
            <w:pPr>
              <w:pStyle w:val="naiskr"/>
              <w:spacing w:before="0" w:after="0"/>
              <w:ind w:firstLine="720"/>
            </w:pPr>
          </w:p>
        </w:tc>
        <w:tc>
          <w:tcPr>
            <w:tcW w:w="6179" w:type="dxa"/>
            <w:gridSpan w:val="3"/>
            <w:tcBorders>
              <w:top w:val="single" w:sz="6" w:space="0" w:color="000000"/>
            </w:tcBorders>
          </w:tcPr>
          <w:p w14:paraId="75447D27" w14:textId="77777777" w:rsidR="00DC28B8" w:rsidRPr="00712B66" w:rsidRDefault="00DC28B8" w:rsidP="00DC28B8">
            <w:pPr>
              <w:pStyle w:val="naisc"/>
              <w:spacing w:before="0" w:after="0"/>
              <w:ind w:firstLine="2707"/>
            </w:pPr>
            <w:r w:rsidRPr="00712B66">
              <w:t>(paraksts*)</w:t>
            </w:r>
          </w:p>
        </w:tc>
      </w:tr>
    </w:tbl>
    <w:p w14:paraId="1EFF3A22" w14:textId="77777777" w:rsidR="0068097A" w:rsidRPr="00712B66" w:rsidRDefault="0068097A" w:rsidP="0068097A">
      <w:pPr>
        <w:pStyle w:val="naisf"/>
        <w:spacing w:before="0" w:after="0"/>
        <w:ind w:firstLine="720"/>
      </w:pPr>
      <w:r>
        <w:lastRenderedPageBreak/>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EE200DB" w14:textId="32E084DD" w:rsidR="005F740D" w:rsidRPr="0068097A" w:rsidRDefault="000002B2" w:rsidP="0068097A">
      <w:pPr>
        <w:pStyle w:val="naisf"/>
        <w:ind w:firstLine="3686"/>
        <w:rPr>
          <w:color w:val="000000"/>
        </w:rPr>
      </w:pPr>
      <w:r>
        <w:rPr>
          <w:color w:val="000000"/>
        </w:rPr>
        <w:t>Dace Freimane</w:t>
      </w:r>
    </w:p>
    <w:tbl>
      <w:tblPr>
        <w:tblW w:w="0" w:type="auto"/>
        <w:tblCellSpacing w:w="0" w:type="dxa"/>
        <w:tblCellMar>
          <w:left w:w="0" w:type="dxa"/>
          <w:right w:w="0" w:type="dxa"/>
        </w:tblCellMar>
        <w:tblLook w:val="0000" w:firstRow="0" w:lastRow="0" w:firstColumn="0" w:lastColumn="0" w:noHBand="0" w:noVBand="0"/>
      </w:tblPr>
      <w:tblGrid>
        <w:gridCol w:w="8265"/>
      </w:tblGrid>
      <w:tr w:rsidR="005F740D" w:rsidRPr="0068097A" w14:paraId="55855EEA" w14:textId="77777777" w:rsidTr="0068097A">
        <w:trPr>
          <w:tblCellSpacing w:w="0" w:type="dxa"/>
        </w:trPr>
        <w:tc>
          <w:tcPr>
            <w:tcW w:w="8265" w:type="dxa"/>
            <w:tcBorders>
              <w:top w:val="single" w:sz="8" w:space="0" w:color="000000"/>
              <w:left w:val="nil"/>
              <w:bottom w:val="nil"/>
              <w:right w:val="nil"/>
            </w:tcBorders>
          </w:tcPr>
          <w:p w14:paraId="5F47834F" w14:textId="77777777" w:rsidR="006D0875" w:rsidRPr="0068097A" w:rsidRDefault="005F740D" w:rsidP="0068097A">
            <w:pPr>
              <w:pStyle w:val="naisc"/>
              <w:spacing w:before="0" w:beforeAutospacing="0" w:after="120" w:afterAutospacing="0"/>
              <w:jc w:val="center"/>
              <w:rPr>
                <w:color w:val="000000"/>
              </w:rPr>
            </w:pPr>
            <w:r w:rsidRPr="0068097A">
              <w:rPr>
                <w:color w:val="000000"/>
              </w:rPr>
              <w:t>(par projektu atbildīgās amatpersonas vārds un uzvārds)</w:t>
            </w:r>
          </w:p>
        </w:tc>
      </w:tr>
      <w:tr w:rsidR="005F740D" w:rsidRPr="0068097A" w14:paraId="5911A81C" w14:textId="77777777" w:rsidTr="0068097A">
        <w:trPr>
          <w:tblCellSpacing w:w="0" w:type="dxa"/>
        </w:trPr>
        <w:tc>
          <w:tcPr>
            <w:tcW w:w="8265" w:type="dxa"/>
            <w:tcBorders>
              <w:top w:val="nil"/>
              <w:left w:val="nil"/>
              <w:bottom w:val="single" w:sz="8" w:space="0" w:color="000000"/>
              <w:right w:val="nil"/>
            </w:tcBorders>
          </w:tcPr>
          <w:p w14:paraId="78972274" w14:textId="1CEE3FF8" w:rsidR="005F740D" w:rsidRPr="0068097A" w:rsidRDefault="005E79C6" w:rsidP="0068097A">
            <w:pPr>
              <w:pStyle w:val="naisf"/>
              <w:jc w:val="center"/>
              <w:rPr>
                <w:color w:val="000000"/>
              </w:rPr>
            </w:pPr>
            <w:r w:rsidRPr="0068097A">
              <w:rPr>
                <w:color w:val="000000"/>
              </w:rPr>
              <w:t>Tirgus un tiešā atbalsta departamenta</w:t>
            </w:r>
            <w:r w:rsidR="002B7F99">
              <w:rPr>
                <w:color w:val="000000"/>
              </w:rPr>
              <w:t xml:space="preserve"> </w:t>
            </w:r>
            <w:r w:rsidR="002B7F99">
              <w:rPr>
                <w:color w:val="000000"/>
              </w:rPr>
              <w:br/>
            </w:r>
            <w:r w:rsidRPr="0068097A">
              <w:rPr>
                <w:color w:val="000000"/>
              </w:rPr>
              <w:t>Tirgus kopējās organizācijas nodaļ</w:t>
            </w:r>
            <w:r w:rsidR="003532EF" w:rsidRPr="0068097A">
              <w:rPr>
                <w:color w:val="000000"/>
              </w:rPr>
              <w:t>a</w:t>
            </w:r>
            <w:r w:rsidRPr="0068097A">
              <w:rPr>
                <w:color w:val="000000"/>
              </w:rPr>
              <w:t xml:space="preserve">s </w:t>
            </w:r>
            <w:r w:rsidR="00887399">
              <w:rPr>
                <w:color w:val="000000"/>
              </w:rPr>
              <w:t>vadīt</w:t>
            </w:r>
            <w:r w:rsidR="00933D7B">
              <w:rPr>
                <w:color w:val="000000"/>
              </w:rPr>
              <w:t>ā</w:t>
            </w:r>
            <w:r w:rsidR="00887399">
              <w:rPr>
                <w:color w:val="000000"/>
              </w:rPr>
              <w:t>ja</w:t>
            </w:r>
          </w:p>
        </w:tc>
      </w:tr>
      <w:tr w:rsidR="005F740D" w:rsidRPr="0068097A" w14:paraId="4C35975C" w14:textId="77777777" w:rsidTr="0068097A">
        <w:trPr>
          <w:trHeight w:val="341"/>
          <w:tblCellSpacing w:w="0" w:type="dxa"/>
        </w:trPr>
        <w:tc>
          <w:tcPr>
            <w:tcW w:w="0" w:type="auto"/>
            <w:tcBorders>
              <w:top w:val="nil"/>
              <w:left w:val="nil"/>
              <w:bottom w:val="nil"/>
              <w:right w:val="nil"/>
            </w:tcBorders>
            <w:vAlign w:val="center"/>
          </w:tcPr>
          <w:p w14:paraId="156B30A3" w14:textId="77777777" w:rsidR="005F740D" w:rsidRPr="0068097A" w:rsidRDefault="005F740D" w:rsidP="0068097A">
            <w:pPr>
              <w:pStyle w:val="naisc"/>
              <w:spacing w:before="0" w:beforeAutospacing="0" w:after="120" w:afterAutospacing="0"/>
              <w:jc w:val="center"/>
              <w:rPr>
                <w:color w:val="000000"/>
              </w:rPr>
            </w:pPr>
            <w:r w:rsidRPr="0068097A">
              <w:rPr>
                <w:color w:val="000000"/>
              </w:rPr>
              <w:t>(amats)</w:t>
            </w:r>
          </w:p>
        </w:tc>
      </w:tr>
      <w:tr w:rsidR="005F740D" w:rsidRPr="0068097A" w14:paraId="773FA51D" w14:textId="77777777" w:rsidTr="0068097A">
        <w:trPr>
          <w:tblCellSpacing w:w="0" w:type="dxa"/>
        </w:trPr>
        <w:tc>
          <w:tcPr>
            <w:tcW w:w="0" w:type="auto"/>
            <w:tcBorders>
              <w:top w:val="nil"/>
              <w:left w:val="nil"/>
              <w:bottom w:val="single" w:sz="8" w:space="0" w:color="000000"/>
              <w:right w:val="nil"/>
            </w:tcBorders>
            <w:vAlign w:val="center"/>
          </w:tcPr>
          <w:p w14:paraId="3EFC7C77" w14:textId="4927507A" w:rsidR="005F740D" w:rsidRPr="0068097A" w:rsidRDefault="000002B2" w:rsidP="0068097A">
            <w:pPr>
              <w:pStyle w:val="naisf"/>
              <w:jc w:val="center"/>
              <w:rPr>
                <w:color w:val="000000"/>
              </w:rPr>
            </w:pPr>
            <w:r>
              <w:t>29151413</w:t>
            </w:r>
          </w:p>
        </w:tc>
      </w:tr>
      <w:tr w:rsidR="005F740D" w:rsidRPr="0068097A" w14:paraId="39D1861E" w14:textId="77777777" w:rsidTr="0068097A">
        <w:trPr>
          <w:tblCellSpacing w:w="0" w:type="dxa"/>
        </w:trPr>
        <w:tc>
          <w:tcPr>
            <w:tcW w:w="0" w:type="auto"/>
            <w:tcBorders>
              <w:top w:val="nil"/>
              <w:left w:val="nil"/>
              <w:bottom w:val="nil"/>
              <w:right w:val="nil"/>
            </w:tcBorders>
            <w:vAlign w:val="center"/>
          </w:tcPr>
          <w:p w14:paraId="5FAE391A" w14:textId="77777777" w:rsidR="005F740D" w:rsidRPr="0068097A" w:rsidRDefault="005F740D" w:rsidP="0068097A">
            <w:pPr>
              <w:pStyle w:val="naisc"/>
              <w:spacing w:before="0" w:beforeAutospacing="0" w:after="120" w:afterAutospacing="0"/>
              <w:jc w:val="center"/>
              <w:rPr>
                <w:color w:val="000000"/>
              </w:rPr>
            </w:pPr>
            <w:r w:rsidRPr="0068097A">
              <w:rPr>
                <w:color w:val="000000"/>
              </w:rPr>
              <w:t>(tālruņa un faksa numurs)</w:t>
            </w:r>
          </w:p>
        </w:tc>
      </w:tr>
      <w:tr w:rsidR="005F740D" w:rsidRPr="0068097A" w14:paraId="1310312C" w14:textId="77777777" w:rsidTr="0068097A">
        <w:trPr>
          <w:tblCellSpacing w:w="0" w:type="dxa"/>
        </w:trPr>
        <w:tc>
          <w:tcPr>
            <w:tcW w:w="0" w:type="auto"/>
            <w:tcBorders>
              <w:top w:val="nil"/>
              <w:left w:val="nil"/>
              <w:bottom w:val="single" w:sz="8" w:space="0" w:color="000000"/>
              <w:right w:val="nil"/>
            </w:tcBorders>
            <w:vAlign w:val="center"/>
          </w:tcPr>
          <w:p w14:paraId="3613076A" w14:textId="3A1FA1C2" w:rsidR="005F740D" w:rsidRPr="0068097A" w:rsidRDefault="000002B2" w:rsidP="0068097A">
            <w:pPr>
              <w:pStyle w:val="naisf"/>
              <w:jc w:val="center"/>
              <w:rPr>
                <w:color w:val="000000"/>
              </w:rPr>
            </w:pPr>
            <w:r>
              <w:rPr>
                <w:color w:val="000000"/>
              </w:rPr>
              <w:t>Dace.Freimane</w:t>
            </w:r>
            <w:r w:rsidR="005E79C6" w:rsidRPr="0068097A">
              <w:rPr>
                <w:color w:val="000000"/>
              </w:rPr>
              <w:t>@zm.gov.lv</w:t>
            </w:r>
          </w:p>
        </w:tc>
      </w:tr>
      <w:tr w:rsidR="005F740D" w:rsidRPr="0068097A" w14:paraId="4945D71E" w14:textId="77777777" w:rsidTr="0068097A">
        <w:trPr>
          <w:tblCellSpacing w:w="0" w:type="dxa"/>
        </w:trPr>
        <w:tc>
          <w:tcPr>
            <w:tcW w:w="0" w:type="auto"/>
            <w:tcBorders>
              <w:top w:val="nil"/>
              <w:left w:val="nil"/>
              <w:bottom w:val="nil"/>
              <w:right w:val="nil"/>
            </w:tcBorders>
            <w:vAlign w:val="center"/>
          </w:tcPr>
          <w:p w14:paraId="6F3B1948" w14:textId="77777777" w:rsidR="005F740D" w:rsidRPr="0068097A" w:rsidRDefault="005F740D" w:rsidP="0068097A">
            <w:pPr>
              <w:pStyle w:val="naisc"/>
              <w:jc w:val="center"/>
              <w:rPr>
                <w:color w:val="000000"/>
              </w:rPr>
            </w:pPr>
            <w:r w:rsidRPr="0068097A">
              <w:rPr>
                <w:color w:val="000000"/>
              </w:rPr>
              <w:t>(e-pasta adrese)</w:t>
            </w:r>
          </w:p>
        </w:tc>
      </w:tr>
    </w:tbl>
    <w:p w14:paraId="175A6C66" w14:textId="77777777" w:rsidR="008145A3" w:rsidRPr="00AC04F8" w:rsidRDefault="008145A3" w:rsidP="001622D4">
      <w:pPr>
        <w:pStyle w:val="naiskr"/>
        <w:rPr>
          <w:color w:val="000000"/>
        </w:rPr>
      </w:pPr>
      <w:bookmarkStart w:id="8" w:name="_GoBack"/>
      <w:bookmarkEnd w:id="8"/>
    </w:p>
    <w:sectPr w:rsidR="008145A3" w:rsidRPr="00AC04F8" w:rsidSect="00EF7C78">
      <w:headerReference w:type="default" r:id="rId8"/>
      <w:footerReference w:type="even"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612F" w14:textId="77777777" w:rsidR="00AC2873" w:rsidRDefault="00AC2873">
      <w:r>
        <w:separator/>
      </w:r>
    </w:p>
  </w:endnote>
  <w:endnote w:type="continuationSeparator" w:id="0">
    <w:p w14:paraId="4D946456" w14:textId="77777777" w:rsidR="00AC2873" w:rsidRDefault="00AC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4AE6" w14:textId="77777777" w:rsidR="001E0EE3" w:rsidRDefault="001E0EE3" w:rsidP="00EC29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BA4348" w14:textId="77777777" w:rsidR="001E0EE3" w:rsidRDefault="001E0E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2900" w14:textId="77777777" w:rsidR="001E0EE3" w:rsidRDefault="001E0EE3" w:rsidP="00EC29C5">
    <w:pPr>
      <w:pStyle w:val="Kjene"/>
      <w:framePr w:wrap="around" w:vAnchor="text" w:hAnchor="margin" w:xAlign="center" w:y="1"/>
      <w:rPr>
        <w:rStyle w:val="Lappusesnumurs"/>
      </w:rPr>
    </w:pPr>
  </w:p>
  <w:p w14:paraId="48688F8F" w14:textId="7E91C1B9" w:rsidR="001E0EE3" w:rsidRPr="000730F7" w:rsidRDefault="003A25A7" w:rsidP="003A25A7">
    <w:pPr>
      <w:pStyle w:val="Kjene"/>
    </w:pPr>
    <w:r w:rsidRPr="003A25A7">
      <w:rPr>
        <w:sz w:val="20"/>
        <w:szCs w:val="20"/>
        <w:lang w:val="lv-LV"/>
      </w:rPr>
      <w:t>ZMizz_020621_LNG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34AD" w14:textId="365DC91C" w:rsidR="001E0EE3" w:rsidRPr="003A25A7" w:rsidRDefault="003A25A7" w:rsidP="003A25A7">
    <w:pPr>
      <w:pStyle w:val="Kjene"/>
    </w:pPr>
    <w:r w:rsidRPr="003A25A7">
      <w:rPr>
        <w:sz w:val="20"/>
        <w:szCs w:val="20"/>
        <w:lang w:val="lv-LV"/>
      </w:rPr>
      <w:t>ZMizz_020621_LNG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BB35" w14:textId="77777777" w:rsidR="00AC2873" w:rsidRDefault="00AC2873">
      <w:r>
        <w:separator/>
      </w:r>
    </w:p>
  </w:footnote>
  <w:footnote w:type="continuationSeparator" w:id="0">
    <w:p w14:paraId="475A61D7" w14:textId="77777777" w:rsidR="00AC2873" w:rsidRDefault="00AC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D19B" w14:textId="77777777" w:rsidR="001E0EE3" w:rsidRDefault="001E0EE3">
    <w:pPr>
      <w:pStyle w:val="Galvene"/>
      <w:jc w:val="center"/>
    </w:pPr>
    <w:r>
      <w:fldChar w:fldCharType="begin"/>
    </w:r>
    <w:r>
      <w:instrText xml:space="preserve"> PAGE   \* MERGEFORMAT </w:instrText>
    </w:r>
    <w:r>
      <w:fldChar w:fldCharType="separate"/>
    </w:r>
    <w:r w:rsidR="00CF3488">
      <w:rPr>
        <w:noProof/>
      </w:rPr>
      <w:t>24</w:t>
    </w:r>
    <w:r>
      <w:fldChar w:fldCharType="end"/>
    </w:r>
  </w:p>
  <w:p w14:paraId="09122557" w14:textId="77777777" w:rsidR="001E0EE3" w:rsidRDefault="001E0E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37302A7"/>
    <w:multiLevelType w:val="hybridMultilevel"/>
    <w:tmpl w:val="33D86CF6"/>
    <w:lvl w:ilvl="0" w:tplc="8AB6CD14">
      <w:start w:val="1"/>
      <w:numFmt w:val="decimal"/>
      <w:lvlText w:val="%1)"/>
      <w:lvlJc w:val="left"/>
      <w:pPr>
        <w:ind w:left="720" w:hanging="360"/>
      </w:pPr>
      <w:rPr>
        <w:rFonts w:ascii="Times New Roman" w:eastAsia="Times New Roman" w:hAnsi="Times New Roman" w:cs="Times New Roman"/>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B45924"/>
    <w:multiLevelType w:val="hybridMultilevel"/>
    <w:tmpl w:val="2B84D2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955333A"/>
    <w:multiLevelType w:val="hybridMultilevel"/>
    <w:tmpl w:val="EED88604"/>
    <w:lvl w:ilvl="0" w:tplc="5CF0F98C">
      <w:start w:val="1"/>
      <w:numFmt w:val="decimal"/>
      <w:lvlText w:val="%1)"/>
      <w:lvlJc w:val="left"/>
      <w:pPr>
        <w:ind w:left="720" w:hanging="360"/>
      </w:pPr>
      <w:rPr>
        <w:rFonts w:hint="default"/>
      </w:rPr>
    </w:lvl>
    <w:lvl w:ilvl="1" w:tplc="2474CB3C" w:tentative="1">
      <w:start w:val="1"/>
      <w:numFmt w:val="lowerLetter"/>
      <w:lvlText w:val="%2."/>
      <w:lvlJc w:val="left"/>
      <w:pPr>
        <w:ind w:left="1440" w:hanging="360"/>
      </w:pPr>
    </w:lvl>
    <w:lvl w:ilvl="2" w:tplc="456CC1BE" w:tentative="1">
      <w:start w:val="1"/>
      <w:numFmt w:val="lowerRoman"/>
      <w:lvlText w:val="%3."/>
      <w:lvlJc w:val="right"/>
      <w:pPr>
        <w:ind w:left="2160" w:hanging="180"/>
      </w:pPr>
    </w:lvl>
    <w:lvl w:ilvl="3" w:tplc="20BE6E00" w:tentative="1">
      <w:start w:val="1"/>
      <w:numFmt w:val="decimal"/>
      <w:lvlText w:val="%4."/>
      <w:lvlJc w:val="left"/>
      <w:pPr>
        <w:ind w:left="2880" w:hanging="360"/>
      </w:pPr>
    </w:lvl>
    <w:lvl w:ilvl="4" w:tplc="8EE8DD9A" w:tentative="1">
      <w:start w:val="1"/>
      <w:numFmt w:val="lowerLetter"/>
      <w:lvlText w:val="%5."/>
      <w:lvlJc w:val="left"/>
      <w:pPr>
        <w:ind w:left="3600" w:hanging="360"/>
      </w:pPr>
    </w:lvl>
    <w:lvl w:ilvl="5" w:tplc="0CDE0772" w:tentative="1">
      <w:start w:val="1"/>
      <w:numFmt w:val="lowerRoman"/>
      <w:lvlText w:val="%6."/>
      <w:lvlJc w:val="right"/>
      <w:pPr>
        <w:ind w:left="4320" w:hanging="180"/>
      </w:pPr>
    </w:lvl>
    <w:lvl w:ilvl="6" w:tplc="E5B4B820" w:tentative="1">
      <w:start w:val="1"/>
      <w:numFmt w:val="decimal"/>
      <w:lvlText w:val="%7."/>
      <w:lvlJc w:val="left"/>
      <w:pPr>
        <w:ind w:left="5040" w:hanging="360"/>
      </w:pPr>
    </w:lvl>
    <w:lvl w:ilvl="7" w:tplc="2132C5AA" w:tentative="1">
      <w:start w:val="1"/>
      <w:numFmt w:val="lowerLetter"/>
      <w:lvlText w:val="%8."/>
      <w:lvlJc w:val="left"/>
      <w:pPr>
        <w:ind w:left="5760" w:hanging="360"/>
      </w:pPr>
    </w:lvl>
    <w:lvl w:ilvl="8" w:tplc="8D7A12C0" w:tentative="1">
      <w:start w:val="1"/>
      <w:numFmt w:val="lowerRoman"/>
      <w:lvlText w:val="%9."/>
      <w:lvlJc w:val="right"/>
      <w:pPr>
        <w:ind w:left="6480" w:hanging="180"/>
      </w:pPr>
    </w:lvl>
  </w:abstractNum>
  <w:abstractNum w:abstractNumId="6" w15:restartNumberingAfterBreak="0">
    <w:nsid w:val="0A1D2A07"/>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BD101A2"/>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0CB35B6C"/>
    <w:multiLevelType w:val="hybridMultilevel"/>
    <w:tmpl w:val="F5BE26C8"/>
    <w:lvl w:ilvl="0" w:tplc="691CB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623CC7"/>
    <w:multiLevelType w:val="hybridMultilevel"/>
    <w:tmpl w:val="C032DC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69E57C7"/>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1A415D41"/>
    <w:multiLevelType w:val="hybridMultilevel"/>
    <w:tmpl w:val="4AA88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ACE1170"/>
    <w:multiLevelType w:val="hybridMultilevel"/>
    <w:tmpl w:val="3EB2C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1D417D71"/>
    <w:multiLevelType w:val="hybridMultilevel"/>
    <w:tmpl w:val="7972822C"/>
    <w:lvl w:ilvl="0" w:tplc="353481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1090B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6" w15:restartNumberingAfterBreak="0">
    <w:nsid w:val="21601B6B"/>
    <w:multiLevelType w:val="hybridMultilevel"/>
    <w:tmpl w:val="CC00CFE8"/>
    <w:lvl w:ilvl="0" w:tplc="6882CECE">
      <w:start w:val="1"/>
      <w:numFmt w:val="decimal"/>
      <w:lvlText w:val="%1."/>
      <w:lvlJc w:val="left"/>
      <w:pPr>
        <w:ind w:left="1229"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3744E90"/>
    <w:multiLevelType w:val="hybridMultilevel"/>
    <w:tmpl w:val="2F6810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6C75677"/>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9" w15:restartNumberingAfterBreak="0">
    <w:nsid w:val="2A332CD1"/>
    <w:multiLevelType w:val="hybridMultilevel"/>
    <w:tmpl w:val="EE34E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3A56F7C"/>
    <w:multiLevelType w:val="hybridMultilevel"/>
    <w:tmpl w:val="73DE7F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61E48E0"/>
    <w:multiLevelType w:val="hybridMultilevel"/>
    <w:tmpl w:val="59EAE9D6"/>
    <w:lvl w:ilvl="0" w:tplc="11789BB0">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8276CBD"/>
    <w:multiLevelType w:val="hybridMultilevel"/>
    <w:tmpl w:val="B8F8870C"/>
    <w:lvl w:ilvl="0" w:tplc="F26A5BF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0750CBB"/>
    <w:multiLevelType w:val="multilevel"/>
    <w:tmpl w:val="83A280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3A551FF"/>
    <w:multiLevelType w:val="hybridMultilevel"/>
    <w:tmpl w:val="426EE106"/>
    <w:lvl w:ilvl="0" w:tplc="EB7A36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3FA1629"/>
    <w:multiLevelType w:val="hybridMultilevel"/>
    <w:tmpl w:val="CF2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6971C0"/>
    <w:multiLevelType w:val="hybridMultilevel"/>
    <w:tmpl w:val="6B16BF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FF29DC"/>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30" w15:restartNumberingAfterBreak="0">
    <w:nsid w:val="4FCD3F19"/>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2C81121"/>
    <w:multiLevelType w:val="hybridMultilevel"/>
    <w:tmpl w:val="32F2C444"/>
    <w:lvl w:ilvl="0" w:tplc="04260001">
      <w:start w:val="1"/>
      <w:numFmt w:val="bullet"/>
      <w:lvlText w:val=""/>
      <w:lvlJc w:val="left"/>
      <w:pPr>
        <w:ind w:left="615" w:hanging="360"/>
      </w:pPr>
      <w:rPr>
        <w:rFonts w:ascii="Symbol" w:hAnsi="Symbol"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32" w15:restartNumberingAfterBreak="0">
    <w:nsid w:val="60B37DA5"/>
    <w:multiLevelType w:val="hybridMultilevel"/>
    <w:tmpl w:val="8C0660D6"/>
    <w:lvl w:ilvl="0" w:tplc="60C008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DA59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34" w15:restartNumberingAfterBreak="0">
    <w:nsid w:val="669D695E"/>
    <w:multiLevelType w:val="hybridMultilevel"/>
    <w:tmpl w:val="97A8A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323EC2"/>
    <w:multiLevelType w:val="hybridMultilevel"/>
    <w:tmpl w:val="9D0C5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0821DC"/>
    <w:multiLevelType w:val="hybridMultilevel"/>
    <w:tmpl w:val="29AE5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4872A2"/>
    <w:multiLevelType w:val="hybridMultilevel"/>
    <w:tmpl w:val="2B9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43A59"/>
    <w:multiLevelType w:val="hybridMultilevel"/>
    <w:tmpl w:val="9D206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863CE9"/>
    <w:multiLevelType w:val="hybridMultilevel"/>
    <w:tmpl w:val="3DE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2B53E1"/>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1" w15:restartNumberingAfterBreak="0">
    <w:nsid w:val="7FB94243"/>
    <w:multiLevelType w:val="hybridMultilevel"/>
    <w:tmpl w:val="6B9EE4B0"/>
    <w:lvl w:ilvl="0" w:tplc="278C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1"/>
  </w:num>
  <w:num w:numId="3">
    <w:abstractNumId w:val="16"/>
  </w:num>
  <w:num w:numId="4">
    <w:abstractNumId w:val="13"/>
  </w:num>
  <w:num w:numId="5">
    <w:abstractNumId w:val="15"/>
  </w:num>
  <w:num w:numId="6">
    <w:abstractNumId w:val="18"/>
  </w:num>
  <w:num w:numId="7">
    <w:abstractNumId w:val="33"/>
  </w:num>
  <w:num w:numId="8">
    <w:abstractNumId w:val="29"/>
  </w:num>
  <w:num w:numId="9">
    <w:abstractNumId w:val="27"/>
  </w:num>
  <w:num w:numId="10">
    <w:abstractNumId w:val="39"/>
  </w:num>
  <w:num w:numId="11">
    <w:abstractNumId w:val="30"/>
  </w:num>
  <w:num w:numId="12">
    <w:abstractNumId w:val="6"/>
  </w:num>
  <w:num w:numId="13">
    <w:abstractNumId w:val="7"/>
  </w:num>
  <w:num w:numId="14">
    <w:abstractNumId w:val="20"/>
  </w:num>
  <w:num w:numId="15">
    <w:abstractNumId w:val="34"/>
  </w:num>
  <w:num w:numId="16">
    <w:abstractNumId w:val="35"/>
  </w:num>
  <w:num w:numId="17">
    <w:abstractNumId w:val="25"/>
  </w:num>
  <w:num w:numId="18">
    <w:abstractNumId w:val="9"/>
  </w:num>
  <w:num w:numId="19">
    <w:abstractNumId w:val="3"/>
  </w:num>
  <w:num w:numId="20">
    <w:abstractNumId w:val="26"/>
  </w:num>
  <w:num w:numId="21">
    <w:abstractNumId w:val="17"/>
  </w:num>
  <w:num w:numId="22">
    <w:abstractNumId w:val="4"/>
  </w:num>
  <w:num w:numId="23">
    <w:abstractNumId w:val="23"/>
  </w:num>
  <w:num w:numId="24">
    <w:abstractNumId w:val="37"/>
  </w:num>
  <w:num w:numId="25">
    <w:abstractNumId w:val="40"/>
  </w:num>
  <w:num w:numId="26">
    <w:abstractNumId w:val="11"/>
  </w:num>
  <w:num w:numId="27">
    <w:abstractNumId w:val="14"/>
  </w:num>
  <w:num w:numId="28">
    <w:abstractNumId w:val="32"/>
  </w:num>
  <w:num w:numId="29">
    <w:abstractNumId w:val="41"/>
  </w:num>
  <w:num w:numId="30">
    <w:abstractNumId w:va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6"/>
  </w:num>
  <w:num w:numId="34">
    <w:abstractNumId w:val="38"/>
  </w:num>
  <w:num w:numId="35">
    <w:abstractNumId w:val="19"/>
  </w:num>
  <w:num w:numId="36">
    <w:abstractNumId w:val="0"/>
  </w:num>
  <w:num w:numId="37">
    <w:abstractNumId w:val="10"/>
  </w:num>
  <w:num w:numId="38">
    <w:abstractNumId w:val="28"/>
  </w:num>
  <w:num w:numId="39">
    <w:abstractNumId w:val="21"/>
  </w:num>
  <w:num w:numId="40">
    <w:abstractNumId w:val="22"/>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0D"/>
    <w:rsid w:val="000002B2"/>
    <w:rsid w:val="000003EF"/>
    <w:rsid w:val="000004ED"/>
    <w:rsid w:val="000022B3"/>
    <w:rsid w:val="0000247B"/>
    <w:rsid w:val="00002D25"/>
    <w:rsid w:val="0000334C"/>
    <w:rsid w:val="0000737C"/>
    <w:rsid w:val="00011BC3"/>
    <w:rsid w:val="0001358B"/>
    <w:rsid w:val="00013BBB"/>
    <w:rsid w:val="0001511B"/>
    <w:rsid w:val="00015C2A"/>
    <w:rsid w:val="000171C9"/>
    <w:rsid w:val="000238F6"/>
    <w:rsid w:val="0002790F"/>
    <w:rsid w:val="0003056D"/>
    <w:rsid w:val="00030E76"/>
    <w:rsid w:val="00034A17"/>
    <w:rsid w:val="00034FE1"/>
    <w:rsid w:val="00043A1B"/>
    <w:rsid w:val="000465E2"/>
    <w:rsid w:val="000500DF"/>
    <w:rsid w:val="00052ED0"/>
    <w:rsid w:val="000548C4"/>
    <w:rsid w:val="00057B1A"/>
    <w:rsid w:val="000641BD"/>
    <w:rsid w:val="00066218"/>
    <w:rsid w:val="0006657F"/>
    <w:rsid w:val="000730F7"/>
    <w:rsid w:val="00075E2A"/>
    <w:rsid w:val="000772B0"/>
    <w:rsid w:val="00077CB6"/>
    <w:rsid w:val="000821E8"/>
    <w:rsid w:val="000842ED"/>
    <w:rsid w:val="0009188D"/>
    <w:rsid w:val="00093DA3"/>
    <w:rsid w:val="00094256"/>
    <w:rsid w:val="00094643"/>
    <w:rsid w:val="00095ED8"/>
    <w:rsid w:val="000973FD"/>
    <w:rsid w:val="00097AF6"/>
    <w:rsid w:val="000A627A"/>
    <w:rsid w:val="000B177E"/>
    <w:rsid w:val="000B3056"/>
    <w:rsid w:val="000B39F8"/>
    <w:rsid w:val="000B41AB"/>
    <w:rsid w:val="000C0679"/>
    <w:rsid w:val="000C0E95"/>
    <w:rsid w:val="000C1811"/>
    <w:rsid w:val="000C3555"/>
    <w:rsid w:val="000C53EA"/>
    <w:rsid w:val="000C5DB4"/>
    <w:rsid w:val="000C69B2"/>
    <w:rsid w:val="000C75CD"/>
    <w:rsid w:val="000C7CDF"/>
    <w:rsid w:val="000D05E4"/>
    <w:rsid w:val="000D145A"/>
    <w:rsid w:val="000D2026"/>
    <w:rsid w:val="000D46EF"/>
    <w:rsid w:val="000E045E"/>
    <w:rsid w:val="000E13D2"/>
    <w:rsid w:val="000E4893"/>
    <w:rsid w:val="000F1449"/>
    <w:rsid w:val="000F6AB0"/>
    <w:rsid w:val="000F73A4"/>
    <w:rsid w:val="001012A2"/>
    <w:rsid w:val="00101444"/>
    <w:rsid w:val="00104290"/>
    <w:rsid w:val="0010625D"/>
    <w:rsid w:val="0010626A"/>
    <w:rsid w:val="001069E5"/>
    <w:rsid w:val="00110181"/>
    <w:rsid w:val="00112DD0"/>
    <w:rsid w:val="00116374"/>
    <w:rsid w:val="00117401"/>
    <w:rsid w:val="00120230"/>
    <w:rsid w:val="0012130D"/>
    <w:rsid w:val="00121EE0"/>
    <w:rsid w:val="001252ED"/>
    <w:rsid w:val="00126957"/>
    <w:rsid w:val="001314D8"/>
    <w:rsid w:val="00132463"/>
    <w:rsid w:val="00134515"/>
    <w:rsid w:val="0013559F"/>
    <w:rsid w:val="00142FAF"/>
    <w:rsid w:val="00147E10"/>
    <w:rsid w:val="00153371"/>
    <w:rsid w:val="0015467F"/>
    <w:rsid w:val="00155A21"/>
    <w:rsid w:val="00155E02"/>
    <w:rsid w:val="00157264"/>
    <w:rsid w:val="00157636"/>
    <w:rsid w:val="00157DEF"/>
    <w:rsid w:val="001611F9"/>
    <w:rsid w:val="00161F79"/>
    <w:rsid w:val="001622D4"/>
    <w:rsid w:val="00163D78"/>
    <w:rsid w:val="00165EAD"/>
    <w:rsid w:val="00165F89"/>
    <w:rsid w:val="00170E30"/>
    <w:rsid w:val="00171C8E"/>
    <w:rsid w:val="00172AD0"/>
    <w:rsid w:val="00180782"/>
    <w:rsid w:val="00183296"/>
    <w:rsid w:val="00187833"/>
    <w:rsid w:val="00187EC5"/>
    <w:rsid w:val="00194423"/>
    <w:rsid w:val="00195BF9"/>
    <w:rsid w:val="001970B3"/>
    <w:rsid w:val="001A6A0B"/>
    <w:rsid w:val="001A77EA"/>
    <w:rsid w:val="001B18DD"/>
    <w:rsid w:val="001B7935"/>
    <w:rsid w:val="001C0D4C"/>
    <w:rsid w:val="001C207B"/>
    <w:rsid w:val="001C2D3E"/>
    <w:rsid w:val="001C472A"/>
    <w:rsid w:val="001C51D6"/>
    <w:rsid w:val="001D125B"/>
    <w:rsid w:val="001D24F7"/>
    <w:rsid w:val="001D309F"/>
    <w:rsid w:val="001D5CE3"/>
    <w:rsid w:val="001D5E15"/>
    <w:rsid w:val="001D60DD"/>
    <w:rsid w:val="001E0EE3"/>
    <w:rsid w:val="001E24CC"/>
    <w:rsid w:val="001E298C"/>
    <w:rsid w:val="001E694A"/>
    <w:rsid w:val="001F2B38"/>
    <w:rsid w:val="001F32DE"/>
    <w:rsid w:val="001F4179"/>
    <w:rsid w:val="001F43DF"/>
    <w:rsid w:val="00200A5D"/>
    <w:rsid w:val="0020252E"/>
    <w:rsid w:val="00202D83"/>
    <w:rsid w:val="00204673"/>
    <w:rsid w:val="00206CA7"/>
    <w:rsid w:val="0021066D"/>
    <w:rsid w:val="0021407D"/>
    <w:rsid w:val="00223F70"/>
    <w:rsid w:val="0022412D"/>
    <w:rsid w:val="00226CD8"/>
    <w:rsid w:val="00227E94"/>
    <w:rsid w:val="002305D6"/>
    <w:rsid w:val="00230B96"/>
    <w:rsid w:val="0023534F"/>
    <w:rsid w:val="00237FA2"/>
    <w:rsid w:val="00240525"/>
    <w:rsid w:val="00241B6F"/>
    <w:rsid w:val="00242A24"/>
    <w:rsid w:val="00243D6D"/>
    <w:rsid w:val="0024577C"/>
    <w:rsid w:val="00245FF7"/>
    <w:rsid w:val="0025027C"/>
    <w:rsid w:val="00251CFB"/>
    <w:rsid w:val="00254A6F"/>
    <w:rsid w:val="00255D46"/>
    <w:rsid w:val="00257372"/>
    <w:rsid w:val="00261C20"/>
    <w:rsid w:val="002638D2"/>
    <w:rsid w:val="002656E9"/>
    <w:rsid w:val="002657FC"/>
    <w:rsid w:val="00266035"/>
    <w:rsid w:val="0027015B"/>
    <w:rsid w:val="00270735"/>
    <w:rsid w:val="00273735"/>
    <w:rsid w:val="002771C1"/>
    <w:rsid w:val="00277239"/>
    <w:rsid w:val="0028527C"/>
    <w:rsid w:val="002917C6"/>
    <w:rsid w:val="00292568"/>
    <w:rsid w:val="00295AC3"/>
    <w:rsid w:val="00297A75"/>
    <w:rsid w:val="00297E99"/>
    <w:rsid w:val="002A1826"/>
    <w:rsid w:val="002A2CEB"/>
    <w:rsid w:val="002A3700"/>
    <w:rsid w:val="002A3916"/>
    <w:rsid w:val="002A6BA1"/>
    <w:rsid w:val="002B00CD"/>
    <w:rsid w:val="002B1886"/>
    <w:rsid w:val="002B4C29"/>
    <w:rsid w:val="002B7EEF"/>
    <w:rsid w:val="002B7F99"/>
    <w:rsid w:val="002C0C98"/>
    <w:rsid w:val="002C20A8"/>
    <w:rsid w:val="002C4175"/>
    <w:rsid w:val="002C5088"/>
    <w:rsid w:val="002D04D4"/>
    <w:rsid w:val="002D0640"/>
    <w:rsid w:val="002D0677"/>
    <w:rsid w:val="002D0A2F"/>
    <w:rsid w:val="002D17AF"/>
    <w:rsid w:val="002D1801"/>
    <w:rsid w:val="002D28F5"/>
    <w:rsid w:val="002D7B70"/>
    <w:rsid w:val="002E0A9B"/>
    <w:rsid w:val="002E15DE"/>
    <w:rsid w:val="002E6464"/>
    <w:rsid w:val="002E778F"/>
    <w:rsid w:val="002F02A0"/>
    <w:rsid w:val="002F17C4"/>
    <w:rsid w:val="002F3A35"/>
    <w:rsid w:val="00300946"/>
    <w:rsid w:val="00300F94"/>
    <w:rsid w:val="003010E3"/>
    <w:rsid w:val="003027F3"/>
    <w:rsid w:val="0030622B"/>
    <w:rsid w:val="00311AC1"/>
    <w:rsid w:val="003126DC"/>
    <w:rsid w:val="00312F30"/>
    <w:rsid w:val="003168BA"/>
    <w:rsid w:val="00324244"/>
    <w:rsid w:val="003254BC"/>
    <w:rsid w:val="00325DAC"/>
    <w:rsid w:val="0032749D"/>
    <w:rsid w:val="003277A1"/>
    <w:rsid w:val="003322BC"/>
    <w:rsid w:val="00334A08"/>
    <w:rsid w:val="00336A85"/>
    <w:rsid w:val="00336F83"/>
    <w:rsid w:val="0033772C"/>
    <w:rsid w:val="003406DB"/>
    <w:rsid w:val="00341B7C"/>
    <w:rsid w:val="00343575"/>
    <w:rsid w:val="003451CF"/>
    <w:rsid w:val="003532EF"/>
    <w:rsid w:val="003550CA"/>
    <w:rsid w:val="00355937"/>
    <w:rsid w:val="00361C5A"/>
    <w:rsid w:val="00362711"/>
    <w:rsid w:val="003627EE"/>
    <w:rsid w:val="003649D6"/>
    <w:rsid w:val="0037270D"/>
    <w:rsid w:val="003745B2"/>
    <w:rsid w:val="003749DC"/>
    <w:rsid w:val="00374A9F"/>
    <w:rsid w:val="00377C93"/>
    <w:rsid w:val="00381B8C"/>
    <w:rsid w:val="00383899"/>
    <w:rsid w:val="00385688"/>
    <w:rsid w:val="003A1455"/>
    <w:rsid w:val="003A1A36"/>
    <w:rsid w:val="003A25A7"/>
    <w:rsid w:val="003A2C95"/>
    <w:rsid w:val="003A413C"/>
    <w:rsid w:val="003A5046"/>
    <w:rsid w:val="003A6C08"/>
    <w:rsid w:val="003A702D"/>
    <w:rsid w:val="003B149C"/>
    <w:rsid w:val="003B1AAB"/>
    <w:rsid w:val="003B2E4A"/>
    <w:rsid w:val="003B4249"/>
    <w:rsid w:val="003B4C29"/>
    <w:rsid w:val="003C1862"/>
    <w:rsid w:val="003C2300"/>
    <w:rsid w:val="003C2846"/>
    <w:rsid w:val="003C2C35"/>
    <w:rsid w:val="003C517A"/>
    <w:rsid w:val="003D2ABD"/>
    <w:rsid w:val="003D2F6B"/>
    <w:rsid w:val="003D3125"/>
    <w:rsid w:val="003D6CA8"/>
    <w:rsid w:val="003F6B0E"/>
    <w:rsid w:val="0040573B"/>
    <w:rsid w:val="00405756"/>
    <w:rsid w:val="00412BF7"/>
    <w:rsid w:val="00414150"/>
    <w:rsid w:val="00414E6B"/>
    <w:rsid w:val="00415D69"/>
    <w:rsid w:val="00416CB0"/>
    <w:rsid w:val="0042293E"/>
    <w:rsid w:val="00422DF1"/>
    <w:rsid w:val="00426C89"/>
    <w:rsid w:val="00441CCE"/>
    <w:rsid w:val="00442194"/>
    <w:rsid w:val="00442A32"/>
    <w:rsid w:val="00445D72"/>
    <w:rsid w:val="00445FFD"/>
    <w:rsid w:val="004503C0"/>
    <w:rsid w:val="004506D7"/>
    <w:rsid w:val="00451C44"/>
    <w:rsid w:val="00453546"/>
    <w:rsid w:val="00453C82"/>
    <w:rsid w:val="00456356"/>
    <w:rsid w:val="0045748F"/>
    <w:rsid w:val="0046026E"/>
    <w:rsid w:val="0046253B"/>
    <w:rsid w:val="00463031"/>
    <w:rsid w:val="004647C1"/>
    <w:rsid w:val="00465C3F"/>
    <w:rsid w:val="00467C60"/>
    <w:rsid w:val="0047075F"/>
    <w:rsid w:val="004752BE"/>
    <w:rsid w:val="00476555"/>
    <w:rsid w:val="00480E8B"/>
    <w:rsid w:val="00483987"/>
    <w:rsid w:val="004840FA"/>
    <w:rsid w:val="00484CA6"/>
    <w:rsid w:val="004926D2"/>
    <w:rsid w:val="00493EB3"/>
    <w:rsid w:val="004B1732"/>
    <w:rsid w:val="004B3796"/>
    <w:rsid w:val="004B5F37"/>
    <w:rsid w:val="004B740D"/>
    <w:rsid w:val="004C229F"/>
    <w:rsid w:val="004C2BF0"/>
    <w:rsid w:val="004C3ED1"/>
    <w:rsid w:val="004C6DCE"/>
    <w:rsid w:val="004D02E3"/>
    <w:rsid w:val="004D29C0"/>
    <w:rsid w:val="004D49DE"/>
    <w:rsid w:val="004D5AB8"/>
    <w:rsid w:val="004D7C81"/>
    <w:rsid w:val="004E3C69"/>
    <w:rsid w:val="004E5B3C"/>
    <w:rsid w:val="004E677D"/>
    <w:rsid w:val="004E6CA1"/>
    <w:rsid w:val="004F0F5B"/>
    <w:rsid w:val="004F11C0"/>
    <w:rsid w:val="004F5811"/>
    <w:rsid w:val="004F5AE4"/>
    <w:rsid w:val="004F6B5C"/>
    <w:rsid w:val="004F7C70"/>
    <w:rsid w:val="00502D06"/>
    <w:rsid w:val="00502FA2"/>
    <w:rsid w:val="00505DF9"/>
    <w:rsid w:val="00511ACF"/>
    <w:rsid w:val="005121CD"/>
    <w:rsid w:val="00513275"/>
    <w:rsid w:val="0051503C"/>
    <w:rsid w:val="00517209"/>
    <w:rsid w:val="0052135F"/>
    <w:rsid w:val="00531BAC"/>
    <w:rsid w:val="005345C3"/>
    <w:rsid w:val="005356DA"/>
    <w:rsid w:val="005437AE"/>
    <w:rsid w:val="0054457B"/>
    <w:rsid w:val="00545FD7"/>
    <w:rsid w:val="0054735F"/>
    <w:rsid w:val="005526BE"/>
    <w:rsid w:val="005645C6"/>
    <w:rsid w:val="00567CD9"/>
    <w:rsid w:val="00571314"/>
    <w:rsid w:val="005733C3"/>
    <w:rsid w:val="00573D7B"/>
    <w:rsid w:val="005748E4"/>
    <w:rsid w:val="005749D5"/>
    <w:rsid w:val="00575C37"/>
    <w:rsid w:val="00576166"/>
    <w:rsid w:val="005765BD"/>
    <w:rsid w:val="00582903"/>
    <w:rsid w:val="00583A31"/>
    <w:rsid w:val="00585FCA"/>
    <w:rsid w:val="005903EF"/>
    <w:rsid w:val="005979C7"/>
    <w:rsid w:val="005A3494"/>
    <w:rsid w:val="005A368A"/>
    <w:rsid w:val="005A3A58"/>
    <w:rsid w:val="005A5092"/>
    <w:rsid w:val="005A5348"/>
    <w:rsid w:val="005A68AE"/>
    <w:rsid w:val="005A747D"/>
    <w:rsid w:val="005B1624"/>
    <w:rsid w:val="005B1FBC"/>
    <w:rsid w:val="005B2039"/>
    <w:rsid w:val="005B4D0D"/>
    <w:rsid w:val="005B635A"/>
    <w:rsid w:val="005C1486"/>
    <w:rsid w:val="005C3666"/>
    <w:rsid w:val="005C404E"/>
    <w:rsid w:val="005C4946"/>
    <w:rsid w:val="005D0850"/>
    <w:rsid w:val="005D1FF0"/>
    <w:rsid w:val="005D3D95"/>
    <w:rsid w:val="005D4922"/>
    <w:rsid w:val="005D4EF3"/>
    <w:rsid w:val="005E23EA"/>
    <w:rsid w:val="005E4FD1"/>
    <w:rsid w:val="005E5A14"/>
    <w:rsid w:val="005E79C6"/>
    <w:rsid w:val="005F5552"/>
    <w:rsid w:val="005F740D"/>
    <w:rsid w:val="00602886"/>
    <w:rsid w:val="006112D6"/>
    <w:rsid w:val="00611581"/>
    <w:rsid w:val="006154F5"/>
    <w:rsid w:val="0061646F"/>
    <w:rsid w:val="00617CFF"/>
    <w:rsid w:val="006215A0"/>
    <w:rsid w:val="006216D8"/>
    <w:rsid w:val="006237DD"/>
    <w:rsid w:val="00624AB6"/>
    <w:rsid w:val="0062656D"/>
    <w:rsid w:val="00627923"/>
    <w:rsid w:val="00631759"/>
    <w:rsid w:val="0063318D"/>
    <w:rsid w:val="0063548B"/>
    <w:rsid w:val="00635D50"/>
    <w:rsid w:val="006371DB"/>
    <w:rsid w:val="0064041C"/>
    <w:rsid w:val="0064189B"/>
    <w:rsid w:val="00642A0E"/>
    <w:rsid w:val="00656821"/>
    <w:rsid w:val="00657543"/>
    <w:rsid w:val="006628AB"/>
    <w:rsid w:val="0066429D"/>
    <w:rsid w:val="00667C17"/>
    <w:rsid w:val="00672E06"/>
    <w:rsid w:val="00672E1E"/>
    <w:rsid w:val="00673315"/>
    <w:rsid w:val="00677A4C"/>
    <w:rsid w:val="00680313"/>
    <w:rsid w:val="0068097A"/>
    <w:rsid w:val="00682615"/>
    <w:rsid w:val="00682861"/>
    <w:rsid w:val="00683415"/>
    <w:rsid w:val="00686868"/>
    <w:rsid w:val="006902B1"/>
    <w:rsid w:val="00690D88"/>
    <w:rsid w:val="00691795"/>
    <w:rsid w:val="0069314D"/>
    <w:rsid w:val="006938F8"/>
    <w:rsid w:val="006A351D"/>
    <w:rsid w:val="006A4A57"/>
    <w:rsid w:val="006A5B32"/>
    <w:rsid w:val="006B0301"/>
    <w:rsid w:val="006B386F"/>
    <w:rsid w:val="006B523B"/>
    <w:rsid w:val="006B601E"/>
    <w:rsid w:val="006C25BF"/>
    <w:rsid w:val="006C3034"/>
    <w:rsid w:val="006C510F"/>
    <w:rsid w:val="006C5573"/>
    <w:rsid w:val="006C678A"/>
    <w:rsid w:val="006C74B1"/>
    <w:rsid w:val="006D0875"/>
    <w:rsid w:val="006D2A76"/>
    <w:rsid w:val="006D5B4B"/>
    <w:rsid w:val="006D5BD4"/>
    <w:rsid w:val="006D6557"/>
    <w:rsid w:val="006D670B"/>
    <w:rsid w:val="006D6AD8"/>
    <w:rsid w:val="006E3161"/>
    <w:rsid w:val="006E4458"/>
    <w:rsid w:val="006E732E"/>
    <w:rsid w:val="006F021F"/>
    <w:rsid w:val="006F06C2"/>
    <w:rsid w:val="006F1B88"/>
    <w:rsid w:val="006F1BEE"/>
    <w:rsid w:val="006F45E2"/>
    <w:rsid w:val="006F55EA"/>
    <w:rsid w:val="006F610E"/>
    <w:rsid w:val="007006A1"/>
    <w:rsid w:val="00701C56"/>
    <w:rsid w:val="00702C4C"/>
    <w:rsid w:val="00706661"/>
    <w:rsid w:val="00712871"/>
    <w:rsid w:val="00714001"/>
    <w:rsid w:val="00716150"/>
    <w:rsid w:val="0071633B"/>
    <w:rsid w:val="00717F5F"/>
    <w:rsid w:val="00722AA1"/>
    <w:rsid w:val="00725370"/>
    <w:rsid w:val="00726DA7"/>
    <w:rsid w:val="00733A58"/>
    <w:rsid w:val="00734B4A"/>
    <w:rsid w:val="00735564"/>
    <w:rsid w:val="00735B15"/>
    <w:rsid w:val="00735EBB"/>
    <w:rsid w:val="007361BA"/>
    <w:rsid w:val="00737A1A"/>
    <w:rsid w:val="00737DF7"/>
    <w:rsid w:val="007412F5"/>
    <w:rsid w:val="00741E98"/>
    <w:rsid w:val="007422DA"/>
    <w:rsid w:val="00742F06"/>
    <w:rsid w:val="0074647E"/>
    <w:rsid w:val="007465F4"/>
    <w:rsid w:val="00747C9A"/>
    <w:rsid w:val="00751580"/>
    <w:rsid w:val="00752505"/>
    <w:rsid w:val="007527A8"/>
    <w:rsid w:val="00756241"/>
    <w:rsid w:val="007607BA"/>
    <w:rsid w:val="00761E94"/>
    <w:rsid w:val="00762F19"/>
    <w:rsid w:val="00767C2F"/>
    <w:rsid w:val="00767CF4"/>
    <w:rsid w:val="00772800"/>
    <w:rsid w:val="00773E1D"/>
    <w:rsid w:val="007755EB"/>
    <w:rsid w:val="007775CE"/>
    <w:rsid w:val="00777A50"/>
    <w:rsid w:val="007840C4"/>
    <w:rsid w:val="007857BA"/>
    <w:rsid w:val="00787438"/>
    <w:rsid w:val="0079107E"/>
    <w:rsid w:val="0079470C"/>
    <w:rsid w:val="007A035C"/>
    <w:rsid w:val="007A33BC"/>
    <w:rsid w:val="007A56D5"/>
    <w:rsid w:val="007A5909"/>
    <w:rsid w:val="007A64B2"/>
    <w:rsid w:val="007A710F"/>
    <w:rsid w:val="007A7741"/>
    <w:rsid w:val="007A7D7D"/>
    <w:rsid w:val="007B4AB1"/>
    <w:rsid w:val="007B651A"/>
    <w:rsid w:val="007C285C"/>
    <w:rsid w:val="007C29AA"/>
    <w:rsid w:val="007C478A"/>
    <w:rsid w:val="007D07A6"/>
    <w:rsid w:val="007D2397"/>
    <w:rsid w:val="007D2493"/>
    <w:rsid w:val="007D2A36"/>
    <w:rsid w:val="007D2FFC"/>
    <w:rsid w:val="007D55B7"/>
    <w:rsid w:val="007E1BBC"/>
    <w:rsid w:val="007E22E5"/>
    <w:rsid w:val="007E3F6A"/>
    <w:rsid w:val="007E70EC"/>
    <w:rsid w:val="007E7ED9"/>
    <w:rsid w:val="007F03A2"/>
    <w:rsid w:val="007F07CB"/>
    <w:rsid w:val="007F2CF2"/>
    <w:rsid w:val="007F2E13"/>
    <w:rsid w:val="007F6F5E"/>
    <w:rsid w:val="008019C9"/>
    <w:rsid w:val="00805F26"/>
    <w:rsid w:val="008062CA"/>
    <w:rsid w:val="008068CF"/>
    <w:rsid w:val="0080744D"/>
    <w:rsid w:val="00811BB5"/>
    <w:rsid w:val="00812098"/>
    <w:rsid w:val="00812B1D"/>
    <w:rsid w:val="008145A3"/>
    <w:rsid w:val="00815F29"/>
    <w:rsid w:val="00817069"/>
    <w:rsid w:val="0082417B"/>
    <w:rsid w:val="008276FC"/>
    <w:rsid w:val="008304AF"/>
    <w:rsid w:val="00831563"/>
    <w:rsid w:val="00836021"/>
    <w:rsid w:val="008374CB"/>
    <w:rsid w:val="00840581"/>
    <w:rsid w:val="008429A0"/>
    <w:rsid w:val="008434B4"/>
    <w:rsid w:val="00843930"/>
    <w:rsid w:val="00846A1C"/>
    <w:rsid w:val="008568DE"/>
    <w:rsid w:val="0086052F"/>
    <w:rsid w:val="00860612"/>
    <w:rsid w:val="00860D6E"/>
    <w:rsid w:val="00862651"/>
    <w:rsid w:val="00862F9E"/>
    <w:rsid w:val="0086318D"/>
    <w:rsid w:val="00863B5F"/>
    <w:rsid w:val="00863C5B"/>
    <w:rsid w:val="0086534C"/>
    <w:rsid w:val="0086633F"/>
    <w:rsid w:val="008666F2"/>
    <w:rsid w:val="00872869"/>
    <w:rsid w:val="00875799"/>
    <w:rsid w:val="00877120"/>
    <w:rsid w:val="008772FE"/>
    <w:rsid w:val="00877BA0"/>
    <w:rsid w:val="00877C88"/>
    <w:rsid w:val="00881402"/>
    <w:rsid w:val="008814D2"/>
    <w:rsid w:val="008814E8"/>
    <w:rsid w:val="00882F49"/>
    <w:rsid w:val="008839B8"/>
    <w:rsid w:val="00887399"/>
    <w:rsid w:val="00887EA7"/>
    <w:rsid w:val="00891F1D"/>
    <w:rsid w:val="00893978"/>
    <w:rsid w:val="008A0C52"/>
    <w:rsid w:val="008A1210"/>
    <w:rsid w:val="008A2329"/>
    <w:rsid w:val="008A2C7A"/>
    <w:rsid w:val="008A3F69"/>
    <w:rsid w:val="008A4ADF"/>
    <w:rsid w:val="008A73DF"/>
    <w:rsid w:val="008A7A74"/>
    <w:rsid w:val="008B4321"/>
    <w:rsid w:val="008B436B"/>
    <w:rsid w:val="008B4474"/>
    <w:rsid w:val="008B64B7"/>
    <w:rsid w:val="008B6932"/>
    <w:rsid w:val="008C7930"/>
    <w:rsid w:val="008D1727"/>
    <w:rsid w:val="008D4DE7"/>
    <w:rsid w:val="008D6538"/>
    <w:rsid w:val="008D65FA"/>
    <w:rsid w:val="008D6681"/>
    <w:rsid w:val="008D738D"/>
    <w:rsid w:val="008E047D"/>
    <w:rsid w:val="008E1BBF"/>
    <w:rsid w:val="008E4740"/>
    <w:rsid w:val="008E5857"/>
    <w:rsid w:val="008F0109"/>
    <w:rsid w:val="008F0A02"/>
    <w:rsid w:val="008F2A0D"/>
    <w:rsid w:val="008F2C67"/>
    <w:rsid w:val="008F4038"/>
    <w:rsid w:val="008F5EE7"/>
    <w:rsid w:val="008F7066"/>
    <w:rsid w:val="00900101"/>
    <w:rsid w:val="00900875"/>
    <w:rsid w:val="009011AA"/>
    <w:rsid w:val="009030EC"/>
    <w:rsid w:val="00903A68"/>
    <w:rsid w:val="00903CCA"/>
    <w:rsid w:val="00903FA1"/>
    <w:rsid w:val="009062BC"/>
    <w:rsid w:val="00910C85"/>
    <w:rsid w:val="00912CA2"/>
    <w:rsid w:val="00912F67"/>
    <w:rsid w:val="00913531"/>
    <w:rsid w:val="00914887"/>
    <w:rsid w:val="00917176"/>
    <w:rsid w:val="009178B1"/>
    <w:rsid w:val="00923A39"/>
    <w:rsid w:val="00931ADE"/>
    <w:rsid w:val="00933D7B"/>
    <w:rsid w:val="00933FB7"/>
    <w:rsid w:val="009349D1"/>
    <w:rsid w:val="00935C93"/>
    <w:rsid w:val="00942578"/>
    <w:rsid w:val="0094350E"/>
    <w:rsid w:val="00943AAB"/>
    <w:rsid w:val="009443D1"/>
    <w:rsid w:val="009449D8"/>
    <w:rsid w:val="00944BF5"/>
    <w:rsid w:val="00946F7F"/>
    <w:rsid w:val="0095154D"/>
    <w:rsid w:val="0095293E"/>
    <w:rsid w:val="00955723"/>
    <w:rsid w:val="00957C8A"/>
    <w:rsid w:val="00963C0C"/>
    <w:rsid w:val="00963D56"/>
    <w:rsid w:val="00964659"/>
    <w:rsid w:val="00967300"/>
    <w:rsid w:val="00971F62"/>
    <w:rsid w:val="00973474"/>
    <w:rsid w:val="009740FC"/>
    <w:rsid w:val="00974EB7"/>
    <w:rsid w:val="00976112"/>
    <w:rsid w:val="009769AA"/>
    <w:rsid w:val="009774CE"/>
    <w:rsid w:val="00980CFB"/>
    <w:rsid w:val="009856BD"/>
    <w:rsid w:val="009864E7"/>
    <w:rsid w:val="00990DF9"/>
    <w:rsid w:val="00991801"/>
    <w:rsid w:val="0099332C"/>
    <w:rsid w:val="009944E7"/>
    <w:rsid w:val="00995383"/>
    <w:rsid w:val="00997091"/>
    <w:rsid w:val="009A1181"/>
    <w:rsid w:val="009A1CE7"/>
    <w:rsid w:val="009A25D2"/>
    <w:rsid w:val="009A3BA6"/>
    <w:rsid w:val="009A488A"/>
    <w:rsid w:val="009B22E4"/>
    <w:rsid w:val="009B39EB"/>
    <w:rsid w:val="009B4D69"/>
    <w:rsid w:val="009C04FD"/>
    <w:rsid w:val="009C3D45"/>
    <w:rsid w:val="009C3E0F"/>
    <w:rsid w:val="009C7B5F"/>
    <w:rsid w:val="009D2C2A"/>
    <w:rsid w:val="009D5A76"/>
    <w:rsid w:val="009D6065"/>
    <w:rsid w:val="009E3DC8"/>
    <w:rsid w:val="009F16E4"/>
    <w:rsid w:val="009F3BDC"/>
    <w:rsid w:val="009F3E2C"/>
    <w:rsid w:val="009F6F31"/>
    <w:rsid w:val="00A00B79"/>
    <w:rsid w:val="00A00FE1"/>
    <w:rsid w:val="00A01256"/>
    <w:rsid w:val="00A01BEA"/>
    <w:rsid w:val="00A01F9A"/>
    <w:rsid w:val="00A024A3"/>
    <w:rsid w:val="00A04166"/>
    <w:rsid w:val="00A07619"/>
    <w:rsid w:val="00A10911"/>
    <w:rsid w:val="00A1098C"/>
    <w:rsid w:val="00A13ACE"/>
    <w:rsid w:val="00A164A4"/>
    <w:rsid w:val="00A175B3"/>
    <w:rsid w:val="00A23DBB"/>
    <w:rsid w:val="00A31707"/>
    <w:rsid w:val="00A37099"/>
    <w:rsid w:val="00A40C35"/>
    <w:rsid w:val="00A44A9A"/>
    <w:rsid w:val="00A46B42"/>
    <w:rsid w:val="00A50BE4"/>
    <w:rsid w:val="00A50CFD"/>
    <w:rsid w:val="00A51811"/>
    <w:rsid w:val="00A569A0"/>
    <w:rsid w:val="00A6562E"/>
    <w:rsid w:val="00A71763"/>
    <w:rsid w:val="00A75789"/>
    <w:rsid w:val="00A76A0D"/>
    <w:rsid w:val="00A80062"/>
    <w:rsid w:val="00A82DBB"/>
    <w:rsid w:val="00A84D93"/>
    <w:rsid w:val="00A86425"/>
    <w:rsid w:val="00A868A3"/>
    <w:rsid w:val="00A91909"/>
    <w:rsid w:val="00A941D0"/>
    <w:rsid w:val="00A9524F"/>
    <w:rsid w:val="00A953E9"/>
    <w:rsid w:val="00A9632D"/>
    <w:rsid w:val="00AA0C27"/>
    <w:rsid w:val="00AA2E84"/>
    <w:rsid w:val="00AA62C6"/>
    <w:rsid w:val="00AB5951"/>
    <w:rsid w:val="00AC04F8"/>
    <w:rsid w:val="00AC2873"/>
    <w:rsid w:val="00AC4E0C"/>
    <w:rsid w:val="00AC524F"/>
    <w:rsid w:val="00AC6D5B"/>
    <w:rsid w:val="00AC7307"/>
    <w:rsid w:val="00AD0D63"/>
    <w:rsid w:val="00AD4320"/>
    <w:rsid w:val="00AD43EE"/>
    <w:rsid w:val="00AD7C12"/>
    <w:rsid w:val="00AE535B"/>
    <w:rsid w:val="00AE739D"/>
    <w:rsid w:val="00AF410F"/>
    <w:rsid w:val="00AF431A"/>
    <w:rsid w:val="00AF5CC0"/>
    <w:rsid w:val="00AF702B"/>
    <w:rsid w:val="00AF76D6"/>
    <w:rsid w:val="00B005DD"/>
    <w:rsid w:val="00B006A3"/>
    <w:rsid w:val="00B02570"/>
    <w:rsid w:val="00B03CD1"/>
    <w:rsid w:val="00B05739"/>
    <w:rsid w:val="00B058C8"/>
    <w:rsid w:val="00B05D64"/>
    <w:rsid w:val="00B06462"/>
    <w:rsid w:val="00B10BE9"/>
    <w:rsid w:val="00B12893"/>
    <w:rsid w:val="00B130CC"/>
    <w:rsid w:val="00B142FC"/>
    <w:rsid w:val="00B146E7"/>
    <w:rsid w:val="00B167D6"/>
    <w:rsid w:val="00B16A75"/>
    <w:rsid w:val="00B200C0"/>
    <w:rsid w:val="00B218DB"/>
    <w:rsid w:val="00B221DA"/>
    <w:rsid w:val="00B232A6"/>
    <w:rsid w:val="00B257B1"/>
    <w:rsid w:val="00B2593E"/>
    <w:rsid w:val="00B27D36"/>
    <w:rsid w:val="00B303F4"/>
    <w:rsid w:val="00B33DB1"/>
    <w:rsid w:val="00B33E12"/>
    <w:rsid w:val="00B33E27"/>
    <w:rsid w:val="00B34166"/>
    <w:rsid w:val="00B34551"/>
    <w:rsid w:val="00B34BF4"/>
    <w:rsid w:val="00B3577A"/>
    <w:rsid w:val="00B35FF7"/>
    <w:rsid w:val="00B40162"/>
    <w:rsid w:val="00B47477"/>
    <w:rsid w:val="00B474EC"/>
    <w:rsid w:val="00B47DB2"/>
    <w:rsid w:val="00B50072"/>
    <w:rsid w:val="00B50374"/>
    <w:rsid w:val="00B51A7C"/>
    <w:rsid w:val="00B60BEF"/>
    <w:rsid w:val="00B6257C"/>
    <w:rsid w:val="00B636A9"/>
    <w:rsid w:val="00B67BAE"/>
    <w:rsid w:val="00B71D71"/>
    <w:rsid w:val="00B741B9"/>
    <w:rsid w:val="00B75EDF"/>
    <w:rsid w:val="00B83B5F"/>
    <w:rsid w:val="00B875BB"/>
    <w:rsid w:val="00B90BFD"/>
    <w:rsid w:val="00B91CF0"/>
    <w:rsid w:val="00B94A57"/>
    <w:rsid w:val="00B95A7E"/>
    <w:rsid w:val="00BA02DF"/>
    <w:rsid w:val="00BA5845"/>
    <w:rsid w:val="00BB19DB"/>
    <w:rsid w:val="00BC0839"/>
    <w:rsid w:val="00BC180E"/>
    <w:rsid w:val="00BC7460"/>
    <w:rsid w:val="00BD26D0"/>
    <w:rsid w:val="00BD2A2C"/>
    <w:rsid w:val="00BD50BF"/>
    <w:rsid w:val="00BD72DC"/>
    <w:rsid w:val="00BE42E2"/>
    <w:rsid w:val="00BE6886"/>
    <w:rsid w:val="00BE7683"/>
    <w:rsid w:val="00BE7A72"/>
    <w:rsid w:val="00BF1E51"/>
    <w:rsid w:val="00BF3EEE"/>
    <w:rsid w:val="00BF4201"/>
    <w:rsid w:val="00BF4C0F"/>
    <w:rsid w:val="00BF550C"/>
    <w:rsid w:val="00BF677F"/>
    <w:rsid w:val="00BF7AD7"/>
    <w:rsid w:val="00C06BFB"/>
    <w:rsid w:val="00C10888"/>
    <w:rsid w:val="00C111EB"/>
    <w:rsid w:val="00C166A5"/>
    <w:rsid w:val="00C17443"/>
    <w:rsid w:val="00C213E5"/>
    <w:rsid w:val="00C31499"/>
    <w:rsid w:val="00C3771F"/>
    <w:rsid w:val="00C409CC"/>
    <w:rsid w:val="00C40E92"/>
    <w:rsid w:val="00C41462"/>
    <w:rsid w:val="00C41C5E"/>
    <w:rsid w:val="00C425A8"/>
    <w:rsid w:val="00C43C30"/>
    <w:rsid w:val="00C452C0"/>
    <w:rsid w:val="00C520D5"/>
    <w:rsid w:val="00C52441"/>
    <w:rsid w:val="00C5429C"/>
    <w:rsid w:val="00C55F80"/>
    <w:rsid w:val="00C56261"/>
    <w:rsid w:val="00C609B6"/>
    <w:rsid w:val="00C6285E"/>
    <w:rsid w:val="00C65A60"/>
    <w:rsid w:val="00C665FF"/>
    <w:rsid w:val="00C668DC"/>
    <w:rsid w:val="00C81BC5"/>
    <w:rsid w:val="00C821B4"/>
    <w:rsid w:val="00C83CA2"/>
    <w:rsid w:val="00C83DFF"/>
    <w:rsid w:val="00C90E71"/>
    <w:rsid w:val="00C94E34"/>
    <w:rsid w:val="00C95E7C"/>
    <w:rsid w:val="00C968F3"/>
    <w:rsid w:val="00CA197F"/>
    <w:rsid w:val="00CA2C08"/>
    <w:rsid w:val="00CA2CE1"/>
    <w:rsid w:val="00CA3F9F"/>
    <w:rsid w:val="00CA4309"/>
    <w:rsid w:val="00CA6544"/>
    <w:rsid w:val="00CA6BDA"/>
    <w:rsid w:val="00CA6F81"/>
    <w:rsid w:val="00CB00CA"/>
    <w:rsid w:val="00CB04E8"/>
    <w:rsid w:val="00CB1825"/>
    <w:rsid w:val="00CB19B6"/>
    <w:rsid w:val="00CB2719"/>
    <w:rsid w:val="00CB38E3"/>
    <w:rsid w:val="00CB47E4"/>
    <w:rsid w:val="00CC4DEB"/>
    <w:rsid w:val="00CD02EC"/>
    <w:rsid w:val="00CD08E3"/>
    <w:rsid w:val="00CD35EC"/>
    <w:rsid w:val="00CD76B1"/>
    <w:rsid w:val="00CD775B"/>
    <w:rsid w:val="00CD7865"/>
    <w:rsid w:val="00CE07D6"/>
    <w:rsid w:val="00CE3288"/>
    <w:rsid w:val="00CE361F"/>
    <w:rsid w:val="00CE41BC"/>
    <w:rsid w:val="00CE60A4"/>
    <w:rsid w:val="00CE699C"/>
    <w:rsid w:val="00CF2C02"/>
    <w:rsid w:val="00CF3488"/>
    <w:rsid w:val="00CF4520"/>
    <w:rsid w:val="00CF4B18"/>
    <w:rsid w:val="00CF55A1"/>
    <w:rsid w:val="00D0132C"/>
    <w:rsid w:val="00D044E9"/>
    <w:rsid w:val="00D0728B"/>
    <w:rsid w:val="00D1206B"/>
    <w:rsid w:val="00D126A6"/>
    <w:rsid w:val="00D14E78"/>
    <w:rsid w:val="00D176CC"/>
    <w:rsid w:val="00D21C17"/>
    <w:rsid w:val="00D260D6"/>
    <w:rsid w:val="00D30512"/>
    <w:rsid w:val="00D31BB3"/>
    <w:rsid w:val="00D33D09"/>
    <w:rsid w:val="00D33D7E"/>
    <w:rsid w:val="00D3519B"/>
    <w:rsid w:val="00D37E4E"/>
    <w:rsid w:val="00D400E9"/>
    <w:rsid w:val="00D418EB"/>
    <w:rsid w:val="00D5088D"/>
    <w:rsid w:val="00D51623"/>
    <w:rsid w:val="00D51799"/>
    <w:rsid w:val="00D52CBE"/>
    <w:rsid w:val="00D53668"/>
    <w:rsid w:val="00D5377B"/>
    <w:rsid w:val="00D5584A"/>
    <w:rsid w:val="00D55E37"/>
    <w:rsid w:val="00D613C6"/>
    <w:rsid w:val="00D6193C"/>
    <w:rsid w:val="00D61951"/>
    <w:rsid w:val="00D63C2D"/>
    <w:rsid w:val="00D66D20"/>
    <w:rsid w:val="00D66DC8"/>
    <w:rsid w:val="00D70D10"/>
    <w:rsid w:val="00D738B0"/>
    <w:rsid w:val="00D73B5A"/>
    <w:rsid w:val="00D745B2"/>
    <w:rsid w:val="00D74DFC"/>
    <w:rsid w:val="00D82734"/>
    <w:rsid w:val="00D83CBE"/>
    <w:rsid w:val="00D83E80"/>
    <w:rsid w:val="00D87B99"/>
    <w:rsid w:val="00D90981"/>
    <w:rsid w:val="00D97432"/>
    <w:rsid w:val="00DA07E9"/>
    <w:rsid w:val="00DA1031"/>
    <w:rsid w:val="00DA6B5E"/>
    <w:rsid w:val="00DB0642"/>
    <w:rsid w:val="00DB55F3"/>
    <w:rsid w:val="00DB6AD1"/>
    <w:rsid w:val="00DB6B68"/>
    <w:rsid w:val="00DC0ADC"/>
    <w:rsid w:val="00DC22F7"/>
    <w:rsid w:val="00DC28B8"/>
    <w:rsid w:val="00DC532A"/>
    <w:rsid w:val="00DC5920"/>
    <w:rsid w:val="00DD19FE"/>
    <w:rsid w:val="00DD450E"/>
    <w:rsid w:val="00DE062C"/>
    <w:rsid w:val="00DE0AA5"/>
    <w:rsid w:val="00DE0F32"/>
    <w:rsid w:val="00DE69DC"/>
    <w:rsid w:val="00DF0438"/>
    <w:rsid w:val="00DF2919"/>
    <w:rsid w:val="00DF37A1"/>
    <w:rsid w:val="00DF4012"/>
    <w:rsid w:val="00DF4F28"/>
    <w:rsid w:val="00DF65FF"/>
    <w:rsid w:val="00E027DE"/>
    <w:rsid w:val="00E02B85"/>
    <w:rsid w:val="00E10631"/>
    <w:rsid w:val="00E11E6C"/>
    <w:rsid w:val="00E17022"/>
    <w:rsid w:val="00E17B44"/>
    <w:rsid w:val="00E25516"/>
    <w:rsid w:val="00E34BAB"/>
    <w:rsid w:val="00E35AEF"/>
    <w:rsid w:val="00E40EFE"/>
    <w:rsid w:val="00E41A37"/>
    <w:rsid w:val="00E43347"/>
    <w:rsid w:val="00E457FF"/>
    <w:rsid w:val="00E46EBB"/>
    <w:rsid w:val="00E47C32"/>
    <w:rsid w:val="00E50FFE"/>
    <w:rsid w:val="00E51A3C"/>
    <w:rsid w:val="00E5707B"/>
    <w:rsid w:val="00E6342E"/>
    <w:rsid w:val="00E64323"/>
    <w:rsid w:val="00E64E9D"/>
    <w:rsid w:val="00E667C3"/>
    <w:rsid w:val="00E678C8"/>
    <w:rsid w:val="00E67EDB"/>
    <w:rsid w:val="00E73EBE"/>
    <w:rsid w:val="00E75B82"/>
    <w:rsid w:val="00E81273"/>
    <w:rsid w:val="00E85C74"/>
    <w:rsid w:val="00E92491"/>
    <w:rsid w:val="00E92F58"/>
    <w:rsid w:val="00E95A9C"/>
    <w:rsid w:val="00EA03B3"/>
    <w:rsid w:val="00EA1071"/>
    <w:rsid w:val="00EA5681"/>
    <w:rsid w:val="00EA62EF"/>
    <w:rsid w:val="00EA68DD"/>
    <w:rsid w:val="00EB10B8"/>
    <w:rsid w:val="00EB2E66"/>
    <w:rsid w:val="00EB7036"/>
    <w:rsid w:val="00EC049F"/>
    <w:rsid w:val="00EC1B57"/>
    <w:rsid w:val="00EC29C5"/>
    <w:rsid w:val="00EC717E"/>
    <w:rsid w:val="00EC7938"/>
    <w:rsid w:val="00ED0494"/>
    <w:rsid w:val="00ED1C37"/>
    <w:rsid w:val="00ED2059"/>
    <w:rsid w:val="00ED378A"/>
    <w:rsid w:val="00ED6853"/>
    <w:rsid w:val="00EE0AFA"/>
    <w:rsid w:val="00EE0FD3"/>
    <w:rsid w:val="00EE5001"/>
    <w:rsid w:val="00EE641E"/>
    <w:rsid w:val="00EE7246"/>
    <w:rsid w:val="00EF0ADB"/>
    <w:rsid w:val="00EF162B"/>
    <w:rsid w:val="00EF2ACE"/>
    <w:rsid w:val="00EF46E5"/>
    <w:rsid w:val="00EF4898"/>
    <w:rsid w:val="00EF7C78"/>
    <w:rsid w:val="00F001E2"/>
    <w:rsid w:val="00F0053F"/>
    <w:rsid w:val="00F03A70"/>
    <w:rsid w:val="00F07040"/>
    <w:rsid w:val="00F07AEB"/>
    <w:rsid w:val="00F10D8A"/>
    <w:rsid w:val="00F16CBC"/>
    <w:rsid w:val="00F21997"/>
    <w:rsid w:val="00F226B1"/>
    <w:rsid w:val="00F23158"/>
    <w:rsid w:val="00F25F07"/>
    <w:rsid w:val="00F265A4"/>
    <w:rsid w:val="00F26BAF"/>
    <w:rsid w:val="00F26F7E"/>
    <w:rsid w:val="00F272DD"/>
    <w:rsid w:val="00F303A8"/>
    <w:rsid w:val="00F31032"/>
    <w:rsid w:val="00F324DE"/>
    <w:rsid w:val="00F35D2F"/>
    <w:rsid w:val="00F36242"/>
    <w:rsid w:val="00F37D89"/>
    <w:rsid w:val="00F4131A"/>
    <w:rsid w:val="00F43EFC"/>
    <w:rsid w:val="00F44A9C"/>
    <w:rsid w:val="00F47219"/>
    <w:rsid w:val="00F50C39"/>
    <w:rsid w:val="00F520D0"/>
    <w:rsid w:val="00F539B3"/>
    <w:rsid w:val="00F549D4"/>
    <w:rsid w:val="00F5511B"/>
    <w:rsid w:val="00F558A6"/>
    <w:rsid w:val="00F77B41"/>
    <w:rsid w:val="00F80AA2"/>
    <w:rsid w:val="00F81ECE"/>
    <w:rsid w:val="00F82C17"/>
    <w:rsid w:val="00F83654"/>
    <w:rsid w:val="00F83FD4"/>
    <w:rsid w:val="00F849B7"/>
    <w:rsid w:val="00F84EAD"/>
    <w:rsid w:val="00F91189"/>
    <w:rsid w:val="00F92BE6"/>
    <w:rsid w:val="00F94C3E"/>
    <w:rsid w:val="00F965E9"/>
    <w:rsid w:val="00F96667"/>
    <w:rsid w:val="00F967D9"/>
    <w:rsid w:val="00FA010B"/>
    <w:rsid w:val="00FA1273"/>
    <w:rsid w:val="00FA28AA"/>
    <w:rsid w:val="00FA6845"/>
    <w:rsid w:val="00FB0A30"/>
    <w:rsid w:val="00FB2DF6"/>
    <w:rsid w:val="00FB4E2D"/>
    <w:rsid w:val="00FB6225"/>
    <w:rsid w:val="00FB6291"/>
    <w:rsid w:val="00FB7B62"/>
    <w:rsid w:val="00FC26DA"/>
    <w:rsid w:val="00FC3BF5"/>
    <w:rsid w:val="00FC4938"/>
    <w:rsid w:val="00FC4D9F"/>
    <w:rsid w:val="00FD01A1"/>
    <w:rsid w:val="00FD0411"/>
    <w:rsid w:val="00FD1006"/>
    <w:rsid w:val="00FD1AFC"/>
    <w:rsid w:val="00FD1E48"/>
    <w:rsid w:val="00FD2993"/>
    <w:rsid w:val="00FD3B6C"/>
    <w:rsid w:val="00FD3D9E"/>
    <w:rsid w:val="00FD417A"/>
    <w:rsid w:val="00FD639F"/>
    <w:rsid w:val="00FD666D"/>
    <w:rsid w:val="00FD6770"/>
    <w:rsid w:val="00FE4571"/>
    <w:rsid w:val="00FE67B2"/>
    <w:rsid w:val="00FE7A08"/>
    <w:rsid w:val="00FF034C"/>
    <w:rsid w:val="00FF3EA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8400"/>
  <w15:docId w15:val="{030B3342-8AF4-4C2F-8BDE-89A3B71B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lang w:val="lv-LV" w:eastAsia="lv-LV"/>
    </w:rPr>
  </w:style>
  <w:style w:type="paragraph" w:styleId="Virsraksts2">
    <w:name w:val="heading 2"/>
    <w:basedOn w:val="Parasts"/>
    <w:next w:val="Parasts"/>
    <w:qFormat/>
    <w:rsid w:val="002C0C98"/>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F740D"/>
    <w:rPr>
      <w:color w:val="0000FF"/>
      <w:u w:val="single"/>
    </w:rPr>
  </w:style>
  <w:style w:type="paragraph" w:customStyle="1" w:styleId="naisnod">
    <w:name w:val="naisnod"/>
    <w:basedOn w:val="Parasts"/>
    <w:rsid w:val="005F740D"/>
    <w:pPr>
      <w:spacing w:before="100" w:beforeAutospacing="1" w:after="100" w:afterAutospacing="1"/>
    </w:pPr>
  </w:style>
  <w:style w:type="paragraph" w:customStyle="1" w:styleId="naisf">
    <w:name w:val="naisf"/>
    <w:basedOn w:val="Parasts"/>
    <w:rsid w:val="005F740D"/>
    <w:pPr>
      <w:spacing w:before="100" w:beforeAutospacing="1" w:after="100" w:afterAutospacing="1"/>
    </w:pPr>
  </w:style>
  <w:style w:type="paragraph" w:customStyle="1" w:styleId="naisc">
    <w:name w:val="naisc"/>
    <w:basedOn w:val="Parasts"/>
    <w:rsid w:val="005F740D"/>
    <w:pPr>
      <w:spacing w:before="100" w:beforeAutospacing="1" w:after="100" w:afterAutospacing="1"/>
    </w:pPr>
  </w:style>
  <w:style w:type="paragraph" w:customStyle="1" w:styleId="naiskr">
    <w:name w:val="naiskr"/>
    <w:basedOn w:val="Parasts"/>
    <w:rsid w:val="005F740D"/>
    <w:pPr>
      <w:spacing w:before="100" w:beforeAutospacing="1" w:after="100" w:afterAutospacing="1"/>
    </w:pPr>
  </w:style>
  <w:style w:type="paragraph" w:customStyle="1" w:styleId="naislab">
    <w:name w:val="naislab"/>
    <w:basedOn w:val="Parasts"/>
    <w:rsid w:val="005F740D"/>
    <w:pPr>
      <w:spacing w:before="100" w:beforeAutospacing="1" w:after="100" w:afterAutospacing="1"/>
    </w:pPr>
  </w:style>
  <w:style w:type="paragraph" w:customStyle="1" w:styleId="CharChar">
    <w:name w:val="Char Char"/>
    <w:basedOn w:val="Parasts"/>
    <w:rsid w:val="005F740D"/>
    <w:rPr>
      <w:lang w:val="pl-PL" w:eastAsia="pl-PL"/>
    </w:rPr>
  </w:style>
  <w:style w:type="table" w:styleId="Reatabula">
    <w:name w:val="Table Grid"/>
    <w:basedOn w:val="Parastatabula"/>
    <w:rsid w:val="005F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C0C98"/>
    <w:pPr>
      <w:ind w:left="720"/>
      <w:contextualSpacing/>
    </w:pPr>
    <w:rPr>
      <w:lang w:val="en-GB" w:eastAsia="en-US"/>
    </w:rPr>
  </w:style>
  <w:style w:type="paragraph" w:styleId="Kjene">
    <w:name w:val="footer"/>
    <w:basedOn w:val="Parasts"/>
    <w:rsid w:val="002C0C98"/>
    <w:pPr>
      <w:tabs>
        <w:tab w:val="center" w:pos="4153"/>
        <w:tab w:val="right" w:pos="8306"/>
      </w:tabs>
    </w:pPr>
    <w:rPr>
      <w:lang w:val="en-GB" w:eastAsia="en-US"/>
    </w:rPr>
  </w:style>
  <w:style w:type="paragraph" w:customStyle="1" w:styleId="Texts">
    <w:name w:val="Texts"/>
    <w:basedOn w:val="Parasts"/>
    <w:rsid w:val="002C0C98"/>
    <w:pPr>
      <w:numPr>
        <w:numId w:val="2"/>
      </w:numPr>
      <w:jc w:val="both"/>
    </w:pPr>
    <w:rPr>
      <w:sz w:val="28"/>
      <w:szCs w:val="28"/>
    </w:rPr>
  </w:style>
  <w:style w:type="paragraph" w:styleId="Pamatteksts2">
    <w:name w:val="Body Text 2"/>
    <w:basedOn w:val="Parasts"/>
    <w:rsid w:val="00C81BC5"/>
    <w:pPr>
      <w:jc w:val="both"/>
    </w:pPr>
    <w:rPr>
      <w:sz w:val="28"/>
      <w:szCs w:val="20"/>
      <w:lang w:eastAsia="en-US"/>
    </w:rPr>
  </w:style>
  <w:style w:type="paragraph" w:customStyle="1" w:styleId="Default">
    <w:name w:val="Default"/>
    <w:uiPriority w:val="99"/>
    <w:rsid w:val="00585FCA"/>
    <w:pPr>
      <w:autoSpaceDE w:val="0"/>
      <w:autoSpaceDN w:val="0"/>
      <w:adjustRightInd w:val="0"/>
    </w:pPr>
    <w:rPr>
      <w:color w:val="000000"/>
      <w:sz w:val="24"/>
      <w:szCs w:val="24"/>
      <w:lang w:val="lv-LV" w:eastAsia="lv-LV"/>
    </w:rPr>
  </w:style>
  <w:style w:type="paragraph" w:styleId="Pamattekstsaratkpi">
    <w:name w:val="Body Text Indent"/>
    <w:basedOn w:val="Parasts"/>
    <w:rsid w:val="00FD3B6C"/>
    <w:pPr>
      <w:spacing w:after="120"/>
      <w:ind w:left="283"/>
    </w:pPr>
    <w:rPr>
      <w:lang w:val="en-GB" w:eastAsia="en-US"/>
    </w:rPr>
  </w:style>
  <w:style w:type="character" w:styleId="Komentraatsauce">
    <w:name w:val="annotation reference"/>
    <w:uiPriority w:val="99"/>
    <w:rsid w:val="004F6B5C"/>
    <w:rPr>
      <w:sz w:val="16"/>
      <w:szCs w:val="16"/>
    </w:rPr>
  </w:style>
  <w:style w:type="paragraph" w:styleId="Komentrateksts">
    <w:name w:val="annotation text"/>
    <w:basedOn w:val="Parasts"/>
    <w:link w:val="KomentratekstsRakstz"/>
    <w:uiPriority w:val="99"/>
    <w:rsid w:val="004F6B5C"/>
    <w:rPr>
      <w:sz w:val="20"/>
      <w:szCs w:val="20"/>
    </w:rPr>
  </w:style>
  <w:style w:type="paragraph" w:styleId="Komentratma">
    <w:name w:val="annotation subject"/>
    <w:basedOn w:val="Komentrateksts"/>
    <w:next w:val="Komentrateksts"/>
    <w:semiHidden/>
    <w:rsid w:val="004F6B5C"/>
    <w:rPr>
      <w:b/>
      <w:bCs/>
    </w:rPr>
  </w:style>
  <w:style w:type="paragraph" w:styleId="Balonteksts">
    <w:name w:val="Balloon Text"/>
    <w:basedOn w:val="Parasts"/>
    <w:link w:val="BalontekstsRakstz"/>
    <w:uiPriority w:val="99"/>
    <w:semiHidden/>
    <w:rsid w:val="004F6B5C"/>
    <w:rPr>
      <w:rFonts w:ascii="Tahoma" w:hAnsi="Tahoma" w:cs="Tahoma"/>
      <w:sz w:val="16"/>
      <w:szCs w:val="16"/>
    </w:rPr>
  </w:style>
  <w:style w:type="paragraph" w:styleId="Galvene">
    <w:name w:val="header"/>
    <w:basedOn w:val="Parasts"/>
    <w:link w:val="GalveneRakstz"/>
    <w:uiPriority w:val="99"/>
    <w:rsid w:val="003406DB"/>
    <w:pPr>
      <w:tabs>
        <w:tab w:val="center" w:pos="4153"/>
        <w:tab w:val="right" w:pos="8306"/>
      </w:tabs>
    </w:pPr>
    <w:rPr>
      <w:lang w:val="x-none" w:eastAsia="x-none"/>
    </w:rPr>
  </w:style>
  <w:style w:type="character" w:styleId="Lappusesnumurs">
    <w:name w:val="page number"/>
    <w:basedOn w:val="Noklusjumarindkopasfonts"/>
    <w:rsid w:val="00EC29C5"/>
  </w:style>
  <w:style w:type="paragraph" w:styleId="Pamatteksts">
    <w:name w:val="Body Text"/>
    <w:basedOn w:val="Parasts"/>
    <w:rsid w:val="00976112"/>
    <w:pPr>
      <w:spacing w:after="120"/>
    </w:pPr>
    <w:rPr>
      <w:sz w:val="28"/>
      <w:szCs w:val="20"/>
      <w:lang w:val="en-GB" w:eastAsia="en-US"/>
    </w:rPr>
  </w:style>
  <w:style w:type="character" w:customStyle="1" w:styleId="GalveneRakstz">
    <w:name w:val="Galvene Rakstz."/>
    <w:link w:val="Galvene"/>
    <w:uiPriority w:val="99"/>
    <w:rsid w:val="00747C9A"/>
    <w:rPr>
      <w:sz w:val="24"/>
      <w:szCs w:val="24"/>
    </w:rPr>
  </w:style>
  <w:style w:type="paragraph" w:customStyle="1" w:styleId="ListParagraph1">
    <w:name w:val="List Paragraph1"/>
    <w:basedOn w:val="Parasts"/>
    <w:rsid w:val="00FC4938"/>
    <w:pPr>
      <w:spacing w:after="200" w:line="276" w:lineRule="auto"/>
      <w:ind w:left="720"/>
    </w:pPr>
    <w:rPr>
      <w:rFonts w:ascii="Calibri" w:hAnsi="Calibri"/>
      <w:sz w:val="22"/>
      <w:szCs w:val="22"/>
      <w:lang w:eastAsia="en-US"/>
    </w:rPr>
  </w:style>
  <w:style w:type="character" w:customStyle="1" w:styleId="KomentratekstsRakstz">
    <w:name w:val="Komentāra teksts Rakstz."/>
    <w:link w:val="Komentrateksts"/>
    <w:uiPriority w:val="99"/>
    <w:rsid w:val="00B33E27"/>
  </w:style>
  <w:style w:type="paragraph" w:customStyle="1" w:styleId="CM4">
    <w:name w:val="CM4"/>
    <w:basedOn w:val="Default"/>
    <w:next w:val="Default"/>
    <w:uiPriority w:val="99"/>
    <w:rsid w:val="009A488A"/>
    <w:rPr>
      <w:color w:val="auto"/>
    </w:rPr>
  </w:style>
  <w:style w:type="character" w:customStyle="1" w:styleId="skypepnhcontainer">
    <w:name w:val="skype_pnh_container"/>
    <w:rsid w:val="004C3ED1"/>
  </w:style>
  <w:style w:type="character" w:customStyle="1" w:styleId="skypepnhtextspan">
    <w:name w:val="skype_pnh_text_span"/>
    <w:rsid w:val="004C3ED1"/>
  </w:style>
  <w:style w:type="character" w:customStyle="1" w:styleId="skypepnhrightspan">
    <w:name w:val="skype_pnh_right_span"/>
    <w:rsid w:val="004C3ED1"/>
  </w:style>
  <w:style w:type="paragraph" w:customStyle="1" w:styleId="norm">
    <w:name w:val="norm"/>
    <w:basedOn w:val="Parasts"/>
    <w:rsid w:val="00D0132C"/>
    <w:pPr>
      <w:spacing w:before="100" w:beforeAutospacing="1" w:after="100" w:afterAutospacing="1"/>
    </w:pPr>
    <w:rPr>
      <w:lang w:val="en-US" w:eastAsia="en-US"/>
    </w:rPr>
  </w:style>
  <w:style w:type="paragraph" w:styleId="Bezatstarpm">
    <w:name w:val="No Spacing"/>
    <w:uiPriority w:val="1"/>
    <w:qFormat/>
    <w:rsid w:val="006D5B4B"/>
    <w:pPr>
      <w:widowControl w:val="0"/>
      <w:spacing w:after="200"/>
    </w:pPr>
    <w:rPr>
      <w:rFonts w:ascii="Calibri" w:eastAsia="Calibri" w:hAnsi="Calibri"/>
      <w:sz w:val="22"/>
      <w:szCs w:val="24"/>
    </w:rPr>
  </w:style>
  <w:style w:type="paragraph" w:customStyle="1" w:styleId="tv213">
    <w:name w:val="tv213"/>
    <w:basedOn w:val="Parasts"/>
    <w:rsid w:val="006D5B4B"/>
    <w:pPr>
      <w:spacing w:before="100" w:beforeAutospacing="1" w:after="100" w:afterAutospacing="1"/>
    </w:pPr>
    <w:rPr>
      <w:lang w:val="en-US" w:eastAsia="en-US"/>
    </w:rPr>
  </w:style>
  <w:style w:type="paragraph" w:customStyle="1" w:styleId="tvhtml">
    <w:name w:val="tv_html"/>
    <w:basedOn w:val="Parasts"/>
    <w:rsid w:val="003532EF"/>
    <w:pPr>
      <w:spacing w:before="100" w:beforeAutospacing="1" w:after="100" w:afterAutospacing="1"/>
    </w:pPr>
  </w:style>
  <w:style w:type="paragraph" w:styleId="Vresteksts">
    <w:name w:val="footnote text"/>
    <w:basedOn w:val="Parasts"/>
    <w:link w:val="VrestekstsRakstz"/>
    <w:uiPriority w:val="99"/>
    <w:unhideWhenUsed/>
    <w:rsid w:val="001252ED"/>
    <w:rPr>
      <w:rFonts w:eastAsia="Calibri"/>
      <w:sz w:val="20"/>
      <w:szCs w:val="20"/>
      <w:lang w:eastAsia="en-US"/>
    </w:rPr>
  </w:style>
  <w:style w:type="character" w:customStyle="1" w:styleId="VrestekstsRakstz">
    <w:name w:val="Vēres teksts Rakstz."/>
    <w:link w:val="Vresteksts"/>
    <w:uiPriority w:val="99"/>
    <w:rsid w:val="001252ED"/>
    <w:rPr>
      <w:rFonts w:eastAsia="Calibri"/>
      <w:lang w:val="lv-LV"/>
    </w:rPr>
  </w:style>
  <w:style w:type="character" w:styleId="Vresatsauce">
    <w:name w:val="footnote reference"/>
    <w:uiPriority w:val="99"/>
    <w:unhideWhenUsed/>
    <w:rsid w:val="001252ED"/>
    <w:rPr>
      <w:vertAlign w:val="superscript"/>
    </w:rPr>
  </w:style>
  <w:style w:type="character" w:customStyle="1" w:styleId="BalontekstsRakstz">
    <w:name w:val="Balonteksts Rakstz."/>
    <w:link w:val="Balonteksts"/>
    <w:uiPriority w:val="99"/>
    <w:semiHidden/>
    <w:rsid w:val="00767C2F"/>
    <w:rPr>
      <w:rFonts w:ascii="Tahoma" w:hAnsi="Tahoma" w:cs="Tahoma"/>
      <w:sz w:val="16"/>
      <w:szCs w:val="16"/>
      <w:lang w:val="lv-LV" w:eastAsia="lv-LV"/>
    </w:rPr>
  </w:style>
  <w:style w:type="paragraph" w:customStyle="1" w:styleId="tv2132">
    <w:name w:val="tv2132"/>
    <w:basedOn w:val="Parasts"/>
    <w:rsid w:val="00C6285E"/>
    <w:pPr>
      <w:spacing w:line="360" w:lineRule="auto"/>
      <w:ind w:firstLine="300"/>
    </w:pPr>
    <w:rPr>
      <w:color w:val="414142"/>
      <w:sz w:val="20"/>
      <w:szCs w:val="20"/>
    </w:rPr>
  </w:style>
  <w:style w:type="character" w:styleId="Izteiksmgs">
    <w:name w:val="Strong"/>
    <w:qFormat/>
    <w:rsid w:val="00D0728B"/>
    <w:rPr>
      <w:b/>
      <w:bCs/>
    </w:rPr>
  </w:style>
  <w:style w:type="paragraph" w:styleId="Paraststmeklis">
    <w:name w:val="Normal (Web)"/>
    <w:basedOn w:val="Parasts"/>
    <w:uiPriority w:val="99"/>
    <w:rsid w:val="00D0728B"/>
    <w:pPr>
      <w:spacing w:before="75" w:after="75"/>
    </w:pPr>
  </w:style>
  <w:style w:type="character" w:customStyle="1" w:styleId="tvhtml1">
    <w:name w:val="tv_html1"/>
    <w:basedOn w:val="Noklusjumarindkopasfonts"/>
    <w:rsid w:val="00963D56"/>
  </w:style>
  <w:style w:type="character" w:styleId="Izclums">
    <w:name w:val="Emphasis"/>
    <w:basedOn w:val="Noklusjumarindkopasfonts"/>
    <w:uiPriority w:val="20"/>
    <w:qFormat/>
    <w:rsid w:val="003D2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4274">
      <w:bodyDiv w:val="1"/>
      <w:marLeft w:val="0"/>
      <w:marRight w:val="0"/>
      <w:marTop w:val="0"/>
      <w:marBottom w:val="0"/>
      <w:divBdr>
        <w:top w:val="none" w:sz="0" w:space="0" w:color="auto"/>
        <w:left w:val="none" w:sz="0" w:space="0" w:color="auto"/>
        <w:bottom w:val="none" w:sz="0" w:space="0" w:color="auto"/>
        <w:right w:val="none" w:sz="0" w:space="0" w:color="auto"/>
      </w:divBdr>
    </w:div>
    <w:div w:id="723720873">
      <w:bodyDiv w:val="1"/>
      <w:marLeft w:val="0"/>
      <w:marRight w:val="0"/>
      <w:marTop w:val="0"/>
      <w:marBottom w:val="0"/>
      <w:divBdr>
        <w:top w:val="none" w:sz="0" w:space="0" w:color="auto"/>
        <w:left w:val="none" w:sz="0" w:space="0" w:color="auto"/>
        <w:bottom w:val="none" w:sz="0" w:space="0" w:color="auto"/>
        <w:right w:val="none" w:sz="0" w:space="0" w:color="auto"/>
      </w:divBdr>
    </w:div>
    <w:div w:id="734206309">
      <w:bodyDiv w:val="1"/>
      <w:marLeft w:val="0"/>
      <w:marRight w:val="0"/>
      <w:marTop w:val="0"/>
      <w:marBottom w:val="0"/>
      <w:divBdr>
        <w:top w:val="none" w:sz="0" w:space="0" w:color="auto"/>
        <w:left w:val="none" w:sz="0" w:space="0" w:color="auto"/>
        <w:bottom w:val="none" w:sz="0" w:space="0" w:color="auto"/>
        <w:right w:val="none" w:sz="0" w:space="0" w:color="auto"/>
      </w:divBdr>
    </w:div>
    <w:div w:id="997269702">
      <w:bodyDiv w:val="1"/>
      <w:marLeft w:val="0"/>
      <w:marRight w:val="0"/>
      <w:marTop w:val="0"/>
      <w:marBottom w:val="0"/>
      <w:divBdr>
        <w:top w:val="none" w:sz="0" w:space="0" w:color="auto"/>
        <w:left w:val="none" w:sz="0" w:space="0" w:color="auto"/>
        <w:bottom w:val="none" w:sz="0" w:space="0" w:color="auto"/>
        <w:right w:val="none" w:sz="0" w:space="0" w:color="auto"/>
      </w:divBdr>
      <w:divsChild>
        <w:div w:id="2043239926">
          <w:marLeft w:val="0"/>
          <w:marRight w:val="0"/>
          <w:marTop w:val="0"/>
          <w:marBottom w:val="0"/>
          <w:divBdr>
            <w:top w:val="none" w:sz="0" w:space="0" w:color="auto"/>
            <w:left w:val="none" w:sz="0" w:space="0" w:color="auto"/>
            <w:bottom w:val="none" w:sz="0" w:space="0" w:color="auto"/>
            <w:right w:val="none" w:sz="0" w:space="0" w:color="auto"/>
          </w:divBdr>
          <w:divsChild>
            <w:div w:id="1396588178">
              <w:marLeft w:val="0"/>
              <w:marRight w:val="0"/>
              <w:marTop w:val="0"/>
              <w:marBottom w:val="0"/>
              <w:divBdr>
                <w:top w:val="none" w:sz="0" w:space="0" w:color="auto"/>
                <w:left w:val="none" w:sz="0" w:space="0" w:color="auto"/>
                <w:bottom w:val="none" w:sz="0" w:space="0" w:color="auto"/>
                <w:right w:val="none" w:sz="0" w:space="0" w:color="auto"/>
              </w:divBdr>
              <w:divsChild>
                <w:div w:id="1113474625">
                  <w:marLeft w:val="0"/>
                  <w:marRight w:val="0"/>
                  <w:marTop w:val="0"/>
                  <w:marBottom w:val="0"/>
                  <w:divBdr>
                    <w:top w:val="none" w:sz="0" w:space="0" w:color="auto"/>
                    <w:left w:val="none" w:sz="0" w:space="0" w:color="auto"/>
                    <w:bottom w:val="none" w:sz="0" w:space="0" w:color="auto"/>
                    <w:right w:val="none" w:sz="0" w:space="0" w:color="auto"/>
                  </w:divBdr>
                  <w:divsChild>
                    <w:div w:id="1462381496">
                      <w:marLeft w:val="0"/>
                      <w:marRight w:val="0"/>
                      <w:marTop w:val="0"/>
                      <w:marBottom w:val="0"/>
                      <w:divBdr>
                        <w:top w:val="none" w:sz="0" w:space="0" w:color="auto"/>
                        <w:left w:val="none" w:sz="0" w:space="0" w:color="auto"/>
                        <w:bottom w:val="none" w:sz="0" w:space="0" w:color="auto"/>
                        <w:right w:val="none" w:sz="0" w:space="0" w:color="auto"/>
                      </w:divBdr>
                      <w:divsChild>
                        <w:div w:id="1811941465">
                          <w:marLeft w:val="0"/>
                          <w:marRight w:val="0"/>
                          <w:marTop w:val="0"/>
                          <w:marBottom w:val="0"/>
                          <w:divBdr>
                            <w:top w:val="none" w:sz="0" w:space="0" w:color="auto"/>
                            <w:left w:val="none" w:sz="0" w:space="0" w:color="auto"/>
                            <w:bottom w:val="none" w:sz="0" w:space="0" w:color="auto"/>
                            <w:right w:val="none" w:sz="0" w:space="0" w:color="auto"/>
                          </w:divBdr>
                          <w:divsChild>
                            <w:div w:id="7272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933367">
      <w:bodyDiv w:val="1"/>
      <w:marLeft w:val="0"/>
      <w:marRight w:val="0"/>
      <w:marTop w:val="0"/>
      <w:marBottom w:val="0"/>
      <w:divBdr>
        <w:top w:val="none" w:sz="0" w:space="0" w:color="auto"/>
        <w:left w:val="none" w:sz="0" w:space="0" w:color="auto"/>
        <w:bottom w:val="none" w:sz="0" w:space="0" w:color="auto"/>
        <w:right w:val="none" w:sz="0" w:space="0" w:color="auto"/>
      </w:divBdr>
    </w:div>
    <w:div w:id="1500655988">
      <w:bodyDiv w:val="1"/>
      <w:marLeft w:val="0"/>
      <w:marRight w:val="0"/>
      <w:marTop w:val="0"/>
      <w:marBottom w:val="0"/>
      <w:divBdr>
        <w:top w:val="none" w:sz="0" w:space="0" w:color="auto"/>
        <w:left w:val="none" w:sz="0" w:space="0" w:color="auto"/>
        <w:bottom w:val="none" w:sz="0" w:space="0" w:color="auto"/>
        <w:right w:val="none" w:sz="0" w:space="0" w:color="auto"/>
      </w:divBdr>
    </w:div>
    <w:div w:id="1614677635">
      <w:bodyDiv w:val="1"/>
      <w:marLeft w:val="0"/>
      <w:marRight w:val="0"/>
      <w:marTop w:val="0"/>
      <w:marBottom w:val="0"/>
      <w:divBdr>
        <w:top w:val="none" w:sz="0" w:space="0" w:color="auto"/>
        <w:left w:val="none" w:sz="0" w:space="0" w:color="auto"/>
        <w:bottom w:val="none" w:sz="0" w:space="0" w:color="auto"/>
        <w:right w:val="none" w:sz="0" w:space="0" w:color="auto"/>
      </w:divBdr>
    </w:div>
    <w:div w:id="1892693677">
      <w:bodyDiv w:val="1"/>
      <w:marLeft w:val="0"/>
      <w:marRight w:val="0"/>
      <w:marTop w:val="0"/>
      <w:marBottom w:val="0"/>
      <w:divBdr>
        <w:top w:val="none" w:sz="0" w:space="0" w:color="auto"/>
        <w:left w:val="none" w:sz="0" w:space="0" w:color="auto"/>
        <w:bottom w:val="none" w:sz="0" w:space="0" w:color="auto"/>
        <w:right w:val="none" w:sz="0" w:space="0" w:color="auto"/>
      </w:divBdr>
    </w:div>
    <w:div w:id="1938050897">
      <w:bodyDiv w:val="1"/>
      <w:marLeft w:val="0"/>
      <w:marRight w:val="0"/>
      <w:marTop w:val="0"/>
      <w:marBottom w:val="0"/>
      <w:divBdr>
        <w:top w:val="none" w:sz="0" w:space="0" w:color="auto"/>
        <w:left w:val="none" w:sz="0" w:space="0" w:color="auto"/>
        <w:bottom w:val="none" w:sz="0" w:space="0" w:color="auto"/>
        <w:right w:val="none" w:sz="0" w:space="0" w:color="auto"/>
      </w:divBdr>
    </w:div>
    <w:div w:id="2025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6B1E-58AF-48E5-ABED-404A2B92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3913</Words>
  <Characters>26035</Characters>
  <Application>Microsoft Office Word</Application>
  <DocSecurity>0</DocSecurity>
  <Lines>216</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piešķir, administrē un uzrauga valsts atbalstu Covid-19 izplatības negatīvās ietekmes mazināšanai cūkkopības nozarē</vt:lpstr>
      <vt:lpstr>Valsts un Eiropas Savienības atbalsta piešķiršanas, administrēšanas un uzraudzības kārtība augļu, dārzeņu, un piena piegādei izglītības iestādēm</vt:lpstr>
    </vt:vector>
  </TitlesOfParts>
  <Company>Zemkopības ministrija</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2021. gada 17. februāra rīkojumā Nr. 96 "Par finanšu līdzekļu piešķiršanu no valsts budžeta programmas "Līdzekļi neparedzētiem gadījumiem""</dc:title>
  <dc:subject>Izziņa par atzinumos sniegtajiem iebildumiem</dc:subject>
  <dc:creator>Dace Freimane</dc:creator>
  <dc:description>Freimane 29151413 Dace.Freimane@zm.gov.lv</dc:description>
  <cp:lastModifiedBy>Sanita Papinova</cp:lastModifiedBy>
  <cp:revision>3</cp:revision>
  <cp:lastPrinted>2010-08-02T10:29:00Z</cp:lastPrinted>
  <dcterms:created xsi:type="dcterms:W3CDTF">2021-06-02T14:36:00Z</dcterms:created>
  <dcterms:modified xsi:type="dcterms:W3CDTF">2021-06-04T07:17:00Z</dcterms:modified>
</cp:coreProperties>
</file>