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7E5C" w14:textId="77777777" w:rsidR="00D07A40" w:rsidRPr="002E60EB" w:rsidRDefault="00D07A40" w:rsidP="00D07A40">
      <w:pPr>
        <w:shd w:val="clear" w:color="auto" w:fill="FFFFFF"/>
        <w:tabs>
          <w:tab w:val="left" w:pos="142"/>
          <w:tab w:val="left" w:pos="1134"/>
        </w:tabs>
        <w:spacing w:before="120"/>
        <w:ind w:firstLine="567"/>
        <w:jc w:val="center"/>
        <w:rPr>
          <w:rFonts w:eastAsia="Times New Roman"/>
          <w:b/>
          <w:bCs/>
          <w:color w:val="000000" w:themeColor="text1"/>
          <w:szCs w:val="26"/>
          <w:lang w:val="lv-LV" w:eastAsia="lv-LV"/>
        </w:rPr>
      </w:pPr>
      <w:bookmarkStart w:id="0" w:name="OLE_LINK3"/>
      <w:bookmarkStart w:id="1" w:name="OLE_LINK1"/>
      <w:bookmarkStart w:id="2" w:name="OLE_LINK2"/>
      <w:r w:rsidRPr="002E60EB">
        <w:rPr>
          <w:b/>
          <w:bCs/>
          <w:color w:val="000000"/>
          <w:szCs w:val="26"/>
          <w:lang w:val="lv-LV"/>
        </w:rPr>
        <w:t>Ministru kabineta noteikumu projekta “</w:t>
      </w:r>
      <w:r w:rsidRPr="002E60EB">
        <w:rPr>
          <w:b/>
          <w:bCs/>
          <w:szCs w:val="26"/>
          <w:lang w:val="lv-LV"/>
        </w:rPr>
        <w:t>Grozījum</w:t>
      </w:r>
      <w:r>
        <w:rPr>
          <w:b/>
          <w:bCs/>
          <w:szCs w:val="26"/>
          <w:lang w:val="lv-LV"/>
        </w:rPr>
        <w:t>s</w:t>
      </w:r>
      <w:r w:rsidRPr="002E60EB">
        <w:rPr>
          <w:b/>
          <w:bCs/>
          <w:szCs w:val="26"/>
          <w:lang w:val="lv-LV"/>
        </w:rPr>
        <w:t xml:space="preserve"> Ministru kabineta 2020.gada 10.novembra noteikumos Nr.676 “</w:t>
      </w:r>
      <w:r w:rsidRPr="002E60EB">
        <w:rPr>
          <w:b/>
          <w:bCs/>
          <w:color w:val="000000"/>
          <w:szCs w:val="26"/>
          <w:lang w:val="lv-LV"/>
        </w:rPr>
        <w:t>Noteikumi par atbalstu Covid-19 krīzes skartajiem uzņēmumiem apgrozāmo līdzekļu plūsmas nodrošināšanai</w:t>
      </w:r>
      <w:r w:rsidRPr="002E60EB">
        <w:rPr>
          <w:b/>
          <w:bCs/>
          <w:szCs w:val="26"/>
          <w:lang w:val="lv-LV"/>
        </w:rPr>
        <w:t>”</w:t>
      </w:r>
      <w:r w:rsidRPr="002E60EB">
        <w:rPr>
          <w:b/>
          <w:bCs/>
          <w:color w:val="000000"/>
          <w:szCs w:val="26"/>
          <w:lang w:val="lv-LV"/>
        </w:rPr>
        <w:t xml:space="preserve">” </w:t>
      </w:r>
      <w:r w:rsidRPr="002E60EB">
        <w:rPr>
          <w:b/>
          <w:bCs/>
          <w:color w:val="000000" w:themeColor="text1"/>
          <w:szCs w:val="26"/>
          <w:lang w:val="lv-LV"/>
        </w:rPr>
        <w:t>sākotnējās ietekmes novērtējuma ziņojums (anotācija)</w:t>
      </w:r>
    </w:p>
    <w:p w14:paraId="672A6659" w14:textId="77777777" w:rsidR="00D07A40" w:rsidRPr="002E60EB" w:rsidRDefault="00D07A40" w:rsidP="00D07A40">
      <w:pPr>
        <w:contextualSpacing/>
        <w:rPr>
          <w:b/>
          <w:color w:val="000000" w:themeColor="text1"/>
          <w:szCs w:val="26"/>
          <w:lang w:val="lv-LV"/>
        </w:rPr>
      </w:pPr>
    </w:p>
    <w:tbl>
      <w:tblPr>
        <w:tblStyle w:val="TableGrid"/>
        <w:tblW w:w="9209" w:type="dxa"/>
        <w:tblLook w:val="04A0" w:firstRow="1" w:lastRow="0" w:firstColumn="1" w:lastColumn="0" w:noHBand="0" w:noVBand="1"/>
      </w:tblPr>
      <w:tblGrid>
        <w:gridCol w:w="2689"/>
        <w:gridCol w:w="6520"/>
      </w:tblGrid>
      <w:tr w:rsidR="00D07A40" w:rsidRPr="002E60EB" w14:paraId="40206029" w14:textId="77777777" w:rsidTr="2C0AA7E5">
        <w:tc>
          <w:tcPr>
            <w:tcW w:w="9209" w:type="dxa"/>
            <w:gridSpan w:val="2"/>
          </w:tcPr>
          <w:bookmarkEnd w:id="0"/>
          <w:bookmarkEnd w:id="1"/>
          <w:bookmarkEnd w:id="2"/>
          <w:p w14:paraId="168B81FE" w14:textId="77777777" w:rsidR="00D07A40" w:rsidRPr="002E60EB" w:rsidRDefault="00D07A40" w:rsidP="00F47F29">
            <w:pPr>
              <w:tabs>
                <w:tab w:val="right" w:pos="9072"/>
              </w:tabs>
              <w:contextualSpacing/>
              <w:rPr>
                <w:color w:val="000000" w:themeColor="text1"/>
                <w:szCs w:val="26"/>
                <w:lang w:val="lv-LV"/>
              </w:rPr>
            </w:pPr>
            <w:r w:rsidRPr="002E60EB">
              <w:rPr>
                <w:rFonts w:eastAsia="Times New Roman"/>
                <w:b/>
                <w:bCs/>
                <w:iCs/>
                <w:color w:val="000000" w:themeColor="text1"/>
                <w:szCs w:val="26"/>
                <w:lang w:val="lv-LV" w:eastAsia="lv-LV"/>
              </w:rPr>
              <w:t>Tiesību akta projekta anotācijas kopsavilkums</w:t>
            </w:r>
          </w:p>
        </w:tc>
      </w:tr>
      <w:tr w:rsidR="00D07A40" w:rsidRPr="00DB10ED" w14:paraId="22D2BD48" w14:textId="77777777" w:rsidTr="2C0AA7E5">
        <w:tc>
          <w:tcPr>
            <w:tcW w:w="2689" w:type="dxa"/>
          </w:tcPr>
          <w:p w14:paraId="11775F4D" w14:textId="77777777" w:rsidR="00D07A40" w:rsidRPr="002E60EB" w:rsidRDefault="00D07A40" w:rsidP="00F47F29">
            <w:pPr>
              <w:tabs>
                <w:tab w:val="right" w:pos="9072"/>
              </w:tabs>
              <w:contextualSpacing/>
              <w:rPr>
                <w:color w:val="000000" w:themeColor="text1"/>
                <w:szCs w:val="26"/>
                <w:lang w:val="lv-LV"/>
              </w:rPr>
            </w:pPr>
            <w:r w:rsidRPr="002E60EB">
              <w:rPr>
                <w:rFonts w:eastAsia="Times New Roman"/>
                <w:iCs/>
                <w:color w:val="000000" w:themeColor="text1"/>
                <w:szCs w:val="26"/>
                <w:lang w:val="lv-LV" w:eastAsia="lv-LV"/>
              </w:rPr>
              <w:t>Mērķis, risinājums un projekta spēkā stāšanās laiks</w:t>
            </w:r>
          </w:p>
        </w:tc>
        <w:tc>
          <w:tcPr>
            <w:tcW w:w="6520" w:type="dxa"/>
          </w:tcPr>
          <w:p w14:paraId="2967E961" w14:textId="06B2FFDF" w:rsidR="00D07A40" w:rsidRDefault="00D07A40" w:rsidP="2C0AA7E5">
            <w:pPr>
              <w:shd w:val="clear" w:color="auto" w:fill="FFFFFF" w:themeFill="background1"/>
              <w:tabs>
                <w:tab w:val="left" w:pos="142"/>
                <w:tab w:val="left" w:pos="1134"/>
              </w:tabs>
              <w:spacing w:before="120"/>
              <w:jc w:val="both"/>
              <w:rPr>
                <w:rFonts w:eastAsia="Times New Roman"/>
                <w:color w:val="FF0000"/>
                <w:szCs w:val="26"/>
                <w:lang w:val="lv-LV"/>
              </w:rPr>
            </w:pPr>
            <w:r w:rsidRPr="2C0AA7E5">
              <w:rPr>
                <w:color w:val="000000" w:themeColor="text1"/>
                <w:lang w:val="lv-LV"/>
              </w:rPr>
              <w:t>Ministru kabineta noteikumu projekts “Grozījums Ministru kabineta 2020.gada 10.novembra noteikumos Nr.676 “</w:t>
            </w:r>
            <w:r w:rsidRPr="2C0AA7E5">
              <w:rPr>
                <w:rFonts w:eastAsia="Times New Roman"/>
                <w:color w:val="000000" w:themeColor="text1"/>
                <w:lang w:val="lv-LV" w:eastAsia="lv-LV"/>
              </w:rPr>
              <w:t>Noteikumi par atbalstu Covid-19 krīzes skartajiem uzņēmumiem apgrozāmo līdzekļu plūsmas nodrošināšanai</w:t>
            </w:r>
            <w:r w:rsidRPr="2C0AA7E5">
              <w:rPr>
                <w:color w:val="000000" w:themeColor="text1"/>
                <w:lang w:val="lv-LV"/>
              </w:rPr>
              <w:t xml:space="preserve">”” </w:t>
            </w:r>
            <w:r w:rsidRPr="2C0AA7E5">
              <w:rPr>
                <w:rFonts w:eastAsia="Times New Roman"/>
                <w:color w:val="000000" w:themeColor="text1"/>
                <w:lang w:val="lv-LV"/>
              </w:rPr>
              <w:t xml:space="preserve">(turpmāk – MK Noteikumu projekts) </w:t>
            </w:r>
            <w:r w:rsidR="00AC6AC0" w:rsidRPr="003976EC">
              <w:rPr>
                <w:lang w:val="lv-LV"/>
              </w:rPr>
              <w:t>paredz</w:t>
            </w:r>
            <w:r w:rsidR="00AC6AC0" w:rsidRPr="003976EC">
              <w:rPr>
                <w:color w:val="000000"/>
                <w:shd w:val="clear" w:color="auto" w:fill="FFFFFF"/>
                <w:lang w:val="lv-LV"/>
              </w:rPr>
              <w:t xml:space="preserve"> papildināt atbalsta programmu ar papildus finansējumu, kas nepieciešams pieteikumiem par 2021.gadu visu iesniegumu apmaksai</w:t>
            </w:r>
            <w:r w:rsidR="00AC6AC0">
              <w:rPr>
                <w:color w:val="000000"/>
                <w:shd w:val="clear" w:color="auto" w:fill="FFFFFF"/>
                <w:lang w:val="lv-LV"/>
              </w:rPr>
              <w:t>.</w:t>
            </w:r>
          </w:p>
          <w:p w14:paraId="5F7DA6AF" w14:textId="77BADC39" w:rsidR="00D07A40" w:rsidRPr="002E60EB" w:rsidRDefault="00D07A40" w:rsidP="00F47F29">
            <w:pPr>
              <w:shd w:val="clear" w:color="auto" w:fill="FFFFFF" w:themeFill="background1"/>
              <w:tabs>
                <w:tab w:val="left" w:pos="142"/>
                <w:tab w:val="left" w:pos="1134"/>
              </w:tabs>
              <w:spacing w:before="120"/>
              <w:jc w:val="both"/>
              <w:rPr>
                <w:rFonts w:eastAsia="Times New Roman"/>
                <w:color w:val="000000"/>
                <w:szCs w:val="26"/>
                <w:lang w:val="lv-LV" w:eastAsia="lv-LV"/>
              </w:rPr>
            </w:pPr>
            <w:r w:rsidRPr="002E60EB">
              <w:rPr>
                <w:iCs/>
                <w:color w:val="000000" w:themeColor="text1"/>
                <w:szCs w:val="26"/>
                <w:lang w:val="lv-LV"/>
              </w:rPr>
              <w:t xml:space="preserve">MK Noteikumu projekts stāsies spēkā nākamajā dienā </w:t>
            </w:r>
            <w:r w:rsidRPr="002E60EB">
              <w:rPr>
                <w:color w:val="000000" w:themeColor="text1"/>
                <w:szCs w:val="26"/>
                <w:shd w:val="clear" w:color="auto" w:fill="FFFFFF"/>
                <w:lang w:val="lv-LV"/>
              </w:rPr>
              <w:t xml:space="preserve">pēc </w:t>
            </w:r>
            <w:r w:rsidR="007973D2">
              <w:rPr>
                <w:color w:val="000000" w:themeColor="text1"/>
                <w:szCs w:val="26"/>
                <w:shd w:val="clear" w:color="auto" w:fill="FFFFFF"/>
                <w:lang w:val="lv-LV"/>
              </w:rPr>
              <w:t>publikācijas</w:t>
            </w:r>
            <w:r w:rsidRPr="002E60EB">
              <w:rPr>
                <w:color w:val="000000" w:themeColor="text1"/>
                <w:szCs w:val="26"/>
                <w:shd w:val="clear" w:color="auto" w:fill="FFFFFF"/>
                <w:lang w:val="lv-LV"/>
              </w:rPr>
              <w:t xml:space="preserve"> oficiālajā izdevumā "Latvijas Vēstnesis".</w:t>
            </w:r>
          </w:p>
        </w:tc>
      </w:tr>
    </w:tbl>
    <w:p w14:paraId="0A37501D" w14:textId="77777777" w:rsidR="00D07A40" w:rsidRPr="002E60EB" w:rsidRDefault="00D07A40" w:rsidP="00D07A40">
      <w:pPr>
        <w:tabs>
          <w:tab w:val="right" w:pos="9072"/>
        </w:tabs>
        <w:contextualSpacing/>
        <w:rPr>
          <w:color w:val="000000" w:themeColor="text1"/>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6"/>
        <w:gridCol w:w="2094"/>
        <w:gridCol w:w="6427"/>
      </w:tblGrid>
      <w:tr w:rsidR="00D07A40" w:rsidRPr="002E60EB" w14:paraId="51A69105" w14:textId="77777777" w:rsidTr="2C0AA7E5">
        <w:tc>
          <w:tcPr>
            <w:tcW w:w="9067" w:type="dxa"/>
            <w:gridSpan w:val="3"/>
          </w:tcPr>
          <w:p w14:paraId="60E0DF38" w14:textId="77777777" w:rsidR="00D07A40" w:rsidRPr="002E60EB" w:rsidRDefault="00D07A40" w:rsidP="00F47F29">
            <w:pPr>
              <w:tabs>
                <w:tab w:val="right" w:pos="9072"/>
              </w:tabs>
              <w:contextualSpacing/>
              <w:jc w:val="center"/>
              <w:rPr>
                <w:color w:val="000000" w:themeColor="text1"/>
                <w:szCs w:val="26"/>
                <w:lang w:val="lv-LV"/>
              </w:rPr>
            </w:pPr>
            <w:r w:rsidRPr="002E60EB">
              <w:rPr>
                <w:b/>
                <w:color w:val="000000" w:themeColor="text1"/>
                <w:szCs w:val="26"/>
                <w:lang w:val="lv-LV"/>
              </w:rPr>
              <w:t>I. Tiesību akta projekta izstrādes nepieciešamība</w:t>
            </w:r>
          </w:p>
        </w:tc>
      </w:tr>
      <w:tr w:rsidR="00D07A40" w:rsidRPr="00DB10ED" w14:paraId="02DAE2B3" w14:textId="77777777" w:rsidTr="2C0AA7E5">
        <w:tc>
          <w:tcPr>
            <w:tcW w:w="546" w:type="dxa"/>
            <w:tcBorders>
              <w:right w:val="single" w:sz="4" w:space="0" w:color="auto"/>
            </w:tcBorders>
          </w:tcPr>
          <w:p w14:paraId="0135CBF0" w14:textId="77777777" w:rsidR="00D07A40" w:rsidRPr="002E60EB" w:rsidRDefault="00D07A40" w:rsidP="00F47F29">
            <w:pPr>
              <w:tabs>
                <w:tab w:val="right" w:pos="9072"/>
              </w:tabs>
              <w:contextualSpacing/>
              <w:rPr>
                <w:color w:val="000000" w:themeColor="text1"/>
                <w:szCs w:val="26"/>
                <w:lang w:val="lv-LV"/>
              </w:rPr>
            </w:pPr>
            <w:r w:rsidRPr="002E60EB">
              <w:rPr>
                <w:color w:val="000000" w:themeColor="text1"/>
                <w:szCs w:val="26"/>
                <w:lang w:val="lv-LV"/>
              </w:rPr>
              <w:t>1.</w:t>
            </w:r>
          </w:p>
        </w:tc>
        <w:tc>
          <w:tcPr>
            <w:tcW w:w="2094" w:type="dxa"/>
            <w:tcBorders>
              <w:left w:val="single" w:sz="4" w:space="0" w:color="auto"/>
            </w:tcBorders>
          </w:tcPr>
          <w:p w14:paraId="2C90B08D" w14:textId="77777777" w:rsidR="00D07A40" w:rsidRPr="002E60EB" w:rsidRDefault="00D07A40" w:rsidP="00F47F29">
            <w:pPr>
              <w:tabs>
                <w:tab w:val="right" w:pos="9072"/>
              </w:tabs>
              <w:contextualSpacing/>
              <w:rPr>
                <w:color w:val="000000" w:themeColor="text1"/>
                <w:szCs w:val="26"/>
                <w:lang w:val="lv-LV"/>
              </w:rPr>
            </w:pPr>
            <w:r w:rsidRPr="002E60EB">
              <w:rPr>
                <w:color w:val="000000" w:themeColor="text1"/>
                <w:szCs w:val="26"/>
                <w:lang w:val="lv-LV"/>
              </w:rPr>
              <w:t>Pamatojums</w:t>
            </w:r>
          </w:p>
        </w:tc>
        <w:tc>
          <w:tcPr>
            <w:tcW w:w="6427" w:type="dxa"/>
          </w:tcPr>
          <w:p w14:paraId="72C37D3F" w14:textId="0E145045" w:rsidR="00D07A40" w:rsidRPr="002E60EB" w:rsidRDefault="00D07A40" w:rsidP="00F47F29">
            <w:pPr>
              <w:tabs>
                <w:tab w:val="right" w:pos="9072"/>
              </w:tabs>
              <w:contextualSpacing/>
              <w:jc w:val="both"/>
              <w:rPr>
                <w:color w:val="000000" w:themeColor="text1"/>
                <w:szCs w:val="26"/>
                <w:lang w:val="lv-LV"/>
              </w:rPr>
            </w:pPr>
            <w:r w:rsidRPr="002E60EB">
              <w:rPr>
                <w:iCs/>
                <w:color w:val="000000" w:themeColor="text1"/>
                <w:szCs w:val="26"/>
                <w:lang w:val="lv-LV"/>
              </w:rPr>
              <w:t xml:space="preserve">MK Noteikumu projekts izstrādāts saskaņā ar </w:t>
            </w:r>
            <w:r w:rsidRPr="002E60EB">
              <w:rPr>
                <w:rFonts w:eastAsia="Times New Roman"/>
                <w:iCs/>
                <w:color w:val="000000" w:themeColor="text1"/>
                <w:szCs w:val="26"/>
                <w:lang w:val="lv-LV" w:eastAsia="lv-LV"/>
              </w:rPr>
              <w:t>Covid-19 infekcijas izplatības seku pārvarēšanas 2. pantu un 15. panta trešo daļu</w:t>
            </w:r>
            <w:bookmarkStart w:id="3" w:name="n1"/>
            <w:bookmarkStart w:id="4" w:name="n-596782"/>
            <w:bookmarkEnd w:id="3"/>
            <w:bookmarkEnd w:id="4"/>
            <w:r w:rsidRPr="002E60EB">
              <w:rPr>
                <w:iCs/>
                <w:color w:val="000000" w:themeColor="text1"/>
                <w:szCs w:val="26"/>
                <w:lang w:val="lv-LV"/>
              </w:rPr>
              <w:t xml:space="preserve">, lai </w:t>
            </w:r>
            <w:bookmarkStart w:id="5" w:name="_Hlk42162230"/>
            <w:r w:rsidRPr="002E60EB">
              <w:rPr>
                <w:iCs/>
                <w:color w:val="000000" w:themeColor="text1"/>
                <w:szCs w:val="26"/>
                <w:lang w:val="lv-LV"/>
              </w:rPr>
              <w:t>sniegtu atbalstu Covid-19 krīzes skartam uzņēmumam apgrozāmo līdzekļu plūsmas krituma kompensēšanai, lai pārvarētu Covid-19 krīzes otro izplatīšanās vilni (Ministru prezidenta paziņojums 2020.gada 6.novembrī) un 2021.gadā turpinātu mērķtiecīgas aktivitātes, kas vērstas uz Latvijas tautsaimniecības ilgtspējīgu attīstību</w:t>
            </w:r>
            <w:bookmarkEnd w:id="5"/>
            <w:r w:rsidRPr="002E60EB">
              <w:rPr>
                <w:color w:val="000000" w:themeColor="text1"/>
                <w:szCs w:val="26"/>
                <w:lang w:val="lv-LV"/>
              </w:rPr>
              <w:t>.</w:t>
            </w:r>
          </w:p>
        </w:tc>
      </w:tr>
      <w:tr w:rsidR="00D07A40" w:rsidRPr="00DB10ED" w14:paraId="43714E3D" w14:textId="77777777" w:rsidTr="2C0AA7E5">
        <w:tc>
          <w:tcPr>
            <w:tcW w:w="546" w:type="dxa"/>
          </w:tcPr>
          <w:p w14:paraId="47886996"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2.</w:t>
            </w:r>
          </w:p>
        </w:tc>
        <w:tc>
          <w:tcPr>
            <w:tcW w:w="2094" w:type="dxa"/>
          </w:tcPr>
          <w:p w14:paraId="2FA77D32" w14:textId="77777777" w:rsidR="00D07A40" w:rsidRPr="002E60EB" w:rsidRDefault="00D07A40" w:rsidP="003E95FA">
            <w:pPr>
              <w:contextualSpacing/>
              <w:rPr>
                <w:color w:val="000000" w:themeColor="text1"/>
                <w:szCs w:val="26"/>
                <w:lang w:val="lv-LV"/>
              </w:rPr>
            </w:pPr>
            <w:r w:rsidRPr="003E95FA">
              <w:rPr>
                <w:color w:val="000000" w:themeColor="text1"/>
                <w:szCs w:val="26"/>
                <w:lang w:val="lv-LV"/>
              </w:rPr>
              <w:t>Pašreizējā situācija un problēmas, kuru risināšanai tiesību akta projekts izstrādāts, tiesiskā regulējuma mērķis un būtība</w:t>
            </w:r>
          </w:p>
          <w:p w14:paraId="5DAB6C7B" w14:textId="77777777" w:rsidR="00D07A40" w:rsidRPr="002E60EB" w:rsidRDefault="00D07A40" w:rsidP="003E95FA">
            <w:pPr>
              <w:tabs>
                <w:tab w:val="right" w:pos="9072"/>
              </w:tabs>
              <w:contextualSpacing/>
              <w:rPr>
                <w:color w:val="000000" w:themeColor="text1"/>
                <w:szCs w:val="26"/>
                <w:lang w:val="lv-LV"/>
              </w:rPr>
            </w:pPr>
          </w:p>
          <w:p w14:paraId="02EB378F" w14:textId="77777777" w:rsidR="00D07A40" w:rsidRPr="002E60EB" w:rsidRDefault="00D07A40" w:rsidP="003E95FA">
            <w:pPr>
              <w:rPr>
                <w:szCs w:val="26"/>
                <w:lang w:val="lv-LV"/>
              </w:rPr>
            </w:pPr>
          </w:p>
          <w:p w14:paraId="6A05A809" w14:textId="77777777" w:rsidR="00D07A40" w:rsidRPr="002E60EB" w:rsidRDefault="00D07A40" w:rsidP="003E95FA">
            <w:pPr>
              <w:rPr>
                <w:szCs w:val="26"/>
                <w:lang w:val="lv-LV"/>
              </w:rPr>
            </w:pPr>
          </w:p>
          <w:p w14:paraId="5A39BBE3" w14:textId="77777777" w:rsidR="00D07A40" w:rsidRPr="002E60EB" w:rsidRDefault="00D07A40" w:rsidP="003E95FA">
            <w:pPr>
              <w:rPr>
                <w:szCs w:val="26"/>
                <w:lang w:val="lv-LV"/>
              </w:rPr>
            </w:pPr>
          </w:p>
          <w:p w14:paraId="41C8F396" w14:textId="77777777" w:rsidR="00D07A40" w:rsidRPr="002E60EB" w:rsidRDefault="00D07A40" w:rsidP="003E95FA">
            <w:pPr>
              <w:rPr>
                <w:szCs w:val="26"/>
                <w:lang w:val="lv-LV"/>
              </w:rPr>
            </w:pPr>
          </w:p>
          <w:p w14:paraId="72A3D3EC" w14:textId="77777777" w:rsidR="00D07A40" w:rsidRPr="002E60EB" w:rsidRDefault="00D07A40" w:rsidP="003E95FA">
            <w:pPr>
              <w:rPr>
                <w:szCs w:val="26"/>
                <w:lang w:val="lv-LV"/>
              </w:rPr>
            </w:pPr>
          </w:p>
          <w:p w14:paraId="0D0B940D" w14:textId="77777777" w:rsidR="00D07A40" w:rsidRPr="002E60EB" w:rsidRDefault="00D07A40" w:rsidP="003E95FA">
            <w:pPr>
              <w:rPr>
                <w:szCs w:val="26"/>
                <w:lang w:val="lv-LV"/>
              </w:rPr>
            </w:pPr>
          </w:p>
          <w:p w14:paraId="0E27B00A" w14:textId="77777777" w:rsidR="00D07A40" w:rsidRPr="002E60EB" w:rsidRDefault="00D07A40" w:rsidP="003E95FA">
            <w:pPr>
              <w:tabs>
                <w:tab w:val="left" w:pos="435"/>
              </w:tabs>
              <w:rPr>
                <w:szCs w:val="26"/>
                <w:lang w:val="lv-LV"/>
              </w:rPr>
            </w:pPr>
            <w:r w:rsidRPr="002E60EB">
              <w:rPr>
                <w:szCs w:val="26"/>
                <w:lang w:val="lv-LV"/>
              </w:rPr>
              <w:tab/>
            </w:r>
          </w:p>
          <w:p w14:paraId="60061E4C" w14:textId="77777777" w:rsidR="00D07A40" w:rsidRPr="002E60EB" w:rsidRDefault="00D07A40" w:rsidP="003E95FA">
            <w:pPr>
              <w:rPr>
                <w:szCs w:val="26"/>
                <w:lang w:val="lv-LV"/>
              </w:rPr>
            </w:pPr>
          </w:p>
          <w:p w14:paraId="44EAFD9C" w14:textId="77777777" w:rsidR="00D07A40" w:rsidRPr="002E60EB" w:rsidRDefault="00D07A40" w:rsidP="003E95FA">
            <w:pPr>
              <w:ind w:firstLine="720"/>
              <w:jc w:val="center"/>
              <w:rPr>
                <w:szCs w:val="26"/>
                <w:lang w:val="lv-LV"/>
              </w:rPr>
            </w:pPr>
          </w:p>
          <w:p w14:paraId="4B94D5A5" w14:textId="77777777" w:rsidR="00D07A40" w:rsidRPr="002E60EB" w:rsidRDefault="00D07A40" w:rsidP="003E95FA">
            <w:pPr>
              <w:rPr>
                <w:szCs w:val="26"/>
                <w:lang w:val="lv-LV"/>
              </w:rPr>
            </w:pPr>
          </w:p>
          <w:p w14:paraId="3DEEC669" w14:textId="77777777" w:rsidR="00D07A40" w:rsidRPr="002E60EB" w:rsidRDefault="00D07A40" w:rsidP="003E95FA">
            <w:pPr>
              <w:rPr>
                <w:szCs w:val="26"/>
                <w:lang w:val="lv-LV"/>
              </w:rPr>
            </w:pPr>
          </w:p>
          <w:p w14:paraId="3656B9AB" w14:textId="77777777" w:rsidR="00D07A40" w:rsidRPr="002E60EB" w:rsidRDefault="00D07A40" w:rsidP="003E95FA">
            <w:pPr>
              <w:rPr>
                <w:szCs w:val="26"/>
                <w:lang w:val="lv-LV"/>
              </w:rPr>
            </w:pPr>
          </w:p>
          <w:p w14:paraId="45FB0818" w14:textId="77777777" w:rsidR="00D07A40" w:rsidRPr="002E60EB" w:rsidRDefault="00D07A40" w:rsidP="003E95FA">
            <w:pPr>
              <w:tabs>
                <w:tab w:val="left" w:pos="270"/>
              </w:tabs>
              <w:rPr>
                <w:szCs w:val="26"/>
                <w:lang w:val="lv-LV"/>
              </w:rPr>
            </w:pPr>
            <w:r w:rsidRPr="002E60EB">
              <w:rPr>
                <w:szCs w:val="26"/>
                <w:lang w:val="lv-LV"/>
              </w:rPr>
              <w:tab/>
            </w:r>
          </w:p>
        </w:tc>
        <w:tc>
          <w:tcPr>
            <w:tcW w:w="6427" w:type="dxa"/>
          </w:tcPr>
          <w:p w14:paraId="11368CA2" w14:textId="77777777" w:rsidR="00D07A40" w:rsidRPr="002E60EB" w:rsidRDefault="00D07A40" w:rsidP="003E95FA">
            <w:pPr>
              <w:spacing w:before="120"/>
              <w:jc w:val="both"/>
              <w:rPr>
                <w:color w:val="000000" w:themeColor="text1"/>
                <w:szCs w:val="26"/>
                <w:lang w:val="lv-LV"/>
              </w:rPr>
            </w:pPr>
            <w:r w:rsidRPr="003E95FA">
              <w:rPr>
                <w:rFonts w:eastAsia="Times New Roman"/>
                <w:color w:val="000000" w:themeColor="text1"/>
                <w:szCs w:val="26"/>
                <w:lang w:val="lv-LV" w:eastAsia="lv-LV"/>
              </w:rPr>
              <w:lastRenderedPageBreak/>
              <w:t>Valstī 2020.gada 6.novembrī atkārtoti izsludināta un 2021.gada 2.februārī pagarināta līdz 2021.gada 7.aprīlim ārkārtējā situācija un tiek turpināts pastiprināt dažāda veida ierobežojumus, kas kopumā kavē tautsaimniecības attīstību un ekonomikas atveseļošanos, līdz ar to joprojām nepieciešams īstenot atbalsta pasākumus Covid-19 krīzes pārvarēšanai.</w:t>
            </w:r>
            <w:r w:rsidRPr="003E95FA">
              <w:rPr>
                <w:color w:val="000000" w:themeColor="text1"/>
                <w:szCs w:val="26"/>
                <w:lang w:val="lv-LV"/>
              </w:rPr>
              <w:t xml:space="preserve"> </w:t>
            </w:r>
          </w:p>
          <w:p w14:paraId="23302B9B" w14:textId="77177C7B" w:rsidR="00D07A40" w:rsidRDefault="00D07A40" w:rsidP="003E95FA">
            <w:pPr>
              <w:spacing w:before="120"/>
              <w:jc w:val="both"/>
              <w:rPr>
                <w:color w:val="000000" w:themeColor="text1"/>
                <w:szCs w:val="26"/>
                <w:lang w:val="lv-LV"/>
              </w:rPr>
            </w:pPr>
            <w:r w:rsidRPr="003E95FA">
              <w:rPr>
                <w:rFonts w:eastAsia="Times New Roman"/>
                <w:color w:val="000000" w:themeColor="text1"/>
                <w:szCs w:val="26"/>
                <w:lang w:val="lv-LV" w:eastAsia="lv-LV"/>
              </w:rPr>
              <w:t>Ministru kabinetā 2020.gada 10.novembrī tika apstiprināti noteikumi Nr.676 “</w:t>
            </w:r>
            <w:r w:rsidRPr="003E95FA">
              <w:rPr>
                <w:szCs w:val="26"/>
                <w:lang w:val="lv-LV"/>
              </w:rPr>
              <w:t>Noteikumi par atbalstu Covid-19 krīzes skartajiem uzņēmumiem apgrozāmo līdzekļu plūsmas nodrošināšanai</w:t>
            </w:r>
            <w:r w:rsidRPr="003E95FA">
              <w:rPr>
                <w:rFonts w:eastAsia="Times New Roman"/>
                <w:color w:val="000000" w:themeColor="text1"/>
                <w:szCs w:val="26"/>
                <w:lang w:val="lv-LV" w:eastAsia="lv-LV"/>
              </w:rPr>
              <w:t xml:space="preserve">” (turpmāk – MK Noteikumi Nr.676), nosakot </w:t>
            </w:r>
            <w:r w:rsidRPr="003E95FA">
              <w:rPr>
                <w:color w:val="000000" w:themeColor="text1"/>
                <w:szCs w:val="26"/>
                <w:lang w:val="lv-LV"/>
              </w:rPr>
              <w:t xml:space="preserve">kritērijus, pieprasīšanas un piešķiršanas kārtību, ko piemēro krīzes skartajiem nodokļu maksātājiem </w:t>
            </w:r>
            <w:proofErr w:type="spellStart"/>
            <w:r w:rsidRPr="003E95FA">
              <w:rPr>
                <w:color w:val="000000" w:themeColor="text1"/>
                <w:szCs w:val="26"/>
                <w:lang w:val="lv-LV"/>
              </w:rPr>
              <w:t>granta</w:t>
            </w:r>
            <w:proofErr w:type="spellEnd"/>
            <w:r w:rsidRPr="003E95FA">
              <w:rPr>
                <w:color w:val="000000" w:themeColor="text1"/>
                <w:szCs w:val="26"/>
                <w:lang w:val="lv-LV"/>
              </w:rPr>
              <w:t xml:space="preserve"> veidā </w:t>
            </w:r>
            <w:r w:rsidRPr="003E95FA">
              <w:rPr>
                <w:rFonts w:eastAsia="Times New Roman"/>
                <w:color w:val="000000" w:themeColor="text1"/>
                <w:szCs w:val="26"/>
                <w:lang w:val="lv-LV" w:eastAsia="lv-LV"/>
              </w:rPr>
              <w:t xml:space="preserve">apgrozāmo līdzekļu plūsmas </w:t>
            </w:r>
            <w:r w:rsidRPr="003E95FA">
              <w:rPr>
                <w:color w:val="000000" w:themeColor="text1"/>
                <w:szCs w:val="26"/>
                <w:lang w:val="lv-LV"/>
              </w:rPr>
              <w:t>kompensācijai.</w:t>
            </w:r>
          </w:p>
          <w:p w14:paraId="222ECC7A" w14:textId="19111BA8" w:rsidR="002F4AA6" w:rsidRPr="002F4AA6" w:rsidRDefault="000E5059" w:rsidP="002F4AA6">
            <w:pPr>
              <w:spacing w:before="120"/>
              <w:jc w:val="both"/>
              <w:rPr>
                <w:rFonts w:ascii="Segoe UI" w:eastAsia="Times New Roman" w:hAnsi="Segoe UI" w:cs="Segoe UI"/>
                <w:sz w:val="21"/>
                <w:szCs w:val="21"/>
                <w:lang w:val="lv-LV" w:eastAsia="lv-LV"/>
              </w:rPr>
            </w:pPr>
            <w:r>
              <w:rPr>
                <w:color w:val="000000" w:themeColor="text1"/>
                <w:szCs w:val="26"/>
                <w:lang w:val="lv-LV"/>
              </w:rPr>
              <w:t>Atbilstoši Valsts ieņēmumu dienesta</w:t>
            </w:r>
            <w:r w:rsidR="000161FA">
              <w:rPr>
                <w:color w:val="000000" w:themeColor="text1"/>
                <w:szCs w:val="26"/>
                <w:lang w:val="lv-LV"/>
              </w:rPr>
              <w:t xml:space="preserve"> (turpmāk – VID)</w:t>
            </w:r>
            <w:r>
              <w:rPr>
                <w:color w:val="000000" w:themeColor="text1"/>
                <w:szCs w:val="26"/>
                <w:lang w:val="lv-LV"/>
              </w:rPr>
              <w:t xml:space="preserve"> datiem, kopumā</w:t>
            </w:r>
            <w:r w:rsidR="002F4AA6">
              <w:rPr>
                <w:color w:val="000000" w:themeColor="text1"/>
                <w:szCs w:val="26"/>
                <w:lang w:val="lv-LV"/>
              </w:rPr>
              <w:t xml:space="preserve"> līdz 2021. gada 30.jūnijam</w:t>
            </w:r>
            <w:r>
              <w:rPr>
                <w:color w:val="000000" w:themeColor="text1"/>
                <w:szCs w:val="26"/>
                <w:lang w:val="lv-LV"/>
              </w:rPr>
              <w:t xml:space="preserve"> ir saņemti </w:t>
            </w:r>
            <w:r w:rsidR="002F4AA6">
              <w:rPr>
                <w:color w:val="000000" w:themeColor="text1"/>
                <w:szCs w:val="26"/>
                <w:lang w:val="lv-LV"/>
              </w:rPr>
              <w:t>43 850</w:t>
            </w:r>
            <w:r w:rsidRPr="000E5059">
              <w:rPr>
                <w:color w:val="000000" w:themeColor="text1"/>
                <w:szCs w:val="26"/>
                <w:lang w:val="lv-LV"/>
              </w:rPr>
              <w:t xml:space="preserve"> iesniegum</w:t>
            </w:r>
            <w:r w:rsidR="000161FA">
              <w:rPr>
                <w:color w:val="000000" w:themeColor="text1"/>
                <w:szCs w:val="26"/>
                <w:lang w:val="lv-LV"/>
              </w:rPr>
              <w:t>i</w:t>
            </w:r>
            <w:r w:rsidRPr="000E5059">
              <w:rPr>
                <w:color w:val="000000" w:themeColor="text1"/>
                <w:szCs w:val="26"/>
                <w:lang w:val="lv-LV"/>
              </w:rPr>
              <w:t xml:space="preserve">, kuros izmaksai pieprasītā summa ir </w:t>
            </w:r>
            <w:r w:rsidR="002F4AA6">
              <w:rPr>
                <w:color w:val="000000" w:themeColor="text1"/>
                <w:szCs w:val="26"/>
                <w:lang w:val="lv-LV"/>
              </w:rPr>
              <w:t>547 148 242</w:t>
            </w:r>
            <w:r w:rsidR="004C6739" w:rsidRPr="004C6739">
              <w:rPr>
                <w:color w:val="000000" w:themeColor="text1"/>
                <w:szCs w:val="26"/>
                <w:lang w:val="lv-LV"/>
              </w:rPr>
              <w:t xml:space="preserve"> </w:t>
            </w:r>
            <w:proofErr w:type="spellStart"/>
            <w:r w:rsidR="00D22951">
              <w:rPr>
                <w:color w:val="000000" w:themeColor="text1"/>
                <w:szCs w:val="26"/>
                <w:lang w:val="lv-LV"/>
              </w:rPr>
              <w:t>euro</w:t>
            </w:r>
            <w:proofErr w:type="spellEnd"/>
            <w:r w:rsidRPr="000E5059">
              <w:rPr>
                <w:color w:val="000000" w:themeColor="text1"/>
                <w:szCs w:val="26"/>
                <w:lang w:val="lv-LV"/>
              </w:rPr>
              <w:t xml:space="preserve">. </w:t>
            </w:r>
            <w:r w:rsidR="002F4AA6" w:rsidRPr="002F4AA6">
              <w:rPr>
                <w:rFonts w:eastAsia="Times New Roman"/>
                <w:szCs w:val="26"/>
                <w:lang w:val="lv-LV" w:eastAsia="lv-LV"/>
              </w:rPr>
              <w:t xml:space="preserve">Līdz 2021.gada 30.jūnijam VID ir izskatījis </w:t>
            </w:r>
            <w:r w:rsidR="002F4AA6" w:rsidRPr="002F4AA6">
              <w:rPr>
                <w:rFonts w:eastAsia="Times New Roman"/>
                <w:sz w:val="28"/>
                <w:szCs w:val="28"/>
                <w:lang w:val="lv-LV" w:eastAsia="lv-LV"/>
              </w:rPr>
              <w:t xml:space="preserve">37 390 </w:t>
            </w:r>
            <w:r w:rsidR="002F4AA6" w:rsidRPr="002F4AA6">
              <w:rPr>
                <w:rFonts w:eastAsia="Times New Roman"/>
                <w:szCs w:val="26"/>
                <w:lang w:val="lv-LV" w:eastAsia="lv-LV"/>
              </w:rPr>
              <w:t xml:space="preserve">iesniegumus, izmaksājot atbalstu 418 392 </w:t>
            </w:r>
            <w:r w:rsidR="002F4AA6" w:rsidRPr="002F4AA6">
              <w:rPr>
                <w:rFonts w:eastAsia="Times New Roman"/>
                <w:szCs w:val="26"/>
                <w:lang w:val="lv-LV" w:eastAsia="lv-LV"/>
              </w:rPr>
              <w:lastRenderedPageBreak/>
              <w:t>339 EUR apmērā un atsakot izmaksu 33 770 905 EUR apmēra. Šobrīd izskatīšana</w:t>
            </w:r>
            <w:r w:rsidR="002F4AA6">
              <w:rPr>
                <w:rFonts w:eastAsia="Times New Roman"/>
                <w:szCs w:val="26"/>
                <w:lang w:val="lv-LV" w:eastAsia="lv-LV"/>
              </w:rPr>
              <w:t>i VID</w:t>
            </w:r>
            <w:r w:rsidR="002F4AA6" w:rsidRPr="002F4AA6">
              <w:rPr>
                <w:rFonts w:eastAsia="Times New Roman"/>
                <w:szCs w:val="26"/>
                <w:lang w:val="lv-LV" w:eastAsia="lv-LV"/>
              </w:rPr>
              <w:t xml:space="preserve"> procesā ir 6460 iesniegumi, kuros izmaksai pieprasīts atbalsts 94 984 999 EUR apmērā.</w:t>
            </w:r>
          </w:p>
          <w:p w14:paraId="0286F2D6" w14:textId="692AAB9B" w:rsidR="000E5059" w:rsidRDefault="002F4AA6" w:rsidP="000E5059">
            <w:pPr>
              <w:spacing w:before="120"/>
              <w:jc w:val="both"/>
              <w:rPr>
                <w:color w:val="000000" w:themeColor="text1"/>
                <w:szCs w:val="26"/>
                <w:lang w:val="lv-LV"/>
              </w:rPr>
            </w:pPr>
            <w:r>
              <w:rPr>
                <w:color w:val="000000" w:themeColor="text1"/>
                <w:szCs w:val="26"/>
                <w:lang w:val="lv-LV"/>
              </w:rPr>
              <w:t>S</w:t>
            </w:r>
            <w:r w:rsidR="007A6CAF">
              <w:rPr>
                <w:color w:val="000000" w:themeColor="text1"/>
                <w:szCs w:val="26"/>
                <w:lang w:val="lv-LV"/>
              </w:rPr>
              <w:t xml:space="preserve">askaņā ar VID sniegto </w:t>
            </w:r>
            <w:r w:rsidR="00DC7670">
              <w:rPr>
                <w:color w:val="000000" w:themeColor="text1"/>
                <w:szCs w:val="26"/>
                <w:lang w:val="lv-LV"/>
              </w:rPr>
              <w:t>informāciju</w:t>
            </w:r>
            <w:r w:rsidR="007A6CAF">
              <w:rPr>
                <w:color w:val="000000" w:themeColor="text1"/>
                <w:szCs w:val="26"/>
                <w:lang w:val="lv-LV"/>
              </w:rPr>
              <w:t xml:space="preserve"> </w:t>
            </w:r>
            <w:r w:rsidR="00D1005B">
              <w:rPr>
                <w:color w:val="000000" w:themeColor="text1"/>
                <w:szCs w:val="26"/>
                <w:lang w:val="lv-LV"/>
              </w:rPr>
              <w:t>n</w:t>
            </w:r>
            <w:r w:rsidR="000E5059" w:rsidRPr="000E5059">
              <w:rPr>
                <w:color w:val="000000" w:themeColor="text1"/>
                <w:szCs w:val="26"/>
                <w:lang w:val="lv-LV"/>
              </w:rPr>
              <w:t xml:space="preserve">o programmas kopējā paredzētā finansējuma, kas ir 533 800 000 </w:t>
            </w:r>
            <w:proofErr w:type="spellStart"/>
            <w:r w:rsidR="00D22951">
              <w:rPr>
                <w:color w:val="000000" w:themeColor="text1"/>
                <w:szCs w:val="26"/>
                <w:lang w:val="lv-LV"/>
              </w:rPr>
              <w:t>euro</w:t>
            </w:r>
            <w:proofErr w:type="spellEnd"/>
            <w:r w:rsidR="000E5059" w:rsidRPr="000E5059">
              <w:rPr>
                <w:color w:val="000000" w:themeColor="text1"/>
                <w:szCs w:val="26"/>
                <w:lang w:val="lv-LV"/>
              </w:rPr>
              <w:t>, atņemot jau izmaksāto atbalsta summu un vēl neizskatītajos iesniegumos pieprasīto atbalstu</w:t>
            </w:r>
            <w:r w:rsidR="009D5541">
              <w:rPr>
                <w:color w:val="000000" w:themeColor="text1"/>
                <w:szCs w:val="26"/>
                <w:lang w:val="lv-LV"/>
              </w:rPr>
              <w:t>, kā arī pārsūdzībās reģistrēto apjomu,</w:t>
            </w:r>
            <w:r w:rsidR="000E5059" w:rsidRPr="000E5059">
              <w:rPr>
                <w:color w:val="000000" w:themeColor="text1"/>
                <w:szCs w:val="26"/>
                <w:lang w:val="lv-LV"/>
              </w:rPr>
              <w:t>, atlikums</w:t>
            </w:r>
            <w:r w:rsidR="009D5541">
              <w:rPr>
                <w:color w:val="000000" w:themeColor="text1"/>
                <w:szCs w:val="26"/>
                <w:lang w:val="lv-LV"/>
              </w:rPr>
              <w:t xml:space="preserve"> atbalsta </w:t>
            </w:r>
            <w:r w:rsidR="00DC7670">
              <w:rPr>
                <w:color w:val="000000" w:themeColor="text1"/>
                <w:szCs w:val="26"/>
                <w:lang w:val="lv-LV"/>
              </w:rPr>
              <w:t>programmas</w:t>
            </w:r>
            <w:r w:rsidR="009D5541">
              <w:rPr>
                <w:color w:val="000000" w:themeColor="text1"/>
                <w:szCs w:val="26"/>
                <w:lang w:val="lv-LV"/>
              </w:rPr>
              <w:t xml:space="preserve"> īstenošanai par 2021.gada jūni</w:t>
            </w:r>
            <w:r w:rsidR="00231570">
              <w:rPr>
                <w:color w:val="000000" w:themeColor="text1"/>
                <w:szCs w:val="26"/>
                <w:lang w:val="lv-LV"/>
              </w:rPr>
              <w:t>ju ir</w:t>
            </w:r>
            <w:r w:rsidR="000E5059" w:rsidRPr="000E5059">
              <w:rPr>
                <w:color w:val="000000" w:themeColor="text1"/>
                <w:szCs w:val="26"/>
                <w:lang w:val="lv-LV"/>
              </w:rPr>
              <w:t xml:space="preserve"> 2</w:t>
            </w:r>
            <w:r w:rsidR="007A6CAF">
              <w:rPr>
                <w:color w:val="000000" w:themeColor="text1"/>
                <w:szCs w:val="26"/>
                <w:lang w:val="lv-LV"/>
              </w:rPr>
              <w:t>6</w:t>
            </w:r>
            <w:r w:rsidR="009D5541">
              <w:rPr>
                <w:color w:val="000000" w:themeColor="text1"/>
                <w:szCs w:val="26"/>
                <w:lang w:val="lv-LV"/>
              </w:rPr>
              <w:t xml:space="preserve"> </w:t>
            </w:r>
            <w:r w:rsidR="000E5059" w:rsidRPr="000E5059">
              <w:rPr>
                <w:color w:val="000000" w:themeColor="text1"/>
                <w:szCs w:val="26"/>
                <w:lang w:val="lv-LV"/>
              </w:rPr>
              <w:t xml:space="preserve">milj. </w:t>
            </w:r>
            <w:proofErr w:type="spellStart"/>
            <w:r w:rsidR="00D22951">
              <w:rPr>
                <w:color w:val="000000" w:themeColor="text1"/>
                <w:szCs w:val="26"/>
                <w:lang w:val="lv-LV"/>
              </w:rPr>
              <w:t>euro</w:t>
            </w:r>
            <w:proofErr w:type="spellEnd"/>
            <w:r w:rsidR="000E5059" w:rsidRPr="000E5059">
              <w:rPr>
                <w:color w:val="000000" w:themeColor="text1"/>
                <w:szCs w:val="26"/>
                <w:lang w:val="lv-LV"/>
              </w:rPr>
              <w:t xml:space="preserve">. </w:t>
            </w:r>
            <w:r w:rsidR="00231570">
              <w:rPr>
                <w:color w:val="000000" w:themeColor="text1"/>
                <w:szCs w:val="26"/>
                <w:lang w:val="lv-LV"/>
              </w:rPr>
              <w:t xml:space="preserve">Tāpat </w:t>
            </w:r>
            <w:r w:rsidR="000161FA">
              <w:rPr>
                <w:color w:val="000000" w:themeColor="text1"/>
                <w:szCs w:val="26"/>
                <w:lang w:val="lv-LV"/>
              </w:rPr>
              <w:t>VID p</w:t>
            </w:r>
            <w:r w:rsidR="000E5059" w:rsidRPr="000E5059">
              <w:rPr>
                <w:color w:val="000000" w:themeColor="text1"/>
                <w:szCs w:val="26"/>
                <w:lang w:val="lv-LV"/>
              </w:rPr>
              <w:t>ieņem, ka vēl neizskatītajiem iesniegumiem būs tāds pats atteikumu īpatsvars summas ziņā kā līdz šim</w:t>
            </w:r>
            <w:r w:rsidR="00D22951">
              <w:rPr>
                <w:color w:val="000000" w:themeColor="text1"/>
                <w:szCs w:val="26"/>
                <w:lang w:val="lv-LV"/>
              </w:rPr>
              <w:t xml:space="preserve"> saņemtajiem iesniegumiem</w:t>
            </w:r>
            <w:r w:rsidR="000E5059" w:rsidRPr="000E5059">
              <w:rPr>
                <w:color w:val="000000" w:themeColor="text1"/>
                <w:szCs w:val="26"/>
                <w:lang w:val="lv-LV"/>
              </w:rPr>
              <w:t xml:space="preserve"> (7,5%).</w:t>
            </w:r>
          </w:p>
          <w:p w14:paraId="082DB4AD" w14:textId="0E3D5EA8" w:rsidR="00231570" w:rsidRDefault="00A57B20" w:rsidP="009B5C65">
            <w:pPr>
              <w:spacing w:before="120"/>
              <w:jc w:val="both"/>
              <w:rPr>
                <w:color w:val="000000" w:themeColor="text1"/>
                <w:szCs w:val="26"/>
                <w:lang w:val="lv-LV"/>
              </w:rPr>
            </w:pPr>
            <w:r w:rsidRPr="00A57B20">
              <w:rPr>
                <w:color w:val="000000" w:themeColor="text1"/>
                <w:szCs w:val="26"/>
                <w:lang w:val="lv-LV"/>
              </w:rPr>
              <w:t>P</w:t>
            </w:r>
            <w:r w:rsidR="009B5C65" w:rsidRPr="00A57B20">
              <w:rPr>
                <w:color w:val="000000" w:themeColor="text1"/>
                <w:szCs w:val="26"/>
                <w:lang w:val="lv-LV"/>
              </w:rPr>
              <w:t>ar</w:t>
            </w:r>
            <w:r w:rsidR="00231570" w:rsidRPr="00A57B20">
              <w:rPr>
                <w:color w:val="000000" w:themeColor="text1"/>
                <w:szCs w:val="26"/>
                <w:lang w:val="lv-LV"/>
              </w:rPr>
              <w:t xml:space="preserve"> </w:t>
            </w:r>
            <w:r w:rsidR="009B5C65" w:rsidRPr="00A57B20">
              <w:rPr>
                <w:color w:val="000000" w:themeColor="text1"/>
                <w:szCs w:val="26"/>
                <w:lang w:val="lv-LV"/>
              </w:rPr>
              <w:t xml:space="preserve">apgrozāmo līdzekļu </w:t>
            </w:r>
            <w:proofErr w:type="spellStart"/>
            <w:r w:rsidR="009B5C65" w:rsidRPr="00A57B20">
              <w:rPr>
                <w:color w:val="000000" w:themeColor="text1"/>
                <w:szCs w:val="26"/>
                <w:lang w:val="lv-LV"/>
              </w:rPr>
              <w:t>grantu</w:t>
            </w:r>
            <w:proofErr w:type="spellEnd"/>
            <w:r w:rsidR="009B5C65" w:rsidRPr="00A57B20">
              <w:rPr>
                <w:color w:val="000000" w:themeColor="text1"/>
                <w:szCs w:val="26"/>
                <w:lang w:val="lv-LV"/>
              </w:rPr>
              <w:t xml:space="preserve"> saņemti iesniegumi: 2021.gada jūnijā – 113.5 milj. </w:t>
            </w:r>
            <w:proofErr w:type="spellStart"/>
            <w:r w:rsidR="006270DD">
              <w:rPr>
                <w:color w:val="000000" w:themeColor="text1"/>
                <w:szCs w:val="26"/>
                <w:lang w:val="lv-LV"/>
              </w:rPr>
              <w:t>euro</w:t>
            </w:r>
            <w:proofErr w:type="spellEnd"/>
            <w:r w:rsidR="009B5C65" w:rsidRPr="00A57B20">
              <w:rPr>
                <w:color w:val="000000" w:themeColor="text1"/>
                <w:szCs w:val="26"/>
                <w:lang w:val="lv-LV"/>
              </w:rPr>
              <w:t xml:space="preserve"> (par visiem mēnešiem, </w:t>
            </w:r>
            <w:r w:rsidR="0082029C">
              <w:rPr>
                <w:color w:val="000000" w:themeColor="text1"/>
                <w:szCs w:val="26"/>
                <w:lang w:val="lv-LV"/>
              </w:rPr>
              <w:t xml:space="preserve">no tiek </w:t>
            </w:r>
            <w:r w:rsidR="009B5C65" w:rsidRPr="00A57B20">
              <w:rPr>
                <w:color w:val="000000" w:themeColor="text1"/>
                <w:szCs w:val="26"/>
                <w:lang w:val="lv-LV"/>
              </w:rPr>
              <w:t>58,3</w:t>
            </w:r>
            <w:r w:rsidR="0082029C" w:rsidRPr="00A57B20">
              <w:rPr>
                <w:color w:val="000000" w:themeColor="text1"/>
                <w:szCs w:val="26"/>
                <w:lang w:val="lv-LV"/>
              </w:rPr>
              <w:t xml:space="preserve"> milj. </w:t>
            </w:r>
            <w:proofErr w:type="spellStart"/>
            <w:r w:rsidR="006270DD">
              <w:rPr>
                <w:color w:val="000000" w:themeColor="text1"/>
                <w:szCs w:val="26"/>
                <w:lang w:val="lv-LV"/>
              </w:rPr>
              <w:t>euro</w:t>
            </w:r>
            <w:proofErr w:type="spellEnd"/>
            <w:r w:rsidR="009B5C65" w:rsidRPr="00A57B20">
              <w:rPr>
                <w:color w:val="000000" w:themeColor="text1"/>
                <w:szCs w:val="26"/>
                <w:lang w:val="lv-LV"/>
              </w:rPr>
              <w:t xml:space="preserve"> tikai </w:t>
            </w:r>
            <w:r w:rsidR="0082029C">
              <w:rPr>
                <w:color w:val="000000" w:themeColor="text1"/>
                <w:szCs w:val="26"/>
                <w:lang w:val="lv-LV"/>
              </w:rPr>
              <w:t xml:space="preserve">par </w:t>
            </w:r>
            <w:r w:rsidR="009B5C65" w:rsidRPr="00A57B20">
              <w:rPr>
                <w:color w:val="000000" w:themeColor="text1"/>
                <w:szCs w:val="26"/>
                <w:lang w:val="lv-LV"/>
              </w:rPr>
              <w:t>maija mēnesi), maijā – 72 milj.</w:t>
            </w:r>
            <w:r w:rsidR="006270DD">
              <w:rPr>
                <w:color w:val="000000" w:themeColor="text1"/>
                <w:szCs w:val="26"/>
                <w:lang w:val="lv-LV"/>
              </w:rPr>
              <w:t xml:space="preserve"> </w:t>
            </w:r>
            <w:proofErr w:type="spellStart"/>
            <w:r w:rsidR="006270DD">
              <w:rPr>
                <w:color w:val="000000" w:themeColor="text1"/>
                <w:szCs w:val="26"/>
                <w:lang w:val="lv-LV"/>
              </w:rPr>
              <w:t>euro</w:t>
            </w:r>
            <w:proofErr w:type="spellEnd"/>
            <w:r w:rsidR="009B5C65" w:rsidRPr="00A57B20">
              <w:rPr>
                <w:color w:val="000000" w:themeColor="text1"/>
                <w:szCs w:val="26"/>
                <w:lang w:val="lv-LV"/>
              </w:rPr>
              <w:t xml:space="preserve">, – aprīlī 103 milj. </w:t>
            </w:r>
            <w:proofErr w:type="spellStart"/>
            <w:r w:rsidR="006270DD">
              <w:rPr>
                <w:color w:val="000000" w:themeColor="text1"/>
                <w:szCs w:val="26"/>
                <w:lang w:val="lv-LV"/>
              </w:rPr>
              <w:t>euro</w:t>
            </w:r>
            <w:proofErr w:type="spellEnd"/>
            <w:r w:rsidRPr="00A57B20">
              <w:rPr>
                <w:color w:val="000000" w:themeColor="text1"/>
                <w:szCs w:val="26"/>
                <w:lang w:val="lv-LV"/>
              </w:rPr>
              <w:t xml:space="preserve"> (VID dati).</w:t>
            </w:r>
          </w:p>
          <w:p w14:paraId="4CFCDADA" w14:textId="15EA7C4B" w:rsidR="00A37EC3" w:rsidRPr="00A57B20" w:rsidRDefault="00A37EC3" w:rsidP="009B5C65">
            <w:pPr>
              <w:spacing w:before="120"/>
              <w:jc w:val="both"/>
              <w:rPr>
                <w:color w:val="000000" w:themeColor="text1"/>
                <w:szCs w:val="26"/>
                <w:lang w:val="lv-LV"/>
              </w:rPr>
            </w:pPr>
            <w:r>
              <w:rPr>
                <w:color w:val="000000" w:themeColor="text1"/>
                <w:szCs w:val="26"/>
                <w:lang w:val="lv-LV"/>
              </w:rPr>
              <w:t xml:space="preserve">Vienlaikus līdz ar 2021.gada MK noteikumu </w:t>
            </w:r>
            <w:r w:rsidR="00ED1FDD">
              <w:rPr>
                <w:color w:val="000000" w:themeColor="text1"/>
                <w:szCs w:val="26"/>
                <w:lang w:val="lv-LV"/>
              </w:rPr>
              <w:t>Nr.334</w:t>
            </w:r>
            <w:r w:rsidR="006270DD">
              <w:rPr>
                <w:color w:val="000000" w:themeColor="text1"/>
                <w:szCs w:val="26"/>
                <w:lang w:val="lv-LV"/>
              </w:rPr>
              <w:t xml:space="preserve"> </w:t>
            </w:r>
            <w:r w:rsidR="00ED1FDD">
              <w:rPr>
                <w:color w:val="000000" w:themeColor="text1"/>
                <w:szCs w:val="26"/>
                <w:lang w:val="lv-LV"/>
              </w:rPr>
              <w:t>par jūnija mēnesi tika samazināts uz pusi pieejamais atbalsta apmērs, kas nozīmē, ka saglabājoties pieprasījuma tendencei, kāda ir bijusi par 2021.gada maija mēnesi, par 2021.gada jūniju būs nepieciešami</w:t>
            </w:r>
            <w:r w:rsidR="004323D8">
              <w:rPr>
                <w:color w:val="000000" w:themeColor="text1"/>
                <w:szCs w:val="26"/>
                <w:lang w:val="lv-LV"/>
              </w:rPr>
              <w:t xml:space="preserve"> ap 31 milj. </w:t>
            </w:r>
            <w:proofErr w:type="spellStart"/>
            <w:r w:rsidR="006270DD">
              <w:rPr>
                <w:color w:val="000000" w:themeColor="text1"/>
                <w:szCs w:val="26"/>
                <w:lang w:val="lv-LV"/>
              </w:rPr>
              <w:t>euro</w:t>
            </w:r>
            <w:proofErr w:type="spellEnd"/>
            <w:r w:rsidR="004323D8">
              <w:rPr>
                <w:color w:val="000000" w:themeColor="text1"/>
                <w:szCs w:val="26"/>
                <w:lang w:val="lv-LV"/>
              </w:rPr>
              <w:t>.</w:t>
            </w:r>
          </w:p>
          <w:p w14:paraId="2942A532" w14:textId="1E0B52CF" w:rsidR="000E5059" w:rsidRDefault="000E5059" w:rsidP="003E95FA">
            <w:pPr>
              <w:spacing w:before="120"/>
              <w:jc w:val="both"/>
              <w:rPr>
                <w:color w:val="000000" w:themeColor="text1"/>
                <w:szCs w:val="26"/>
                <w:lang w:val="lv-LV"/>
              </w:rPr>
            </w:pPr>
            <w:r w:rsidRPr="00A57B20">
              <w:rPr>
                <w:color w:val="000000" w:themeColor="text1"/>
                <w:szCs w:val="26"/>
                <w:lang w:val="lv-LV"/>
              </w:rPr>
              <w:t>Tādējādi prognozējams, ka iesniegumiem</w:t>
            </w:r>
            <w:r w:rsidRPr="000E5059">
              <w:rPr>
                <w:color w:val="000000" w:themeColor="text1"/>
                <w:szCs w:val="26"/>
                <w:lang w:val="lv-LV"/>
              </w:rPr>
              <w:t>, kas no 2021.gada 1.jūlija līdz 15.jūlijam tiks iesniegti par jūniju, finansējums būs nepietiekam</w:t>
            </w:r>
            <w:r w:rsidR="00F33113">
              <w:rPr>
                <w:color w:val="000000" w:themeColor="text1"/>
                <w:szCs w:val="26"/>
                <w:lang w:val="lv-LV"/>
              </w:rPr>
              <w:t>s</w:t>
            </w:r>
            <w:r w:rsidRPr="000E5059">
              <w:rPr>
                <w:color w:val="000000" w:themeColor="text1"/>
                <w:szCs w:val="26"/>
                <w:lang w:val="lv-LV"/>
              </w:rPr>
              <w:t xml:space="preserve"> visu iesniegumu apmaksai</w:t>
            </w:r>
            <w:r w:rsidR="004B68DB">
              <w:rPr>
                <w:color w:val="000000" w:themeColor="text1"/>
                <w:szCs w:val="26"/>
                <w:lang w:val="lv-LV"/>
              </w:rPr>
              <w:t xml:space="preserve">. </w:t>
            </w:r>
          </w:p>
          <w:p w14:paraId="17D277B7" w14:textId="03727AEC" w:rsidR="00791FC8" w:rsidRPr="00810C66" w:rsidRDefault="00224547" w:rsidP="00810C66">
            <w:pPr>
              <w:spacing w:before="120"/>
              <w:jc w:val="both"/>
              <w:rPr>
                <w:color w:val="000000" w:themeColor="text1"/>
                <w:szCs w:val="26"/>
                <w:shd w:val="clear" w:color="auto" w:fill="FFFFFF"/>
                <w:lang w:val="lv-LV"/>
              </w:rPr>
            </w:pPr>
            <w:r>
              <w:rPr>
                <w:color w:val="000000" w:themeColor="text1"/>
                <w:szCs w:val="26"/>
                <w:shd w:val="clear" w:color="auto" w:fill="FFFFFF"/>
                <w:lang w:val="lv-LV"/>
              </w:rPr>
              <w:t xml:space="preserve">Attiecīgi </w:t>
            </w:r>
            <w:r w:rsidR="00791FC8">
              <w:rPr>
                <w:color w:val="000000" w:themeColor="text1"/>
                <w:szCs w:val="26"/>
                <w:shd w:val="clear" w:color="auto" w:fill="FFFFFF"/>
                <w:lang w:val="lv-LV"/>
              </w:rPr>
              <w:t>MK Noteikumu projekts paredz</w:t>
            </w:r>
            <w:r w:rsidR="00810C66">
              <w:rPr>
                <w:color w:val="000000" w:themeColor="text1"/>
                <w:szCs w:val="26"/>
                <w:shd w:val="clear" w:color="auto" w:fill="FFFFFF"/>
                <w:lang w:val="lv-LV"/>
              </w:rPr>
              <w:t xml:space="preserve"> </w:t>
            </w:r>
            <w:r w:rsidR="008C0E7D">
              <w:rPr>
                <w:shd w:val="clear" w:color="auto" w:fill="FFFFFF"/>
                <w:lang w:val="lv-LV"/>
              </w:rPr>
              <w:t>p</w:t>
            </w:r>
            <w:r w:rsidR="00791FC8" w:rsidRPr="00791FC8">
              <w:rPr>
                <w:shd w:val="clear" w:color="auto" w:fill="FFFFFF"/>
                <w:lang w:val="lv-LV"/>
              </w:rPr>
              <w:t>apil</w:t>
            </w:r>
            <w:r w:rsidR="00E0243A">
              <w:rPr>
                <w:shd w:val="clear" w:color="auto" w:fill="FFFFFF"/>
                <w:lang w:val="lv-LV"/>
              </w:rPr>
              <w:t>dināt atbalst</w:t>
            </w:r>
            <w:r w:rsidR="00810C66">
              <w:rPr>
                <w:shd w:val="clear" w:color="auto" w:fill="FFFFFF"/>
                <w:lang w:val="lv-LV"/>
              </w:rPr>
              <w:t>a</w:t>
            </w:r>
            <w:r w:rsidR="00E0243A">
              <w:rPr>
                <w:shd w:val="clear" w:color="auto" w:fill="FFFFFF"/>
                <w:lang w:val="lv-LV"/>
              </w:rPr>
              <w:t xml:space="preserve"> programmu ar papildus</w:t>
            </w:r>
            <w:r w:rsidR="00791FC8" w:rsidRPr="00791FC8">
              <w:rPr>
                <w:shd w:val="clear" w:color="auto" w:fill="FFFFFF"/>
                <w:lang w:val="lv-LV"/>
              </w:rPr>
              <w:t xml:space="preserve"> finansējum</w:t>
            </w:r>
            <w:r w:rsidR="00E0243A">
              <w:rPr>
                <w:shd w:val="clear" w:color="auto" w:fill="FFFFFF"/>
                <w:lang w:val="lv-LV"/>
              </w:rPr>
              <w:t>u, kas nepieciešams pieteikumiem par</w:t>
            </w:r>
            <w:r w:rsidR="00791FC8" w:rsidRPr="00791FC8">
              <w:rPr>
                <w:shd w:val="clear" w:color="auto" w:fill="FFFFFF"/>
                <w:lang w:val="lv-LV"/>
              </w:rPr>
              <w:t xml:space="preserve"> 2021.g. </w:t>
            </w:r>
            <w:r w:rsidR="00810C66">
              <w:rPr>
                <w:shd w:val="clear" w:color="auto" w:fill="FFFFFF"/>
                <w:lang w:val="lv-LV"/>
              </w:rPr>
              <w:t xml:space="preserve">visu iesniegumu </w:t>
            </w:r>
            <w:r w:rsidR="00810C66" w:rsidRPr="00737FDE">
              <w:rPr>
                <w:shd w:val="clear" w:color="auto" w:fill="FFFFFF"/>
                <w:lang w:val="lv-LV"/>
              </w:rPr>
              <w:t>apmaksai</w:t>
            </w:r>
            <w:r w:rsidR="00791FC8" w:rsidRPr="00737FDE">
              <w:rPr>
                <w:shd w:val="clear" w:color="auto" w:fill="FFFFFF"/>
                <w:lang w:val="lv-LV"/>
              </w:rPr>
              <w:t xml:space="preserve">: 5 000 000 </w:t>
            </w:r>
            <w:proofErr w:type="spellStart"/>
            <w:r w:rsidR="006270DD">
              <w:rPr>
                <w:shd w:val="clear" w:color="auto" w:fill="FFFFFF"/>
                <w:lang w:val="lv-LV"/>
              </w:rPr>
              <w:t>euro</w:t>
            </w:r>
            <w:proofErr w:type="spellEnd"/>
            <w:r w:rsidR="00737FDE">
              <w:rPr>
                <w:shd w:val="clear" w:color="auto" w:fill="FFFFFF"/>
                <w:lang w:val="lv-LV"/>
              </w:rPr>
              <w:t>.</w:t>
            </w:r>
          </w:p>
          <w:p w14:paraId="44672C46" w14:textId="74E324E8" w:rsidR="00F47F29" w:rsidRPr="002E60EB" w:rsidRDefault="00DA0AEC" w:rsidP="00F47F29">
            <w:pPr>
              <w:pStyle w:val="paragraph"/>
              <w:spacing w:before="120" w:beforeAutospacing="0" w:after="0" w:afterAutospacing="0"/>
              <w:jc w:val="both"/>
              <w:rPr>
                <w:iCs/>
                <w:color w:val="000000" w:themeColor="text1"/>
                <w:sz w:val="26"/>
                <w:szCs w:val="26"/>
              </w:rPr>
            </w:pPr>
            <w:r>
              <w:rPr>
                <w:iCs/>
                <w:color w:val="000000" w:themeColor="text1"/>
                <w:sz w:val="26"/>
                <w:szCs w:val="26"/>
              </w:rPr>
              <w:t>Eiropas Komisijas 2020.gada 16.decembrī pieņēma lēmumu</w:t>
            </w:r>
            <w:r>
              <w:rPr>
                <w:color w:val="000000" w:themeColor="text1"/>
                <w:sz w:val="26"/>
                <w:szCs w:val="26"/>
              </w:rPr>
              <w:t xml:space="preserve"> par MK Noteikumiem Nr.676</w:t>
            </w:r>
            <w:r>
              <w:rPr>
                <w:iCs/>
                <w:color w:val="000000" w:themeColor="text1"/>
                <w:sz w:val="26"/>
                <w:szCs w:val="26"/>
              </w:rPr>
              <w:t xml:space="preserve"> (</w:t>
            </w:r>
            <w:r>
              <w:rPr>
                <w:i/>
                <w:color w:val="000000" w:themeColor="text1"/>
                <w:sz w:val="26"/>
                <w:szCs w:val="26"/>
              </w:rPr>
              <w:t xml:space="preserve">SA.59592 (2020/N) – Latvia COVID-19: Grants to </w:t>
            </w:r>
            <w:proofErr w:type="spellStart"/>
            <w:r>
              <w:rPr>
                <w:i/>
                <w:color w:val="000000" w:themeColor="text1"/>
                <w:sz w:val="26"/>
                <w:szCs w:val="26"/>
              </w:rPr>
              <w:t>companies</w:t>
            </w:r>
            <w:proofErr w:type="spellEnd"/>
            <w:r>
              <w:rPr>
                <w:i/>
                <w:color w:val="000000" w:themeColor="text1"/>
                <w:sz w:val="26"/>
                <w:szCs w:val="26"/>
              </w:rPr>
              <w:t xml:space="preserve"> </w:t>
            </w:r>
            <w:proofErr w:type="spellStart"/>
            <w:r>
              <w:rPr>
                <w:i/>
                <w:color w:val="000000" w:themeColor="text1"/>
                <w:sz w:val="26"/>
                <w:szCs w:val="26"/>
              </w:rPr>
              <w:t>affected</w:t>
            </w:r>
            <w:proofErr w:type="spellEnd"/>
            <w:r>
              <w:rPr>
                <w:i/>
                <w:color w:val="000000" w:themeColor="text1"/>
                <w:sz w:val="26"/>
                <w:szCs w:val="26"/>
              </w:rPr>
              <w:t xml:space="preserve"> </w:t>
            </w:r>
            <w:proofErr w:type="spellStart"/>
            <w:r>
              <w:rPr>
                <w:i/>
                <w:color w:val="000000" w:themeColor="text1"/>
                <w:sz w:val="26"/>
                <w:szCs w:val="26"/>
              </w:rPr>
              <w:t>by</w:t>
            </w:r>
            <w:proofErr w:type="spellEnd"/>
            <w:r>
              <w:rPr>
                <w:i/>
                <w:color w:val="000000" w:themeColor="text1"/>
                <w:sz w:val="26"/>
                <w:szCs w:val="26"/>
              </w:rPr>
              <w:t xml:space="preserve"> </w:t>
            </w:r>
            <w:proofErr w:type="spellStart"/>
            <w:r>
              <w:rPr>
                <w:i/>
                <w:color w:val="000000" w:themeColor="text1"/>
                <w:sz w:val="26"/>
                <w:szCs w:val="26"/>
              </w:rPr>
              <w:t>the</w:t>
            </w:r>
            <w:proofErr w:type="spellEnd"/>
            <w:r>
              <w:rPr>
                <w:i/>
                <w:color w:val="000000" w:themeColor="text1"/>
                <w:sz w:val="26"/>
                <w:szCs w:val="26"/>
              </w:rPr>
              <w:t xml:space="preserve"> COVID-19 </w:t>
            </w:r>
            <w:proofErr w:type="spellStart"/>
            <w:r>
              <w:rPr>
                <w:i/>
                <w:color w:val="000000" w:themeColor="text1"/>
                <w:sz w:val="26"/>
                <w:szCs w:val="26"/>
              </w:rPr>
              <w:t>crisis</w:t>
            </w:r>
            <w:proofErr w:type="spellEnd"/>
            <w:r>
              <w:rPr>
                <w:i/>
                <w:color w:val="000000" w:themeColor="text1"/>
                <w:sz w:val="26"/>
                <w:szCs w:val="26"/>
              </w:rPr>
              <w:t xml:space="preserve"> to </w:t>
            </w:r>
            <w:proofErr w:type="spellStart"/>
            <w:r>
              <w:rPr>
                <w:i/>
                <w:color w:val="000000" w:themeColor="text1"/>
                <w:sz w:val="26"/>
                <w:szCs w:val="26"/>
              </w:rPr>
              <w:t>ensure</w:t>
            </w:r>
            <w:proofErr w:type="spellEnd"/>
            <w:r>
              <w:rPr>
                <w:i/>
                <w:color w:val="000000" w:themeColor="text1"/>
                <w:sz w:val="26"/>
                <w:szCs w:val="26"/>
              </w:rPr>
              <w:t xml:space="preserve"> </w:t>
            </w:r>
            <w:proofErr w:type="spellStart"/>
            <w:r>
              <w:rPr>
                <w:i/>
                <w:color w:val="000000" w:themeColor="text1"/>
                <w:sz w:val="26"/>
                <w:szCs w:val="26"/>
              </w:rPr>
              <w:t>the</w:t>
            </w:r>
            <w:proofErr w:type="spellEnd"/>
            <w:r>
              <w:rPr>
                <w:i/>
                <w:color w:val="000000" w:themeColor="text1"/>
                <w:sz w:val="26"/>
                <w:szCs w:val="26"/>
              </w:rPr>
              <w:t xml:space="preserve"> </w:t>
            </w:r>
            <w:proofErr w:type="spellStart"/>
            <w:r>
              <w:rPr>
                <w:i/>
                <w:color w:val="000000" w:themeColor="text1"/>
                <w:sz w:val="26"/>
                <w:szCs w:val="26"/>
              </w:rPr>
              <w:t>flow</w:t>
            </w:r>
            <w:proofErr w:type="spellEnd"/>
            <w:r>
              <w:rPr>
                <w:i/>
                <w:color w:val="000000" w:themeColor="text1"/>
                <w:sz w:val="26"/>
                <w:szCs w:val="26"/>
              </w:rPr>
              <w:t xml:space="preserve"> </w:t>
            </w:r>
            <w:proofErr w:type="spellStart"/>
            <w:r>
              <w:rPr>
                <w:i/>
                <w:color w:val="000000" w:themeColor="text1"/>
                <w:sz w:val="26"/>
                <w:szCs w:val="26"/>
              </w:rPr>
              <w:t>of</w:t>
            </w:r>
            <w:proofErr w:type="spellEnd"/>
            <w:r>
              <w:rPr>
                <w:i/>
                <w:color w:val="000000" w:themeColor="text1"/>
                <w:sz w:val="26"/>
                <w:szCs w:val="26"/>
              </w:rPr>
              <w:t xml:space="preserve"> </w:t>
            </w:r>
            <w:proofErr w:type="spellStart"/>
            <w:r>
              <w:rPr>
                <w:i/>
                <w:color w:val="000000" w:themeColor="text1"/>
                <w:sz w:val="26"/>
                <w:szCs w:val="26"/>
              </w:rPr>
              <w:t>working</w:t>
            </w:r>
            <w:proofErr w:type="spellEnd"/>
            <w:r>
              <w:rPr>
                <w:i/>
                <w:color w:val="000000" w:themeColor="text1"/>
                <w:sz w:val="26"/>
                <w:szCs w:val="26"/>
              </w:rPr>
              <w:t xml:space="preserve"> </w:t>
            </w:r>
            <w:proofErr w:type="spellStart"/>
            <w:r>
              <w:rPr>
                <w:i/>
                <w:color w:val="000000" w:themeColor="text1"/>
                <w:sz w:val="26"/>
                <w:szCs w:val="26"/>
              </w:rPr>
              <w:t>capital</w:t>
            </w:r>
            <w:proofErr w:type="spellEnd"/>
            <w:r>
              <w:rPr>
                <w:iCs/>
                <w:color w:val="000000" w:themeColor="text1"/>
                <w:sz w:val="26"/>
                <w:szCs w:val="26"/>
              </w:rPr>
              <w:t>).</w:t>
            </w:r>
            <w:r w:rsidR="00FA2977">
              <w:rPr>
                <w:iCs/>
                <w:color w:val="000000" w:themeColor="text1"/>
                <w:sz w:val="26"/>
                <w:szCs w:val="26"/>
              </w:rPr>
              <w:t xml:space="preserve"> </w:t>
            </w:r>
            <w:r w:rsidR="00F47F29" w:rsidRPr="002E60EB">
              <w:rPr>
                <w:iCs/>
                <w:color w:val="000000" w:themeColor="text1"/>
                <w:sz w:val="26"/>
                <w:szCs w:val="26"/>
              </w:rPr>
              <w:t xml:space="preserve">Ņemot vērā MK Noteikumu projektā iekļautos grozījumus, </w:t>
            </w:r>
            <w:r w:rsidR="00737FDE">
              <w:rPr>
                <w:iCs/>
                <w:color w:val="000000" w:themeColor="text1"/>
                <w:sz w:val="26"/>
                <w:szCs w:val="26"/>
              </w:rPr>
              <w:t xml:space="preserve">nav nepieciešama skaņošana ar </w:t>
            </w:r>
            <w:r w:rsidR="00F47F29" w:rsidRPr="002E60EB">
              <w:rPr>
                <w:color w:val="000000" w:themeColor="text1"/>
                <w:sz w:val="26"/>
                <w:szCs w:val="26"/>
                <w:shd w:val="clear" w:color="auto" w:fill="FFFFFF"/>
              </w:rPr>
              <w:t xml:space="preserve"> Eiropas Komisij</w:t>
            </w:r>
            <w:r w:rsidR="00737FDE">
              <w:rPr>
                <w:color w:val="000000" w:themeColor="text1"/>
                <w:sz w:val="26"/>
                <w:szCs w:val="26"/>
                <w:shd w:val="clear" w:color="auto" w:fill="FFFFFF"/>
              </w:rPr>
              <w:t>u</w:t>
            </w:r>
            <w:r w:rsidR="00FA2977">
              <w:rPr>
                <w:color w:val="000000" w:themeColor="text1"/>
                <w:sz w:val="26"/>
                <w:szCs w:val="26"/>
                <w:shd w:val="clear" w:color="auto" w:fill="FFFFFF"/>
              </w:rPr>
              <w:t>, jo papildus nepieciešamais finansējums nepārsniedz 20% slieksni</w:t>
            </w:r>
            <w:r w:rsidR="00F47F29" w:rsidRPr="002E60EB">
              <w:rPr>
                <w:color w:val="000000" w:themeColor="text1"/>
                <w:sz w:val="26"/>
                <w:szCs w:val="26"/>
                <w:shd w:val="clear" w:color="auto" w:fill="FFFFFF"/>
              </w:rPr>
              <w:t>.</w:t>
            </w:r>
          </w:p>
          <w:p w14:paraId="049F31CB" w14:textId="7FFF151A" w:rsidR="00F47F29" w:rsidRDefault="002F4AB3" w:rsidP="00F47F29">
            <w:pPr>
              <w:spacing w:before="120"/>
              <w:jc w:val="both"/>
              <w:rPr>
                <w:rFonts w:eastAsia="Times New Roman"/>
                <w:color w:val="000000" w:themeColor="text1"/>
                <w:szCs w:val="26"/>
                <w:lang w:val="lv-LV"/>
              </w:rPr>
            </w:pPr>
            <w:r>
              <w:rPr>
                <w:color w:val="000000" w:themeColor="text1"/>
                <w:szCs w:val="26"/>
                <w:lang w:val="lv-LV"/>
              </w:rPr>
              <w:t>VID</w:t>
            </w:r>
            <w:r w:rsidR="00F47F29" w:rsidRPr="002E60EB">
              <w:rPr>
                <w:color w:val="000000" w:themeColor="text1"/>
                <w:szCs w:val="26"/>
                <w:lang w:val="lv-LV"/>
              </w:rPr>
              <w:t xml:space="preserve"> atbalsta izmaksu saskaņā MK Noteikumu projektā ietvertajiem grozījumiem veiks pēc </w:t>
            </w:r>
            <w:r w:rsidR="00F47F29" w:rsidRPr="002E60EB">
              <w:rPr>
                <w:color w:val="000000" w:themeColor="text1"/>
                <w:szCs w:val="26"/>
                <w:shd w:val="clear" w:color="auto" w:fill="FFFFFF"/>
                <w:lang w:val="lv-LV"/>
              </w:rPr>
              <w:t>MK Noteikumu projekta spēkā stāšanās</w:t>
            </w:r>
            <w:r w:rsidR="00F47F29" w:rsidRPr="002E60EB">
              <w:rPr>
                <w:rFonts w:eastAsia="Times New Roman"/>
                <w:szCs w:val="26"/>
                <w:lang w:val="lv-LV" w:eastAsia="lv-LV"/>
              </w:rPr>
              <w:t>.</w:t>
            </w:r>
          </w:p>
        </w:tc>
      </w:tr>
      <w:tr w:rsidR="00D07A40" w:rsidRPr="002E60EB" w14:paraId="1581811E" w14:textId="77777777" w:rsidTr="2C0AA7E5">
        <w:tc>
          <w:tcPr>
            <w:tcW w:w="546" w:type="dxa"/>
          </w:tcPr>
          <w:p w14:paraId="1F75A9DD"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lastRenderedPageBreak/>
              <w:t>3.</w:t>
            </w:r>
          </w:p>
        </w:tc>
        <w:tc>
          <w:tcPr>
            <w:tcW w:w="2094" w:type="dxa"/>
          </w:tcPr>
          <w:p w14:paraId="02A25626"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Projekta izstrādē iesaistītās institūcijas un publiskas personas kapitālsabiedrības</w:t>
            </w:r>
          </w:p>
        </w:tc>
        <w:tc>
          <w:tcPr>
            <w:tcW w:w="6427" w:type="dxa"/>
          </w:tcPr>
          <w:p w14:paraId="24D0783D"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Ekonomikas ministrija.</w:t>
            </w:r>
          </w:p>
        </w:tc>
      </w:tr>
      <w:tr w:rsidR="00D07A40" w:rsidRPr="002E60EB" w14:paraId="63B5963D" w14:textId="77777777" w:rsidTr="2C0AA7E5">
        <w:tc>
          <w:tcPr>
            <w:tcW w:w="546" w:type="dxa"/>
          </w:tcPr>
          <w:p w14:paraId="0F9ABB3F"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4.</w:t>
            </w:r>
          </w:p>
        </w:tc>
        <w:tc>
          <w:tcPr>
            <w:tcW w:w="2094" w:type="dxa"/>
          </w:tcPr>
          <w:p w14:paraId="417DF209"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Cita informācija</w:t>
            </w:r>
          </w:p>
        </w:tc>
        <w:tc>
          <w:tcPr>
            <w:tcW w:w="6427" w:type="dxa"/>
          </w:tcPr>
          <w:p w14:paraId="10DF1293"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Nav.</w:t>
            </w:r>
          </w:p>
        </w:tc>
      </w:tr>
    </w:tbl>
    <w:p w14:paraId="53128261" w14:textId="78F0E986" w:rsidR="00D07A40" w:rsidRDefault="00D07A40" w:rsidP="003E95FA">
      <w:pPr>
        <w:tabs>
          <w:tab w:val="right" w:pos="9072"/>
        </w:tabs>
        <w:contextualSpacing/>
        <w:rPr>
          <w:color w:val="000000" w:themeColor="text1"/>
          <w:szCs w:val="26"/>
          <w:lang w:val="lv-LV"/>
        </w:rPr>
      </w:pPr>
    </w:p>
    <w:p w14:paraId="4D3BB636" w14:textId="06CA0B44" w:rsidR="006270DD" w:rsidRDefault="006270DD" w:rsidP="003E95FA">
      <w:pPr>
        <w:tabs>
          <w:tab w:val="right" w:pos="9072"/>
        </w:tabs>
        <w:contextualSpacing/>
        <w:rPr>
          <w:color w:val="000000" w:themeColor="text1"/>
          <w:szCs w:val="26"/>
          <w:lang w:val="lv-LV"/>
        </w:rPr>
      </w:pPr>
    </w:p>
    <w:p w14:paraId="101ED46C" w14:textId="77777777" w:rsidR="006270DD" w:rsidRPr="002E60EB" w:rsidRDefault="006270DD" w:rsidP="003E95FA">
      <w:pPr>
        <w:tabs>
          <w:tab w:val="right" w:pos="9072"/>
        </w:tabs>
        <w:contextualSpacing/>
        <w:rPr>
          <w:color w:val="000000" w:themeColor="text1"/>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D07A40" w:rsidRPr="00DB10ED" w14:paraId="43263127" w14:textId="77777777" w:rsidTr="003E95FA">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3DDDE707" w14:textId="77777777" w:rsidR="00D07A40" w:rsidRPr="002E60EB" w:rsidRDefault="00D07A40" w:rsidP="003E95FA">
            <w:pPr>
              <w:contextualSpacing/>
              <w:jc w:val="center"/>
              <w:rPr>
                <w:rFonts w:eastAsia="Times New Roman"/>
                <w:color w:val="000000" w:themeColor="text1"/>
                <w:szCs w:val="26"/>
                <w:lang w:val="lv-LV" w:eastAsia="lv-LV"/>
              </w:rPr>
            </w:pPr>
            <w:r w:rsidRPr="003E95FA">
              <w:rPr>
                <w:rFonts w:eastAsia="Times New Roman"/>
                <w:b/>
                <w:bCs/>
                <w:color w:val="000000" w:themeColor="text1"/>
                <w:szCs w:val="26"/>
                <w:lang w:val="lv-LV" w:eastAsia="lv-LV"/>
              </w:rPr>
              <w:t>II. Tiesību akta projekta ietekme uz sabiedrību, tautsaimniecības attīstību un administratīvo slogu</w:t>
            </w:r>
          </w:p>
        </w:tc>
      </w:tr>
      <w:tr w:rsidR="00D07A40" w:rsidRPr="00DB10ED" w14:paraId="731BB2C3" w14:textId="77777777" w:rsidTr="003E95FA">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21FA6016" w14:textId="77777777" w:rsidR="00D07A40" w:rsidRPr="002E60EB" w:rsidRDefault="00D07A40" w:rsidP="003E95FA">
            <w:pPr>
              <w:contextualSpacing/>
              <w:rPr>
                <w:rFonts w:eastAsia="Times New Roman"/>
                <w:color w:val="000000" w:themeColor="text1"/>
                <w:szCs w:val="26"/>
                <w:lang w:val="lv-LV" w:eastAsia="lv-LV"/>
              </w:rPr>
            </w:pPr>
            <w:r w:rsidRPr="003E95FA">
              <w:rPr>
                <w:rFonts w:eastAsia="Times New Roman"/>
                <w:color w:val="000000" w:themeColor="text1"/>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25C4D4B" w14:textId="77777777" w:rsidR="00D07A40" w:rsidRPr="002E60EB" w:rsidRDefault="00D07A40" w:rsidP="003E95FA">
            <w:pPr>
              <w:contextualSpacing/>
              <w:rPr>
                <w:rFonts w:eastAsia="Times New Roman"/>
                <w:color w:val="000000" w:themeColor="text1"/>
                <w:szCs w:val="26"/>
                <w:lang w:val="lv-LV" w:eastAsia="lv-LV"/>
              </w:rPr>
            </w:pPr>
            <w:r w:rsidRPr="003E95FA">
              <w:rPr>
                <w:rFonts w:eastAsia="Times New Roman"/>
                <w:color w:val="000000" w:themeColor="text1"/>
                <w:szCs w:val="26"/>
                <w:lang w:val="lv-LV" w:eastAsia="lv-LV"/>
              </w:rPr>
              <w:t xml:space="preserve">Sabiedrības </w:t>
            </w:r>
            <w:proofErr w:type="spellStart"/>
            <w:r w:rsidRPr="003E95FA">
              <w:rPr>
                <w:rFonts w:eastAsia="Times New Roman"/>
                <w:color w:val="000000" w:themeColor="text1"/>
                <w:szCs w:val="26"/>
                <w:lang w:val="lv-LV" w:eastAsia="lv-LV"/>
              </w:rPr>
              <w:t>mērķgrupas</w:t>
            </w:r>
            <w:proofErr w:type="spellEnd"/>
            <w:r w:rsidRPr="003E95FA">
              <w:rPr>
                <w:rFonts w:eastAsia="Times New Roman"/>
                <w:color w:val="000000" w:themeColor="text1"/>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6D9D856B" w14:textId="27522062" w:rsidR="00D07A40" w:rsidRPr="002E60EB" w:rsidRDefault="00D07A40" w:rsidP="003E95FA">
            <w:pPr>
              <w:jc w:val="both"/>
              <w:rPr>
                <w:rFonts w:eastAsia="Times New Roman"/>
                <w:szCs w:val="26"/>
                <w:lang w:val="lv-LV" w:eastAsia="lv-LV"/>
              </w:rPr>
            </w:pPr>
            <w:r w:rsidRPr="00EA6B58">
              <w:rPr>
                <w:szCs w:val="26"/>
                <w:lang w:val="lv-LV"/>
              </w:rPr>
              <w:t xml:space="preserve">Latvijā reģistrēti nodokļu maksātāji. </w:t>
            </w:r>
            <w:r w:rsidR="002F4AA6" w:rsidRPr="002F4AA6">
              <w:rPr>
                <w:color w:val="000000" w:themeColor="text1"/>
                <w:szCs w:val="26"/>
                <w:lang w:val="lv-LV"/>
              </w:rPr>
              <w:t>Atbilstoši V</w:t>
            </w:r>
            <w:r w:rsidR="002F4AA6">
              <w:rPr>
                <w:color w:val="000000" w:themeColor="text1"/>
                <w:szCs w:val="26"/>
                <w:lang w:val="lv-LV"/>
              </w:rPr>
              <w:t>ID</w:t>
            </w:r>
            <w:r w:rsidR="002F4AA6" w:rsidRPr="002F4AA6">
              <w:rPr>
                <w:color w:val="000000" w:themeColor="text1"/>
                <w:szCs w:val="26"/>
                <w:lang w:val="lv-LV"/>
              </w:rPr>
              <w:t xml:space="preserve"> datiem, kopumā līdz 2021. gada 30.jūnijam ir saņemti 43 850 iesniegumi, kuros izmaksai pieprasītā summa ir 547 148 242 </w:t>
            </w:r>
            <w:proofErr w:type="spellStart"/>
            <w:r w:rsidR="002F4AA6" w:rsidRPr="002F4AA6">
              <w:rPr>
                <w:color w:val="000000" w:themeColor="text1"/>
                <w:szCs w:val="26"/>
                <w:lang w:val="lv-LV"/>
              </w:rPr>
              <w:t>euro</w:t>
            </w:r>
            <w:proofErr w:type="spellEnd"/>
            <w:r w:rsidR="002F4AA6" w:rsidRPr="002F4AA6">
              <w:rPr>
                <w:color w:val="000000" w:themeColor="text1"/>
                <w:szCs w:val="26"/>
                <w:lang w:val="lv-LV"/>
              </w:rPr>
              <w:t xml:space="preserve">. Līdz 2021.gada 30.jūnijam VID ir izskatījis 37 390 iesniegumus, izmaksājot atbalstu 418 392 339 </w:t>
            </w:r>
            <w:proofErr w:type="spellStart"/>
            <w:r w:rsidR="002F4AA6">
              <w:rPr>
                <w:color w:val="000000" w:themeColor="text1"/>
                <w:szCs w:val="26"/>
                <w:lang w:val="lv-LV"/>
              </w:rPr>
              <w:t>euro</w:t>
            </w:r>
            <w:proofErr w:type="spellEnd"/>
            <w:r w:rsidR="002F4AA6" w:rsidRPr="002F4AA6">
              <w:rPr>
                <w:color w:val="000000" w:themeColor="text1"/>
                <w:szCs w:val="26"/>
                <w:lang w:val="lv-LV"/>
              </w:rPr>
              <w:t xml:space="preserve"> apmērā un atsakot izmaksu 33 770 905 </w:t>
            </w:r>
            <w:proofErr w:type="spellStart"/>
            <w:r w:rsidR="002F4AA6">
              <w:rPr>
                <w:color w:val="000000" w:themeColor="text1"/>
                <w:szCs w:val="26"/>
                <w:lang w:val="lv-LV"/>
              </w:rPr>
              <w:t>euro</w:t>
            </w:r>
            <w:proofErr w:type="spellEnd"/>
            <w:r w:rsidR="002F4AA6" w:rsidRPr="002F4AA6">
              <w:rPr>
                <w:color w:val="000000" w:themeColor="text1"/>
                <w:szCs w:val="26"/>
                <w:lang w:val="lv-LV"/>
              </w:rPr>
              <w:t xml:space="preserve"> apmēra. Šobrīd izskatīšana</w:t>
            </w:r>
            <w:r w:rsidR="002F4AA6">
              <w:rPr>
                <w:color w:val="000000" w:themeColor="text1"/>
                <w:szCs w:val="26"/>
                <w:lang w:val="lv-LV"/>
              </w:rPr>
              <w:t>i</w:t>
            </w:r>
            <w:r w:rsidR="002F4AA6" w:rsidRPr="002F4AA6">
              <w:rPr>
                <w:color w:val="000000" w:themeColor="text1"/>
                <w:szCs w:val="26"/>
                <w:lang w:val="lv-LV"/>
              </w:rPr>
              <w:t xml:space="preserve"> VID procesā ir 6460 iesniegumi, kuros izmaksai pieprasīts atbalsts 94 984 999 </w:t>
            </w:r>
            <w:proofErr w:type="spellStart"/>
            <w:r w:rsidR="002F4AA6">
              <w:rPr>
                <w:color w:val="000000" w:themeColor="text1"/>
                <w:szCs w:val="26"/>
                <w:lang w:val="lv-LV"/>
              </w:rPr>
              <w:t>euro</w:t>
            </w:r>
            <w:proofErr w:type="spellEnd"/>
            <w:r w:rsidR="002F4AA6" w:rsidRPr="002F4AA6">
              <w:rPr>
                <w:color w:val="000000" w:themeColor="text1"/>
                <w:szCs w:val="26"/>
                <w:lang w:val="lv-LV"/>
              </w:rPr>
              <w:t xml:space="preserve"> apmērā.</w:t>
            </w:r>
          </w:p>
        </w:tc>
      </w:tr>
      <w:tr w:rsidR="00D07A40" w:rsidRPr="00DB10ED" w14:paraId="46E577D4" w14:textId="77777777" w:rsidTr="003E95F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41BD3FC6"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757F3DC7"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64CB9985" w14:textId="71A8608E" w:rsidR="00D07A40" w:rsidRPr="002E60EB" w:rsidRDefault="00D07A40" w:rsidP="00F47F29">
            <w:pPr>
              <w:pStyle w:val="BodyText"/>
              <w:ind w:right="201"/>
              <w:contextualSpacing/>
              <w:rPr>
                <w:rFonts w:eastAsia="Calibri"/>
                <w:color w:val="000000" w:themeColor="text1"/>
                <w:sz w:val="26"/>
                <w:szCs w:val="26"/>
                <w:lang w:eastAsia="en-US"/>
              </w:rPr>
            </w:pPr>
            <w:r w:rsidRPr="002E60EB">
              <w:rPr>
                <w:rFonts w:eastAsia="Calibri"/>
                <w:color w:val="000000" w:themeColor="text1"/>
                <w:sz w:val="26"/>
                <w:szCs w:val="26"/>
                <w:lang w:eastAsia="en-US"/>
              </w:rPr>
              <w:t xml:space="preserve">MK Noteikumu projektā ietvertā tiesiskā regulējuma īstenošana tiks nodrošināta </w:t>
            </w:r>
            <w:r w:rsidR="002F4AB3">
              <w:rPr>
                <w:color w:val="000000" w:themeColor="text1"/>
                <w:sz w:val="26"/>
                <w:szCs w:val="26"/>
              </w:rPr>
              <w:t>VID</w:t>
            </w:r>
            <w:r w:rsidRPr="002E60EB">
              <w:rPr>
                <w:color w:val="000000" w:themeColor="text1"/>
                <w:sz w:val="26"/>
                <w:szCs w:val="26"/>
              </w:rPr>
              <w:t xml:space="preserve"> </w:t>
            </w:r>
            <w:r w:rsidRPr="002E60EB">
              <w:rPr>
                <w:rFonts w:eastAsia="Calibri"/>
                <w:color w:val="000000" w:themeColor="text1"/>
                <w:sz w:val="26"/>
                <w:szCs w:val="26"/>
                <w:lang w:eastAsia="en-US"/>
              </w:rPr>
              <w:t>esošo līdzekļu un cilvēkresursu ietvaros. Ar MK Noteikumu projektu paredzēts turpināt sniegt atbalstu nodokļu maksātājiem, kas veic saimniecisko darbību, bet to darbība ir ierobežota Covid-19 izplatības noteikto ierobežojumu dēļ, tādējādi stabilizējot situāciju tautsaimniecībā.</w:t>
            </w:r>
          </w:p>
        </w:tc>
      </w:tr>
      <w:tr w:rsidR="00D07A40" w:rsidRPr="002E60EB" w14:paraId="7097ED93" w14:textId="77777777" w:rsidTr="003E95F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41B07F09"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206F9624"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416A4A1B" w14:textId="77777777" w:rsidR="00D07A40" w:rsidRPr="002E60EB" w:rsidRDefault="00D07A40" w:rsidP="00F47F29">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šo jomu neskar.</w:t>
            </w:r>
          </w:p>
        </w:tc>
      </w:tr>
      <w:tr w:rsidR="00D07A40" w:rsidRPr="002E60EB" w14:paraId="053125F2" w14:textId="77777777" w:rsidTr="003E95FA">
        <w:trPr>
          <w:trHeight w:val="510"/>
        </w:trPr>
        <w:tc>
          <w:tcPr>
            <w:tcW w:w="270" w:type="dxa"/>
            <w:tcBorders>
              <w:top w:val="outset" w:sz="6" w:space="0" w:color="auto"/>
              <w:left w:val="outset" w:sz="6" w:space="0" w:color="auto"/>
              <w:bottom w:val="outset" w:sz="6" w:space="0" w:color="auto"/>
              <w:right w:val="outset" w:sz="6" w:space="0" w:color="auto"/>
            </w:tcBorders>
          </w:tcPr>
          <w:p w14:paraId="5EECEDAA"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4208E8A"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34C8D139" w14:textId="77777777" w:rsidR="00D07A40" w:rsidRPr="002E60EB" w:rsidRDefault="00D07A40" w:rsidP="00F47F29">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šo jomu neskar.</w:t>
            </w:r>
          </w:p>
        </w:tc>
      </w:tr>
      <w:tr w:rsidR="00D07A40" w:rsidRPr="002E60EB" w14:paraId="27DC842D" w14:textId="77777777" w:rsidTr="003E95FA">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56C72689"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7A2DAB16"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5F56095F" w14:textId="77777777" w:rsidR="00D07A40" w:rsidRPr="002E60EB" w:rsidRDefault="00D07A40" w:rsidP="00F47F29">
            <w:pPr>
              <w:ind w:right="201"/>
              <w:contextualSpacing/>
              <w:jc w:val="both"/>
              <w:rPr>
                <w:color w:val="000000" w:themeColor="text1"/>
                <w:szCs w:val="26"/>
                <w:lang w:val="lv-LV"/>
              </w:rPr>
            </w:pPr>
            <w:r w:rsidRPr="002E60EB">
              <w:rPr>
                <w:color w:val="000000" w:themeColor="text1"/>
                <w:szCs w:val="26"/>
                <w:lang w:val="lv-LV"/>
              </w:rPr>
              <w:t>Nav</w:t>
            </w:r>
          </w:p>
        </w:tc>
      </w:tr>
    </w:tbl>
    <w:p w14:paraId="62486C05" w14:textId="77777777" w:rsidR="00D07A40" w:rsidRPr="002E60EB" w:rsidRDefault="00D07A40" w:rsidP="00D07A40">
      <w:pPr>
        <w:contextualSpacing/>
        <w:rPr>
          <w:rFonts w:eastAsia="Times New Roman"/>
          <w:color w:val="000000" w:themeColor="text1"/>
          <w:szCs w:val="26"/>
          <w:lang w:val="lv-LV" w:eastAsia="lv-LV"/>
        </w:rPr>
      </w:pPr>
    </w:p>
    <w:p w14:paraId="4101652C" w14:textId="77777777" w:rsidR="00D07A40" w:rsidRPr="002E60EB" w:rsidRDefault="00D07A40" w:rsidP="00D07A40">
      <w:pPr>
        <w:contextualSpacing/>
        <w:rPr>
          <w:rFonts w:eastAsia="Times New Roman"/>
          <w:color w:val="000000" w:themeColor="text1"/>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986"/>
        <w:gridCol w:w="1316"/>
        <w:gridCol w:w="940"/>
        <w:gridCol w:w="1072"/>
        <w:gridCol w:w="919"/>
        <w:gridCol w:w="1077"/>
        <w:gridCol w:w="1072"/>
      </w:tblGrid>
      <w:tr w:rsidR="00D07A40" w:rsidRPr="00DB10ED" w14:paraId="0F5973CA" w14:textId="77777777" w:rsidTr="00F47F29">
        <w:tc>
          <w:tcPr>
            <w:tcW w:w="9219" w:type="dxa"/>
            <w:gridSpan w:val="8"/>
            <w:tcBorders>
              <w:top w:val="single" w:sz="4" w:space="0" w:color="auto"/>
              <w:left w:val="single" w:sz="4" w:space="0" w:color="auto"/>
              <w:bottom w:val="single" w:sz="4" w:space="0" w:color="auto"/>
              <w:right w:val="single" w:sz="4" w:space="0" w:color="auto"/>
            </w:tcBorders>
            <w:hideMark/>
          </w:tcPr>
          <w:p w14:paraId="1EE96E65" w14:textId="77777777" w:rsidR="00D07A40" w:rsidRPr="002E60EB" w:rsidRDefault="00D07A40" w:rsidP="00F47F29">
            <w:pPr>
              <w:pStyle w:val="ListParagraph"/>
              <w:tabs>
                <w:tab w:val="left" w:pos="317"/>
              </w:tabs>
              <w:spacing w:line="276" w:lineRule="auto"/>
              <w:ind w:left="0"/>
              <w:jc w:val="center"/>
              <w:rPr>
                <w:b/>
                <w:bCs/>
                <w:szCs w:val="26"/>
                <w:lang w:val="lv-LV" w:eastAsia="ja-JP"/>
              </w:rPr>
            </w:pPr>
            <w:r w:rsidRPr="002E60EB">
              <w:rPr>
                <w:b/>
                <w:bCs/>
                <w:szCs w:val="26"/>
                <w:lang w:val="lv-LV" w:eastAsia="ja-JP"/>
              </w:rPr>
              <w:t>III. Tiesību akta projekta ietekme uz valsts budžetu un pašvaldību budžetiem</w:t>
            </w:r>
          </w:p>
        </w:tc>
      </w:tr>
      <w:tr w:rsidR="00D07A40" w:rsidRPr="002E60EB" w14:paraId="4FD78769" w14:textId="77777777" w:rsidTr="00F47F29">
        <w:tc>
          <w:tcPr>
            <w:tcW w:w="1837" w:type="dxa"/>
            <w:vMerge w:val="restart"/>
            <w:tcBorders>
              <w:top w:val="single" w:sz="4" w:space="0" w:color="auto"/>
              <w:left w:val="single" w:sz="4" w:space="0" w:color="auto"/>
              <w:bottom w:val="single" w:sz="4" w:space="0" w:color="000000"/>
              <w:right w:val="single" w:sz="4" w:space="0" w:color="auto"/>
            </w:tcBorders>
          </w:tcPr>
          <w:p w14:paraId="4B99056E" w14:textId="77777777" w:rsidR="00D07A40" w:rsidRPr="002E60EB" w:rsidRDefault="00D07A40" w:rsidP="00F47F29">
            <w:pPr>
              <w:spacing w:line="276" w:lineRule="auto"/>
              <w:jc w:val="center"/>
              <w:rPr>
                <w:rFonts w:eastAsia="Times New Roman"/>
                <w:b/>
                <w:bCs/>
                <w:sz w:val="22"/>
                <w:szCs w:val="22"/>
                <w:lang w:val="lv-LV" w:eastAsia="ja-JP"/>
              </w:rPr>
            </w:pPr>
          </w:p>
          <w:p w14:paraId="1299C43A" w14:textId="77777777" w:rsidR="00D07A40" w:rsidRPr="002E60EB" w:rsidRDefault="00D07A40" w:rsidP="00F47F29">
            <w:pPr>
              <w:spacing w:line="276" w:lineRule="auto"/>
              <w:jc w:val="center"/>
              <w:rPr>
                <w:rFonts w:eastAsia="Times New Roman"/>
                <w:b/>
                <w:bCs/>
                <w:sz w:val="22"/>
                <w:szCs w:val="22"/>
                <w:lang w:val="lv-LV" w:eastAsia="ja-JP"/>
              </w:rPr>
            </w:pPr>
          </w:p>
          <w:p w14:paraId="4DDBEF00" w14:textId="77777777" w:rsidR="00D07A40" w:rsidRPr="002E60EB" w:rsidRDefault="00D07A40" w:rsidP="00F47F29">
            <w:pPr>
              <w:spacing w:line="276" w:lineRule="auto"/>
              <w:jc w:val="center"/>
              <w:rPr>
                <w:rFonts w:eastAsia="Times New Roman"/>
                <w:b/>
                <w:bCs/>
                <w:sz w:val="22"/>
                <w:szCs w:val="22"/>
                <w:lang w:val="lv-LV" w:eastAsia="ja-JP"/>
              </w:rPr>
            </w:pPr>
          </w:p>
          <w:p w14:paraId="3461D779" w14:textId="77777777" w:rsidR="00D07A40" w:rsidRPr="002E60EB" w:rsidRDefault="00D07A40" w:rsidP="00F47F29">
            <w:pPr>
              <w:spacing w:line="276" w:lineRule="auto"/>
              <w:jc w:val="center"/>
              <w:rPr>
                <w:rFonts w:eastAsia="Times New Roman"/>
                <w:b/>
                <w:bCs/>
                <w:sz w:val="22"/>
                <w:szCs w:val="22"/>
                <w:lang w:val="lv-LV" w:eastAsia="ja-JP"/>
              </w:rPr>
            </w:pPr>
          </w:p>
          <w:p w14:paraId="3CF2D8B6" w14:textId="77777777" w:rsidR="00D07A40" w:rsidRPr="002E60EB" w:rsidRDefault="00D07A40" w:rsidP="00F47F29">
            <w:pPr>
              <w:spacing w:line="276" w:lineRule="auto"/>
              <w:jc w:val="center"/>
              <w:rPr>
                <w:rFonts w:eastAsia="Times New Roman"/>
                <w:b/>
                <w:bCs/>
                <w:sz w:val="22"/>
                <w:szCs w:val="22"/>
                <w:lang w:val="lv-LV" w:eastAsia="ja-JP"/>
              </w:rPr>
            </w:pPr>
          </w:p>
          <w:p w14:paraId="2E6B85DF" w14:textId="77777777" w:rsidR="00D07A40" w:rsidRPr="002E60EB" w:rsidRDefault="00D07A40" w:rsidP="00F47F29">
            <w:pPr>
              <w:spacing w:line="276" w:lineRule="auto"/>
              <w:jc w:val="center"/>
              <w:rPr>
                <w:sz w:val="22"/>
                <w:szCs w:val="22"/>
                <w:lang w:val="lv-LV"/>
              </w:rPr>
            </w:pPr>
            <w:r w:rsidRPr="002E60EB">
              <w:rPr>
                <w:rFonts w:eastAsia="Times New Roman"/>
                <w:b/>
                <w:bCs/>
                <w:sz w:val="22"/>
                <w:szCs w:val="22"/>
                <w:lang w:val="lv-LV" w:eastAsia="ja-JP"/>
              </w:rPr>
              <w:t>Rādītāji</w:t>
            </w:r>
          </w:p>
        </w:tc>
        <w:tc>
          <w:tcPr>
            <w:tcW w:w="2302" w:type="dxa"/>
            <w:gridSpan w:val="2"/>
            <w:vMerge w:val="restart"/>
            <w:tcBorders>
              <w:top w:val="single" w:sz="4" w:space="0" w:color="auto"/>
              <w:left w:val="single" w:sz="4" w:space="0" w:color="auto"/>
              <w:bottom w:val="single" w:sz="4" w:space="0" w:color="000000"/>
              <w:right w:val="single" w:sz="4" w:space="0" w:color="auto"/>
            </w:tcBorders>
            <w:hideMark/>
          </w:tcPr>
          <w:p w14:paraId="5D157DC3"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
                <w:bCs/>
                <w:sz w:val="22"/>
                <w:szCs w:val="22"/>
                <w:lang w:val="lv-LV" w:eastAsia="ja-JP"/>
              </w:rPr>
              <w:t>2021.gads</w:t>
            </w:r>
          </w:p>
        </w:tc>
        <w:tc>
          <w:tcPr>
            <w:tcW w:w="5080" w:type="dxa"/>
            <w:gridSpan w:val="5"/>
            <w:tcBorders>
              <w:top w:val="single" w:sz="4" w:space="0" w:color="auto"/>
              <w:left w:val="single" w:sz="4" w:space="0" w:color="auto"/>
              <w:bottom w:val="single" w:sz="4" w:space="0" w:color="000000"/>
              <w:right w:val="single" w:sz="4" w:space="0" w:color="auto"/>
            </w:tcBorders>
            <w:hideMark/>
          </w:tcPr>
          <w:p w14:paraId="6065B54A"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Turpmākie trīs gadi (</w:t>
            </w:r>
            <w:proofErr w:type="spellStart"/>
            <w:r w:rsidRPr="002E60EB">
              <w:rPr>
                <w:rFonts w:eastAsia="Times New Roman"/>
                <w:i/>
                <w:iCs/>
                <w:sz w:val="22"/>
                <w:szCs w:val="22"/>
                <w:lang w:val="lv-LV" w:eastAsia="ja-JP"/>
              </w:rPr>
              <w:t>euro</w:t>
            </w:r>
            <w:proofErr w:type="spellEnd"/>
            <w:r w:rsidRPr="002E60EB">
              <w:rPr>
                <w:rFonts w:eastAsia="Times New Roman"/>
                <w:sz w:val="22"/>
                <w:szCs w:val="22"/>
                <w:lang w:val="lv-LV" w:eastAsia="ja-JP"/>
              </w:rPr>
              <w:t>)</w:t>
            </w:r>
          </w:p>
        </w:tc>
      </w:tr>
      <w:tr w:rsidR="00D07A40" w:rsidRPr="002E60EB" w14:paraId="2B5A912D" w14:textId="77777777" w:rsidTr="00F47F29">
        <w:tc>
          <w:tcPr>
            <w:tcW w:w="1837" w:type="dxa"/>
            <w:vMerge/>
            <w:tcBorders>
              <w:top w:val="single" w:sz="4" w:space="0" w:color="auto"/>
              <w:left w:val="single" w:sz="4" w:space="0" w:color="auto"/>
              <w:bottom w:val="single" w:sz="4" w:space="0" w:color="000000"/>
              <w:right w:val="single" w:sz="4" w:space="0" w:color="auto"/>
            </w:tcBorders>
            <w:vAlign w:val="center"/>
            <w:hideMark/>
          </w:tcPr>
          <w:p w14:paraId="0FB78278" w14:textId="77777777" w:rsidR="00D07A40" w:rsidRPr="002E60EB" w:rsidRDefault="00D07A40" w:rsidP="00F47F29">
            <w:pPr>
              <w:spacing w:line="276" w:lineRule="auto"/>
              <w:rPr>
                <w:sz w:val="22"/>
                <w:szCs w:val="22"/>
                <w:lang w:val="lv-LV"/>
              </w:rPr>
            </w:pPr>
          </w:p>
        </w:tc>
        <w:tc>
          <w:tcPr>
            <w:tcW w:w="2302" w:type="dxa"/>
            <w:gridSpan w:val="2"/>
            <w:vMerge/>
            <w:tcBorders>
              <w:top w:val="single" w:sz="4" w:space="0" w:color="auto"/>
              <w:left w:val="single" w:sz="4" w:space="0" w:color="auto"/>
              <w:bottom w:val="single" w:sz="4" w:space="0" w:color="000000"/>
              <w:right w:val="single" w:sz="4" w:space="0" w:color="auto"/>
            </w:tcBorders>
            <w:vAlign w:val="center"/>
            <w:hideMark/>
          </w:tcPr>
          <w:p w14:paraId="1FC39945" w14:textId="77777777" w:rsidR="00D07A40" w:rsidRPr="002E60EB" w:rsidRDefault="00D07A40" w:rsidP="00F47F29">
            <w:pPr>
              <w:spacing w:line="276" w:lineRule="auto"/>
              <w:rPr>
                <w:bCs/>
                <w:sz w:val="22"/>
                <w:szCs w:val="22"/>
                <w:lang w:val="lv-LV"/>
              </w:rPr>
            </w:pP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14:paraId="1FBE425F"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2022</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14:paraId="73F56A6F"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04FD3E"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2024</w:t>
            </w:r>
          </w:p>
        </w:tc>
      </w:tr>
      <w:tr w:rsidR="00D07A40" w:rsidRPr="002E60EB" w14:paraId="48F6B316" w14:textId="77777777" w:rsidTr="00F47F29">
        <w:tc>
          <w:tcPr>
            <w:tcW w:w="1837" w:type="dxa"/>
            <w:vMerge/>
            <w:tcBorders>
              <w:top w:val="single" w:sz="4" w:space="0" w:color="auto"/>
              <w:left w:val="single" w:sz="4" w:space="0" w:color="auto"/>
              <w:bottom w:val="single" w:sz="4" w:space="0" w:color="000000"/>
              <w:right w:val="single" w:sz="4" w:space="0" w:color="auto"/>
            </w:tcBorders>
            <w:vAlign w:val="center"/>
            <w:hideMark/>
          </w:tcPr>
          <w:p w14:paraId="0562CB0E" w14:textId="77777777" w:rsidR="00D07A40" w:rsidRPr="002E60EB" w:rsidRDefault="00D07A40" w:rsidP="00F47F29">
            <w:pPr>
              <w:spacing w:line="276" w:lineRule="auto"/>
              <w:rPr>
                <w:sz w:val="22"/>
                <w:szCs w:val="22"/>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771920B0"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valsts budžetu kārtējam gadam</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8217D64"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kārtējā gadā, salīdzinot ar valsts budžetu kārtējam gadam</w:t>
            </w:r>
          </w:p>
        </w:tc>
        <w:tc>
          <w:tcPr>
            <w:tcW w:w="940" w:type="dxa"/>
            <w:tcBorders>
              <w:top w:val="single" w:sz="4" w:space="0" w:color="auto"/>
              <w:left w:val="single" w:sz="4" w:space="0" w:color="auto"/>
              <w:bottom w:val="single" w:sz="4" w:space="0" w:color="auto"/>
              <w:right w:val="single" w:sz="4" w:space="0" w:color="auto"/>
            </w:tcBorders>
            <w:vAlign w:val="center"/>
          </w:tcPr>
          <w:p w14:paraId="4542D01F"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34CE0A41" w14:textId="77777777" w:rsidR="00D07A40" w:rsidRPr="002E60EB" w:rsidRDefault="00D07A40" w:rsidP="00F47F29">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58169A11"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2022. gadam</w:t>
            </w:r>
          </w:p>
        </w:tc>
        <w:tc>
          <w:tcPr>
            <w:tcW w:w="919" w:type="dxa"/>
            <w:tcBorders>
              <w:top w:val="single" w:sz="4" w:space="0" w:color="auto"/>
              <w:left w:val="single" w:sz="4" w:space="0" w:color="auto"/>
              <w:bottom w:val="single" w:sz="4" w:space="0" w:color="auto"/>
              <w:right w:val="single" w:sz="4" w:space="0" w:color="auto"/>
            </w:tcBorders>
            <w:vAlign w:val="center"/>
          </w:tcPr>
          <w:p w14:paraId="43999BE9"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62EBF3C5" w14:textId="77777777" w:rsidR="00D07A40" w:rsidRPr="002E60EB" w:rsidRDefault="00D07A40" w:rsidP="00F47F29">
            <w:pPr>
              <w:spacing w:line="276" w:lineRule="auto"/>
              <w:jc w:val="center"/>
              <w:rPr>
                <w:rFonts w:eastAsia="Times New Roman"/>
                <w:sz w:val="22"/>
                <w:szCs w:val="22"/>
                <w:lang w:val="lv-LV" w:eastAsia="ja-JP"/>
              </w:rPr>
            </w:pPr>
          </w:p>
        </w:tc>
        <w:tc>
          <w:tcPr>
            <w:tcW w:w="1077" w:type="dxa"/>
            <w:tcBorders>
              <w:top w:val="single" w:sz="4" w:space="0" w:color="auto"/>
              <w:left w:val="single" w:sz="4" w:space="0" w:color="auto"/>
              <w:bottom w:val="single" w:sz="4" w:space="0" w:color="auto"/>
              <w:right w:val="single" w:sz="4" w:space="0" w:color="auto"/>
            </w:tcBorders>
            <w:hideMark/>
          </w:tcPr>
          <w:p w14:paraId="012E5ED3"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909462D"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r>
      <w:tr w:rsidR="00D07A40" w:rsidRPr="002E60EB" w14:paraId="0ADDFDF6"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49841BE" w14:textId="77777777" w:rsidR="00D07A40" w:rsidRPr="002E60EB" w:rsidRDefault="00D07A40" w:rsidP="00F47F29">
            <w:pPr>
              <w:spacing w:line="276" w:lineRule="auto"/>
              <w:jc w:val="center"/>
              <w:rPr>
                <w:sz w:val="22"/>
                <w:szCs w:val="22"/>
                <w:lang w:val="lv-LV"/>
              </w:rPr>
            </w:pPr>
            <w:r w:rsidRPr="002E60EB">
              <w:rPr>
                <w:sz w:val="22"/>
                <w:szCs w:val="22"/>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18F999B5" w14:textId="77777777" w:rsidR="00D07A40" w:rsidRPr="002E60EB" w:rsidRDefault="00D07A40" w:rsidP="00F47F29">
            <w:pPr>
              <w:spacing w:line="276" w:lineRule="auto"/>
              <w:jc w:val="center"/>
              <w:rPr>
                <w:sz w:val="22"/>
                <w:szCs w:val="22"/>
                <w:lang w:val="lv-LV"/>
              </w:rPr>
            </w:pPr>
            <w:r w:rsidRPr="002E60EB">
              <w:rPr>
                <w:sz w:val="22"/>
                <w:szCs w:val="22"/>
                <w:lang w:val="lv-LV"/>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D5EC4" w14:textId="77777777" w:rsidR="00D07A40" w:rsidRPr="002E60EB" w:rsidRDefault="00D07A40" w:rsidP="00F47F29">
            <w:pPr>
              <w:spacing w:line="276" w:lineRule="auto"/>
              <w:jc w:val="center"/>
              <w:rPr>
                <w:bCs/>
                <w:sz w:val="22"/>
                <w:szCs w:val="22"/>
                <w:lang w:val="lv-LV"/>
              </w:rPr>
            </w:pPr>
            <w:r w:rsidRPr="002E60EB">
              <w:rPr>
                <w:sz w:val="22"/>
                <w:szCs w:val="22"/>
                <w:lang w:val="lv-LV"/>
              </w:rPr>
              <w:t>3</w:t>
            </w:r>
          </w:p>
        </w:tc>
        <w:tc>
          <w:tcPr>
            <w:tcW w:w="940" w:type="dxa"/>
            <w:tcBorders>
              <w:top w:val="single" w:sz="4" w:space="0" w:color="auto"/>
              <w:left w:val="single" w:sz="4" w:space="0" w:color="auto"/>
              <w:bottom w:val="single" w:sz="4" w:space="0" w:color="auto"/>
              <w:right w:val="single" w:sz="4" w:space="0" w:color="auto"/>
            </w:tcBorders>
            <w:vAlign w:val="center"/>
            <w:hideMark/>
          </w:tcPr>
          <w:p w14:paraId="2598DEE6"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78941E47"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5</w:t>
            </w:r>
          </w:p>
        </w:tc>
        <w:tc>
          <w:tcPr>
            <w:tcW w:w="919" w:type="dxa"/>
            <w:tcBorders>
              <w:top w:val="single" w:sz="4" w:space="0" w:color="auto"/>
              <w:left w:val="single" w:sz="4" w:space="0" w:color="auto"/>
              <w:bottom w:val="single" w:sz="4" w:space="0" w:color="auto"/>
              <w:right w:val="single" w:sz="4" w:space="0" w:color="auto"/>
            </w:tcBorders>
            <w:vAlign w:val="center"/>
            <w:hideMark/>
          </w:tcPr>
          <w:p w14:paraId="29B4EA11"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6</w:t>
            </w:r>
          </w:p>
        </w:tc>
        <w:tc>
          <w:tcPr>
            <w:tcW w:w="1077" w:type="dxa"/>
            <w:tcBorders>
              <w:top w:val="single" w:sz="4" w:space="0" w:color="auto"/>
              <w:left w:val="single" w:sz="4" w:space="0" w:color="auto"/>
              <w:bottom w:val="single" w:sz="4" w:space="0" w:color="auto"/>
              <w:right w:val="single" w:sz="4" w:space="0" w:color="auto"/>
            </w:tcBorders>
            <w:hideMark/>
          </w:tcPr>
          <w:p w14:paraId="75697EEC"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B0A208"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8</w:t>
            </w:r>
          </w:p>
        </w:tc>
      </w:tr>
      <w:tr w:rsidR="00D07A40" w:rsidRPr="002E60EB" w14:paraId="470134D8"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58D2E8A" w14:textId="77777777" w:rsidR="00D07A40" w:rsidRPr="006B795F" w:rsidRDefault="00D07A40" w:rsidP="00F47F29">
            <w:pPr>
              <w:spacing w:line="276" w:lineRule="auto"/>
              <w:rPr>
                <w:rFonts w:eastAsia="Times New Roman"/>
                <w:sz w:val="22"/>
                <w:szCs w:val="22"/>
                <w:lang w:val="lv-LV" w:eastAsia="ja-JP"/>
              </w:rPr>
            </w:pPr>
            <w:r w:rsidRPr="006B795F">
              <w:rPr>
                <w:rFonts w:eastAsia="Times New Roman"/>
                <w:sz w:val="22"/>
                <w:szCs w:val="22"/>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584315" w14:textId="20E1FEA5" w:rsidR="00D07A40" w:rsidRPr="006B795F" w:rsidRDefault="00EA6B58" w:rsidP="00F47F29">
            <w:pPr>
              <w:spacing w:line="276" w:lineRule="auto"/>
              <w:jc w:val="center"/>
              <w:rPr>
                <w:rFonts w:eastAsia="Arial Unicode MS"/>
                <w:sz w:val="22"/>
                <w:szCs w:val="22"/>
                <w:lang w:val="lv-LV"/>
              </w:rPr>
            </w:pPr>
            <w:r w:rsidRPr="006B795F">
              <w:rPr>
                <w:rFonts w:eastAsia="Arial Unicode MS"/>
                <w:sz w:val="22"/>
                <w:szCs w:val="22"/>
                <w:lang w:val="lv-LV"/>
              </w:rPr>
              <w:t>53</w:t>
            </w:r>
            <w:r w:rsidR="00856499" w:rsidRPr="006B795F">
              <w:rPr>
                <w:rFonts w:eastAsia="Arial Unicode MS"/>
                <w:sz w:val="22"/>
                <w:szCs w:val="22"/>
                <w:lang w:val="lv-LV"/>
              </w:rPr>
              <w:t>3</w:t>
            </w:r>
            <w:r w:rsidR="000838F8" w:rsidRPr="006B795F">
              <w:rPr>
                <w:rFonts w:eastAsia="Arial Unicode MS"/>
                <w:sz w:val="22"/>
                <w:szCs w:val="22"/>
                <w:lang w:val="lv-LV"/>
              </w:rPr>
              <w:t>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322F001" w14:textId="77777777" w:rsidR="00D07A40" w:rsidRPr="006B795F" w:rsidRDefault="00D07A40" w:rsidP="00F47F29">
            <w:pPr>
              <w:spacing w:line="276" w:lineRule="auto"/>
              <w:jc w:val="center"/>
              <w:rPr>
                <w:rFonts w:eastAsia="Arial Unicode MS"/>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7B7EFE02"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3113584"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531F93F"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13FF8E"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70D6AA5"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5CAA3366"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78ACC65" w14:textId="77777777" w:rsidR="00D07A40" w:rsidRPr="006B795F" w:rsidRDefault="00D07A40" w:rsidP="00F47F29">
            <w:pPr>
              <w:spacing w:line="276" w:lineRule="auto"/>
              <w:jc w:val="both"/>
              <w:rPr>
                <w:rFonts w:eastAsia="Arial Unicode MS"/>
                <w:sz w:val="22"/>
                <w:szCs w:val="22"/>
                <w:lang w:val="lv-LV"/>
              </w:rPr>
            </w:pPr>
            <w:r w:rsidRPr="006B795F">
              <w:rPr>
                <w:rFonts w:eastAsia="Arial Unicode MS"/>
                <w:sz w:val="22"/>
                <w:szCs w:val="22"/>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05F7728E" w14:textId="287098D2" w:rsidR="00D07A40" w:rsidRPr="006B795F" w:rsidRDefault="00EA6B58" w:rsidP="00F47F29">
            <w:pPr>
              <w:spacing w:line="276" w:lineRule="auto"/>
              <w:jc w:val="center"/>
              <w:rPr>
                <w:rFonts w:eastAsia="Arial Unicode MS"/>
                <w:sz w:val="22"/>
                <w:szCs w:val="22"/>
                <w:lang w:val="lv-LV"/>
              </w:rPr>
            </w:pPr>
            <w:r w:rsidRPr="006B795F">
              <w:rPr>
                <w:rFonts w:eastAsia="Arial Unicode MS"/>
                <w:sz w:val="22"/>
                <w:szCs w:val="22"/>
                <w:lang w:val="lv-LV"/>
              </w:rPr>
              <w:t>533 800 000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D22F59A" w14:textId="77777777" w:rsidR="00D07A40" w:rsidRPr="006B795F" w:rsidRDefault="00D07A40" w:rsidP="00F47F29">
            <w:pPr>
              <w:spacing w:line="276" w:lineRule="auto"/>
              <w:jc w:val="center"/>
              <w:rPr>
                <w:rFonts w:eastAsia="Arial Unicode MS"/>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6C62623"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A06C686"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1574AF32"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F44D54"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65DCE8A" w14:textId="77777777" w:rsidR="00D07A40" w:rsidRPr="006B795F" w:rsidRDefault="00D07A40" w:rsidP="00F47F29">
            <w:pPr>
              <w:tabs>
                <w:tab w:val="left" w:pos="315"/>
                <w:tab w:val="center" w:pos="459"/>
              </w:tabs>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05B60A21"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331811F" w14:textId="77777777" w:rsidR="00D07A40" w:rsidRPr="006B795F" w:rsidRDefault="00D07A40" w:rsidP="00F47F29">
            <w:pPr>
              <w:spacing w:line="276" w:lineRule="auto"/>
              <w:jc w:val="both"/>
              <w:rPr>
                <w:rFonts w:eastAsia="Arial Unicode MS"/>
                <w:sz w:val="22"/>
                <w:szCs w:val="22"/>
                <w:lang w:val="lv-LV"/>
              </w:rPr>
            </w:pPr>
            <w:r w:rsidRPr="006B795F">
              <w:rPr>
                <w:rFonts w:eastAsia="Arial Unicode MS"/>
                <w:sz w:val="22"/>
                <w:szCs w:val="22"/>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BD0726E" w14:textId="77777777" w:rsidR="00D07A40" w:rsidRPr="006B795F" w:rsidRDefault="00D07A40" w:rsidP="00F47F29">
            <w:pPr>
              <w:spacing w:line="276" w:lineRule="auto"/>
              <w:jc w:val="center"/>
              <w:rPr>
                <w:rFonts w:eastAsia="Arial Unicode MS"/>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7F30171" w14:textId="77777777" w:rsidR="00D07A40" w:rsidRPr="006B795F" w:rsidRDefault="00D07A40" w:rsidP="00F47F29">
            <w:pPr>
              <w:spacing w:line="276" w:lineRule="auto"/>
              <w:jc w:val="center"/>
              <w:rPr>
                <w:rFonts w:eastAsia="Arial Unicode MS"/>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32FFD68"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6BB521"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3AF8648"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6AE620"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56E414"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5D12F51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442BE94" w14:textId="77777777" w:rsidR="00D07A40" w:rsidRPr="006B795F" w:rsidRDefault="00D07A40" w:rsidP="00F47F29">
            <w:pPr>
              <w:spacing w:line="276" w:lineRule="auto"/>
              <w:jc w:val="both"/>
              <w:rPr>
                <w:rFonts w:eastAsia="Arial Unicode MS"/>
                <w:sz w:val="22"/>
                <w:szCs w:val="22"/>
                <w:lang w:val="lv-LV"/>
              </w:rPr>
            </w:pPr>
            <w:r w:rsidRPr="006B795F">
              <w:rPr>
                <w:rFonts w:eastAsia="Arial Unicode MS"/>
                <w:sz w:val="22"/>
                <w:szCs w:val="22"/>
                <w:lang w:val="lv-LV"/>
              </w:rPr>
              <w:lastRenderedPageBreak/>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C9F2DD"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4452D0A"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A355B75"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9F9DF6"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146225B"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207ADCD"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64A453"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650BAF9B"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73CF8C91" w14:textId="77777777" w:rsidR="00D07A40" w:rsidRPr="006B795F" w:rsidRDefault="00D07A40" w:rsidP="00F47F29">
            <w:pPr>
              <w:spacing w:line="276" w:lineRule="auto"/>
              <w:rPr>
                <w:rFonts w:eastAsia="Times New Roman"/>
                <w:sz w:val="22"/>
                <w:szCs w:val="22"/>
                <w:lang w:val="lv-LV" w:eastAsia="ja-JP"/>
              </w:rPr>
            </w:pPr>
            <w:r w:rsidRPr="006B795F">
              <w:rPr>
                <w:rFonts w:eastAsia="Times New Roman"/>
                <w:sz w:val="22"/>
                <w:szCs w:val="22"/>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3081C80F" w14:textId="55C073A0" w:rsidR="00D07A40" w:rsidRPr="006B795F" w:rsidRDefault="00EA6B58" w:rsidP="00F47F29">
            <w:pPr>
              <w:spacing w:line="276" w:lineRule="auto"/>
              <w:jc w:val="center"/>
              <w:rPr>
                <w:sz w:val="22"/>
                <w:szCs w:val="22"/>
                <w:lang w:val="lv-LV"/>
              </w:rPr>
            </w:pPr>
            <w:r w:rsidRPr="006B795F">
              <w:rPr>
                <w:rFonts w:eastAsia="Arial Unicode MS"/>
                <w:sz w:val="22"/>
                <w:szCs w:val="22"/>
                <w:lang w:val="lv-LV"/>
              </w:rPr>
              <w:t>533 800 000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209E21E" w14:textId="29C140C9" w:rsidR="00D07A40" w:rsidRPr="006B795F" w:rsidRDefault="00031231" w:rsidP="00F47F29">
            <w:pPr>
              <w:spacing w:line="276" w:lineRule="auto"/>
              <w:jc w:val="center"/>
              <w:rPr>
                <w:lang w:val="lv-LV"/>
              </w:rPr>
            </w:pPr>
            <w:r w:rsidRPr="006B795F">
              <w:rPr>
                <w:rFonts w:eastAsia="Arial Unicode MS"/>
                <w:sz w:val="22"/>
                <w:szCs w:val="22"/>
                <w:lang w:val="lv-LV"/>
              </w:rPr>
              <w:t>5 000 000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2D7B3BE" w14:textId="77777777" w:rsidR="00D07A40" w:rsidRPr="006B795F" w:rsidRDefault="00D07A40" w:rsidP="00F47F29">
            <w:pPr>
              <w:spacing w:line="276" w:lineRule="auto"/>
              <w:jc w:val="center"/>
              <w:rPr>
                <w:rFonts w:eastAsia="Times New Roman"/>
                <w:b/>
                <w:bCs/>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1E6EE343"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42EFDDCA" w14:textId="77777777" w:rsidR="00D07A40" w:rsidRPr="006B795F" w:rsidRDefault="00D07A40" w:rsidP="00F47F29">
            <w:pPr>
              <w:spacing w:line="360" w:lineRule="auto"/>
              <w:jc w:val="center"/>
              <w:rPr>
                <w:rFonts w:eastAsia="Times New Roman"/>
                <w:b/>
                <w:bCs/>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24370D3"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353C90A"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031231" w:rsidRPr="002E60EB" w14:paraId="6754B4A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53AB667" w14:textId="77777777" w:rsidR="00031231" w:rsidRPr="006B795F" w:rsidRDefault="00031231" w:rsidP="00031231">
            <w:pPr>
              <w:spacing w:line="276" w:lineRule="auto"/>
              <w:rPr>
                <w:rFonts w:eastAsia="Times New Roman"/>
                <w:sz w:val="22"/>
                <w:szCs w:val="22"/>
                <w:lang w:val="lv-LV"/>
              </w:rPr>
            </w:pPr>
            <w:r w:rsidRPr="006B795F">
              <w:rPr>
                <w:rFonts w:eastAsia="Times New Roman"/>
                <w:sz w:val="22"/>
                <w:szCs w:val="22"/>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1B12B4" w14:textId="2849F75A" w:rsidR="00031231" w:rsidRPr="006B795F" w:rsidRDefault="00EA6B58" w:rsidP="00031231">
            <w:pPr>
              <w:spacing w:line="276" w:lineRule="auto"/>
              <w:jc w:val="center"/>
              <w:rPr>
                <w:sz w:val="22"/>
                <w:szCs w:val="22"/>
                <w:lang w:val="lv-LV"/>
              </w:rPr>
            </w:pPr>
            <w:r w:rsidRPr="006B795F">
              <w:rPr>
                <w:rFonts w:eastAsia="Arial Unicode MS"/>
                <w:sz w:val="22"/>
                <w:szCs w:val="22"/>
                <w:lang w:val="lv-LV"/>
              </w:rPr>
              <w:t>533 800 000</w:t>
            </w:r>
          </w:p>
        </w:tc>
        <w:tc>
          <w:tcPr>
            <w:tcW w:w="1316" w:type="dxa"/>
            <w:tcBorders>
              <w:top w:val="single" w:sz="4" w:space="0" w:color="auto"/>
              <w:left w:val="single" w:sz="4" w:space="0" w:color="auto"/>
              <w:bottom w:val="single" w:sz="4" w:space="0" w:color="auto"/>
              <w:right w:val="single" w:sz="4" w:space="0" w:color="auto"/>
            </w:tcBorders>
            <w:vAlign w:val="center"/>
          </w:tcPr>
          <w:p w14:paraId="5EC6149D" w14:textId="75DF357C"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5 000 000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74C0320" w14:textId="77777777" w:rsidR="00031231" w:rsidRPr="006B795F" w:rsidRDefault="00031231" w:rsidP="00031231">
            <w:pPr>
              <w:spacing w:line="276" w:lineRule="auto"/>
              <w:jc w:val="center"/>
              <w:rPr>
                <w:rFonts w:eastAsia="Times New Roman"/>
                <w:b/>
                <w:bCs/>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222157C1"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9777341" w14:textId="77777777" w:rsidR="00031231" w:rsidRPr="006B795F" w:rsidRDefault="00031231" w:rsidP="00031231">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0A9710"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0717F1A" w14:textId="77777777" w:rsidR="00031231" w:rsidRPr="006B795F" w:rsidRDefault="00031231" w:rsidP="00031231">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5AB01884"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1568E8B" w14:textId="77777777" w:rsidR="00D07A40" w:rsidRPr="006B795F" w:rsidRDefault="00D07A40" w:rsidP="00F47F29">
            <w:pPr>
              <w:spacing w:line="276" w:lineRule="auto"/>
              <w:rPr>
                <w:rFonts w:eastAsia="Times New Roman"/>
                <w:sz w:val="22"/>
                <w:szCs w:val="22"/>
                <w:lang w:val="lv-LV"/>
              </w:rPr>
            </w:pPr>
            <w:r w:rsidRPr="006B795F">
              <w:rPr>
                <w:rFonts w:eastAsia="Times New Roman"/>
                <w:sz w:val="22"/>
                <w:szCs w:val="22"/>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6DD9CC"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DCFEC48"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750AB381"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1DA1EE"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4349761"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740B58"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2BA10F0"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D07A40" w:rsidRPr="002E60EB" w14:paraId="57A86C3A"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7650F608" w14:textId="77777777" w:rsidR="00D07A40" w:rsidRPr="006B795F" w:rsidRDefault="00D07A40" w:rsidP="00F47F29">
            <w:pPr>
              <w:spacing w:line="276" w:lineRule="auto"/>
              <w:rPr>
                <w:rFonts w:eastAsia="Times New Roman"/>
                <w:sz w:val="22"/>
                <w:szCs w:val="22"/>
                <w:lang w:val="lv-LV"/>
              </w:rPr>
            </w:pPr>
            <w:r w:rsidRPr="006B795F">
              <w:rPr>
                <w:rFonts w:eastAsia="Times New Roman"/>
                <w:sz w:val="22"/>
                <w:szCs w:val="22"/>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5C3BA76"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0BD7287"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2ECD0D9"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FAB9ECC"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5306EB0"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EAC5A90" w14:textId="77777777" w:rsidR="00D07A40" w:rsidRPr="006B795F" w:rsidRDefault="00D07A40" w:rsidP="00F47F29">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6EE7DBF" w14:textId="77777777" w:rsidR="00D07A40" w:rsidRPr="006B795F" w:rsidRDefault="00D07A40" w:rsidP="00F47F29">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031231" w:rsidRPr="002E60EB" w14:paraId="4CDC1A6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476801A" w14:textId="77777777" w:rsidR="00031231" w:rsidRPr="006B795F" w:rsidRDefault="00031231" w:rsidP="00031231">
            <w:pPr>
              <w:spacing w:line="276" w:lineRule="auto"/>
              <w:rPr>
                <w:rFonts w:eastAsia="Times New Roman"/>
                <w:sz w:val="22"/>
                <w:szCs w:val="22"/>
                <w:lang w:val="lv-LV" w:eastAsia="ja-JP"/>
              </w:rPr>
            </w:pPr>
            <w:r w:rsidRPr="006B795F">
              <w:rPr>
                <w:rFonts w:eastAsia="Times New Roman"/>
                <w:sz w:val="22"/>
                <w:szCs w:val="22"/>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5C0A68D0"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139BF1F3" w14:textId="38A2F716"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-5 000 000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03E3A27B" w14:textId="77777777" w:rsidR="00031231" w:rsidRPr="006B795F" w:rsidRDefault="00031231" w:rsidP="00031231">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69908A7"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7E83114B" w14:textId="77777777" w:rsidR="00031231" w:rsidRPr="006B795F" w:rsidRDefault="00031231" w:rsidP="00031231">
            <w:pPr>
              <w:spacing w:line="276" w:lineRule="auto"/>
              <w:jc w:val="center"/>
              <w:rPr>
                <w:rFonts w:eastAsia="Times New Roman"/>
                <w:b/>
                <w:sz w:val="22"/>
                <w:szCs w:val="22"/>
                <w:lang w:val="lv-LV" w:eastAsia="ja-JP"/>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8EA6124"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DD8D7F1" w14:textId="77777777" w:rsidR="00031231" w:rsidRPr="006B795F" w:rsidRDefault="00031231" w:rsidP="00031231">
            <w:pPr>
              <w:spacing w:line="276" w:lineRule="auto"/>
              <w:jc w:val="center"/>
              <w:rPr>
                <w:rFonts w:eastAsia="Times New Roman"/>
                <w:b/>
                <w:sz w:val="22"/>
                <w:szCs w:val="22"/>
                <w:lang w:val="lv-LV" w:eastAsia="ja-JP"/>
              </w:rPr>
            </w:pPr>
            <w:r w:rsidRPr="006B795F">
              <w:rPr>
                <w:rFonts w:eastAsia="Arial Unicode MS"/>
                <w:sz w:val="22"/>
                <w:szCs w:val="22"/>
                <w:lang w:val="lv-LV"/>
              </w:rPr>
              <w:t>0</w:t>
            </w:r>
          </w:p>
        </w:tc>
      </w:tr>
      <w:tr w:rsidR="00031231" w:rsidRPr="002E60EB" w14:paraId="61E147C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6B7AFA3" w14:textId="77777777" w:rsidR="00031231" w:rsidRPr="006B795F" w:rsidRDefault="00031231" w:rsidP="00031231">
            <w:pPr>
              <w:spacing w:line="276" w:lineRule="auto"/>
              <w:rPr>
                <w:rFonts w:eastAsia="Times New Roman"/>
                <w:sz w:val="22"/>
                <w:szCs w:val="22"/>
                <w:lang w:val="lv-LV"/>
              </w:rPr>
            </w:pPr>
            <w:r w:rsidRPr="006B795F">
              <w:rPr>
                <w:rFonts w:eastAsia="Times New Roman"/>
                <w:sz w:val="22"/>
                <w:szCs w:val="22"/>
                <w:lang w:val="lv-LV"/>
              </w:rPr>
              <w:t>3.1.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2E8F6A62"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61F2810F" w14:textId="5EEDD418"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-5 000 000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331ECE4C"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3940899A"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DB21CA6"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941064"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6400BC5"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r>
      <w:tr w:rsidR="00031231" w:rsidRPr="002E60EB" w14:paraId="24FDC99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44D3E05C" w14:textId="77777777" w:rsidR="00031231" w:rsidRPr="006B795F" w:rsidRDefault="00031231" w:rsidP="00031231">
            <w:pPr>
              <w:spacing w:line="276" w:lineRule="auto"/>
              <w:rPr>
                <w:rFonts w:eastAsia="Times New Roman"/>
                <w:sz w:val="22"/>
                <w:szCs w:val="22"/>
                <w:lang w:val="lv-LV"/>
              </w:rPr>
            </w:pPr>
            <w:r w:rsidRPr="006B795F">
              <w:rPr>
                <w:rFonts w:eastAsia="Times New Roman"/>
                <w:sz w:val="22"/>
                <w:szCs w:val="22"/>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62729E8"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623F4A41"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37047F10"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8C27B80"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846B226"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7C6CF4"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298C3B7"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r>
      <w:tr w:rsidR="00031231" w:rsidRPr="002E60EB" w14:paraId="58EE851C"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3251B4D" w14:textId="77777777" w:rsidR="00031231" w:rsidRPr="006B795F" w:rsidRDefault="00031231" w:rsidP="00031231">
            <w:pPr>
              <w:spacing w:line="276" w:lineRule="auto"/>
              <w:rPr>
                <w:rFonts w:eastAsia="Times New Roman"/>
                <w:sz w:val="22"/>
                <w:szCs w:val="22"/>
                <w:lang w:val="lv-LV"/>
              </w:rPr>
            </w:pPr>
            <w:r w:rsidRPr="006B795F">
              <w:rPr>
                <w:rFonts w:eastAsia="Times New Roman"/>
                <w:sz w:val="22"/>
                <w:szCs w:val="22"/>
                <w:lang w:val="lv-LV"/>
              </w:rPr>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D19A2F3"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81AA89C"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589E8F7"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B7B82DE"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5AF4EEF"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EC5F74"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FF82132"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0</w:t>
            </w:r>
          </w:p>
        </w:tc>
      </w:tr>
      <w:tr w:rsidR="00031231" w:rsidRPr="002E60EB" w14:paraId="5927086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54CDD91F" w14:textId="77777777" w:rsidR="00031231" w:rsidRPr="006B795F" w:rsidRDefault="00031231" w:rsidP="00031231">
            <w:pPr>
              <w:spacing w:line="276" w:lineRule="auto"/>
              <w:rPr>
                <w:rFonts w:eastAsia="Times New Roman"/>
                <w:sz w:val="22"/>
                <w:szCs w:val="22"/>
                <w:lang w:val="lv-LV" w:eastAsia="ja-JP"/>
              </w:rPr>
            </w:pPr>
            <w:r w:rsidRPr="006B795F">
              <w:rPr>
                <w:rFonts w:eastAsia="Times New Roman"/>
                <w:sz w:val="22"/>
                <w:szCs w:val="22"/>
                <w:lang w:val="lv-LV" w:eastAsia="ja-JP"/>
              </w:rPr>
              <w:t>4. Finanšu līdzekļi papildu izdevumu finansēšanai (kompensējošu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33096EF0"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X</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A2B7E28" w14:textId="64EE7309" w:rsidR="00031231" w:rsidRPr="006B795F" w:rsidRDefault="00031231" w:rsidP="00031231">
            <w:pPr>
              <w:spacing w:line="276" w:lineRule="auto"/>
              <w:jc w:val="center"/>
              <w:rPr>
                <w:rFonts w:eastAsia="Arial Unicode MS"/>
                <w:b/>
                <w:sz w:val="22"/>
                <w:szCs w:val="22"/>
                <w:lang w:val="lv-LV"/>
              </w:rPr>
            </w:pPr>
            <w:r w:rsidRPr="006B795F">
              <w:rPr>
                <w:rFonts w:eastAsia="Arial Unicode MS"/>
                <w:sz w:val="22"/>
                <w:szCs w:val="22"/>
                <w:lang w:val="lv-LV"/>
              </w:rPr>
              <w:t>+5 000 000</w:t>
            </w:r>
          </w:p>
        </w:tc>
        <w:tc>
          <w:tcPr>
            <w:tcW w:w="940" w:type="dxa"/>
            <w:tcBorders>
              <w:top w:val="single" w:sz="4" w:space="0" w:color="auto"/>
              <w:left w:val="single" w:sz="4" w:space="0" w:color="auto"/>
              <w:bottom w:val="single" w:sz="4" w:space="0" w:color="auto"/>
              <w:right w:val="single" w:sz="4" w:space="0" w:color="auto"/>
            </w:tcBorders>
            <w:hideMark/>
          </w:tcPr>
          <w:p w14:paraId="7E0CB7FE" w14:textId="77777777" w:rsidR="00031231" w:rsidRPr="006B795F" w:rsidRDefault="00031231" w:rsidP="00031231">
            <w:pPr>
              <w:spacing w:line="276" w:lineRule="auto"/>
              <w:ind w:left="-30"/>
              <w:jc w:val="center"/>
              <w:rPr>
                <w:rFonts w:eastAsia="Times New Roman"/>
                <w:b/>
                <w:sz w:val="22"/>
                <w:szCs w:val="22"/>
                <w:lang w:val="lv-LV"/>
              </w:rPr>
            </w:pPr>
            <w:r w:rsidRPr="006B795F">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DEAE328" w14:textId="77777777" w:rsidR="00031231" w:rsidRPr="006B795F" w:rsidRDefault="00031231" w:rsidP="00031231">
            <w:pPr>
              <w:spacing w:line="276" w:lineRule="auto"/>
              <w:ind w:left="-30"/>
              <w:jc w:val="center"/>
              <w:rPr>
                <w:rFonts w:eastAsia="Arial Unicode MS"/>
                <w:sz w:val="22"/>
                <w:szCs w:val="22"/>
                <w:lang w:val="lv-LV"/>
              </w:rPr>
            </w:pPr>
            <w:r w:rsidRPr="006B795F">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hideMark/>
          </w:tcPr>
          <w:p w14:paraId="41E61A33" w14:textId="77777777" w:rsidR="00031231" w:rsidRPr="006B795F" w:rsidRDefault="00031231" w:rsidP="00031231">
            <w:pPr>
              <w:spacing w:line="276" w:lineRule="auto"/>
              <w:ind w:left="-30"/>
              <w:jc w:val="center"/>
              <w:rPr>
                <w:rFonts w:eastAsia="Times New Roman"/>
                <w:b/>
                <w:sz w:val="22"/>
                <w:szCs w:val="22"/>
                <w:lang w:val="lv-LV"/>
              </w:rPr>
            </w:pPr>
            <w:r w:rsidRPr="006B795F">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6CED564F" w14:textId="77777777" w:rsidR="00031231" w:rsidRPr="006B795F" w:rsidRDefault="00031231" w:rsidP="00031231">
            <w:pPr>
              <w:spacing w:line="276" w:lineRule="auto"/>
              <w:ind w:left="-30"/>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2A5697B1" w14:textId="77777777" w:rsidR="00031231" w:rsidRPr="006B795F" w:rsidRDefault="00031231" w:rsidP="00031231">
            <w:pPr>
              <w:spacing w:line="276" w:lineRule="auto"/>
              <w:ind w:left="-30"/>
              <w:jc w:val="center"/>
              <w:rPr>
                <w:rFonts w:eastAsia="Times New Roman"/>
                <w:b/>
                <w:sz w:val="22"/>
                <w:szCs w:val="22"/>
                <w:lang w:val="lv-LV"/>
              </w:rPr>
            </w:pPr>
            <w:r w:rsidRPr="006B795F">
              <w:rPr>
                <w:rFonts w:eastAsia="Arial Unicode MS"/>
                <w:sz w:val="22"/>
                <w:szCs w:val="22"/>
                <w:lang w:val="lv-LV"/>
              </w:rPr>
              <w:t>X</w:t>
            </w:r>
          </w:p>
        </w:tc>
      </w:tr>
      <w:tr w:rsidR="00031231" w:rsidRPr="002E60EB" w14:paraId="66C48789"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41C5275C" w14:textId="77777777" w:rsidR="00031231" w:rsidRPr="006B795F" w:rsidRDefault="00031231" w:rsidP="00031231">
            <w:pPr>
              <w:spacing w:line="276" w:lineRule="auto"/>
              <w:rPr>
                <w:rFonts w:eastAsia="Times New Roman"/>
                <w:sz w:val="22"/>
                <w:szCs w:val="22"/>
                <w:lang w:val="lv-LV" w:eastAsia="ja-JP"/>
              </w:rPr>
            </w:pPr>
            <w:r w:rsidRPr="006B795F">
              <w:rPr>
                <w:rFonts w:eastAsia="Times New Roman"/>
                <w:sz w:val="22"/>
                <w:szCs w:val="22"/>
                <w:lang w:val="lv-LV"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2AA7E729" w14:textId="77777777" w:rsidR="00031231" w:rsidRPr="006B795F" w:rsidRDefault="00031231" w:rsidP="00031231">
            <w:pPr>
              <w:spacing w:line="276" w:lineRule="auto"/>
              <w:jc w:val="center"/>
              <w:rPr>
                <w:sz w:val="22"/>
                <w:szCs w:val="22"/>
                <w:lang w:val="lv-LV"/>
              </w:rPr>
            </w:pPr>
            <w:r w:rsidRPr="006B795F">
              <w:rPr>
                <w:rFonts w:eastAsia="Arial Unicode MS"/>
                <w:sz w:val="22"/>
                <w:szCs w:val="22"/>
                <w:lang w:val="lv-LV"/>
              </w:rPr>
              <w:t>X</w:t>
            </w:r>
          </w:p>
        </w:tc>
        <w:tc>
          <w:tcPr>
            <w:tcW w:w="1316" w:type="dxa"/>
            <w:tcBorders>
              <w:top w:val="single" w:sz="4" w:space="0" w:color="auto"/>
              <w:left w:val="single" w:sz="4" w:space="0" w:color="auto"/>
              <w:bottom w:val="single" w:sz="4" w:space="0" w:color="auto"/>
              <w:right w:val="single" w:sz="4" w:space="0" w:color="auto"/>
            </w:tcBorders>
            <w:vAlign w:val="center"/>
          </w:tcPr>
          <w:p w14:paraId="55059D96" w14:textId="77777777" w:rsidR="00031231" w:rsidRPr="006B795F" w:rsidRDefault="00031231" w:rsidP="00031231">
            <w:pPr>
              <w:spacing w:line="276" w:lineRule="auto"/>
              <w:jc w:val="center"/>
              <w:rPr>
                <w:sz w:val="22"/>
                <w:szCs w:val="22"/>
                <w:lang w:val="lv-LV"/>
              </w:rPr>
            </w:pPr>
            <w:r w:rsidRPr="006B795F">
              <w:rPr>
                <w:sz w:val="22"/>
                <w:szCs w:val="22"/>
                <w:lang w:val="lv-LV"/>
              </w:rPr>
              <w:t>0</w:t>
            </w:r>
          </w:p>
          <w:p w14:paraId="6D98A12B" w14:textId="77777777" w:rsidR="00031231" w:rsidRPr="006B795F" w:rsidRDefault="00031231" w:rsidP="00031231">
            <w:pPr>
              <w:spacing w:line="276" w:lineRule="auto"/>
              <w:jc w:val="center"/>
              <w:rPr>
                <w:sz w:val="22"/>
                <w:szCs w:val="22"/>
                <w:lang w:val="lv-LV"/>
              </w:rPr>
            </w:pPr>
          </w:p>
          <w:p w14:paraId="2946DB82" w14:textId="77777777" w:rsidR="00031231" w:rsidRPr="006B795F" w:rsidRDefault="00031231" w:rsidP="00031231">
            <w:pPr>
              <w:spacing w:line="276" w:lineRule="auto"/>
              <w:jc w:val="center"/>
              <w:rPr>
                <w:sz w:val="22"/>
                <w:szCs w:val="22"/>
                <w:lang w:val="lv-LV"/>
              </w:rPr>
            </w:pPr>
          </w:p>
          <w:p w14:paraId="5997CC1D" w14:textId="77777777" w:rsidR="00031231" w:rsidRPr="006B795F" w:rsidRDefault="00031231" w:rsidP="00031231">
            <w:pPr>
              <w:spacing w:line="276" w:lineRule="auto"/>
              <w:jc w:val="center"/>
              <w:rPr>
                <w:rFonts w:eastAsia="Arial Unicode MS"/>
                <w:sz w:val="22"/>
                <w:szCs w:val="22"/>
                <w:lang w:val="lv-LV"/>
              </w:rPr>
            </w:pPr>
          </w:p>
        </w:tc>
        <w:tc>
          <w:tcPr>
            <w:tcW w:w="940" w:type="dxa"/>
            <w:tcBorders>
              <w:top w:val="single" w:sz="4" w:space="0" w:color="auto"/>
              <w:left w:val="single" w:sz="4" w:space="0" w:color="auto"/>
              <w:bottom w:val="single" w:sz="4" w:space="0" w:color="auto"/>
              <w:right w:val="single" w:sz="4" w:space="0" w:color="auto"/>
            </w:tcBorders>
            <w:hideMark/>
          </w:tcPr>
          <w:p w14:paraId="6AE3BE76"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tcPr>
          <w:p w14:paraId="55B3BC3C" w14:textId="77777777" w:rsidR="00031231" w:rsidRPr="006B795F" w:rsidRDefault="00031231" w:rsidP="00031231">
            <w:pPr>
              <w:spacing w:line="276" w:lineRule="auto"/>
              <w:jc w:val="center"/>
              <w:rPr>
                <w:sz w:val="22"/>
                <w:szCs w:val="22"/>
                <w:lang w:val="lv-LV"/>
              </w:rPr>
            </w:pPr>
            <w:r w:rsidRPr="006B795F">
              <w:rPr>
                <w:sz w:val="22"/>
                <w:szCs w:val="22"/>
                <w:lang w:val="lv-LV"/>
              </w:rPr>
              <w:t>0</w:t>
            </w:r>
          </w:p>
          <w:p w14:paraId="110FFD37" w14:textId="77777777" w:rsidR="00031231" w:rsidRPr="006B795F" w:rsidRDefault="00031231" w:rsidP="00031231">
            <w:pPr>
              <w:spacing w:line="276" w:lineRule="auto"/>
              <w:jc w:val="center"/>
              <w:rPr>
                <w:sz w:val="22"/>
                <w:szCs w:val="22"/>
                <w:lang w:val="lv-LV"/>
              </w:rPr>
            </w:pPr>
          </w:p>
          <w:p w14:paraId="6B699379" w14:textId="77777777" w:rsidR="00031231" w:rsidRPr="006B795F" w:rsidRDefault="00031231" w:rsidP="00031231">
            <w:pPr>
              <w:spacing w:line="276" w:lineRule="auto"/>
              <w:jc w:val="center"/>
              <w:rPr>
                <w:sz w:val="22"/>
                <w:szCs w:val="22"/>
                <w:lang w:val="lv-LV"/>
              </w:rPr>
            </w:pPr>
          </w:p>
          <w:p w14:paraId="3FE9F23F" w14:textId="77777777" w:rsidR="00031231" w:rsidRPr="006B795F" w:rsidRDefault="00031231" w:rsidP="00031231">
            <w:pPr>
              <w:spacing w:line="276" w:lineRule="auto"/>
              <w:jc w:val="center"/>
              <w:rPr>
                <w:rFonts w:eastAsia="Arial Unicode MS"/>
                <w:sz w:val="22"/>
                <w:szCs w:val="22"/>
                <w:lang w:val="lv-LV"/>
              </w:rPr>
            </w:pPr>
          </w:p>
        </w:tc>
        <w:tc>
          <w:tcPr>
            <w:tcW w:w="919" w:type="dxa"/>
            <w:tcBorders>
              <w:top w:val="single" w:sz="4" w:space="0" w:color="auto"/>
              <w:left w:val="single" w:sz="4" w:space="0" w:color="auto"/>
              <w:bottom w:val="single" w:sz="4" w:space="0" w:color="auto"/>
              <w:right w:val="single" w:sz="4" w:space="0" w:color="auto"/>
            </w:tcBorders>
            <w:hideMark/>
          </w:tcPr>
          <w:p w14:paraId="18F67DA1"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52D73B1F" w14:textId="77777777" w:rsidR="00031231" w:rsidRPr="006B795F" w:rsidRDefault="00031231" w:rsidP="00031231">
            <w:pPr>
              <w:spacing w:line="276" w:lineRule="auto"/>
              <w:jc w:val="center"/>
              <w:rPr>
                <w:rFonts w:eastAsia="Arial Unicode MS"/>
                <w:sz w:val="22"/>
                <w:szCs w:val="22"/>
                <w:lang w:val="lv-LV"/>
              </w:rPr>
            </w:pPr>
            <w:r w:rsidRPr="006B795F">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551937A" w14:textId="77777777" w:rsidR="00031231" w:rsidRPr="006B795F" w:rsidRDefault="00031231" w:rsidP="00031231">
            <w:pPr>
              <w:spacing w:line="276" w:lineRule="auto"/>
              <w:jc w:val="center"/>
              <w:rPr>
                <w:rFonts w:eastAsia="Times New Roman"/>
                <w:sz w:val="22"/>
                <w:szCs w:val="22"/>
                <w:lang w:val="lv-LV"/>
              </w:rPr>
            </w:pPr>
            <w:r w:rsidRPr="006B795F">
              <w:rPr>
                <w:rFonts w:eastAsia="Arial Unicode MS"/>
                <w:sz w:val="22"/>
                <w:szCs w:val="22"/>
                <w:lang w:val="lv-LV"/>
              </w:rPr>
              <w:t>X</w:t>
            </w:r>
          </w:p>
        </w:tc>
      </w:tr>
      <w:tr w:rsidR="00031231" w:rsidRPr="00DB10ED" w14:paraId="17BDDBD1"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2A0E656" w14:textId="77777777" w:rsidR="00031231" w:rsidRPr="006B795F" w:rsidRDefault="00031231" w:rsidP="00031231">
            <w:pPr>
              <w:spacing w:line="276" w:lineRule="auto"/>
              <w:rPr>
                <w:iCs/>
                <w:color w:val="000000"/>
                <w:sz w:val="22"/>
                <w:szCs w:val="22"/>
                <w:lang w:val="lv-LV"/>
              </w:rPr>
            </w:pPr>
            <w:r w:rsidRPr="006B795F">
              <w:rPr>
                <w:iCs/>
                <w:color w:val="000000"/>
                <w:sz w:val="22"/>
                <w:szCs w:val="22"/>
                <w:lang w:val="lv-LV"/>
              </w:rPr>
              <w:t>6. Detalizēts ieņēmumu un izdevumu aprēķins (ja nepieciešams, detalizētu ieņēmumu un izdevumu aprēķinu var pievienot anotācijas pielikumā):</w:t>
            </w:r>
          </w:p>
        </w:tc>
        <w:tc>
          <w:tcPr>
            <w:tcW w:w="7382" w:type="dxa"/>
            <w:gridSpan w:val="7"/>
            <w:vMerge w:val="restart"/>
            <w:tcBorders>
              <w:top w:val="single" w:sz="4" w:space="0" w:color="auto"/>
              <w:left w:val="single" w:sz="4" w:space="0" w:color="auto"/>
              <w:bottom w:val="single" w:sz="4" w:space="0" w:color="000000"/>
              <w:right w:val="single" w:sz="4" w:space="0" w:color="auto"/>
            </w:tcBorders>
          </w:tcPr>
          <w:p w14:paraId="2EE51165" w14:textId="6881C8E6" w:rsidR="002F4AA6" w:rsidRPr="002F4AA6" w:rsidRDefault="002F4AA6" w:rsidP="002F4AA6">
            <w:pPr>
              <w:spacing w:before="120"/>
              <w:jc w:val="both"/>
              <w:rPr>
                <w:rFonts w:ascii="Segoe UI" w:eastAsia="Times New Roman" w:hAnsi="Segoe UI" w:cs="Segoe UI"/>
                <w:sz w:val="21"/>
                <w:szCs w:val="21"/>
                <w:lang w:val="lv-LV" w:eastAsia="lv-LV"/>
              </w:rPr>
            </w:pPr>
            <w:r>
              <w:rPr>
                <w:color w:val="000000" w:themeColor="text1"/>
                <w:szCs w:val="26"/>
                <w:lang w:val="lv-LV"/>
              </w:rPr>
              <w:t>Atbilstoši VID datiem, kopumā līdz 2021. gada 30.jūnijam ir saņemti 43 850</w:t>
            </w:r>
            <w:r w:rsidRPr="000E5059">
              <w:rPr>
                <w:color w:val="000000" w:themeColor="text1"/>
                <w:szCs w:val="26"/>
                <w:lang w:val="lv-LV"/>
              </w:rPr>
              <w:t xml:space="preserve"> iesniegum</w:t>
            </w:r>
            <w:r>
              <w:rPr>
                <w:color w:val="000000" w:themeColor="text1"/>
                <w:szCs w:val="26"/>
                <w:lang w:val="lv-LV"/>
              </w:rPr>
              <w:t>i</w:t>
            </w:r>
            <w:r w:rsidRPr="000E5059">
              <w:rPr>
                <w:color w:val="000000" w:themeColor="text1"/>
                <w:szCs w:val="26"/>
                <w:lang w:val="lv-LV"/>
              </w:rPr>
              <w:t xml:space="preserve">, kuros izmaksai pieprasītā summa ir </w:t>
            </w:r>
            <w:r>
              <w:rPr>
                <w:color w:val="000000" w:themeColor="text1"/>
                <w:szCs w:val="26"/>
                <w:lang w:val="lv-LV"/>
              </w:rPr>
              <w:t>547 148 242</w:t>
            </w:r>
            <w:r w:rsidRPr="004C6739">
              <w:rPr>
                <w:color w:val="000000" w:themeColor="text1"/>
                <w:szCs w:val="26"/>
                <w:lang w:val="lv-LV"/>
              </w:rPr>
              <w:t xml:space="preserve"> </w:t>
            </w:r>
            <w:proofErr w:type="spellStart"/>
            <w:r>
              <w:rPr>
                <w:color w:val="000000" w:themeColor="text1"/>
                <w:szCs w:val="26"/>
                <w:lang w:val="lv-LV"/>
              </w:rPr>
              <w:t>euro</w:t>
            </w:r>
            <w:proofErr w:type="spellEnd"/>
            <w:r w:rsidRPr="000E5059">
              <w:rPr>
                <w:color w:val="000000" w:themeColor="text1"/>
                <w:szCs w:val="26"/>
                <w:lang w:val="lv-LV"/>
              </w:rPr>
              <w:t xml:space="preserve">. </w:t>
            </w:r>
            <w:r w:rsidRPr="002F4AA6">
              <w:rPr>
                <w:rFonts w:eastAsia="Times New Roman"/>
                <w:szCs w:val="26"/>
                <w:lang w:val="lv-LV" w:eastAsia="lv-LV"/>
              </w:rPr>
              <w:t xml:space="preserve">Līdz 2021.gada 30.jūnijam VID ir izskatījis </w:t>
            </w:r>
            <w:r w:rsidRPr="002F4AA6">
              <w:rPr>
                <w:rFonts w:eastAsia="Times New Roman"/>
                <w:sz w:val="28"/>
                <w:szCs w:val="28"/>
                <w:lang w:val="lv-LV" w:eastAsia="lv-LV"/>
              </w:rPr>
              <w:t xml:space="preserve">37 390 </w:t>
            </w:r>
            <w:r w:rsidRPr="002F4AA6">
              <w:rPr>
                <w:rFonts w:eastAsia="Times New Roman"/>
                <w:szCs w:val="26"/>
                <w:lang w:val="lv-LV" w:eastAsia="lv-LV"/>
              </w:rPr>
              <w:t xml:space="preserve">iesniegumus, izmaksājot atbalstu 418 392 339 </w:t>
            </w:r>
            <w:proofErr w:type="spellStart"/>
            <w:r>
              <w:rPr>
                <w:rFonts w:eastAsia="Times New Roman"/>
                <w:szCs w:val="26"/>
                <w:lang w:val="lv-LV" w:eastAsia="lv-LV"/>
              </w:rPr>
              <w:t>euro</w:t>
            </w:r>
            <w:proofErr w:type="spellEnd"/>
            <w:r w:rsidRPr="002F4AA6">
              <w:rPr>
                <w:rFonts w:eastAsia="Times New Roman"/>
                <w:szCs w:val="26"/>
                <w:lang w:val="lv-LV" w:eastAsia="lv-LV"/>
              </w:rPr>
              <w:t xml:space="preserve"> apmērā un atsakot izmaksu 33 770 905 </w:t>
            </w:r>
            <w:proofErr w:type="spellStart"/>
            <w:r>
              <w:rPr>
                <w:rFonts w:eastAsia="Times New Roman"/>
                <w:szCs w:val="26"/>
                <w:lang w:val="lv-LV" w:eastAsia="lv-LV"/>
              </w:rPr>
              <w:t>euro</w:t>
            </w:r>
            <w:proofErr w:type="spellEnd"/>
            <w:r w:rsidRPr="002F4AA6">
              <w:rPr>
                <w:rFonts w:eastAsia="Times New Roman"/>
                <w:szCs w:val="26"/>
                <w:lang w:val="lv-LV" w:eastAsia="lv-LV"/>
              </w:rPr>
              <w:t xml:space="preserve"> apmēra. Šobrīd izskatīšana</w:t>
            </w:r>
            <w:r>
              <w:rPr>
                <w:rFonts w:eastAsia="Times New Roman"/>
                <w:szCs w:val="26"/>
                <w:lang w:val="lv-LV" w:eastAsia="lv-LV"/>
              </w:rPr>
              <w:t>i VID</w:t>
            </w:r>
            <w:r w:rsidRPr="002F4AA6">
              <w:rPr>
                <w:rFonts w:eastAsia="Times New Roman"/>
                <w:szCs w:val="26"/>
                <w:lang w:val="lv-LV" w:eastAsia="lv-LV"/>
              </w:rPr>
              <w:t xml:space="preserve"> procesā ir 6460 iesniegumi, kuros izmaksai pieprasīts atbalsts 94 984 999 </w:t>
            </w:r>
            <w:proofErr w:type="spellStart"/>
            <w:r>
              <w:rPr>
                <w:rFonts w:eastAsia="Times New Roman"/>
                <w:szCs w:val="26"/>
                <w:lang w:val="lv-LV" w:eastAsia="lv-LV"/>
              </w:rPr>
              <w:t>euro</w:t>
            </w:r>
            <w:proofErr w:type="spellEnd"/>
            <w:r w:rsidRPr="002F4AA6">
              <w:rPr>
                <w:rFonts w:eastAsia="Times New Roman"/>
                <w:szCs w:val="26"/>
                <w:lang w:val="lv-LV" w:eastAsia="lv-LV"/>
              </w:rPr>
              <w:t xml:space="preserve"> apmērā.</w:t>
            </w:r>
          </w:p>
          <w:p w14:paraId="385D438C" w14:textId="7D3E2C48" w:rsidR="002F4AB3" w:rsidRDefault="002F4AB3" w:rsidP="002F4AB3">
            <w:pPr>
              <w:spacing w:before="120"/>
              <w:jc w:val="both"/>
              <w:rPr>
                <w:color w:val="000000" w:themeColor="text1"/>
                <w:szCs w:val="26"/>
                <w:shd w:val="clear" w:color="auto" w:fill="FFFFFF"/>
                <w:lang w:val="lv-LV"/>
              </w:rPr>
            </w:pPr>
            <w:r w:rsidRPr="002F4AB3">
              <w:rPr>
                <w:color w:val="000000" w:themeColor="text1"/>
                <w:szCs w:val="26"/>
                <w:shd w:val="clear" w:color="auto" w:fill="FFFFFF"/>
                <w:lang w:val="lv-LV"/>
              </w:rPr>
              <w:t xml:space="preserve">No programmas kopējā paredzētā finansējuma, kas ir 533 800 000 </w:t>
            </w:r>
            <w:proofErr w:type="spellStart"/>
            <w:r>
              <w:rPr>
                <w:color w:val="000000" w:themeColor="text1"/>
                <w:szCs w:val="26"/>
                <w:shd w:val="clear" w:color="auto" w:fill="FFFFFF"/>
                <w:lang w:val="lv-LV"/>
              </w:rPr>
              <w:t>euro</w:t>
            </w:r>
            <w:proofErr w:type="spellEnd"/>
            <w:r w:rsidRPr="002F4AB3">
              <w:rPr>
                <w:color w:val="000000" w:themeColor="text1"/>
                <w:szCs w:val="26"/>
                <w:shd w:val="clear" w:color="auto" w:fill="FFFFFF"/>
                <w:lang w:val="lv-LV"/>
              </w:rPr>
              <w:t xml:space="preserve">, atņemot jau izmaksāto atbalsta summu un vēl neizskatītajos iesniegumos pieprasīto atbalstu, atlikums 20,4 milj. </w:t>
            </w:r>
            <w:proofErr w:type="spellStart"/>
            <w:r>
              <w:rPr>
                <w:color w:val="000000" w:themeColor="text1"/>
                <w:szCs w:val="26"/>
                <w:shd w:val="clear" w:color="auto" w:fill="FFFFFF"/>
                <w:lang w:val="lv-LV"/>
              </w:rPr>
              <w:t>euro</w:t>
            </w:r>
            <w:proofErr w:type="spellEnd"/>
            <w:r w:rsidRPr="002F4AB3">
              <w:rPr>
                <w:color w:val="000000" w:themeColor="text1"/>
                <w:szCs w:val="26"/>
                <w:shd w:val="clear" w:color="auto" w:fill="FFFFFF"/>
                <w:lang w:val="lv-LV"/>
              </w:rPr>
              <w:t xml:space="preserve">. </w:t>
            </w:r>
            <w:r>
              <w:rPr>
                <w:color w:val="000000" w:themeColor="text1"/>
                <w:szCs w:val="26"/>
                <w:shd w:val="clear" w:color="auto" w:fill="FFFFFF"/>
                <w:lang w:val="lv-LV"/>
              </w:rPr>
              <w:t>Tiek pieņemts</w:t>
            </w:r>
            <w:r w:rsidRPr="002F4AB3">
              <w:rPr>
                <w:color w:val="000000" w:themeColor="text1"/>
                <w:szCs w:val="26"/>
                <w:shd w:val="clear" w:color="auto" w:fill="FFFFFF"/>
                <w:lang w:val="lv-LV"/>
              </w:rPr>
              <w:t>, ka vēl neizskatītajiem iesniegumiem būs tāds pats atteikumu īpatsvars summas ziņā kā līdz šim (7,5%), tādējādi būs pieejami vēl</w:t>
            </w:r>
            <w:r>
              <w:rPr>
                <w:color w:val="000000" w:themeColor="text1"/>
                <w:szCs w:val="26"/>
                <w:shd w:val="clear" w:color="auto" w:fill="FFFFFF"/>
                <w:lang w:val="lv-LV"/>
              </w:rPr>
              <w:t xml:space="preserve"> </w:t>
            </w:r>
            <w:r w:rsidRPr="002F4AB3">
              <w:rPr>
                <w:color w:val="000000" w:themeColor="text1"/>
                <w:szCs w:val="26"/>
                <w:shd w:val="clear" w:color="auto" w:fill="FFFFFF"/>
                <w:lang w:val="lv-LV"/>
              </w:rPr>
              <w:t xml:space="preserve">7 milj. </w:t>
            </w:r>
            <w:proofErr w:type="spellStart"/>
            <w:r>
              <w:rPr>
                <w:color w:val="000000" w:themeColor="text1"/>
                <w:szCs w:val="26"/>
                <w:shd w:val="clear" w:color="auto" w:fill="FFFFFF"/>
                <w:lang w:val="lv-LV"/>
              </w:rPr>
              <w:t>euro</w:t>
            </w:r>
            <w:proofErr w:type="spellEnd"/>
            <w:r w:rsidRPr="002F4AB3">
              <w:rPr>
                <w:color w:val="000000" w:themeColor="text1"/>
                <w:szCs w:val="26"/>
                <w:shd w:val="clear" w:color="auto" w:fill="FFFFFF"/>
                <w:lang w:val="lv-LV"/>
              </w:rPr>
              <w:t xml:space="preserve">, savukārt 1,4 milj. </w:t>
            </w:r>
            <w:proofErr w:type="spellStart"/>
            <w:r>
              <w:rPr>
                <w:color w:val="000000" w:themeColor="text1"/>
                <w:szCs w:val="26"/>
                <w:shd w:val="clear" w:color="auto" w:fill="FFFFFF"/>
                <w:lang w:val="lv-LV"/>
              </w:rPr>
              <w:t>euro</w:t>
            </w:r>
            <w:proofErr w:type="spellEnd"/>
            <w:r w:rsidRPr="002F4AB3">
              <w:rPr>
                <w:color w:val="000000" w:themeColor="text1"/>
                <w:szCs w:val="26"/>
                <w:shd w:val="clear" w:color="auto" w:fill="FFFFFF"/>
                <w:lang w:val="lv-LV"/>
              </w:rPr>
              <w:t xml:space="preserve"> </w:t>
            </w:r>
            <w:r w:rsidR="00BD0557">
              <w:rPr>
                <w:color w:val="000000" w:themeColor="text1"/>
                <w:szCs w:val="26"/>
                <w:shd w:val="clear" w:color="auto" w:fill="FFFFFF"/>
                <w:lang w:val="lv-LV"/>
              </w:rPr>
              <w:t>VID ir rezervējis</w:t>
            </w:r>
            <w:r w:rsidRPr="002F4AB3">
              <w:rPr>
                <w:color w:val="000000" w:themeColor="text1"/>
                <w:szCs w:val="26"/>
                <w:shd w:val="clear" w:color="auto" w:fill="FFFFFF"/>
                <w:lang w:val="lv-LV"/>
              </w:rPr>
              <w:t xml:space="preserve"> apstrīdēšanas procesā iespējamām korekcijām.</w:t>
            </w:r>
          </w:p>
          <w:p w14:paraId="148430F0" w14:textId="7DB15A59" w:rsidR="00AF5D16" w:rsidRPr="00AF5D16" w:rsidRDefault="00AF5D16" w:rsidP="00AF5D16">
            <w:pPr>
              <w:jc w:val="both"/>
              <w:rPr>
                <w:rFonts w:eastAsia="Times New Roman"/>
                <w:szCs w:val="26"/>
                <w:lang w:val="lv-LV" w:eastAsia="lv-LV"/>
              </w:rPr>
            </w:pPr>
            <w:r w:rsidRPr="00AF5D16">
              <w:rPr>
                <w:rFonts w:eastAsia="Times New Roman"/>
                <w:szCs w:val="26"/>
                <w:lang w:val="lv-LV" w:eastAsia="lv-LV"/>
              </w:rPr>
              <w:t xml:space="preserve">Tādējādi prognozējams, ka iesniegumiem, kas no 2021.gada 1.jūlija līdz 15.jūlijam tiks iesniegti par jūniju, finansējums būs </w:t>
            </w:r>
            <w:r>
              <w:rPr>
                <w:rFonts w:eastAsia="Times New Roman"/>
                <w:szCs w:val="26"/>
                <w:lang w:val="lv-LV" w:eastAsia="lv-LV"/>
              </w:rPr>
              <w:t>nepieciešams</w:t>
            </w:r>
            <w:r w:rsidRPr="00AF5D16">
              <w:rPr>
                <w:rFonts w:eastAsia="Times New Roman"/>
                <w:szCs w:val="26"/>
                <w:lang w:val="lv-LV" w:eastAsia="lv-LV"/>
              </w:rPr>
              <w:t xml:space="preserve"> aptuveni 26 milj. </w:t>
            </w:r>
            <w:proofErr w:type="spellStart"/>
            <w:r>
              <w:rPr>
                <w:rFonts w:eastAsia="Times New Roman"/>
                <w:szCs w:val="26"/>
                <w:lang w:val="lv-LV" w:eastAsia="lv-LV"/>
              </w:rPr>
              <w:t>euro</w:t>
            </w:r>
            <w:proofErr w:type="spellEnd"/>
            <w:r w:rsidRPr="00AF5D16">
              <w:rPr>
                <w:rFonts w:eastAsia="Times New Roman"/>
                <w:szCs w:val="26"/>
                <w:lang w:val="lv-LV" w:eastAsia="lv-LV"/>
              </w:rPr>
              <w:t xml:space="preserve"> apmērā</w:t>
            </w:r>
            <w:r>
              <w:rPr>
                <w:rFonts w:eastAsia="Times New Roman"/>
                <w:szCs w:val="26"/>
                <w:lang w:val="lv-LV" w:eastAsia="lv-LV"/>
              </w:rPr>
              <w:t>.</w:t>
            </w:r>
          </w:p>
          <w:p w14:paraId="1F72F646" w14:textId="31D05625" w:rsidR="00B30276" w:rsidRPr="006B795F" w:rsidRDefault="007776B0" w:rsidP="00031231">
            <w:pPr>
              <w:spacing w:before="120"/>
              <w:jc w:val="both"/>
              <w:rPr>
                <w:color w:val="000000" w:themeColor="text1"/>
                <w:szCs w:val="26"/>
                <w:shd w:val="clear" w:color="auto" w:fill="FFFFFF"/>
                <w:lang w:val="lv-LV"/>
              </w:rPr>
            </w:pPr>
            <w:r>
              <w:rPr>
                <w:color w:val="000000" w:themeColor="text1"/>
                <w:szCs w:val="26"/>
                <w:shd w:val="clear" w:color="auto" w:fill="FFFFFF"/>
                <w:lang w:val="lv-LV"/>
              </w:rPr>
              <w:lastRenderedPageBreak/>
              <w:t>Ņemot vērā augstāk minēto, tas ir, l</w:t>
            </w:r>
            <w:r w:rsidR="001670E7">
              <w:rPr>
                <w:color w:val="000000" w:themeColor="text1"/>
                <w:szCs w:val="26"/>
                <w:shd w:val="clear" w:color="auto" w:fill="FFFFFF"/>
                <w:lang w:val="lv-LV"/>
              </w:rPr>
              <w:t xml:space="preserve">ai nodrošinātu </w:t>
            </w:r>
            <w:r>
              <w:rPr>
                <w:color w:val="000000" w:themeColor="text1"/>
                <w:szCs w:val="26"/>
                <w:shd w:val="clear" w:color="auto" w:fill="FFFFFF"/>
                <w:lang w:val="lv-LV"/>
              </w:rPr>
              <w:t xml:space="preserve">visu iesniegumu apmaksu, no valsts budžeta ir nepieciešami </w:t>
            </w:r>
            <w:r w:rsidR="00B30276" w:rsidRPr="006B795F">
              <w:rPr>
                <w:color w:val="000000" w:themeColor="text1"/>
                <w:szCs w:val="26"/>
                <w:shd w:val="clear" w:color="auto" w:fill="FFFFFF"/>
                <w:lang w:val="lv-LV"/>
              </w:rPr>
              <w:t xml:space="preserve">papildus 5 </w:t>
            </w:r>
            <w:proofErr w:type="spellStart"/>
            <w:r w:rsidR="00B30276" w:rsidRPr="006B795F">
              <w:rPr>
                <w:color w:val="000000" w:themeColor="text1"/>
                <w:szCs w:val="26"/>
                <w:shd w:val="clear" w:color="auto" w:fill="FFFFFF"/>
                <w:lang w:val="lv-LV"/>
              </w:rPr>
              <w:t>milj</w:t>
            </w:r>
            <w:proofErr w:type="spellEnd"/>
            <w:r w:rsidR="00B30276" w:rsidRPr="006B795F">
              <w:rPr>
                <w:color w:val="000000" w:themeColor="text1"/>
                <w:szCs w:val="26"/>
                <w:shd w:val="clear" w:color="auto" w:fill="FFFFFF"/>
                <w:lang w:val="lv-LV"/>
              </w:rPr>
              <w:t xml:space="preserve"> </w:t>
            </w:r>
            <w:proofErr w:type="spellStart"/>
            <w:r w:rsidR="006270DD">
              <w:rPr>
                <w:color w:val="000000" w:themeColor="text1"/>
                <w:szCs w:val="26"/>
                <w:shd w:val="clear" w:color="auto" w:fill="FFFFFF"/>
                <w:lang w:val="lv-LV"/>
              </w:rPr>
              <w:t>euro</w:t>
            </w:r>
            <w:proofErr w:type="spellEnd"/>
            <w:r w:rsidR="007F4601">
              <w:rPr>
                <w:color w:val="000000" w:themeColor="text1"/>
                <w:szCs w:val="26"/>
                <w:shd w:val="clear" w:color="auto" w:fill="FFFFFF"/>
                <w:lang w:val="lv-LV"/>
              </w:rPr>
              <w:t xml:space="preserve">. </w:t>
            </w:r>
          </w:p>
        </w:tc>
      </w:tr>
      <w:tr w:rsidR="00031231" w:rsidRPr="002E60EB" w14:paraId="55CDFFCE"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C204009" w14:textId="77777777" w:rsidR="00031231" w:rsidRPr="002E60EB" w:rsidRDefault="00031231" w:rsidP="00031231">
            <w:pPr>
              <w:spacing w:line="276" w:lineRule="auto"/>
              <w:rPr>
                <w:iCs/>
                <w:color w:val="000000"/>
                <w:sz w:val="22"/>
                <w:szCs w:val="22"/>
                <w:lang w:val="lv-LV"/>
              </w:rPr>
            </w:pPr>
            <w:r w:rsidRPr="002E60EB">
              <w:rPr>
                <w:iCs/>
                <w:color w:val="000000"/>
                <w:sz w:val="22"/>
                <w:szCs w:val="22"/>
                <w:lang w:val="lv-LV"/>
              </w:rPr>
              <w:t>6.1. detalizēts ieņēmumu aprēķins</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08CE6F91" w14:textId="77777777" w:rsidR="00031231" w:rsidRPr="002E60EB" w:rsidRDefault="00031231" w:rsidP="00031231">
            <w:pPr>
              <w:spacing w:line="276" w:lineRule="auto"/>
              <w:rPr>
                <w:rFonts w:eastAsia="Times New Roman"/>
                <w:sz w:val="24"/>
                <w:szCs w:val="24"/>
                <w:lang w:val="lv-LV"/>
              </w:rPr>
            </w:pPr>
          </w:p>
        </w:tc>
      </w:tr>
      <w:tr w:rsidR="00031231" w:rsidRPr="002E60EB" w14:paraId="500BC1A9"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674E38A" w14:textId="77777777" w:rsidR="00031231" w:rsidRPr="002E60EB" w:rsidRDefault="00031231" w:rsidP="00031231">
            <w:pPr>
              <w:spacing w:line="276" w:lineRule="auto"/>
              <w:rPr>
                <w:rFonts w:eastAsia="Times New Roman"/>
                <w:szCs w:val="26"/>
                <w:lang w:val="lv-LV"/>
              </w:rPr>
            </w:pPr>
            <w:r w:rsidRPr="002E60EB">
              <w:rPr>
                <w:color w:val="000000" w:themeColor="text1"/>
                <w:sz w:val="22"/>
                <w:szCs w:val="22"/>
                <w:lang w:val="lv-LV"/>
              </w:rPr>
              <w:t>6.2. detalizēts izdevumu aprēķins</w:t>
            </w:r>
            <w:r w:rsidRPr="002E60EB">
              <w:rPr>
                <w:rFonts w:eastAsia="Times New Roman"/>
                <w:color w:val="FF0000"/>
                <w:szCs w:val="26"/>
                <w:lang w:val="lv-LV"/>
              </w:rPr>
              <w:t xml:space="preserve"> </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61CDCEAD" w14:textId="77777777" w:rsidR="00031231" w:rsidRPr="002E60EB" w:rsidRDefault="00031231" w:rsidP="00031231">
            <w:pPr>
              <w:spacing w:line="276" w:lineRule="auto"/>
              <w:rPr>
                <w:rFonts w:eastAsia="Times New Roman"/>
                <w:sz w:val="24"/>
                <w:szCs w:val="24"/>
                <w:lang w:val="lv-LV"/>
              </w:rPr>
            </w:pPr>
          </w:p>
        </w:tc>
      </w:tr>
      <w:tr w:rsidR="00031231" w:rsidRPr="002E60EB" w14:paraId="26ADDC64"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7280B91"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7. Amata vietu skaita izmaiņas</w:t>
            </w:r>
          </w:p>
        </w:tc>
        <w:tc>
          <w:tcPr>
            <w:tcW w:w="7382" w:type="dxa"/>
            <w:gridSpan w:val="7"/>
            <w:tcBorders>
              <w:top w:val="single" w:sz="4" w:space="0" w:color="auto"/>
              <w:left w:val="single" w:sz="4" w:space="0" w:color="auto"/>
              <w:bottom w:val="single" w:sz="4" w:space="0" w:color="auto"/>
              <w:right w:val="single" w:sz="4" w:space="0" w:color="auto"/>
            </w:tcBorders>
            <w:hideMark/>
          </w:tcPr>
          <w:p w14:paraId="4A9F3DB8" w14:textId="77777777" w:rsidR="00031231" w:rsidRPr="00C12BD4" w:rsidRDefault="00031231" w:rsidP="00031231">
            <w:pPr>
              <w:jc w:val="both"/>
              <w:rPr>
                <w:rFonts w:eastAsia="Times New Roman"/>
                <w:sz w:val="24"/>
                <w:szCs w:val="24"/>
                <w:lang w:val="lv-LV" w:eastAsia="ja-JP"/>
              </w:rPr>
            </w:pPr>
            <w:r w:rsidRPr="00C12BD4">
              <w:rPr>
                <w:iCs/>
                <w:color w:val="000000"/>
                <w:sz w:val="24"/>
                <w:szCs w:val="24"/>
                <w:lang w:val="lv-LV"/>
              </w:rPr>
              <w:t>Noteikumu projekts šo jomu neskar.</w:t>
            </w:r>
          </w:p>
        </w:tc>
      </w:tr>
      <w:tr w:rsidR="00031231" w:rsidRPr="00DB10ED" w14:paraId="13D5599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47B0A2A"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8. Cita informācija</w:t>
            </w:r>
          </w:p>
        </w:tc>
        <w:tc>
          <w:tcPr>
            <w:tcW w:w="7382" w:type="dxa"/>
            <w:gridSpan w:val="7"/>
            <w:tcBorders>
              <w:top w:val="single" w:sz="4" w:space="0" w:color="auto"/>
              <w:left w:val="single" w:sz="4" w:space="0" w:color="auto"/>
              <w:bottom w:val="single" w:sz="4" w:space="0" w:color="auto"/>
              <w:right w:val="single" w:sz="4" w:space="0" w:color="auto"/>
            </w:tcBorders>
            <w:hideMark/>
          </w:tcPr>
          <w:p w14:paraId="00780127" w14:textId="64390CEE" w:rsidR="00031231" w:rsidRPr="00BC7DE4" w:rsidRDefault="00031231" w:rsidP="00031231">
            <w:pPr>
              <w:jc w:val="both"/>
              <w:rPr>
                <w:rFonts w:eastAsia="Times New Roman"/>
                <w:color w:val="000000" w:themeColor="text1"/>
                <w:lang w:val="lv-LV"/>
              </w:rPr>
            </w:pPr>
            <w:r w:rsidRPr="00BC7DE4">
              <w:rPr>
                <w:rFonts w:eastAsia="Times New Roman"/>
                <w:color w:val="000000" w:themeColor="text1"/>
                <w:szCs w:val="26"/>
                <w:lang w:val="lv-LV"/>
              </w:rPr>
              <w:t>MK Noteikumu projekta īstenošanai nepieciešamais finansējums 5 </w:t>
            </w:r>
            <w:r w:rsidR="007A366B" w:rsidRPr="00BC7DE4">
              <w:rPr>
                <w:rFonts w:eastAsia="Times New Roman"/>
                <w:color w:val="000000" w:themeColor="text1"/>
                <w:szCs w:val="26"/>
                <w:lang w:val="lv-LV"/>
              </w:rPr>
              <w:t>milj.</w:t>
            </w:r>
            <w:r w:rsidRPr="00BC7DE4">
              <w:rPr>
                <w:rFonts w:eastAsia="Times New Roman"/>
                <w:color w:val="000000" w:themeColor="text1"/>
                <w:szCs w:val="26"/>
                <w:lang w:val="lv-LV"/>
              </w:rPr>
              <w:t xml:space="preserve"> </w:t>
            </w:r>
            <w:proofErr w:type="spellStart"/>
            <w:r w:rsidR="006270DD">
              <w:rPr>
                <w:rFonts w:eastAsia="Times New Roman"/>
                <w:color w:val="000000" w:themeColor="text1"/>
                <w:szCs w:val="26"/>
                <w:lang w:val="lv-LV"/>
              </w:rPr>
              <w:t>euro</w:t>
            </w:r>
            <w:proofErr w:type="spellEnd"/>
            <w:r w:rsidRPr="00BC7DE4">
              <w:rPr>
                <w:rFonts w:eastAsia="Times New Roman"/>
                <w:color w:val="000000" w:themeColor="text1"/>
                <w:szCs w:val="26"/>
                <w:lang w:val="lv-LV"/>
              </w:rPr>
              <w:t xml:space="preserve"> apmērā tiks nodrošināts no </w:t>
            </w:r>
            <w:r w:rsidR="007F4601">
              <w:rPr>
                <w:color w:val="000000" w:themeColor="text1"/>
                <w:szCs w:val="26"/>
                <w:lang w:val="lv-LV"/>
              </w:rPr>
              <w:t xml:space="preserve">Finanšu ministrijas VID jau paredzētā finansējuma ietvaros. </w:t>
            </w:r>
          </w:p>
        </w:tc>
      </w:tr>
    </w:tbl>
    <w:p w14:paraId="23DE523C" w14:textId="77777777" w:rsidR="00D07A40" w:rsidRPr="002E60EB" w:rsidRDefault="00D07A40" w:rsidP="00D07A40">
      <w:pPr>
        <w:contextualSpacing/>
        <w:rPr>
          <w:rFonts w:eastAsia="Times New Roman"/>
          <w:color w:val="000000" w:themeColor="text1"/>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D07A40" w:rsidRPr="002E60EB" w14:paraId="5EB998A5" w14:textId="77777777" w:rsidTr="00F47F29">
        <w:tc>
          <w:tcPr>
            <w:tcW w:w="0" w:type="auto"/>
            <w:tcBorders>
              <w:top w:val="outset" w:sz="6" w:space="0" w:color="414142"/>
              <w:left w:val="outset" w:sz="6" w:space="0" w:color="414142"/>
              <w:bottom w:val="outset" w:sz="6" w:space="0" w:color="414142"/>
              <w:right w:val="outset" w:sz="6" w:space="0" w:color="414142"/>
            </w:tcBorders>
            <w:hideMark/>
          </w:tcPr>
          <w:p w14:paraId="398039A3" w14:textId="77777777" w:rsidR="00D07A40" w:rsidRPr="002E60EB" w:rsidRDefault="00D07A40" w:rsidP="00F47F29">
            <w:pPr>
              <w:contextualSpacing/>
              <w:jc w:val="center"/>
              <w:rPr>
                <w:rFonts w:eastAsia="Times New Roman"/>
                <w:color w:val="000000" w:themeColor="text1"/>
                <w:szCs w:val="26"/>
                <w:lang w:val="lv-LV" w:eastAsia="lv-LV"/>
              </w:rPr>
            </w:pPr>
            <w:r w:rsidRPr="002E60EB">
              <w:rPr>
                <w:b/>
                <w:color w:val="000000" w:themeColor="text1"/>
                <w:szCs w:val="26"/>
                <w:lang w:val="lv-LV"/>
              </w:rPr>
              <w:t>V. Tiesību akta projekta atbilstība Latvijas Republikas starptautiskajām saistībām</w:t>
            </w:r>
          </w:p>
        </w:tc>
      </w:tr>
      <w:tr w:rsidR="005827A3" w:rsidRPr="002E60EB" w14:paraId="57FF50F8" w14:textId="77777777" w:rsidTr="005827A3">
        <w:tc>
          <w:tcPr>
            <w:tcW w:w="5000" w:type="pct"/>
            <w:tcBorders>
              <w:top w:val="outset" w:sz="6" w:space="0" w:color="414142"/>
              <w:left w:val="outset" w:sz="6" w:space="0" w:color="414142"/>
              <w:bottom w:val="outset" w:sz="6" w:space="0" w:color="414142"/>
              <w:right w:val="outset" w:sz="6" w:space="0" w:color="414142"/>
            </w:tcBorders>
            <w:hideMark/>
          </w:tcPr>
          <w:p w14:paraId="6BA7DE25" w14:textId="33D792A8" w:rsidR="005827A3" w:rsidRPr="009978D5" w:rsidRDefault="005827A3" w:rsidP="005827A3">
            <w:pPr>
              <w:jc w:val="center"/>
              <w:rPr>
                <w:color w:val="000000" w:themeColor="text1"/>
                <w:szCs w:val="26"/>
                <w:lang w:val="lv-LV"/>
              </w:rPr>
            </w:pPr>
            <w:r w:rsidRPr="002E60EB">
              <w:rPr>
                <w:rFonts w:eastAsia="Times New Roman"/>
                <w:color w:val="000000" w:themeColor="text1"/>
                <w:szCs w:val="26"/>
                <w:lang w:val="lv-LV" w:eastAsia="lv-LV"/>
              </w:rPr>
              <w:t>Projekts šo jomu neskar</w:t>
            </w:r>
          </w:p>
        </w:tc>
      </w:tr>
    </w:tbl>
    <w:p w14:paraId="5043CB0F" w14:textId="77777777" w:rsidR="00D07A40" w:rsidRPr="002E60EB" w:rsidRDefault="00D07A40" w:rsidP="00D07A40">
      <w:pPr>
        <w:contextualSpacing/>
        <w:rPr>
          <w:color w:val="000000" w:themeColor="text1"/>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D07A40" w:rsidRPr="00DB10ED" w14:paraId="4B11D122" w14:textId="77777777" w:rsidTr="003E95FA">
        <w:trPr>
          <w:trHeight w:val="421"/>
        </w:trPr>
        <w:tc>
          <w:tcPr>
            <w:tcW w:w="9214" w:type="dxa"/>
            <w:gridSpan w:val="3"/>
            <w:tcBorders>
              <w:top w:val="single" w:sz="2" w:space="0" w:color="auto"/>
            </w:tcBorders>
            <w:vAlign w:val="center"/>
          </w:tcPr>
          <w:p w14:paraId="419B0556" w14:textId="77777777" w:rsidR="00D07A40" w:rsidRPr="002E60EB" w:rsidRDefault="00D07A40" w:rsidP="00F47F29">
            <w:pPr>
              <w:ind w:left="57" w:right="57"/>
              <w:contextualSpacing/>
              <w:jc w:val="center"/>
              <w:rPr>
                <w:rFonts w:eastAsia="Times New Roman"/>
                <w:color w:val="000000" w:themeColor="text1"/>
                <w:szCs w:val="26"/>
                <w:lang w:val="lv-LV"/>
              </w:rPr>
            </w:pPr>
            <w:r w:rsidRPr="002E60EB">
              <w:rPr>
                <w:rFonts w:eastAsia="Times New Roman"/>
                <w:b/>
                <w:color w:val="000000" w:themeColor="text1"/>
                <w:szCs w:val="26"/>
                <w:lang w:val="lv-LV"/>
              </w:rPr>
              <w:t>VI. Sabiedrības līdzdalība un komunikācijas aktivitātes</w:t>
            </w:r>
          </w:p>
        </w:tc>
      </w:tr>
      <w:tr w:rsidR="00D07A40" w:rsidRPr="00D07A40" w14:paraId="7CD7C894" w14:textId="77777777" w:rsidTr="00224547">
        <w:trPr>
          <w:trHeight w:val="553"/>
        </w:trPr>
        <w:tc>
          <w:tcPr>
            <w:tcW w:w="426" w:type="dxa"/>
          </w:tcPr>
          <w:p w14:paraId="11361BD6"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1.</w:t>
            </w:r>
          </w:p>
        </w:tc>
        <w:tc>
          <w:tcPr>
            <w:tcW w:w="2551" w:type="dxa"/>
          </w:tcPr>
          <w:p w14:paraId="36C105D5" w14:textId="77777777" w:rsidR="00D07A40" w:rsidRPr="002E60EB" w:rsidRDefault="00D07A40" w:rsidP="00F47F29">
            <w:pPr>
              <w:tabs>
                <w:tab w:val="left" w:pos="170"/>
              </w:tabs>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Plānotās sabiedrības līdzdalības un komunikācijas aktivitātes saistībā ar projektu</w:t>
            </w:r>
          </w:p>
        </w:tc>
        <w:tc>
          <w:tcPr>
            <w:tcW w:w="6237" w:type="dxa"/>
            <w:shd w:val="clear" w:color="auto" w:fill="auto"/>
          </w:tcPr>
          <w:p w14:paraId="05909879" w14:textId="0459FF60" w:rsidR="00D07A40" w:rsidRPr="002E60EB" w:rsidRDefault="00D07A40" w:rsidP="7C2FF13D">
            <w:pPr>
              <w:shd w:val="clear" w:color="auto" w:fill="FFFFFF" w:themeFill="background1"/>
              <w:ind w:right="113"/>
              <w:contextualSpacing/>
              <w:jc w:val="both"/>
              <w:rPr>
                <w:rFonts w:eastAsia="PMingLiU"/>
                <w:color w:val="000000" w:themeColor="text1"/>
                <w:lang w:val="lv-LV" w:eastAsia="ja-JP"/>
              </w:rPr>
            </w:pPr>
            <w:r w:rsidRPr="006B795F">
              <w:rPr>
                <w:rFonts w:eastAsia="Times New Roman"/>
                <w:color w:val="000000" w:themeColor="text1"/>
                <w:lang w:val="lv-LV"/>
              </w:rPr>
              <w:t xml:space="preserve">Priekšlikums ir izskatīts </w:t>
            </w:r>
            <w:r w:rsidR="003C375F" w:rsidRPr="006B795F">
              <w:rPr>
                <w:rFonts w:eastAsia="Times New Roman"/>
                <w:color w:val="000000" w:themeColor="text1"/>
                <w:lang w:val="lv-LV"/>
              </w:rPr>
              <w:t xml:space="preserve">2021.gada </w:t>
            </w:r>
            <w:r w:rsidR="006B795F" w:rsidRPr="006B795F">
              <w:rPr>
                <w:rFonts w:eastAsia="Times New Roman"/>
                <w:color w:val="000000" w:themeColor="text1"/>
                <w:lang w:val="lv-LV"/>
              </w:rPr>
              <w:t>8</w:t>
            </w:r>
            <w:r w:rsidR="003C375F" w:rsidRPr="006B795F">
              <w:rPr>
                <w:rFonts w:eastAsia="Times New Roman"/>
                <w:color w:val="000000" w:themeColor="text1"/>
                <w:lang w:val="lv-LV"/>
              </w:rPr>
              <w:t>.</w:t>
            </w:r>
            <w:r w:rsidR="006B795F" w:rsidRPr="006B795F">
              <w:rPr>
                <w:rFonts w:eastAsia="Times New Roman"/>
                <w:color w:val="000000" w:themeColor="text1"/>
                <w:lang w:val="lv-LV"/>
              </w:rPr>
              <w:t>jūlija</w:t>
            </w:r>
            <w:r w:rsidR="003C375F" w:rsidRPr="006B795F">
              <w:rPr>
                <w:rFonts w:eastAsia="Times New Roman"/>
                <w:color w:val="000000" w:themeColor="text1"/>
                <w:lang w:val="lv-LV"/>
              </w:rPr>
              <w:t xml:space="preserve"> </w:t>
            </w:r>
            <w:r w:rsidR="003C375F" w:rsidRPr="006B795F">
              <w:rPr>
                <w:color w:val="000000" w:themeColor="text1"/>
                <w:lang w:val="lv-LV"/>
              </w:rPr>
              <w:t>K</w:t>
            </w:r>
            <w:r w:rsidRPr="006B795F">
              <w:rPr>
                <w:color w:val="000000" w:themeColor="text1"/>
                <w:lang w:val="lv-LV"/>
              </w:rPr>
              <w:t xml:space="preserve">rīzes vadības grupas uzņēmējdarbības veicināšanai </w:t>
            </w:r>
            <w:r w:rsidRPr="006B795F">
              <w:rPr>
                <w:rFonts w:eastAsia="Times New Roman"/>
                <w:color w:val="000000" w:themeColor="text1"/>
                <w:lang w:val="lv-LV"/>
              </w:rPr>
              <w:t>ietvaros, apspriežot noteikumu projektu ar nozares uzņēmējiem</w:t>
            </w:r>
            <w:r w:rsidRPr="006B795F">
              <w:rPr>
                <w:color w:val="000000" w:themeColor="text1"/>
                <w:lang w:val="lv-LV"/>
              </w:rPr>
              <w:t xml:space="preserve">. Problēma identificēta, analizējot </w:t>
            </w:r>
            <w:proofErr w:type="spellStart"/>
            <w:r w:rsidR="002F4AB3">
              <w:rPr>
                <w:color w:val="000000" w:themeColor="text1"/>
                <w:lang w:val="lv-LV"/>
              </w:rPr>
              <w:t>VID</w:t>
            </w:r>
            <w:r w:rsidRPr="006B795F">
              <w:rPr>
                <w:color w:val="000000" w:themeColor="text1"/>
                <w:lang w:val="lv-LV"/>
              </w:rPr>
              <w:t>datus</w:t>
            </w:r>
            <w:proofErr w:type="spellEnd"/>
            <w:r w:rsidRPr="006B795F">
              <w:rPr>
                <w:color w:val="000000" w:themeColor="text1"/>
                <w:lang w:val="lv-LV"/>
              </w:rPr>
              <w:t xml:space="preserve"> par atbalsta programmas īstenošanu</w:t>
            </w:r>
            <w:r w:rsidRPr="006B795F">
              <w:rPr>
                <w:rFonts w:eastAsia="Times New Roman"/>
                <w:color w:val="000000" w:themeColor="text1"/>
                <w:lang w:val="lv-LV"/>
              </w:rPr>
              <w:t>.</w:t>
            </w:r>
          </w:p>
        </w:tc>
      </w:tr>
      <w:tr w:rsidR="00D07A40" w:rsidRPr="002E60EB" w14:paraId="586833CD" w14:textId="77777777" w:rsidTr="003E95FA">
        <w:trPr>
          <w:trHeight w:val="339"/>
        </w:trPr>
        <w:tc>
          <w:tcPr>
            <w:tcW w:w="426" w:type="dxa"/>
          </w:tcPr>
          <w:p w14:paraId="66CBCBC9"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2.</w:t>
            </w:r>
          </w:p>
        </w:tc>
        <w:tc>
          <w:tcPr>
            <w:tcW w:w="2551" w:type="dxa"/>
          </w:tcPr>
          <w:p w14:paraId="7554934A"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 projekta izstrādē</w:t>
            </w:r>
          </w:p>
        </w:tc>
        <w:tc>
          <w:tcPr>
            <w:tcW w:w="6237" w:type="dxa"/>
          </w:tcPr>
          <w:p w14:paraId="07459315" w14:textId="77777777" w:rsidR="00D07A40" w:rsidRPr="002E60EB" w:rsidRDefault="00D07A40" w:rsidP="00F47F29">
            <w:pPr>
              <w:shd w:val="clear" w:color="auto" w:fill="FFFFFF"/>
              <w:ind w:left="57" w:right="113"/>
              <w:contextualSpacing/>
              <w:jc w:val="both"/>
              <w:rPr>
                <w:rFonts w:eastAsia="PMingLiU"/>
                <w:color w:val="000000" w:themeColor="text1"/>
                <w:szCs w:val="26"/>
                <w:shd w:val="clear" w:color="auto" w:fill="FFFFFF"/>
                <w:lang w:val="lv-LV" w:eastAsia="ja-JP"/>
              </w:rPr>
            </w:pPr>
          </w:p>
        </w:tc>
      </w:tr>
      <w:tr w:rsidR="00D07A40" w:rsidRPr="002E60EB" w14:paraId="62333DAB" w14:textId="77777777" w:rsidTr="003E95FA">
        <w:trPr>
          <w:trHeight w:val="476"/>
        </w:trPr>
        <w:tc>
          <w:tcPr>
            <w:tcW w:w="426" w:type="dxa"/>
          </w:tcPr>
          <w:p w14:paraId="4AF02D9B"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3.</w:t>
            </w:r>
          </w:p>
        </w:tc>
        <w:tc>
          <w:tcPr>
            <w:tcW w:w="2551" w:type="dxa"/>
          </w:tcPr>
          <w:p w14:paraId="6ED1A20C"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līdzdalības rezultāti</w:t>
            </w:r>
          </w:p>
        </w:tc>
        <w:tc>
          <w:tcPr>
            <w:tcW w:w="6237" w:type="dxa"/>
          </w:tcPr>
          <w:p w14:paraId="372180BD" w14:textId="77777777" w:rsidR="00D07A40" w:rsidRPr="002E60EB" w:rsidRDefault="00D07A40" w:rsidP="00F47F29">
            <w:pPr>
              <w:shd w:val="clear" w:color="auto" w:fill="FFFFFF"/>
              <w:ind w:left="57" w:right="113"/>
              <w:contextualSpacing/>
              <w:jc w:val="both"/>
              <w:rPr>
                <w:rFonts w:eastAsia="PMingLiU"/>
                <w:color w:val="000000" w:themeColor="text1"/>
                <w:szCs w:val="26"/>
                <w:shd w:val="clear" w:color="auto" w:fill="FFFFFF"/>
                <w:lang w:val="lv-LV" w:eastAsia="ja-JP"/>
              </w:rPr>
            </w:pPr>
            <w:r w:rsidRPr="002E60EB">
              <w:rPr>
                <w:rFonts w:eastAsia="PMingLiU"/>
                <w:color w:val="000000" w:themeColor="text1"/>
                <w:szCs w:val="26"/>
                <w:shd w:val="clear" w:color="auto" w:fill="FFFFFF"/>
                <w:lang w:val="lv-LV" w:eastAsia="ja-JP"/>
              </w:rPr>
              <w:t>Nav</w:t>
            </w:r>
          </w:p>
        </w:tc>
      </w:tr>
      <w:tr w:rsidR="00D07A40" w:rsidRPr="002E60EB" w14:paraId="5ADFDC75" w14:textId="77777777" w:rsidTr="003E95FA">
        <w:trPr>
          <w:trHeight w:val="205"/>
        </w:trPr>
        <w:tc>
          <w:tcPr>
            <w:tcW w:w="426" w:type="dxa"/>
          </w:tcPr>
          <w:p w14:paraId="19BF4E49"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4.</w:t>
            </w:r>
          </w:p>
        </w:tc>
        <w:tc>
          <w:tcPr>
            <w:tcW w:w="2551" w:type="dxa"/>
          </w:tcPr>
          <w:p w14:paraId="4629980F"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Cita informācija</w:t>
            </w:r>
          </w:p>
        </w:tc>
        <w:tc>
          <w:tcPr>
            <w:tcW w:w="6237" w:type="dxa"/>
          </w:tcPr>
          <w:p w14:paraId="28FB3D7F" w14:textId="77777777" w:rsidR="00D07A40" w:rsidRPr="002E60EB" w:rsidRDefault="00D07A40" w:rsidP="00F47F29">
            <w:pPr>
              <w:ind w:left="57" w:right="113"/>
              <w:contextualSpacing/>
              <w:jc w:val="both"/>
              <w:rPr>
                <w:rFonts w:eastAsia="PMingLiU"/>
                <w:color w:val="000000" w:themeColor="text1"/>
                <w:szCs w:val="26"/>
                <w:lang w:val="lv-LV" w:eastAsia="ja-JP"/>
              </w:rPr>
            </w:pPr>
            <w:r w:rsidRPr="002E60EB">
              <w:rPr>
                <w:rFonts w:eastAsia="PMingLiU"/>
                <w:color w:val="000000" w:themeColor="text1"/>
                <w:szCs w:val="26"/>
                <w:lang w:val="lv-LV" w:eastAsia="ja-JP"/>
              </w:rPr>
              <w:t>Nav</w:t>
            </w:r>
          </w:p>
        </w:tc>
      </w:tr>
    </w:tbl>
    <w:p w14:paraId="6537F28F" w14:textId="77777777" w:rsidR="00D07A40" w:rsidRPr="002E60EB" w:rsidRDefault="00D07A40" w:rsidP="00D07A40">
      <w:pPr>
        <w:contextualSpacing/>
        <w:rPr>
          <w:rFonts w:eastAsia="Times New Roman"/>
          <w:color w:val="000000" w:themeColor="text1"/>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D07A40" w:rsidRPr="00DB10ED" w14:paraId="0A21DD87" w14:textId="77777777" w:rsidTr="00F47F29">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113BFC72" w14:textId="77777777" w:rsidR="00D07A40" w:rsidRPr="002E60EB" w:rsidRDefault="00D07A40" w:rsidP="00F47F29">
            <w:pPr>
              <w:spacing w:before="100" w:beforeAutospacing="1" w:after="100" w:afterAutospacing="1"/>
              <w:ind w:firstLine="300"/>
              <w:jc w:val="center"/>
              <w:rPr>
                <w:rFonts w:eastAsia="Times New Roman"/>
                <w:color w:val="000000" w:themeColor="text1"/>
                <w:szCs w:val="26"/>
                <w:lang w:val="lv-LV" w:eastAsia="lv-LV"/>
              </w:rPr>
            </w:pPr>
            <w:r w:rsidRPr="002E60EB">
              <w:rPr>
                <w:b/>
                <w:color w:val="000000" w:themeColor="text1"/>
                <w:szCs w:val="26"/>
                <w:lang w:val="lv-LV"/>
              </w:rPr>
              <w:t>VII. Tiesību akta projekta izpildes nodrošināšana un tās ietekme uz institūcijām</w:t>
            </w:r>
          </w:p>
        </w:tc>
      </w:tr>
      <w:tr w:rsidR="00D07A40" w:rsidRPr="002E60EB" w14:paraId="12AA045B" w14:textId="77777777" w:rsidTr="00F47F29">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6E1226D5"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3C0C2A68" w14:textId="77777777" w:rsidR="00D07A40" w:rsidRPr="002E60EB" w:rsidRDefault="00D07A40" w:rsidP="00F47F29">
            <w:pPr>
              <w:ind w:right="112"/>
              <w:contextualSpacing/>
              <w:jc w:val="both"/>
              <w:rPr>
                <w:color w:val="000000" w:themeColor="text1"/>
                <w:szCs w:val="26"/>
                <w:lang w:val="lv-LV"/>
              </w:rPr>
            </w:pPr>
            <w:r w:rsidRPr="002E60EB">
              <w:rPr>
                <w:color w:val="000000" w:themeColor="text1"/>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2202902E" w14:textId="77777777" w:rsidR="00D07A40" w:rsidRPr="002E60EB" w:rsidRDefault="00D07A40" w:rsidP="00F47F29">
            <w:pPr>
              <w:ind w:left="82" w:right="161"/>
              <w:contextualSpacing/>
              <w:jc w:val="both"/>
              <w:rPr>
                <w:color w:val="000000" w:themeColor="text1"/>
                <w:szCs w:val="26"/>
                <w:lang w:val="lv-LV"/>
              </w:rPr>
            </w:pPr>
            <w:r w:rsidRPr="002E60EB">
              <w:rPr>
                <w:color w:val="000000" w:themeColor="text1"/>
                <w:szCs w:val="26"/>
                <w:lang w:val="lv-LV"/>
              </w:rPr>
              <w:t>Ekonomikas ministrija, VID.</w:t>
            </w:r>
          </w:p>
        </w:tc>
      </w:tr>
      <w:tr w:rsidR="00D07A40" w:rsidRPr="00DB10ED" w14:paraId="180D04F5" w14:textId="77777777" w:rsidTr="00F47F29">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0EA49EC3"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18198908" w14:textId="77777777" w:rsidR="00D07A40" w:rsidRPr="002E60EB" w:rsidRDefault="00D07A40" w:rsidP="00F47F29">
            <w:pPr>
              <w:ind w:right="112"/>
              <w:contextualSpacing/>
              <w:jc w:val="both"/>
              <w:rPr>
                <w:color w:val="000000" w:themeColor="text1"/>
                <w:szCs w:val="26"/>
                <w:lang w:val="lv-LV"/>
              </w:rPr>
            </w:pPr>
            <w:r w:rsidRPr="002E60EB">
              <w:rPr>
                <w:color w:val="000000" w:themeColor="text1"/>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7FC9BCE" w14:textId="5027B410" w:rsidR="00D07A40" w:rsidRPr="002E60EB" w:rsidRDefault="00D07A40" w:rsidP="00F47F29">
            <w:pPr>
              <w:ind w:left="82" w:right="161"/>
              <w:contextualSpacing/>
              <w:jc w:val="both"/>
              <w:rPr>
                <w:color w:val="000000" w:themeColor="text1"/>
                <w:szCs w:val="26"/>
                <w:lang w:val="lv-LV"/>
              </w:rPr>
            </w:pPr>
            <w:r w:rsidRPr="002E60EB">
              <w:rPr>
                <w:rFonts w:eastAsia="Times New Roman"/>
                <w:bCs/>
                <w:iCs/>
                <w:color w:val="000000" w:themeColor="text1"/>
                <w:szCs w:val="26"/>
                <w:lang w:val="lv-LV"/>
              </w:rPr>
              <w:t xml:space="preserve">MK noteikumu projekta </w:t>
            </w:r>
            <w:r w:rsidRPr="002E60EB">
              <w:rPr>
                <w:color w:val="000000" w:themeColor="text1"/>
                <w:szCs w:val="26"/>
                <w:lang w:val="lv-LV"/>
              </w:rPr>
              <w:t>izpilde tiks nodrošināta Ekonomikas ministrijas</w:t>
            </w:r>
            <w:r>
              <w:rPr>
                <w:color w:val="000000" w:themeColor="text1"/>
                <w:szCs w:val="26"/>
                <w:lang w:val="lv-LV"/>
              </w:rPr>
              <w:t xml:space="preserve"> </w:t>
            </w:r>
            <w:r w:rsidRPr="002E60EB">
              <w:rPr>
                <w:color w:val="000000" w:themeColor="text1"/>
                <w:szCs w:val="26"/>
                <w:lang w:val="lv-LV"/>
              </w:rPr>
              <w:t>(</w:t>
            </w:r>
            <w:r>
              <w:rPr>
                <w:color w:val="000000" w:themeColor="text1"/>
                <w:szCs w:val="26"/>
                <w:lang w:val="lv-LV"/>
              </w:rPr>
              <w:t>MK Noteikumu projekta</w:t>
            </w:r>
            <w:r w:rsidRPr="002E60EB">
              <w:rPr>
                <w:color w:val="000000" w:themeColor="text1"/>
                <w:szCs w:val="26"/>
                <w:lang w:val="lv-LV"/>
              </w:rPr>
              <w:t xml:space="preserve"> izstrāde) un </w:t>
            </w:r>
            <w:r w:rsidR="00226145">
              <w:rPr>
                <w:color w:val="000000" w:themeColor="text1"/>
                <w:szCs w:val="26"/>
                <w:lang w:val="lv-LV"/>
              </w:rPr>
              <w:t>VID</w:t>
            </w:r>
            <w:r w:rsidRPr="002E60EB">
              <w:rPr>
                <w:color w:val="000000" w:themeColor="text1"/>
                <w:szCs w:val="26"/>
                <w:lang w:val="lv-LV"/>
              </w:rPr>
              <w:t xml:space="preserve"> (lēmumu pieņemšana un atbalsta izsniegšana) esošo funkciju un cilvēkresursu ietvaros, kā arī nav paredzēta jaunu institūciju izveide, esošu institūciju lik</w:t>
            </w:r>
            <w:bookmarkStart w:id="6" w:name="_GoBack"/>
            <w:bookmarkEnd w:id="6"/>
            <w:r w:rsidRPr="002E60EB">
              <w:rPr>
                <w:color w:val="000000" w:themeColor="text1"/>
                <w:szCs w:val="26"/>
                <w:lang w:val="lv-LV"/>
              </w:rPr>
              <w:t>vidācija vai reorganizācija.</w:t>
            </w:r>
          </w:p>
        </w:tc>
      </w:tr>
      <w:tr w:rsidR="00D07A40" w:rsidRPr="002E60EB" w14:paraId="78DE7F33" w14:textId="77777777" w:rsidTr="00F47F29">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5E26EE8C"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6AA1AAC5"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0C0ECAB"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Nav</w:t>
            </w:r>
          </w:p>
        </w:tc>
      </w:tr>
    </w:tbl>
    <w:p w14:paraId="6DFB9E20" w14:textId="77777777" w:rsidR="00D07A40" w:rsidRPr="002E60EB" w:rsidRDefault="00D07A40" w:rsidP="00D07A40">
      <w:pPr>
        <w:ind w:firstLine="567"/>
        <w:jc w:val="both"/>
        <w:rPr>
          <w:color w:val="000000" w:themeColor="text1"/>
          <w:szCs w:val="26"/>
          <w:lang w:val="lv-LV"/>
        </w:rPr>
      </w:pPr>
      <w:bookmarkStart w:id="7" w:name="_Hlk40807714"/>
    </w:p>
    <w:p w14:paraId="6F1C6EC5" w14:textId="4C3CA561" w:rsidR="00BC75C4" w:rsidRPr="00E44764" w:rsidRDefault="00BC75C4" w:rsidP="00BC75C4">
      <w:pPr>
        <w:pStyle w:val="naisf"/>
        <w:tabs>
          <w:tab w:val="left" w:pos="6521"/>
          <w:tab w:val="right" w:pos="8820"/>
        </w:tabs>
        <w:spacing w:before="120" w:beforeAutospacing="0" w:after="0" w:afterAutospacing="0"/>
        <w:rPr>
          <w:color w:val="000000" w:themeColor="text1"/>
          <w:sz w:val="26"/>
          <w:szCs w:val="26"/>
        </w:rPr>
      </w:pPr>
      <w:r w:rsidRPr="00E44764">
        <w:rPr>
          <w:color w:val="000000" w:themeColor="text1"/>
          <w:sz w:val="26"/>
          <w:szCs w:val="26"/>
        </w:rPr>
        <w:t>Ekonomikas minist</w:t>
      </w:r>
      <w:r w:rsidR="006B795F">
        <w:rPr>
          <w:color w:val="000000" w:themeColor="text1"/>
          <w:sz w:val="26"/>
          <w:szCs w:val="26"/>
        </w:rPr>
        <w:t>rs</w:t>
      </w:r>
      <w:r w:rsidRPr="00E44764">
        <w:rPr>
          <w:color w:val="000000" w:themeColor="text1"/>
          <w:sz w:val="26"/>
          <w:szCs w:val="26"/>
        </w:rPr>
        <w:t xml:space="preserve"> </w:t>
      </w:r>
      <w:r w:rsidR="00DB10ED">
        <w:rPr>
          <w:color w:val="000000" w:themeColor="text1"/>
          <w:sz w:val="26"/>
          <w:szCs w:val="26"/>
        </w:rPr>
        <w:tab/>
      </w:r>
      <w:proofErr w:type="spellStart"/>
      <w:r w:rsidR="006B795F">
        <w:rPr>
          <w:color w:val="000000" w:themeColor="text1"/>
          <w:sz w:val="26"/>
          <w:szCs w:val="26"/>
        </w:rPr>
        <w:t>J.Vitenbergs</w:t>
      </w:r>
      <w:proofErr w:type="spellEnd"/>
      <w:r w:rsidRPr="00E44764">
        <w:rPr>
          <w:color w:val="000000" w:themeColor="text1"/>
          <w:sz w:val="26"/>
          <w:szCs w:val="26"/>
        </w:rPr>
        <w:t xml:space="preserve"> </w:t>
      </w:r>
    </w:p>
    <w:p w14:paraId="70DF9E56" w14:textId="5C5BAE5C" w:rsidR="00D07A40" w:rsidRPr="002E60EB" w:rsidRDefault="003D22D6" w:rsidP="00DB10ED">
      <w:pPr>
        <w:ind w:firstLine="567"/>
        <w:jc w:val="both"/>
        <w:rPr>
          <w:color w:val="000000" w:themeColor="text1"/>
          <w:szCs w:val="26"/>
          <w:lang w:val="lv-LV"/>
        </w:rPr>
      </w:pPr>
      <w:r>
        <w:rPr>
          <w:color w:val="000000" w:themeColor="text1"/>
          <w:szCs w:val="26"/>
          <w:lang w:val="lv-LV"/>
        </w:rPr>
        <w:t xml:space="preserve"> </w:t>
      </w:r>
    </w:p>
    <w:p w14:paraId="60B867E7" w14:textId="77777777" w:rsidR="00D07A40" w:rsidRPr="002E60EB" w:rsidRDefault="00D07A40" w:rsidP="00E44764">
      <w:pPr>
        <w:rPr>
          <w:color w:val="000000" w:themeColor="text1"/>
          <w:szCs w:val="26"/>
          <w:lang w:val="lv-LV"/>
        </w:rPr>
      </w:pPr>
      <w:r w:rsidRPr="002E60EB">
        <w:rPr>
          <w:color w:val="000000" w:themeColor="text1"/>
          <w:szCs w:val="26"/>
          <w:lang w:val="lv-LV"/>
        </w:rPr>
        <w:t>Vīza:</w:t>
      </w:r>
    </w:p>
    <w:bookmarkEnd w:id="7"/>
    <w:p w14:paraId="07622C76" w14:textId="3EADF14F" w:rsidR="00D07A40" w:rsidRPr="00DB10ED" w:rsidRDefault="00D07A40" w:rsidP="00E44764">
      <w:pPr>
        <w:tabs>
          <w:tab w:val="left" w:pos="6237"/>
        </w:tabs>
        <w:rPr>
          <w:szCs w:val="26"/>
          <w:lang w:val="lv-LV"/>
        </w:rPr>
      </w:pPr>
      <w:r w:rsidRPr="002E60EB">
        <w:rPr>
          <w:szCs w:val="26"/>
          <w:lang w:val="lv-LV"/>
        </w:rPr>
        <w:t>Valsts sekretār</w:t>
      </w:r>
      <w:r w:rsidR="00DB10ED">
        <w:rPr>
          <w:szCs w:val="26"/>
          <w:lang w:val="lv-LV"/>
        </w:rPr>
        <w:t>s</w:t>
      </w:r>
      <w:r w:rsidR="00DB10ED">
        <w:rPr>
          <w:szCs w:val="26"/>
          <w:lang w:val="lv-LV"/>
        </w:rPr>
        <w:tab/>
      </w:r>
      <w:r w:rsidR="00DB10ED">
        <w:rPr>
          <w:szCs w:val="26"/>
          <w:lang w:val="lv-LV"/>
        </w:rPr>
        <w:tab/>
      </w:r>
      <w:proofErr w:type="spellStart"/>
      <w:r w:rsidR="00DB10ED">
        <w:rPr>
          <w:szCs w:val="26"/>
          <w:lang w:val="lv-LV"/>
        </w:rPr>
        <w:t>E.Valantis</w:t>
      </w:r>
      <w:proofErr w:type="spellEnd"/>
    </w:p>
    <w:p w14:paraId="44E871BC" w14:textId="77777777" w:rsidR="00857413" w:rsidRPr="00DB10ED" w:rsidRDefault="00857413">
      <w:pPr>
        <w:rPr>
          <w:lang w:val="lv-LV"/>
        </w:rPr>
      </w:pPr>
    </w:p>
    <w:sectPr w:rsidR="00857413" w:rsidRPr="00DB10ED" w:rsidSect="00D07A40">
      <w:headerReference w:type="default" r:id="rId11"/>
      <w:footerReference w:type="default" r:id="rId12"/>
      <w:footerReference w:type="first" r:id="rId13"/>
      <w:endnotePr>
        <w:numFmt w:val="decimal"/>
      </w:endnotePr>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90A4" w14:textId="77777777" w:rsidR="00D6730E" w:rsidRDefault="00D6730E" w:rsidP="00D07A40">
      <w:r>
        <w:separator/>
      </w:r>
    </w:p>
  </w:endnote>
  <w:endnote w:type="continuationSeparator" w:id="0">
    <w:p w14:paraId="57FDEC43" w14:textId="77777777" w:rsidR="00D6730E" w:rsidRDefault="00D6730E" w:rsidP="00D07A40">
      <w:r>
        <w:continuationSeparator/>
      </w:r>
    </w:p>
  </w:endnote>
  <w:endnote w:type="continuationNotice" w:id="1">
    <w:p w14:paraId="7D9CAAED" w14:textId="77777777" w:rsidR="00D6730E" w:rsidRDefault="00D6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74F2" w14:textId="5DC2031E" w:rsidR="00F47F29" w:rsidRPr="00791FC8" w:rsidRDefault="00F47F29" w:rsidP="00791FC8">
    <w:pPr>
      <w:pStyle w:val="Footer"/>
    </w:pPr>
    <w:r w:rsidRPr="00791FC8">
      <w:rPr>
        <w:sz w:val="20"/>
        <w:lang w:val="lv-LV"/>
      </w:rPr>
      <w:t>EMAnot_</w:t>
    </w:r>
    <w:r w:rsidR="00DB10ED">
      <w:rPr>
        <w:sz w:val="20"/>
        <w:lang w:val="lv-LV"/>
      </w:rPr>
      <w:t>13</w:t>
    </w:r>
    <w:r w:rsidR="00DC7670">
      <w:rPr>
        <w:sz w:val="20"/>
        <w:lang w:val="lv-LV"/>
      </w:rPr>
      <w:t>0721</w:t>
    </w:r>
    <w:r w:rsidRPr="00791FC8">
      <w:rPr>
        <w:sz w:val="20"/>
        <w:lang w:val="lv-LV"/>
      </w:rPr>
      <w:t>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DC39" w14:textId="795AA234" w:rsidR="00F47F29" w:rsidRPr="00791FC8" w:rsidRDefault="00F47F29" w:rsidP="00791FC8">
    <w:pPr>
      <w:pStyle w:val="Footer"/>
      <w:rPr>
        <w:sz w:val="20"/>
      </w:rPr>
    </w:pPr>
    <w:r w:rsidRPr="00791FC8">
      <w:rPr>
        <w:sz w:val="20"/>
        <w:lang w:val="lv-LV"/>
      </w:rPr>
      <w:t>EMAnot_</w:t>
    </w:r>
    <w:r w:rsidR="00DB10ED">
      <w:rPr>
        <w:sz w:val="20"/>
        <w:lang w:val="lv-LV"/>
      </w:rPr>
      <w:t>13</w:t>
    </w:r>
    <w:r w:rsidR="00DC7670">
      <w:rPr>
        <w:sz w:val="20"/>
        <w:lang w:val="lv-LV"/>
      </w:rPr>
      <w:t>07</w:t>
    </w:r>
    <w:r w:rsidRPr="00791FC8">
      <w:rPr>
        <w:sz w:val="20"/>
        <w:lang w:val="lv-LV"/>
      </w:rPr>
      <w:t>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021D" w14:textId="77777777" w:rsidR="00D6730E" w:rsidRDefault="00D6730E" w:rsidP="00D07A40">
      <w:r>
        <w:separator/>
      </w:r>
    </w:p>
  </w:footnote>
  <w:footnote w:type="continuationSeparator" w:id="0">
    <w:p w14:paraId="0AE71AF8" w14:textId="77777777" w:rsidR="00D6730E" w:rsidRDefault="00D6730E" w:rsidP="00D07A40">
      <w:r>
        <w:continuationSeparator/>
      </w:r>
    </w:p>
  </w:footnote>
  <w:footnote w:type="continuationNotice" w:id="1">
    <w:p w14:paraId="77FB16F7" w14:textId="77777777" w:rsidR="00D6730E" w:rsidRDefault="00D67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E90E1FE" w14:textId="77777777" w:rsidR="00F47F29" w:rsidRPr="005A1518" w:rsidRDefault="00F47F29" w:rsidP="00F47F29">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680A"/>
    <w:multiLevelType w:val="hybridMultilevel"/>
    <w:tmpl w:val="3B966CA4"/>
    <w:lvl w:ilvl="0" w:tplc="51E424D2">
      <w:start w:val="1"/>
      <w:numFmt w:val="decimal"/>
      <w:lvlText w:val="%1."/>
      <w:lvlJc w:val="left"/>
      <w:pPr>
        <w:tabs>
          <w:tab w:val="num" w:pos="720"/>
        </w:tabs>
        <w:ind w:left="720" w:hanging="360"/>
      </w:pPr>
    </w:lvl>
    <w:lvl w:ilvl="1" w:tplc="D1A429BE" w:tentative="1">
      <w:start w:val="1"/>
      <w:numFmt w:val="decimal"/>
      <w:lvlText w:val="%2."/>
      <w:lvlJc w:val="left"/>
      <w:pPr>
        <w:tabs>
          <w:tab w:val="num" w:pos="1440"/>
        </w:tabs>
        <w:ind w:left="1440" w:hanging="360"/>
      </w:pPr>
    </w:lvl>
    <w:lvl w:ilvl="2" w:tplc="A7CE1CD8" w:tentative="1">
      <w:start w:val="1"/>
      <w:numFmt w:val="decimal"/>
      <w:lvlText w:val="%3."/>
      <w:lvlJc w:val="left"/>
      <w:pPr>
        <w:tabs>
          <w:tab w:val="num" w:pos="2160"/>
        </w:tabs>
        <w:ind w:left="2160" w:hanging="360"/>
      </w:pPr>
    </w:lvl>
    <w:lvl w:ilvl="3" w:tplc="02FAA6CC" w:tentative="1">
      <w:start w:val="1"/>
      <w:numFmt w:val="decimal"/>
      <w:lvlText w:val="%4."/>
      <w:lvlJc w:val="left"/>
      <w:pPr>
        <w:tabs>
          <w:tab w:val="num" w:pos="2880"/>
        </w:tabs>
        <w:ind w:left="2880" w:hanging="360"/>
      </w:pPr>
    </w:lvl>
    <w:lvl w:ilvl="4" w:tplc="69E2855E" w:tentative="1">
      <w:start w:val="1"/>
      <w:numFmt w:val="decimal"/>
      <w:lvlText w:val="%5."/>
      <w:lvlJc w:val="left"/>
      <w:pPr>
        <w:tabs>
          <w:tab w:val="num" w:pos="3600"/>
        </w:tabs>
        <w:ind w:left="3600" w:hanging="360"/>
      </w:pPr>
    </w:lvl>
    <w:lvl w:ilvl="5" w:tplc="F6303948" w:tentative="1">
      <w:start w:val="1"/>
      <w:numFmt w:val="decimal"/>
      <w:lvlText w:val="%6."/>
      <w:lvlJc w:val="left"/>
      <w:pPr>
        <w:tabs>
          <w:tab w:val="num" w:pos="4320"/>
        </w:tabs>
        <w:ind w:left="4320" w:hanging="360"/>
      </w:pPr>
    </w:lvl>
    <w:lvl w:ilvl="6" w:tplc="0428D612" w:tentative="1">
      <w:start w:val="1"/>
      <w:numFmt w:val="decimal"/>
      <w:lvlText w:val="%7."/>
      <w:lvlJc w:val="left"/>
      <w:pPr>
        <w:tabs>
          <w:tab w:val="num" w:pos="5040"/>
        </w:tabs>
        <w:ind w:left="5040" w:hanging="360"/>
      </w:pPr>
    </w:lvl>
    <w:lvl w:ilvl="7" w:tplc="079C2EA4" w:tentative="1">
      <w:start w:val="1"/>
      <w:numFmt w:val="decimal"/>
      <w:lvlText w:val="%8."/>
      <w:lvlJc w:val="left"/>
      <w:pPr>
        <w:tabs>
          <w:tab w:val="num" w:pos="5760"/>
        </w:tabs>
        <w:ind w:left="5760" w:hanging="360"/>
      </w:pPr>
    </w:lvl>
    <w:lvl w:ilvl="8" w:tplc="AE6C02AC" w:tentative="1">
      <w:start w:val="1"/>
      <w:numFmt w:val="decimal"/>
      <w:lvlText w:val="%9."/>
      <w:lvlJc w:val="left"/>
      <w:pPr>
        <w:tabs>
          <w:tab w:val="num" w:pos="6480"/>
        </w:tabs>
        <w:ind w:left="6480" w:hanging="360"/>
      </w:pPr>
    </w:lvl>
  </w:abstractNum>
  <w:abstractNum w:abstractNumId="1"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40"/>
    <w:rsid w:val="0000452E"/>
    <w:rsid w:val="000161FA"/>
    <w:rsid w:val="0001654B"/>
    <w:rsid w:val="000243D3"/>
    <w:rsid w:val="00031231"/>
    <w:rsid w:val="000345C7"/>
    <w:rsid w:val="00036DC4"/>
    <w:rsid w:val="000449B2"/>
    <w:rsid w:val="00060C50"/>
    <w:rsid w:val="000631EA"/>
    <w:rsid w:val="00076B53"/>
    <w:rsid w:val="000838F8"/>
    <w:rsid w:val="000A0BFB"/>
    <w:rsid w:val="000B0E88"/>
    <w:rsid w:val="000C5803"/>
    <w:rsid w:val="000E5059"/>
    <w:rsid w:val="001039DB"/>
    <w:rsid w:val="00107018"/>
    <w:rsid w:val="00131BD7"/>
    <w:rsid w:val="00134972"/>
    <w:rsid w:val="00147225"/>
    <w:rsid w:val="00156750"/>
    <w:rsid w:val="001670E7"/>
    <w:rsid w:val="00172EB4"/>
    <w:rsid w:val="00193975"/>
    <w:rsid w:val="00195AA8"/>
    <w:rsid w:val="001B39FF"/>
    <w:rsid w:val="001C415D"/>
    <w:rsid w:val="001E22FD"/>
    <w:rsid w:val="001F24B0"/>
    <w:rsid w:val="001F53A9"/>
    <w:rsid w:val="001F74EF"/>
    <w:rsid w:val="001F7982"/>
    <w:rsid w:val="0020085A"/>
    <w:rsid w:val="00224547"/>
    <w:rsid w:val="00226145"/>
    <w:rsid w:val="00227867"/>
    <w:rsid w:val="00231570"/>
    <w:rsid w:val="0023597E"/>
    <w:rsid w:val="00251396"/>
    <w:rsid w:val="00267527"/>
    <w:rsid w:val="00271232"/>
    <w:rsid w:val="002766C3"/>
    <w:rsid w:val="002943F6"/>
    <w:rsid w:val="00295F9B"/>
    <w:rsid w:val="002C170F"/>
    <w:rsid w:val="002C259E"/>
    <w:rsid w:val="002D1208"/>
    <w:rsid w:val="002E0081"/>
    <w:rsid w:val="002E68A5"/>
    <w:rsid w:val="002F4AA6"/>
    <w:rsid w:val="002F4AB3"/>
    <w:rsid w:val="00316F2B"/>
    <w:rsid w:val="003377A3"/>
    <w:rsid w:val="00342008"/>
    <w:rsid w:val="0037192D"/>
    <w:rsid w:val="003976EC"/>
    <w:rsid w:val="003A05A9"/>
    <w:rsid w:val="003B1CF7"/>
    <w:rsid w:val="003C207A"/>
    <w:rsid w:val="003C375F"/>
    <w:rsid w:val="003D22D6"/>
    <w:rsid w:val="003E1AD9"/>
    <w:rsid w:val="003E2A60"/>
    <w:rsid w:val="003E95FA"/>
    <w:rsid w:val="003F134A"/>
    <w:rsid w:val="00417782"/>
    <w:rsid w:val="00426054"/>
    <w:rsid w:val="004323D8"/>
    <w:rsid w:val="00432486"/>
    <w:rsid w:val="00447847"/>
    <w:rsid w:val="00450BD1"/>
    <w:rsid w:val="0045709C"/>
    <w:rsid w:val="00470BA9"/>
    <w:rsid w:val="00471517"/>
    <w:rsid w:val="00472CEB"/>
    <w:rsid w:val="0048143C"/>
    <w:rsid w:val="00486C4B"/>
    <w:rsid w:val="00487C9C"/>
    <w:rsid w:val="004B3F32"/>
    <w:rsid w:val="004B6358"/>
    <w:rsid w:val="004B68DB"/>
    <w:rsid w:val="004C6739"/>
    <w:rsid w:val="004E1392"/>
    <w:rsid w:val="004F5329"/>
    <w:rsid w:val="004F5395"/>
    <w:rsid w:val="005076B3"/>
    <w:rsid w:val="005149DB"/>
    <w:rsid w:val="00521DB1"/>
    <w:rsid w:val="005230CD"/>
    <w:rsid w:val="00525735"/>
    <w:rsid w:val="0052727B"/>
    <w:rsid w:val="00540D7A"/>
    <w:rsid w:val="00580473"/>
    <w:rsid w:val="005827A3"/>
    <w:rsid w:val="005919AC"/>
    <w:rsid w:val="00592E52"/>
    <w:rsid w:val="005CAB55"/>
    <w:rsid w:val="005D0E82"/>
    <w:rsid w:val="005E229C"/>
    <w:rsid w:val="005F66DA"/>
    <w:rsid w:val="00610731"/>
    <w:rsid w:val="006270DD"/>
    <w:rsid w:val="006361E7"/>
    <w:rsid w:val="006400B7"/>
    <w:rsid w:val="006550E8"/>
    <w:rsid w:val="00667306"/>
    <w:rsid w:val="006712B9"/>
    <w:rsid w:val="0069391D"/>
    <w:rsid w:val="006A16DC"/>
    <w:rsid w:val="006B795F"/>
    <w:rsid w:val="006D01D5"/>
    <w:rsid w:val="006D118D"/>
    <w:rsid w:val="006D3666"/>
    <w:rsid w:val="006E434C"/>
    <w:rsid w:val="006F4641"/>
    <w:rsid w:val="007023EC"/>
    <w:rsid w:val="00715B1D"/>
    <w:rsid w:val="00715FE3"/>
    <w:rsid w:val="00737FDE"/>
    <w:rsid w:val="00751A4C"/>
    <w:rsid w:val="00773BA7"/>
    <w:rsid w:val="00775FEE"/>
    <w:rsid w:val="007776B0"/>
    <w:rsid w:val="0077774F"/>
    <w:rsid w:val="00781C12"/>
    <w:rsid w:val="00791FC8"/>
    <w:rsid w:val="00796954"/>
    <w:rsid w:val="00796CA3"/>
    <w:rsid w:val="007973D2"/>
    <w:rsid w:val="007A366B"/>
    <w:rsid w:val="007A6CAF"/>
    <w:rsid w:val="007B7698"/>
    <w:rsid w:val="007C1903"/>
    <w:rsid w:val="007E016C"/>
    <w:rsid w:val="007F2D21"/>
    <w:rsid w:val="007F4601"/>
    <w:rsid w:val="007F6B34"/>
    <w:rsid w:val="007F70BB"/>
    <w:rsid w:val="00810C66"/>
    <w:rsid w:val="0082029C"/>
    <w:rsid w:val="00835412"/>
    <w:rsid w:val="00844176"/>
    <w:rsid w:val="00856499"/>
    <w:rsid w:val="00857413"/>
    <w:rsid w:val="008706A7"/>
    <w:rsid w:val="008C0E7D"/>
    <w:rsid w:val="008D68D1"/>
    <w:rsid w:val="008E2DBA"/>
    <w:rsid w:val="00904042"/>
    <w:rsid w:val="00906A5D"/>
    <w:rsid w:val="00920DA0"/>
    <w:rsid w:val="0092506A"/>
    <w:rsid w:val="00930C88"/>
    <w:rsid w:val="00954F2D"/>
    <w:rsid w:val="0096430F"/>
    <w:rsid w:val="0096779B"/>
    <w:rsid w:val="00970FC4"/>
    <w:rsid w:val="00975EF3"/>
    <w:rsid w:val="009978D5"/>
    <w:rsid w:val="009B13EF"/>
    <w:rsid w:val="009B4EB7"/>
    <w:rsid w:val="009B5C65"/>
    <w:rsid w:val="009C0816"/>
    <w:rsid w:val="009C6FF4"/>
    <w:rsid w:val="009D2050"/>
    <w:rsid w:val="009D5541"/>
    <w:rsid w:val="009D7AE0"/>
    <w:rsid w:val="009F1A5A"/>
    <w:rsid w:val="00A05A50"/>
    <w:rsid w:val="00A12E5B"/>
    <w:rsid w:val="00A15F28"/>
    <w:rsid w:val="00A17CB1"/>
    <w:rsid w:val="00A2154E"/>
    <w:rsid w:val="00A37EC3"/>
    <w:rsid w:val="00A55884"/>
    <w:rsid w:val="00A55D74"/>
    <w:rsid w:val="00A57B20"/>
    <w:rsid w:val="00A9284A"/>
    <w:rsid w:val="00AB183B"/>
    <w:rsid w:val="00AB4E0A"/>
    <w:rsid w:val="00AB7308"/>
    <w:rsid w:val="00AC6AC0"/>
    <w:rsid w:val="00AD3111"/>
    <w:rsid w:val="00AD5041"/>
    <w:rsid w:val="00AF5D16"/>
    <w:rsid w:val="00AF6146"/>
    <w:rsid w:val="00B23DCB"/>
    <w:rsid w:val="00B30276"/>
    <w:rsid w:val="00B309B1"/>
    <w:rsid w:val="00B33472"/>
    <w:rsid w:val="00B35610"/>
    <w:rsid w:val="00B53767"/>
    <w:rsid w:val="00B625DE"/>
    <w:rsid w:val="00B87203"/>
    <w:rsid w:val="00BA543F"/>
    <w:rsid w:val="00BB0F6C"/>
    <w:rsid w:val="00BB1D97"/>
    <w:rsid w:val="00BB5023"/>
    <w:rsid w:val="00BB7495"/>
    <w:rsid w:val="00BC75C4"/>
    <w:rsid w:val="00BC7DE4"/>
    <w:rsid w:val="00BD0557"/>
    <w:rsid w:val="00BD59CF"/>
    <w:rsid w:val="00C1698E"/>
    <w:rsid w:val="00C2016F"/>
    <w:rsid w:val="00C42BD6"/>
    <w:rsid w:val="00C638AB"/>
    <w:rsid w:val="00C64A0E"/>
    <w:rsid w:val="00C81BFB"/>
    <w:rsid w:val="00C86556"/>
    <w:rsid w:val="00C94A21"/>
    <w:rsid w:val="00CB4534"/>
    <w:rsid w:val="00CB5417"/>
    <w:rsid w:val="00CC072F"/>
    <w:rsid w:val="00CC239B"/>
    <w:rsid w:val="00CF2949"/>
    <w:rsid w:val="00D07A40"/>
    <w:rsid w:val="00D1005B"/>
    <w:rsid w:val="00D17458"/>
    <w:rsid w:val="00D225E4"/>
    <w:rsid w:val="00D22951"/>
    <w:rsid w:val="00D23186"/>
    <w:rsid w:val="00D319E7"/>
    <w:rsid w:val="00D6730E"/>
    <w:rsid w:val="00D74CBF"/>
    <w:rsid w:val="00D81DC7"/>
    <w:rsid w:val="00D92A36"/>
    <w:rsid w:val="00DA0AEC"/>
    <w:rsid w:val="00DA765D"/>
    <w:rsid w:val="00DB10ED"/>
    <w:rsid w:val="00DB4C25"/>
    <w:rsid w:val="00DC6C47"/>
    <w:rsid w:val="00DC7670"/>
    <w:rsid w:val="00DD51F1"/>
    <w:rsid w:val="00DE44DA"/>
    <w:rsid w:val="00DF224E"/>
    <w:rsid w:val="00DF7574"/>
    <w:rsid w:val="00E017E9"/>
    <w:rsid w:val="00E0243A"/>
    <w:rsid w:val="00E119A0"/>
    <w:rsid w:val="00E11A20"/>
    <w:rsid w:val="00E22F39"/>
    <w:rsid w:val="00E273B0"/>
    <w:rsid w:val="00E27DE6"/>
    <w:rsid w:val="00E40DC2"/>
    <w:rsid w:val="00E44764"/>
    <w:rsid w:val="00E471BF"/>
    <w:rsid w:val="00E60AC3"/>
    <w:rsid w:val="00E64E88"/>
    <w:rsid w:val="00E66140"/>
    <w:rsid w:val="00E950B6"/>
    <w:rsid w:val="00EA434B"/>
    <w:rsid w:val="00EA53E9"/>
    <w:rsid w:val="00EA6B58"/>
    <w:rsid w:val="00EB2684"/>
    <w:rsid w:val="00EB6664"/>
    <w:rsid w:val="00EB6688"/>
    <w:rsid w:val="00ED1FDD"/>
    <w:rsid w:val="00EF02D1"/>
    <w:rsid w:val="00EF5E70"/>
    <w:rsid w:val="00F25094"/>
    <w:rsid w:val="00F25A94"/>
    <w:rsid w:val="00F33113"/>
    <w:rsid w:val="00F455AB"/>
    <w:rsid w:val="00F47F29"/>
    <w:rsid w:val="00F75EBA"/>
    <w:rsid w:val="00F83F53"/>
    <w:rsid w:val="00F84903"/>
    <w:rsid w:val="00F93094"/>
    <w:rsid w:val="00FA2977"/>
    <w:rsid w:val="00FB0B37"/>
    <w:rsid w:val="00FC1169"/>
    <w:rsid w:val="00FC1E67"/>
    <w:rsid w:val="00FC4989"/>
    <w:rsid w:val="00FC533A"/>
    <w:rsid w:val="00FC739B"/>
    <w:rsid w:val="00FD3B58"/>
    <w:rsid w:val="00FE0B74"/>
    <w:rsid w:val="00FE31D7"/>
    <w:rsid w:val="00FE3420"/>
    <w:rsid w:val="01872A11"/>
    <w:rsid w:val="03C81264"/>
    <w:rsid w:val="0429C81D"/>
    <w:rsid w:val="04B14206"/>
    <w:rsid w:val="07E7009F"/>
    <w:rsid w:val="07F9F356"/>
    <w:rsid w:val="0809DBEF"/>
    <w:rsid w:val="080C9E76"/>
    <w:rsid w:val="086E542F"/>
    <w:rsid w:val="08A39D55"/>
    <w:rsid w:val="08D35648"/>
    <w:rsid w:val="0953CD62"/>
    <w:rsid w:val="0A1EC9F1"/>
    <w:rsid w:val="0A6E190D"/>
    <w:rsid w:val="0D17621E"/>
    <w:rsid w:val="0DD9CDE1"/>
    <w:rsid w:val="0E0D3B1E"/>
    <w:rsid w:val="0E743360"/>
    <w:rsid w:val="0F53742B"/>
    <w:rsid w:val="0FD0D4C7"/>
    <w:rsid w:val="1079D1FF"/>
    <w:rsid w:val="10820399"/>
    <w:rsid w:val="11A9A23C"/>
    <w:rsid w:val="11FC7A03"/>
    <w:rsid w:val="123A620C"/>
    <w:rsid w:val="123B5C0B"/>
    <w:rsid w:val="1242C768"/>
    <w:rsid w:val="1340FE5D"/>
    <w:rsid w:val="1378F260"/>
    <w:rsid w:val="13ADB877"/>
    <w:rsid w:val="13B172C1"/>
    <w:rsid w:val="14ACAB7C"/>
    <w:rsid w:val="173A1CA3"/>
    <w:rsid w:val="175516FB"/>
    <w:rsid w:val="17AAE41A"/>
    <w:rsid w:val="18A1F26F"/>
    <w:rsid w:val="1AC885FA"/>
    <w:rsid w:val="1B8B10F3"/>
    <w:rsid w:val="1C8205BA"/>
    <w:rsid w:val="1DAAE8BA"/>
    <w:rsid w:val="1DBD8D05"/>
    <w:rsid w:val="1E4B9BB2"/>
    <w:rsid w:val="1E928FCB"/>
    <w:rsid w:val="1EB789FC"/>
    <w:rsid w:val="1F0888D3"/>
    <w:rsid w:val="1F4CCF98"/>
    <w:rsid w:val="21BEBE70"/>
    <w:rsid w:val="227A5D4B"/>
    <w:rsid w:val="228BB613"/>
    <w:rsid w:val="24400F7D"/>
    <w:rsid w:val="24F1A456"/>
    <w:rsid w:val="250A6B5B"/>
    <w:rsid w:val="2601E964"/>
    <w:rsid w:val="263E0182"/>
    <w:rsid w:val="27057CFD"/>
    <w:rsid w:val="29812EA8"/>
    <w:rsid w:val="2A6FC2C2"/>
    <w:rsid w:val="2B234848"/>
    <w:rsid w:val="2C0AA7E5"/>
    <w:rsid w:val="2D998393"/>
    <w:rsid w:val="2DFAD34C"/>
    <w:rsid w:val="2E491367"/>
    <w:rsid w:val="2E6F4C0A"/>
    <w:rsid w:val="2E790455"/>
    <w:rsid w:val="2F317899"/>
    <w:rsid w:val="2FBCBACD"/>
    <w:rsid w:val="3180B429"/>
    <w:rsid w:val="32F019D0"/>
    <w:rsid w:val="34957352"/>
    <w:rsid w:val="35860ADB"/>
    <w:rsid w:val="374393F7"/>
    <w:rsid w:val="374EF6EE"/>
    <w:rsid w:val="38A21DBB"/>
    <w:rsid w:val="3A3594D8"/>
    <w:rsid w:val="3A746310"/>
    <w:rsid w:val="3C256299"/>
    <w:rsid w:val="3CCB5456"/>
    <w:rsid w:val="3CDACA99"/>
    <w:rsid w:val="3DEBDAB6"/>
    <w:rsid w:val="3E35325B"/>
    <w:rsid w:val="3E7C7F5B"/>
    <w:rsid w:val="40624B3B"/>
    <w:rsid w:val="415ACDFD"/>
    <w:rsid w:val="423BB40A"/>
    <w:rsid w:val="426C4BD7"/>
    <w:rsid w:val="42F69E5E"/>
    <w:rsid w:val="459423C1"/>
    <w:rsid w:val="46218C3D"/>
    <w:rsid w:val="49771AB9"/>
    <w:rsid w:val="4D2A1830"/>
    <w:rsid w:val="4D7451FC"/>
    <w:rsid w:val="4E57A735"/>
    <w:rsid w:val="4EB0EFC2"/>
    <w:rsid w:val="4F53EA5C"/>
    <w:rsid w:val="50BAEA0A"/>
    <w:rsid w:val="52038064"/>
    <w:rsid w:val="53F961DE"/>
    <w:rsid w:val="554BDA9A"/>
    <w:rsid w:val="56452D33"/>
    <w:rsid w:val="571F2CFD"/>
    <w:rsid w:val="5746D7A0"/>
    <w:rsid w:val="58362189"/>
    <w:rsid w:val="5946FA63"/>
    <w:rsid w:val="5ABE3FC5"/>
    <w:rsid w:val="5B3EFFB4"/>
    <w:rsid w:val="5C1D3DC2"/>
    <w:rsid w:val="5DB90E23"/>
    <w:rsid w:val="5FEC0F79"/>
    <w:rsid w:val="60BEBC89"/>
    <w:rsid w:val="6158E91F"/>
    <w:rsid w:val="625CEC1D"/>
    <w:rsid w:val="62DA5896"/>
    <w:rsid w:val="630E363D"/>
    <w:rsid w:val="638ED847"/>
    <w:rsid w:val="64284FA7"/>
    <w:rsid w:val="64AD7B7C"/>
    <w:rsid w:val="664607E3"/>
    <w:rsid w:val="66EC5739"/>
    <w:rsid w:val="68A2D000"/>
    <w:rsid w:val="6A04A318"/>
    <w:rsid w:val="6A5D06F7"/>
    <w:rsid w:val="6CE85896"/>
    <w:rsid w:val="6D0E8127"/>
    <w:rsid w:val="6DA52D17"/>
    <w:rsid w:val="6F72EFD4"/>
    <w:rsid w:val="6FDB7EED"/>
    <w:rsid w:val="703AAFCC"/>
    <w:rsid w:val="70413EC6"/>
    <w:rsid w:val="7176FA6F"/>
    <w:rsid w:val="760CCB05"/>
    <w:rsid w:val="763AB587"/>
    <w:rsid w:val="77E1AFB0"/>
    <w:rsid w:val="79D05C9E"/>
    <w:rsid w:val="7A348642"/>
    <w:rsid w:val="7AC5FAF5"/>
    <w:rsid w:val="7B2367EB"/>
    <w:rsid w:val="7C2FF13D"/>
    <w:rsid w:val="7E1B1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A8941"/>
  <w15:chartTrackingRefBased/>
  <w15:docId w15:val="{C021C5FD-0EAF-4B4C-A160-E9E34FF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A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A40"/>
    <w:pPr>
      <w:tabs>
        <w:tab w:val="center" w:pos="4153"/>
        <w:tab w:val="right" w:pos="8306"/>
      </w:tabs>
    </w:pPr>
  </w:style>
  <w:style w:type="character" w:customStyle="1" w:styleId="FooterChar">
    <w:name w:val="Footer Char"/>
    <w:basedOn w:val="DefaultParagraphFont"/>
    <w:link w:val="Footer"/>
    <w:uiPriority w:val="99"/>
    <w:rsid w:val="00D07A40"/>
    <w:rPr>
      <w:rFonts w:ascii="Times New Roman" w:eastAsia="Calibri" w:hAnsi="Times New Roman" w:cs="Times New Roman"/>
      <w:sz w:val="26"/>
      <w:szCs w:val="20"/>
      <w:lang w:val="en-AU"/>
    </w:rPr>
  </w:style>
  <w:style w:type="paragraph" w:styleId="BodyText">
    <w:name w:val="Body Text"/>
    <w:basedOn w:val="Normal"/>
    <w:link w:val="BodyTextChar"/>
    <w:unhideWhenUsed/>
    <w:rsid w:val="00D07A40"/>
    <w:pPr>
      <w:jc w:val="both"/>
    </w:pPr>
    <w:rPr>
      <w:rFonts w:eastAsia="Times New Roman"/>
      <w:sz w:val="28"/>
      <w:lang w:val="lv-LV" w:eastAsia="lv-LV"/>
    </w:rPr>
  </w:style>
  <w:style w:type="character" w:customStyle="1" w:styleId="BodyTextChar">
    <w:name w:val="Body Text Char"/>
    <w:basedOn w:val="DefaultParagraphFont"/>
    <w:link w:val="BodyText"/>
    <w:rsid w:val="00D07A40"/>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D07A40"/>
    <w:pPr>
      <w:tabs>
        <w:tab w:val="center" w:pos="4153"/>
        <w:tab w:val="right" w:pos="8306"/>
      </w:tabs>
    </w:pPr>
  </w:style>
  <w:style w:type="character" w:customStyle="1" w:styleId="HeaderChar">
    <w:name w:val="Header Char"/>
    <w:basedOn w:val="DefaultParagraphFont"/>
    <w:link w:val="Header"/>
    <w:rsid w:val="00D07A40"/>
    <w:rPr>
      <w:rFonts w:ascii="Times New Roman" w:eastAsia="Calibri" w:hAnsi="Times New Roman" w:cs="Times New Roman"/>
      <w:sz w:val="26"/>
      <w:szCs w:val="20"/>
      <w:lang w:val="en-AU"/>
    </w:rPr>
  </w:style>
  <w:style w:type="paragraph" w:customStyle="1" w:styleId="naiskr">
    <w:name w:val="naiskr"/>
    <w:basedOn w:val="Normal"/>
    <w:rsid w:val="00D07A40"/>
    <w:pPr>
      <w:spacing w:before="75" w:after="75"/>
    </w:pPr>
    <w:rPr>
      <w:rFonts w:eastAsia="Times New Roman"/>
      <w:sz w:val="24"/>
      <w:szCs w:val="24"/>
      <w:lang w:val="lv-LV" w:eastAsia="lv-LV"/>
    </w:rPr>
  </w:style>
  <w:style w:type="paragraph" w:styleId="ListParagraph">
    <w:name w:val="List Paragraph"/>
    <w:aliases w:val="2,Strip,H&amp;P List Paragraph,Saraksta rindkopa,Saraksta rindkopa1"/>
    <w:basedOn w:val="Normal"/>
    <w:link w:val="ListParagraphChar"/>
    <w:uiPriority w:val="34"/>
    <w:qFormat/>
    <w:rsid w:val="00D07A40"/>
    <w:pPr>
      <w:ind w:left="720"/>
      <w:contextualSpacing/>
    </w:pPr>
  </w:style>
  <w:style w:type="character" w:styleId="Hyperlink">
    <w:name w:val="Hyperlink"/>
    <w:basedOn w:val="DefaultParagraphFont"/>
    <w:uiPriority w:val="99"/>
    <w:unhideWhenUsed/>
    <w:rsid w:val="00D07A40"/>
    <w:rPr>
      <w:color w:val="0563C1" w:themeColor="hyperlink"/>
      <w:u w:val="single"/>
    </w:rPr>
  </w:style>
  <w:style w:type="character" w:customStyle="1" w:styleId="ListParagraphChar">
    <w:name w:val="List Paragraph Char"/>
    <w:aliases w:val="2 Char,Strip Char,H&amp;P List Paragraph Char,Saraksta rindkopa Char,Saraksta rindkopa1 Char"/>
    <w:link w:val="ListParagraph"/>
    <w:uiPriority w:val="34"/>
    <w:locked/>
    <w:rsid w:val="00D07A40"/>
    <w:rPr>
      <w:rFonts w:ascii="Times New Roman" w:eastAsia="Calibri" w:hAnsi="Times New Roman" w:cs="Times New Roman"/>
      <w:sz w:val="26"/>
      <w:szCs w:val="20"/>
      <w:lang w:val="en-AU"/>
    </w:rPr>
  </w:style>
  <w:style w:type="paragraph" w:styleId="NormalWeb">
    <w:name w:val="Normal (Web)"/>
    <w:basedOn w:val="Normal"/>
    <w:uiPriority w:val="99"/>
    <w:unhideWhenUsed/>
    <w:rsid w:val="00D07A40"/>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D07A40"/>
  </w:style>
  <w:style w:type="paragraph" w:customStyle="1" w:styleId="paragraph">
    <w:name w:val="paragraph"/>
    <w:basedOn w:val="Normal"/>
    <w:rsid w:val="00D07A40"/>
    <w:pPr>
      <w:spacing w:before="100" w:beforeAutospacing="1" w:after="100" w:afterAutospacing="1"/>
    </w:pPr>
    <w:rPr>
      <w:rFonts w:eastAsia="Times New Roman"/>
      <w:sz w:val="24"/>
      <w:szCs w:val="24"/>
      <w:lang w:val="lv-LV" w:eastAsia="lv-LV"/>
    </w:rPr>
  </w:style>
  <w:style w:type="character" w:customStyle="1" w:styleId="eop">
    <w:name w:val="eop"/>
    <w:basedOn w:val="DefaultParagraphFont"/>
    <w:rsid w:val="00D07A40"/>
  </w:style>
  <w:style w:type="table" w:styleId="TableGrid">
    <w:name w:val="Table Grid"/>
    <w:basedOn w:val="TableNormal"/>
    <w:uiPriority w:val="59"/>
    <w:rsid w:val="00D0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07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35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12"/>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E11A20"/>
    <w:rPr>
      <w:sz w:val="16"/>
      <w:szCs w:val="16"/>
    </w:rPr>
  </w:style>
  <w:style w:type="paragraph" w:styleId="CommentText">
    <w:name w:val="annotation text"/>
    <w:basedOn w:val="Normal"/>
    <w:link w:val="CommentTextChar"/>
    <w:uiPriority w:val="99"/>
    <w:semiHidden/>
    <w:unhideWhenUsed/>
    <w:rsid w:val="00E11A20"/>
    <w:rPr>
      <w:sz w:val="20"/>
    </w:rPr>
  </w:style>
  <w:style w:type="character" w:customStyle="1" w:styleId="CommentTextChar">
    <w:name w:val="Comment Text Char"/>
    <w:basedOn w:val="DefaultParagraphFont"/>
    <w:link w:val="CommentText"/>
    <w:uiPriority w:val="99"/>
    <w:semiHidden/>
    <w:rsid w:val="00E11A20"/>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11A20"/>
    <w:rPr>
      <w:b/>
      <w:bCs/>
    </w:rPr>
  </w:style>
  <w:style w:type="character" w:customStyle="1" w:styleId="CommentSubjectChar">
    <w:name w:val="Comment Subject Char"/>
    <w:basedOn w:val="CommentTextChar"/>
    <w:link w:val="CommentSubject"/>
    <w:uiPriority w:val="99"/>
    <w:semiHidden/>
    <w:rsid w:val="00E11A20"/>
    <w:rPr>
      <w:rFonts w:ascii="Times New Roman" w:eastAsia="Calibri" w:hAnsi="Times New Roman" w:cs="Times New Roman"/>
      <w:b/>
      <w:bCs/>
      <w:sz w:val="20"/>
      <w:szCs w:val="20"/>
      <w:lang w:val="en-AU"/>
    </w:rPr>
  </w:style>
  <w:style w:type="character" w:customStyle="1" w:styleId="naisfChar">
    <w:name w:val="naisf Char"/>
    <w:link w:val="naisf"/>
    <w:locked/>
    <w:rsid w:val="00BC75C4"/>
    <w:rPr>
      <w:rFonts w:ascii="Times New Roman" w:eastAsia="Times New Roman" w:hAnsi="Times New Roman" w:cs="Times New Roman"/>
      <w:sz w:val="24"/>
      <w:szCs w:val="24"/>
      <w:lang w:eastAsia="lv-LV"/>
    </w:rPr>
  </w:style>
  <w:style w:type="paragraph" w:customStyle="1" w:styleId="naisf">
    <w:name w:val="naisf"/>
    <w:basedOn w:val="Normal"/>
    <w:link w:val="naisfChar"/>
    <w:rsid w:val="00BC75C4"/>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3262">
      <w:bodyDiv w:val="1"/>
      <w:marLeft w:val="0"/>
      <w:marRight w:val="0"/>
      <w:marTop w:val="0"/>
      <w:marBottom w:val="0"/>
      <w:divBdr>
        <w:top w:val="none" w:sz="0" w:space="0" w:color="auto"/>
        <w:left w:val="none" w:sz="0" w:space="0" w:color="auto"/>
        <w:bottom w:val="none" w:sz="0" w:space="0" w:color="auto"/>
        <w:right w:val="none" w:sz="0" w:space="0" w:color="auto"/>
      </w:divBdr>
      <w:divsChild>
        <w:div w:id="353043036">
          <w:marLeft w:val="0"/>
          <w:marRight w:val="0"/>
          <w:marTop w:val="0"/>
          <w:marBottom w:val="0"/>
          <w:divBdr>
            <w:top w:val="none" w:sz="0" w:space="0" w:color="auto"/>
            <w:left w:val="none" w:sz="0" w:space="0" w:color="auto"/>
            <w:bottom w:val="none" w:sz="0" w:space="0" w:color="auto"/>
            <w:right w:val="none" w:sz="0" w:space="0" w:color="auto"/>
          </w:divBdr>
        </w:div>
      </w:divsChild>
    </w:div>
    <w:div w:id="145051631">
      <w:bodyDiv w:val="1"/>
      <w:marLeft w:val="0"/>
      <w:marRight w:val="0"/>
      <w:marTop w:val="0"/>
      <w:marBottom w:val="0"/>
      <w:divBdr>
        <w:top w:val="none" w:sz="0" w:space="0" w:color="auto"/>
        <w:left w:val="none" w:sz="0" w:space="0" w:color="auto"/>
        <w:bottom w:val="none" w:sz="0" w:space="0" w:color="auto"/>
        <w:right w:val="none" w:sz="0" w:space="0" w:color="auto"/>
      </w:divBdr>
    </w:div>
    <w:div w:id="676883623">
      <w:bodyDiv w:val="1"/>
      <w:marLeft w:val="0"/>
      <w:marRight w:val="0"/>
      <w:marTop w:val="0"/>
      <w:marBottom w:val="0"/>
      <w:divBdr>
        <w:top w:val="none" w:sz="0" w:space="0" w:color="auto"/>
        <w:left w:val="none" w:sz="0" w:space="0" w:color="auto"/>
        <w:bottom w:val="none" w:sz="0" w:space="0" w:color="auto"/>
        <w:right w:val="none" w:sz="0" w:space="0" w:color="auto"/>
      </w:divBdr>
    </w:div>
    <w:div w:id="1761098897">
      <w:bodyDiv w:val="1"/>
      <w:marLeft w:val="0"/>
      <w:marRight w:val="0"/>
      <w:marTop w:val="0"/>
      <w:marBottom w:val="0"/>
      <w:divBdr>
        <w:top w:val="none" w:sz="0" w:space="0" w:color="auto"/>
        <w:left w:val="none" w:sz="0" w:space="0" w:color="auto"/>
        <w:bottom w:val="none" w:sz="0" w:space="0" w:color="auto"/>
        <w:right w:val="none" w:sz="0" w:space="0" w:color="auto"/>
      </w:divBdr>
    </w:div>
    <w:div w:id="1850290547">
      <w:bodyDiv w:val="1"/>
      <w:marLeft w:val="0"/>
      <w:marRight w:val="0"/>
      <w:marTop w:val="0"/>
      <w:marBottom w:val="0"/>
      <w:divBdr>
        <w:top w:val="none" w:sz="0" w:space="0" w:color="auto"/>
        <w:left w:val="none" w:sz="0" w:space="0" w:color="auto"/>
        <w:bottom w:val="none" w:sz="0" w:space="0" w:color="auto"/>
        <w:right w:val="none" w:sz="0" w:space="0" w:color="auto"/>
      </w:divBdr>
    </w:div>
    <w:div w:id="19326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2A4B-8974-4FA1-9146-1FFDA024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E147D-962E-4169-AF3A-C335A608F5A2}">
  <ds:schemaRefs>
    <ds:schemaRef ds:uri="http://schemas.microsoft.com/sharepoint/v3/contenttype/forms"/>
  </ds:schemaRefs>
</ds:datastoreItem>
</file>

<file path=customXml/itemProps3.xml><?xml version="1.0" encoding="utf-8"?>
<ds:datastoreItem xmlns:ds="http://schemas.openxmlformats.org/officeDocument/2006/customXml" ds:itemID="{7C558953-4F33-43DE-9A5B-6ABD386916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63FA7-28DC-4E12-B0D7-D0EBBC5A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5</Pages>
  <Words>6450</Words>
  <Characters>3678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Elīna Pētersone</cp:lastModifiedBy>
  <cp:revision>146</cp:revision>
  <dcterms:created xsi:type="dcterms:W3CDTF">2021-05-26T22:48:00Z</dcterms:created>
  <dcterms:modified xsi:type="dcterms:W3CDTF">2021-07-13T07:46:00Z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