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7538" w14:textId="77777777" w:rsidR="00516819" w:rsidRDefault="00516819" w:rsidP="006F10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67F5CE3" w14:textId="77777777" w:rsidR="00516819" w:rsidRDefault="00516819" w:rsidP="006F10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1D98838" w14:textId="77777777" w:rsidR="00516819" w:rsidRDefault="00516819" w:rsidP="006F10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1B5AD07B" w14:textId="2F1B3553" w:rsidR="006F104F" w:rsidRDefault="006F104F" w:rsidP="006F10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E13D95">
        <w:rPr>
          <w:rFonts w:ascii="Times New Roman" w:eastAsia="Times New Roman" w:hAnsi="Times New Roman"/>
          <w:b/>
          <w:sz w:val="24"/>
          <w:szCs w:val="24"/>
          <w:lang w:eastAsia="lv-LV"/>
        </w:rPr>
        <w:t>Ministru kabineta noteikumu projekta “</w:t>
      </w:r>
      <w:r w:rsidRPr="006F104F">
        <w:rPr>
          <w:rFonts w:ascii="Times New Roman" w:eastAsia="Times New Roman" w:hAnsi="Times New Roman"/>
          <w:b/>
          <w:sz w:val="24"/>
          <w:szCs w:val="24"/>
          <w:lang w:eastAsia="lv-LV"/>
        </w:rPr>
        <w:t>Grozījumi Ministru kabineta 2018. gada</w:t>
      </w:r>
    </w:p>
    <w:p w14:paraId="2602F80F" w14:textId="78E74E1F" w:rsidR="006F104F" w:rsidRPr="006F104F" w:rsidRDefault="006F104F" w:rsidP="006F10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lv-LV"/>
        </w:rPr>
      </w:pPr>
      <w:r w:rsidRPr="006F104F">
        <w:rPr>
          <w:rFonts w:ascii="Times New Roman" w:eastAsia="Times New Roman" w:hAnsi="Times New Roman"/>
          <w:b/>
          <w:sz w:val="24"/>
          <w:szCs w:val="24"/>
          <w:lang w:eastAsia="lv-LV"/>
        </w:rPr>
        <w:t>16.</w:t>
      </w:r>
      <w:r w:rsidR="005C2074">
        <w:rPr>
          <w:rFonts w:ascii="Times New Roman" w:eastAsia="Times New Roman" w:hAnsi="Times New Roman"/>
          <w:b/>
          <w:sz w:val="24"/>
          <w:szCs w:val="24"/>
          <w:lang w:eastAsia="lv-LV"/>
        </w:rPr>
        <w:t> </w:t>
      </w:r>
      <w:r w:rsidRPr="006F104F">
        <w:rPr>
          <w:rFonts w:ascii="Times New Roman" w:eastAsia="Times New Roman" w:hAnsi="Times New Roman"/>
          <w:b/>
          <w:sz w:val="24"/>
          <w:szCs w:val="24"/>
          <w:lang w:eastAsia="lv-LV"/>
        </w:rPr>
        <w:t>janvāra noteikumos Nr. 38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6F104F">
        <w:rPr>
          <w:rFonts w:ascii="Times New Roman" w:eastAsiaTheme="minorHAnsi" w:hAnsi="Times New Roman"/>
          <w:b/>
          <w:bCs/>
          <w:sz w:val="24"/>
          <w:szCs w:val="24"/>
          <w:lang w:eastAsia="lv-LV"/>
        </w:rPr>
        <w:t>“Darbības programmas "Izaugsme un nodarbinātība" 4.1.1. specifiskā atbalsta mērķa "Veicināt efektīvu energoresursu izmantošanu, enerģijas patēriņa samazināšanu un pāreju uz AER apstrādes rūpniecības nozarē" otrās projektu iesniegumu atlases kārtas īstenošanas noteikumi</w:t>
      </w:r>
      <w:r w:rsidRPr="00E13D95">
        <w:rPr>
          <w:rFonts w:ascii="Times New Roman" w:eastAsia="Times New Roman" w:hAnsi="Times New Roman"/>
          <w:b/>
          <w:sz w:val="24"/>
          <w:szCs w:val="24"/>
          <w:lang w:eastAsia="lv-LV"/>
        </w:rPr>
        <w:t>"”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E13D95">
        <w:rPr>
          <w:rFonts w:ascii="Times New Roman" w:eastAsia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14:paraId="5AF3175D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pPr w:leftFromText="180" w:rightFromText="180" w:bottomFromText="20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51"/>
      </w:tblGrid>
      <w:tr w:rsidR="006F104F" w:rsidRPr="00E13D95" w14:paraId="18CE40A1" w14:textId="77777777" w:rsidTr="00E17C21">
        <w:tc>
          <w:tcPr>
            <w:tcW w:w="935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3AD4224D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734C3CE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69388651"/>
            <w:r w:rsidRPr="00E13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  <w:bookmarkEnd w:id="0"/>
          <w:p w14:paraId="3E489BE4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02913C98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F104F" w:rsidRPr="00E13D95" w14:paraId="270CD2E7" w14:textId="77777777" w:rsidTr="00E17C21">
        <w:trPr>
          <w:trHeight w:val="467"/>
        </w:trPr>
        <w:tc>
          <w:tcPr>
            <w:tcW w:w="2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3B9216D0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E820E7D" w14:textId="128C40EB" w:rsidR="006F104F" w:rsidRPr="006F104F" w:rsidRDefault="006F104F" w:rsidP="00323E3C">
            <w:pPr>
              <w:shd w:val="clear" w:color="auto" w:fill="FFFFFF"/>
              <w:spacing w:after="0" w:line="240" w:lineRule="auto"/>
              <w:ind w:left="112" w:right="14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F104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Ekonomikas ministrija ierosina veikt grozījumus</w:t>
            </w:r>
            <w:r w:rsidRPr="006F1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Ministru kabineta 2018.</w:t>
            </w:r>
            <w:r w:rsidR="00FD13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F1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F1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  <w:r w:rsidR="00FD13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F1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janvāra noteikumos Nr.</w:t>
            </w:r>
            <w:r w:rsidR="00FD13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6F1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38 </w:t>
            </w:r>
            <w:r w:rsidRPr="006F104F"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  <w:t>“Darbības programmas "Izaugsme un nodarbinātība" 4.1.1.</w:t>
            </w:r>
            <w:r w:rsidR="00FD136D"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  <w:t> </w:t>
            </w:r>
            <w:r w:rsidRPr="006F104F">
              <w:rPr>
                <w:rFonts w:ascii="Times New Roman" w:eastAsiaTheme="minorHAnsi" w:hAnsi="Times New Roman"/>
                <w:sz w:val="24"/>
                <w:szCs w:val="24"/>
                <w:lang w:eastAsia="lv-LV"/>
              </w:rPr>
              <w:t>specifiskā atbalsta mērķa "Veicināt efektīvu energoresursu izmantošanu, enerģijas patēriņa samazināšanu un pāreju uz AER apstrādes rūpniecības nozarē" otrās projektu iesniegumu atlases kārtas īstenošanas noteikumi</w:t>
            </w:r>
            <w:r w:rsidRPr="006F104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="009430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ņemot vērā, ka</w:t>
            </w:r>
            <w:r w:rsidRPr="00E13D95">
              <w:t xml:space="preserve">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Eiropas Komisijas uzturētajā IT rīkā </w:t>
            </w:r>
            <w:proofErr w:type="spellStart"/>
            <w:r w:rsidRPr="00E13D95">
              <w:rPr>
                <w:rFonts w:ascii="Times New Roman" w:hAnsi="Times New Roman"/>
                <w:i/>
                <w:iCs/>
                <w:sz w:val="24"/>
                <w:szCs w:val="24"/>
              </w:rPr>
              <w:t>eState</w:t>
            </w:r>
            <w:proofErr w:type="spellEnd"/>
            <w:r w:rsidRPr="00E13D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aid WIKI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29.03.2021. ir ievietots skaidrojums par investīciju AER </w:t>
            </w:r>
            <w:r w:rsidR="005C207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4C" w:rsidRPr="00213DD9">
              <w:rPr>
                <w:rFonts w:ascii="Times New Roman" w:hAnsi="Times New Roman"/>
                <w:sz w:val="24"/>
                <w:szCs w:val="24"/>
              </w:rPr>
              <w:t xml:space="preserve">saules </w:t>
            </w:r>
            <w:r w:rsidR="00E45C4C" w:rsidRPr="00213DD9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B0E8D">
              <w:rPr>
                <w:rFonts w:ascii="Times New Roman" w:hAnsi="Times New Roman"/>
                <w:sz w:val="24"/>
                <w:szCs w:val="24"/>
              </w:rPr>
              <w:t>attiecināmību</w:t>
            </w:r>
            <w:proofErr w:type="spellEnd"/>
            <w:r w:rsidR="002B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EK regulas Nr.</w:t>
            </w:r>
            <w:r w:rsidR="00FD136D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651/2014 38.</w:t>
            </w:r>
            <w:r w:rsidR="00FD136D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panta ietvaros, kurā EK skaidro, ka investīcijas AER </w:t>
            </w:r>
            <w:r w:rsidR="00FD13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C4C" w:rsidRPr="00213DD9">
              <w:rPr>
                <w:rFonts w:ascii="Times New Roman" w:hAnsi="Times New Roman"/>
                <w:sz w:val="24"/>
                <w:szCs w:val="24"/>
              </w:rPr>
              <w:t xml:space="preserve">saules </w:t>
            </w:r>
            <w:r w:rsidR="00E45C4C" w:rsidRPr="00213DD9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– EK regulas Nr.</w:t>
            </w:r>
            <w:r w:rsidR="00FD136D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651/2014 38.</w:t>
            </w:r>
            <w:r w:rsidR="00FD136D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panta ietvaros nav atbalstāmas. </w:t>
            </w:r>
          </w:p>
          <w:p w14:paraId="17D34975" w14:textId="77777777" w:rsidR="000D7234" w:rsidRDefault="000D7234" w:rsidP="00323E3C">
            <w:pPr>
              <w:widowControl w:val="0"/>
              <w:spacing w:after="120" w:line="240" w:lineRule="auto"/>
              <w:ind w:left="112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0F51E8" w14:textId="65E95EAF" w:rsidR="000D7234" w:rsidRDefault="00FD136D" w:rsidP="00323E3C">
            <w:pPr>
              <w:widowControl w:val="0"/>
              <w:spacing w:after="120" w:line="240" w:lineRule="auto"/>
              <w:ind w:left="112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 specifiskā atbalsta mērķa “Veicināt efektīvu energoresursu izmantošanu, enerģijas patēriņa samazināšanu un pāreju uz AER apstrādes rūpniecības nozarē” (turpmā</w:t>
            </w:r>
            <w:r w:rsidR="002B0E8D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4.1.1.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 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SAM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)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otrās projektu iesniegumu atlases 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kārtas ietvaros</w:t>
            </w:r>
            <w:r w:rsidR="002B0E8D">
              <w:rPr>
                <w:rFonts w:ascii="Times New Roman" w:hAnsi="Times New Roman"/>
                <w:sz w:val="24"/>
                <w:szCs w:val="24"/>
              </w:rPr>
              <w:t xml:space="preserve"> tai skaitā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 xml:space="preserve"> ir snieg</w:t>
            </w:r>
            <w:r w:rsidR="005C2074" w:rsidRPr="00323E3C">
              <w:rPr>
                <w:rFonts w:ascii="Times New Roman" w:hAnsi="Times New Roman"/>
                <w:sz w:val="24"/>
                <w:szCs w:val="24"/>
              </w:rPr>
              <w:t>t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s valsts atbalsts div</w:t>
            </w:r>
            <w:r w:rsidR="005C2074" w:rsidRPr="00323E3C">
              <w:rPr>
                <w:rFonts w:ascii="Times New Roman" w:hAnsi="Times New Roman"/>
                <w:sz w:val="24"/>
                <w:szCs w:val="24"/>
              </w:rPr>
              <w:t>iem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E8D">
              <w:rPr>
                <w:rFonts w:ascii="Times New Roman" w:hAnsi="Times New Roman"/>
                <w:sz w:val="24"/>
                <w:szCs w:val="24"/>
              </w:rPr>
              <w:t>tādiem</w:t>
            </w:r>
            <w:r w:rsidR="0002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C2074" w:rsidRPr="00323E3C">
              <w:rPr>
                <w:rFonts w:ascii="Times New Roman" w:hAnsi="Times New Roman"/>
                <w:sz w:val="24"/>
                <w:szCs w:val="24"/>
              </w:rPr>
              <w:t>iem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, kur</w:t>
            </w:r>
            <w:r w:rsidR="00841FDA">
              <w:rPr>
                <w:rFonts w:ascii="Times New Roman" w:hAnsi="Times New Roman"/>
                <w:sz w:val="24"/>
                <w:szCs w:val="24"/>
              </w:rPr>
              <w:t>os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 xml:space="preserve"> ir veiktas investīcijas saules </w:t>
            </w:r>
            <w:r w:rsidRPr="007A796D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</w:t>
            </w:r>
            <w:r w:rsidR="005C2074" w:rsidRPr="00323E3C">
              <w:rPr>
                <w:rFonts w:ascii="Times New Roman" w:hAnsi="Times New Roman"/>
                <w:sz w:val="24"/>
                <w:szCs w:val="24"/>
              </w:rPr>
              <w:t>. K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opā šīm izmaksām ir sniegts valsts atbalsts 46</w:t>
            </w:r>
            <w:r w:rsidR="005C2074" w:rsidRPr="00323E3C">
              <w:rPr>
                <w:rFonts w:ascii="Times New Roman" w:hAnsi="Times New Roman"/>
                <w:sz w:val="24"/>
                <w:szCs w:val="24"/>
              </w:rPr>
              <w:t> </w:t>
            </w:r>
            <w:r w:rsidR="000D7234" w:rsidRPr="00323E3C">
              <w:rPr>
                <w:rFonts w:ascii="Times New Roman" w:hAnsi="Times New Roman"/>
                <w:sz w:val="24"/>
                <w:szCs w:val="24"/>
              </w:rPr>
              <w:t>900</w:t>
            </w:r>
            <w:r w:rsidR="005C2074" w:rsidRPr="00323E3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5C2074" w:rsidRPr="00323E3C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0D7234" w:rsidRPr="00323E3C">
              <w:rPr>
                <w:rFonts w:ascii="Times New Roman" w:hAnsi="Times New Roman"/>
                <w:sz w:val="24"/>
                <w:szCs w:val="24"/>
              </w:rPr>
              <w:t xml:space="preserve"> apmērā</w:t>
            </w:r>
            <w:r w:rsidR="00C03F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D0519E" w14:textId="77777777" w:rsidR="00C03F5C" w:rsidRPr="007A796D" w:rsidRDefault="00C03F5C" w:rsidP="00323E3C">
            <w:pPr>
              <w:widowControl w:val="0"/>
              <w:spacing w:after="120" w:line="240" w:lineRule="auto"/>
              <w:ind w:left="112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8E25D" w14:textId="77777777" w:rsidR="006F104F" w:rsidRPr="00E13D95" w:rsidRDefault="006F104F" w:rsidP="00323E3C">
            <w:pPr>
              <w:spacing w:after="0" w:line="240" w:lineRule="auto"/>
              <w:ind w:left="112" w:right="146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</w:p>
          <w:p w14:paraId="21C0DD2F" w14:textId="6F58D5EB" w:rsidR="006F104F" w:rsidRPr="00E13D95" w:rsidRDefault="006F104F" w:rsidP="00323E3C">
            <w:pPr>
              <w:spacing w:after="0" w:line="240" w:lineRule="auto"/>
              <w:ind w:left="112" w:right="146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Noteikumu projekts stāsies spēkā </w:t>
            </w:r>
            <w:r w:rsidR="00404CF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nākamajā dienā 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pēc tā publicēšanas </w:t>
            </w:r>
            <w:r w:rsidR="00404CF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oficiālajā izdevumā “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Latvijas Vēstnes</w:t>
            </w:r>
            <w:r w:rsidR="00404CF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is”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7EF20DEA" w14:textId="77777777" w:rsidR="006F104F" w:rsidRPr="00E13D95" w:rsidRDefault="006F104F" w:rsidP="00323E3C">
            <w:pPr>
              <w:spacing w:after="0" w:line="240" w:lineRule="auto"/>
              <w:ind w:left="112" w:right="202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3203BC5D" w14:textId="514BA8BB" w:rsidR="006F104F" w:rsidRDefault="006F104F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5E94E659" w14:textId="1155CB10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235BD96A" w14:textId="15B07E9E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2EF63556" w14:textId="3668F816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740247A5" w14:textId="1683751D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4C3089DD" w14:textId="7D25C331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2CBE1BD3" w14:textId="143E2C38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30332D85" w14:textId="77777777" w:rsidR="00516819" w:rsidRDefault="00516819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p w14:paraId="545E0A75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lv-LV"/>
        </w:rPr>
      </w:pPr>
    </w:p>
    <w:tbl>
      <w:tblPr>
        <w:tblW w:w="10005" w:type="dxa"/>
        <w:tblInd w:w="-537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8212"/>
      </w:tblGrid>
      <w:tr w:rsidR="006F104F" w:rsidRPr="00E13D95" w14:paraId="0439FC59" w14:textId="77777777" w:rsidTr="00E17C21">
        <w:tc>
          <w:tcPr>
            <w:tcW w:w="100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36C42011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bookmarkStart w:id="1" w:name="_Hlk69388021"/>
          </w:p>
          <w:p w14:paraId="1D0F05CB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  <w:bookmarkEnd w:id="1"/>
          <w:p w14:paraId="645DF983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104F" w:rsidRPr="00E13D95" w14:paraId="23DAC0D6" w14:textId="77777777" w:rsidTr="00E17C21">
        <w:tc>
          <w:tcPr>
            <w:tcW w:w="1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3F928912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Pamatojums</w:t>
            </w:r>
          </w:p>
        </w:tc>
        <w:tc>
          <w:tcPr>
            <w:tcW w:w="82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3A14DDB" w14:textId="3C780777" w:rsidR="006F104F" w:rsidRPr="00E13D95" w:rsidRDefault="006F104F" w:rsidP="00E17C21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Eiropas Savienības struktūrfondu un Kohēzijas fonda 2014.–2020.</w:t>
            </w:r>
            <w:r w:rsidR="00383F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gada plānošanas perioda vadības likuma 20.</w:t>
            </w:r>
            <w:r w:rsidR="00383F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panta 13.</w:t>
            </w:r>
            <w:r w:rsidR="00383F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punkts.</w:t>
            </w:r>
          </w:p>
          <w:p w14:paraId="0E34ADFE" w14:textId="77777777" w:rsidR="006F104F" w:rsidRPr="00E13D95" w:rsidRDefault="006F104F" w:rsidP="00E17C21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39E40" w14:textId="77777777" w:rsidR="006F104F" w:rsidRPr="00E13D95" w:rsidRDefault="006F104F" w:rsidP="00E17C21">
            <w:pPr>
              <w:spacing w:after="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4F" w:rsidRPr="00E13D95" w14:paraId="53F37F8B" w14:textId="77777777" w:rsidTr="00E17C21">
        <w:trPr>
          <w:trHeight w:val="360"/>
        </w:trPr>
        <w:tc>
          <w:tcPr>
            <w:tcW w:w="1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A24A571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bookmarkStart w:id="2" w:name="_Hlk69388298"/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  <w:bookmarkEnd w:id="2"/>
          </w:p>
        </w:tc>
        <w:tc>
          <w:tcPr>
            <w:tcW w:w="82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0AEB8F69" w14:textId="2A9662F7" w:rsidR="006F104F" w:rsidRPr="00E13D95" w:rsidRDefault="0094308C" w:rsidP="00E17C21">
            <w:pPr>
              <w:spacing w:after="0" w:line="240" w:lineRule="auto"/>
              <w:ind w:left="132" w:righ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Ministru kabineta 2018. gada 16. janvāra noteikumi Nr. 38 </w:t>
            </w:r>
            <w:r w:rsidRPr="0094308C">
              <w:rPr>
                <w:rFonts w:ascii="Times New Roman" w:hAnsi="Times New Roman"/>
                <w:sz w:val="24"/>
                <w:szCs w:val="24"/>
                <w:lang w:eastAsia="lv-LV"/>
              </w:rPr>
              <w:t>“Darbības programmas "Izaugsme un nodarbinātība" 4.1.1. specifiskā atbalsta mērķa "Veicināt efektīvu energoresursu izmantošanu, enerģijas patēriņa samazināšanu un pāreju uz AER apstrādes rūpniecības nozarē" otrās projektu iesniegumu atlases kārtas īstenošanas noteikumi</w:t>
            </w:r>
            <w:r w:rsidRPr="009430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6F104F" w:rsidRPr="00E13D95">
              <w:rPr>
                <w:rFonts w:ascii="Times New Roman" w:hAnsi="Times New Roman"/>
                <w:sz w:val="24"/>
                <w:szCs w:val="24"/>
              </w:rPr>
              <w:t xml:space="preserve">līdz šim paredzēja atbalstu </w:t>
            </w:r>
            <w:r w:rsidR="00F00894">
              <w:rPr>
                <w:rFonts w:ascii="Times New Roman" w:hAnsi="Times New Roman"/>
                <w:sz w:val="24"/>
                <w:szCs w:val="24"/>
              </w:rPr>
              <w:t xml:space="preserve">ieguldījumiem </w:t>
            </w:r>
            <w:r w:rsidR="00F00894" w:rsidRPr="00213DD9">
              <w:rPr>
                <w:rFonts w:ascii="Times New Roman" w:hAnsi="Times New Roman"/>
                <w:sz w:val="24"/>
                <w:szCs w:val="24"/>
              </w:rPr>
              <w:t>saules</w:t>
            </w:r>
            <w:r w:rsidR="00F00894" w:rsidRPr="007A796D">
              <w:rPr>
                <w:rFonts w:ascii="Times New Roman" w:eastAsia="Times New Roman" w:hAnsi="Times New Roman"/>
                <w:sz w:val="24"/>
                <w:szCs w:val="24"/>
              </w:rPr>
              <w:t xml:space="preserve"> enerģiju izmantojoš</w:t>
            </w:r>
            <w:r w:rsidR="00F00894"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="00F00894" w:rsidRPr="007A796D">
              <w:rPr>
                <w:rFonts w:ascii="Times New Roman" w:eastAsia="Times New Roman" w:hAnsi="Times New Roman"/>
                <w:sz w:val="24"/>
                <w:szCs w:val="24"/>
              </w:rPr>
              <w:t xml:space="preserve"> siltumenerģijas un elektroenerģijas ražošanas</w:t>
            </w:r>
            <w:r w:rsidR="00F00894">
              <w:rPr>
                <w:rFonts w:ascii="Times New Roman" w:hAnsi="Times New Roman"/>
                <w:sz w:val="24"/>
                <w:szCs w:val="24"/>
              </w:rPr>
              <w:t xml:space="preserve"> avotos </w:t>
            </w:r>
            <w:r w:rsidR="006F104F" w:rsidRPr="00E13D95">
              <w:rPr>
                <w:rFonts w:ascii="Times New Roman" w:hAnsi="Times New Roman"/>
                <w:sz w:val="24"/>
                <w:szCs w:val="24"/>
              </w:rPr>
              <w:t>EK regulas Nr.</w:t>
            </w:r>
            <w:r w:rsidR="00F00894">
              <w:rPr>
                <w:rFonts w:ascii="Times New Roman" w:hAnsi="Times New Roman"/>
                <w:sz w:val="24"/>
                <w:szCs w:val="24"/>
              </w:rPr>
              <w:t> </w:t>
            </w:r>
            <w:r w:rsidR="006F104F" w:rsidRPr="00E13D95">
              <w:rPr>
                <w:rFonts w:ascii="Times New Roman" w:hAnsi="Times New Roman"/>
                <w:sz w:val="24"/>
                <w:szCs w:val="24"/>
              </w:rPr>
              <w:t>651/2014 38.</w:t>
            </w:r>
            <w:r w:rsidR="00F00894">
              <w:rPr>
                <w:rFonts w:ascii="Times New Roman" w:hAnsi="Times New Roman"/>
                <w:sz w:val="24"/>
                <w:szCs w:val="24"/>
              </w:rPr>
              <w:t> </w:t>
            </w:r>
            <w:r w:rsidR="006F104F" w:rsidRPr="00E13D95">
              <w:rPr>
                <w:rFonts w:ascii="Times New Roman" w:hAnsi="Times New Roman"/>
                <w:sz w:val="24"/>
                <w:szCs w:val="24"/>
              </w:rPr>
              <w:t>panta ietvaros.</w:t>
            </w:r>
          </w:p>
          <w:p w14:paraId="09E95AD5" w14:textId="77777777" w:rsidR="006F104F" w:rsidRPr="00E13D95" w:rsidRDefault="006F104F" w:rsidP="00E17C21">
            <w:pPr>
              <w:spacing w:after="0" w:line="240" w:lineRule="auto"/>
              <w:ind w:righ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E4CE2" w14:textId="5C2D4E6C" w:rsidR="006F104F" w:rsidRPr="00E13D95" w:rsidRDefault="006F104F" w:rsidP="00E17C21">
            <w:pPr>
              <w:spacing w:after="0" w:line="240" w:lineRule="auto"/>
              <w:ind w:left="132" w:righ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 xml:space="preserve">Eiropas Komisijas uzturētajā IT rīkā </w:t>
            </w:r>
            <w:proofErr w:type="spellStart"/>
            <w:r w:rsidRPr="00E13D95">
              <w:rPr>
                <w:rFonts w:ascii="Times New Roman" w:hAnsi="Times New Roman"/>
                <w:i/>
                <w:iCs/>
                <w:sz w:val="24"/>
                <w:szCs w:val="24"/>
              </w:rPr>
              <w:t>eState</w:t>
            </w:r>
            <w:proofErr w:type="spellEnd"/>
            <w:r w:rsidRPr="00E13D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aid WIKI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29.03.2021. ir ievietots skaidrojums par investīciju AER </w:t>
            </w:r>
            <w:r w:rsidR="004A2E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B5" w:rsidRPr="00213DD9">
              <w:rPr>
                <w:rFonts w:ascii="Times New Roman" w:hAnsi="Times New Roman"/>
                <w:sz w:val="24"/>
                <w:szCs w:val="24"/>
              </w:rPr>
              <w:t xml:space="preserve">saules </w:t>
            </w:r>
            <w:r w:rsidR="00383FB5" w:rsidRPr="00213DD9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</w:t>
            </w:r>
            <w:r w:rsidR="0038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C03F5C">
              <w:rPr>
                <w:rFonts w:ascii="Times New Roman" w:hAnsi="Times New Roman"/>
                <w:sz w:val="24"/>
                <w:szCs w:val="24"/>
              </w:rPr>
              <w:t>attiecināmību</w:t>
            </w:r>
            <w:proofErr w:type="spellEnd"/>
            <w:r w:rsidRPr="00E13D95">
              <w:rPr>
                <w:rFonts w:ascii="Times New Roman" w:hAnsi="Times New Roman"/>
                <w:sz w:val="24"/>
                <w:szCs w:val="24"/>
              </w:rPr>
              <w:t xml:space="preserve"> EK regulas Nr.</w:t>
            </w:r>
            <w:r w:rsidR="004A2E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651/2014 38.</w:t>
            </w:r>
            <w:r w:rsidR="004A2E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panta ietvaros, kurā EK skaidro, ka investīcijas AER </w:t>
            </w:r>
            <w:r w:rsidR="004A2E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FB5" w:rsidRPr="00213DD9">
              <w:rPr>
                <w:rFonts w:ascii="Times New Roman" w:hAnsi="Times New Roman"/>
                <w:sz w:val="24"/>
                <w:szCs w:val="24"/>
              </w:rPr>
              <w:t xml:space="preserve">saules </w:t>
            </w:r>
            <w:r w:rsidR="00383FB5" w:rsidRPr="00213DD9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</w:t>
            </w:r>
            <w:r w:rsidR="0038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– EK regulas Nr.</w:t>
            </w:r>
            <w:r w:rsidR="004A2E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651/2014 38.</w:t>
            </w:r>
            <w:r w:rsidR="004A2EB5">
              <w:rPr>
                <w:rFonts w:ascii="Times New Roman" w:hAnsi="Times New Roman"/>
                <w:sz w:val="24"/>
                <w:szCs w:val="24"/>
              </w:rPr>
              <w:t> 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panta ietvaros nav atbalstāmas. </w:t>
            </w:r>
          </w:p>
          <w:p w14:paraId="6D379476" w14:textId="77777777" w:rsidR="006F104F" w:rsidRPr="00E13D95" w:rsidRDefault="006F104F" w:rsidP="0007329C">
            <w:pPr>
              <w:spacing w:after="0" w:line="240" w:lineRule="auto"/>
              <w:ind w:righ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B4519" w14:textId="0C49E423" w:rsidR="00323E3C" w:rsidRDefault="00CF116B" w:rsidP="00323E3C">
            <w:pPr>
              <w:spacing w:after="0" w:line="240" w:lineRule="auto"/>
              <w:ind w:left="132" w:righ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08C">
              <w:rPr>
                <w:rFonts w:ascii="Times New Roman" w:hAnsi="Times New Roman"/>
                <w:sz w:val="24"/>
                <w:szCs w:val="24"/>
              </w:rPr>
              <w:t>I</w:t>
            </w:r>
            <w:r w:rsidR="006F104F" w:rsidRPr="0094308C">
              <w:rPr>
                <w:rFonts w:ascii="Times New Roman" w:hAnsi="Times New Roman"/>
                <w:sz w:val="24"/>
                <w:szCs w:val="24"/>
              </w:rPr>
              <w:t xml:space="preserve">r secināts, ka efektīvākais risinājums ir veikt steidzamus grozījumus </w:t>
            </w:r>
            <w:r w:rsidR="0094308C" w:rsidRPr="009430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Ministru kabineta 2018. gada 16. janvāra noteikumos Nr. 38 </w:t>
            </w:r>
            <w:r w:rsidR="0094308C" w:rsidRPr="0094308C">
              <w:rPr>
                <w:rFonts w:ascii="Times New Roman" w:hAnsi="Times New Roman"/>
                <w:sz w:val="24"/>
                <w:szCs w:val="24"/>
                <w:lang w:eastAsia="lv-LV"/>
              </w:rPr>
              <w:t>“Darbības programmas "Izaugsme un nodarbinātība" 4.1.1. specifiskā atbalsta mērķa "Veicināt efektīvu energoresursu izmantošanu, enerģijas patēriņa samazināšanu un pāreju uz AER apstrādes rūpniecības nozarē" otrās projektu iesniegumu atlases kārtas īstenošanas noteikumi</w:t>
            </w:r>
            <w:r w:rsidR="0094308C" w:rsidRPr="0094308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" </w:t>
            </w:r>
            <w:r w:rsidR="006F104F" w:rsidRPr="0094308C">
              <w:rPr>
                <w:rFonts w:ascii="Times New Roman" w:hAnsi="Times New Roman"/>
                <w:sz w:val="24"/>
                <w:szCs w:val="24"/>
              </w:rPr>
              <w:t xml:space="preserve">un atbalstu </w:t>
            </w:r>
            <w:r w:rsidR="00323E3C" w:rsidRPr="0094308C">
              <w:rPr>
                <w:rFonts w:ascii="Times New Roman" w:hAnsi="Times New Roman"/>
                <w:sz w:val="24"/>
                <w:szCs w:val="24"/>
              </w:rPr>
              <w:t xml:space="preserve">ieguldījumiem saules </w:t>
            </w:r>
            <w:r w:rsidR="00323E3C" w:rsidRPr="0094308C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</w:t>
            </w:r>
            <w:r w:rsidR="00323E3C" w:rsidRPr="00213DD9">
              <w:rPr>
                <w:rFonts w:ascii="Times New Roman" w:eastAsia="Times New Roman" w:hAnsi="Times New Roman"/>
                <w:sz w:val="24"/>
                <w:szCs w:val="24"/>
              </w:rPr>
              <w:t xml:space="preserve"> ražošanas avotos</w:t>
            </w:r>
            <w:r w:rsidR="006F104F" w:rsidRPr="00E13D95">
              <w:rPr>
                <w:rFonts w:ascii="Times New Roman" w:hAnsi="Times New Roman"/>
                <w:sz w:val="24"/>
                <w:szCs w:val="24"/>
              </w:rPr>
              <w:t xml:space="preserve"> sniegt kā </w:t>
            </w:r>
            <w:proofErr w:type="spellStart"/>
            <w:r w:rsidR="006F104F" w:rsidRPr="00323E3C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spellEnd"/>
            <w:r w:rsidR="004A2EB5" w:rsidRPr="00323E3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="006F104F" w:rsidRPr="00323E3C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="006F104F" w:rsidRPr="00E13D95">
              <w:rPr>
                <w:rFonts w:ascii="Times New Roman" w:hAnsi="Times New Roman"/>
                <w:sz w:val="24"/>
                <w:szCs w:val="24"/>
              </w:rPr>
              <w:t xml:space="preserve"> atbalstu saskaņā ar Komisijas regulu Nr.</w:t>
            </w:r>
            <w:r w:rsidR="00383FB5">
              <w:rPr>
                <w:rFonts w:ascii="Times New Roman" w:hAnsi="Times New Roman"/>
                <w:sz w:val="24"/>
                <w:szCs w:val="24"/>
              </w:rPr>
              <w:t> </w:t>
            </w:r>
            <w:r w:rsidR="006F104F" w:rsidRPr="00E13D95">
              <w:rPr>
                <w:rFonts w:ascii="Times New Roman" w:hAnsi="Times New Roman"/>
                <w:sz w:val="24"/>
                <w:szCs w:val="24"/>
              </w:rPr>
              <w:t>1407/2013.</w:t>
            </w:r>
            <w:r w:rsidR="00323E3C">
              <w:rPr>
                <w:rFonts w:ascii="Times New Roman" w:hAnsi="Times New Roman"/>
                <w:sz w:val="24"/>
                <w:szCs w:val="24"/>
              </w:rPr>
              <w:t xml:space="preserve"> Veicot pārbaudi </w:t>
            </w:r>
            <w:proofErr w:type="spellStart"/>
            <w:r w:rsidR="00873509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="00323E3C" w:rsidRPr="00337D29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proofErr w:type="spellEnd"/>
            <w:r w:rsidR="00323E3C" w:rsidRPr="00337D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23E3C" w:rsidRPr="00337D29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="00323E3C">
              <w:rPr>
                <w:rFonts w:ascii="Times New Roman" w:hAnsi="Times New Roman"/>
                <w:sz w:val="24"/>
                <w:szCs w:val="24"/>
              </w:rPr>
              <w:t xml:space="preserve"> atbalsta uzskaites sistēmā, secināts, ka visiem projektu īstenotājiem (finansējuma saņēmējiem), kas projekta ietvaros veikuši </w:t>
            </w:r>
            <w:r w:rsidR="00323E3C" w:rsidRPr="00E13D95">
              <w:rPr>
                <w:rFonts w:ascii="Times New Roman" w:hAnsi="Times New Roman"/>
                <w:sz w:val="24"/>
                <w:szCs w:val="24"/>
              </w:rPr>
              <w:t xml:space="preserve">investīcijas </w:t>
            </w:r>
            <w:r w:rsidR="00323E3C" w:rsidRPr="0018101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saules</w:t>
            </w:r>
            <w:r w:rsidR="0032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enerģiju </w:t>
            </w:r>
            <w:r w:rsidR="00323E3C" w:rsidRPr="000126A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izmantojoš</w:t>
            </w:r>
            <w:r w:rsidR="0032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os</w:t>
            </w:r>
            <w:r w:rsidR="00323E3C" w:rsidRPr="000126A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siltumenerģijas un elektroenerģijas ražošanas avot</w:t>
            </w:r>
            <w:r w:rsidR="0032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os, pieejamais </w:t>
            </w:r>
            <w:proofErr w:type="spellStart"/>
            <w:r w:rsidR="00323E3C" w:rsidRPr="00337D2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de</w:t>
            </w:r>
            <w:proofErr w:type="spellEnd"/>
            <w:r w:rsidR="00323E3C" w:rsidRPr="00337D2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23E3C" w:rsidRPr="00337D2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minimis</w:t>
            </w:r>
            <w:proofErr w:type="spellEnd"/>
            <w:r w:rsidR="00323E3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323E3C">
              <w:rPr>
                <w:rFonts w:ascii="Times New Roman" w:hAnsi="Times New Roman"/>
                <w:sz w:val="24"/>
                <w:szCs w:val="24"/>
              </w:rPr>
              <w:t>atbalsta atlikums ir pietiekams, lai atbalsts tiem varētu tikt piešķirts.</w:t>
            </w:r>
          </w:p>
          <w:p w14:paraId="4B0E75B6" w14:textId="77777777" w:rsidR="00EB76D0" w:rsidRPr="000D7234" w:rsidRDefault="00EB76D0" w:rsidP="008563A3">
            <w:pPr>
              <w:widowControl w:val="0"/>
              <w:spacing w:after="120" w:line="240" w:lineRule="auto"/>
              <w:ind w:left="112" w:right="1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3C">
              <w:rPr>
                <w:rFonts w:ascii="Times New Roman" w:hAnsi="Times New Roman"/>
                <w:sz w:val="24"/>
                <w:szCs w:val="24"/>
              </w:rPr>
              <w:t xml:space="preserve">Ir secināms, ka, izslēdzot ieguldījumus saules </w:t>
            </w:r>
            <w:r w:rsidRPr="007A796D">
              <w:rPr>
                <w:rFonts w:ascii="Times New Roman" w:eastAsia="Times New Roman" w:hAnsi="Times New Roman"/>
                <w:sz w:val="24"/>
                <w:szCs w:val="24"/>
              </w:rPr>
              <w:t>enerģiju izmantojošu siltumenerģijas un elektroenerģijas ražošanas avotos no atbalstāmajām darbībām un ar tiem saistītās izmaksas –</w:t>
            </w:r>
            <w:r w:rsidRPr="00323E3C">
              <w:rPr>
                <w:rFonts w:ascii="Times New Roman" w:eastAsia="Times New Roman" w:hAnsi="Times New Roman"/>
                <w:sz w:val="24"/>
                <w:szCs w:val="24"/>
              </w:rPr>
              <w:t xml:space="preserve"> no attiecināmajām izmaksām, tiktu negatīvi ietekmēta iespēja sasniegt MK noteikumu Nr. 38 9.2.3. apakšpunktā 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noteikto</w:t>
            </w:r>
            <w:r>
              <w:rPr>
                <w:rFonts w:ascii="Times New Roman" w:hAnsi="Times New Roman"/>
                <w:sz w:val="24"/>
                <w:szCs w:val="24"/>
              </w:rPr>
              <w:t>s rādītājus.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 xml:space="preserve"> Proti, </w:t>
            </w:r>
            <w:r w:rsidRPr="00213DD9">
              <w:rPr>
                <w:rFonts w:ascii="Times New Roman" w:hAnsi="Times New Roman"/>
                <w:sz w:val="24"/>
                <w:szCs w:val="24"/>
              </w:rPr>
              <w:t xml:space="preserve">4.1.1. SAM otrajā kārtā sasniedzamā 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rādītāja “N</w:t>
            </w:r>
            <w:r w:rsidRPr="007A796D">
              <w:rPr>
                <w:rFonts w:ascii="Times New Roman" w:hAnsi="Times New Roman"/>
                <w:sz w:val="24"/>
                <w:szCs w:val="24"/>
              </w:rPr>
              <w:t xml:space="preserve">o atjaunojamiem energoresursiem ražotā </w:t>
            </w:r>
            <w:proofErr w:type="spellStart"/>
            <w:r w:rsidRPr="007A796D">
              <w:rPr>
                <w:rFonts w:ascii="Times New Roman" w:hAnsi="Times New Roman"/>
                <w:sz w:val="24"/>
                <w:szCs w:val="24"/>
              </w:rPr>
              <w:t>papildjauda</w:t>
            </w:r>
            <w:proofErr w:type="spellEnd"/>
            <w:r w:rsidRPr="007A796D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 xml:space="preserve">vērtība ir 0,6 MW, savukārt otrās kārtas ietvaros noslēgto līgumu izpilde nodrošina šī rādītāja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sasniegšanu 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0,4 MW apmērā. Ja netiek atbalstītas investīcijas saules</w:t>
            </w:r>
            <w:r w:rsidRPr="007A796D">
              <w:rPr>
                <w:rFonts w:ascii="Times New Roman" w:eastAsia="Times New Roman" w:hAnsi="Times New Roman"/>
                <w:sz w:val="24"/>
                <w:szCs w:val="24"/>
              </w:rPr>
              <w:t xml:space="preserve"> enerģiju izmantojoš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7A796D">
              <w:rPr>
                <w:rFonts w:ascii="Times New Roman" w:eastAsia="Times New Roman" w:hAnsi="Times New Roman"/>
                <w:sz w:val="24"/>
                <w:szCs w:val="24"/>
              </w:rPr>
              <w:t xml:space="preserve"> siltumenerģijas un elektroenerģijas ražošanas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avotos</w:t>
            </w:r>
            <w:r w:rsidRPr="00323E3C">
              <w:rPr>
                <w:rFonts w:ascii="Times New Roman" w:hAnsi="Times New Roman"/>
                <w:sz w:val="24"/>
                <w:szCs w:val="24"/>
              </w:rPr>
              <w:t>, tad otrajā kārtā sasniegtais rādītājs būtu vien 0,25 MW</w:t>
            </w:r>
            <w:r w:rsidRPr="007A7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C69D83" w14:textId="77777777" w:rsidR="00EB76D0" w:rsidRDefault="00EB76D0" w:rsidP="008563A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FDE69AE" w14:textId="6680AD0D" w:rsidR="006F104F" w:rsidRPr="00494C82" w:rsidRDefault="00EB76D0" w:rsidP="008563A3">
            <w:pPr>
              <w:spacing w:after="0" w:line="240" w:lineRule="auto"/>
              <w:ind w:right="2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</w:t>
            </w:r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t>tbalstu saskaņā ar Komisijas regulu Nr. 1407/2013 plānots sniegt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kā minēts,</w:t>
            </w:r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t xml:space="preserve"> diviem tādiem projektiem, kuros ir veiktas investīcijas saules enerģiju izmantojošos siltumenerģijas un elektroenerģijas ražošanas avotos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G</w:t>
            </w:r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t xml:space="preserve">adījumā, ja atbalsta sliekšņi ļaus piemērot </w:t>
            </w:r>
            <w:proofErr w:type="spellStart"/>
            <w:r w:rsidRPr="009B639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9B639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639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t xml:space="preserve"> atbalstu retrospektīvi (kā noteikts Komisijas paziņojuma par nelikumīga un nesaderīga valsts atbalsta atgūšanu (2019/C 247/01) 101.punktā), Sadarbības iestādei atbalsta saņēmēju atbilstības izvērtējums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būs </w:t>
            </w:r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t xml:space="preserve">jāveic atbilstoši </w:t>
            </w:r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MK noteikumiem Nr. 38 un Komisijas regulai Nr. 1407/2013, un lēmumi par atbalsta piešķiršanu šiem projektiem ir jāpieņem atbilstoši brīdim, kad Sadarbības iestāde bija pieņēmusi lēmumu par atbalsta piešķiršanu saskaņā ar Komisijas regulu Nr. 651/2014. Vienlaikus, lai piešķirtu </w:t>
            </w:r>
            <w:proofErr w:type="spellStart"/>
            <w:r w:rsidRPr="009B639D">
              <w:rPr>
                <w:rFonts w:ascii="Times New Roman" w:eastAsiaTheme="minorHAnsi" w:hAnsi="Times New Roman"/>
                <w:i/>
                <w:sz w:val="24"/>
                <w:szCs w:val="24"/>
              </w:rPr>
              <w:t>de</w:t>
            </w:r>
            <w:proofErr w:type="spellEnd"/>
            <w:r w:rsidRPr="009B639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639D">
              <w:rPr>
                <w:rFonts w:ascii="Times New Roman" w:eastAsiaTheme="minorHAnsi" w:hAnsi="Times New Roman"/>
                <w:i/>
                <w:sz w:val="24"/>
                <w:szCs w:val="24"/>
              </w:rPr>
              <w:t>minimis</w:t>
            </w:r>
            <w:proofErr w:type="spellEnd"/>
            <w:r w:rsidRPr="009B639D">
              <w:rPr>
                <w:rFonts w:ascii="Times New Roman" w:eastAsiaTheme="minorHAnsi" w:hAnsi="Times New Roman"/>
                <w:sz w:val="24"/>
                <w:szCs w:val="24"/>
              </w:rPr>
              <w:t xml:space="preserve"> atbalstu atbilstoši noteikumu </w:t>
            </w:r>
            <w:r w:rsidRPr="00494C82">
              <w:rPr>
                <w:rFonts w:ascii="Times New Roman" w:eastAsiaTheme="minorHAnsi" w:hAnsi="Times New Roman"/>
                <w:sz w:val="24"/>
                <w:szCs w:val="24"/>
              </w:rPr>
              <w:t xml:space="preserve">projekta </w:t>
            </w:r>
            <w:r w:rsidRPr="00494C8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25.9.</w:t>
            </w:r>
            <w:r w:rsidRPr="00494C8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vertAlign w:val="superscript"/>
              </w:rPr>
              <w:t xml:space="preserve">1 </w:t>
            </w:r>
            <w:r w:rsidRPr="00494C82">
              <w:rPr>
                <w:rFonts w:ascii="Times New Roman" w:eastAsiaTheme="minorHAnsi" w:hAnsi="Times New Roman"/>
                <w:sz w:val="24"/>
                <w:szCs w:val="24"/>
              </w:rPr>
              <w:t xml:space="preserve">punktam, Sadarbības iestāde, izvērtējot visus </w:t>
            </w:r>
            <w:proofErr w:type="spellStart"/>
            <w:r w:rsidRPr="00494C82">
              <w:rPr>
                <w:rFonts w:ascii="Times New Roman" w:eastAsiaTheme="minorHAnsi" w:hAnsi="Times New Roman"/>
                <w:i/>
                <w:sz w:val="24"/>
                <w:szCs w:val="24"/>
              </w:rPr>
              <w:t>de</w:t>
            </w:r>
            <w:proofErr w:type="spellEnd"/>
            <w:r w:rsidRPr="00494C8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4C82">
              <w:rPr>
                <w:rFonts w:ascii="Times New Roman" w:eastAsiaTheme="minorHAnsi" w:hAnsi="Times New Roman"/>
                <w:i/>
                <w:sz w:val="24"/>
                <w:szCs w:val="24"/>
              </w:rPr>
              <w:t>minimis</w:t>
            </w:r>
            <w:proofErr w:type="spellEnd"/>
            <w:r w:rsidRPr="00494C82">
              <w:rPr>
                <w:rFonts w:ascii="Times New Roman" w:eastAsiaTheme="minorHAnsi" w:hAnsi="Times New Roman"/>
                <w:sz w:val="24"/>
                <w:szCs w:val="24"/>
              </w:rPr>
              <w:t xml:space="preserve"> piešķiršanas nosacījumus, piešķirs </w:t>
            </w:r>
            <w:proofErr w:type="spellStart"/>
            <w:r w:rsidRPr="00494C82">
              <w:rPr>
                <w:rFonts w:ascii="Times New Roman" w:eastAsiaTheme="minorHAnsi" w:hAnsi="Times New Roman"/>
                <w:i/>
                <w:sz w:val="24"/>
                <w:szCs w:val="24"/>
              </w:rPr>
              <w:t>de</w:t>
            </w:r>
            <w:proofErr w:type="spellEnd"/>
            <w:r w:rsidRPr="00494C82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4C82">
              <w:rPr>
                <w:rFonts w:ascii="Times New Roman" w:eastAsiaTheme="minorHAnsi" w:hAnsi="Times New Roman"/>
                <w:i/>
                <w:sz w:val="24"/>
                <w:szCs w:val="24"/>
              </w:rPr>
              <w:t>minimis</w:t>
            </w:r>
            <w:proofErr w:type="spellEnd"/>
            <w:r w:rsidRPr="00494C82">
              <w:rPr>
                <w:rFonts w:ascii="Times New Roman" w:eastAsiaTheme="minorHAnsi" w:hAnsi="Times New Roman"/>
                <w:sz w:val="24"/>
                <w:szCs w:val="24"/>
              </w:rPr>
              <w:t xml:space="preserve"> atbalstu un grozīs līgumus par projekta īstenošanu. </w:t>
            </w:r>
            <w:bookmarkStart w:id="3" w:name="_Hlk69389206"/>
            <w:r w:rsidR="006F104F" w:rsidRPr="00494C82">
              <w:rPr>
                <w:rFonts w:ascii="Times New Roman" w:hAnsi="Times New Roman"/>
                <w:sz w:val="24"/>
                <w:szCs w:val="24"/>
              </w:rPr>
              <w:t>Grozījumi ir uzskatāmi par labvēlīgiem projektu īstenotājiem</w:t>
            </w:r>
            <w:bookmarkEnd w:id="3"/>
            <w:r w:rsidR="004A2EB5" w:rsidRPr="00494C82">
              <w:rPr>
                <w:rFonts w:ascii="Times New Roman" w:hAnsi="Times New Roman"/>
                <w:sz w:val="24"/>
                <w:szCs w:val="24"/>
              </w:rPr>
              <w:t xml:space="preserve"> (finansējuma saņēmējiem)</w:t>
            </w:r>
            <w:r w:rsidR="006F104F" w:rsidRPr="00494C82">
              <w:rPr>
                <w:rFonts w:ascii="Times New Roman" w:hAnsi="Times New Roman"/>
                <w:sz w:val="24"/>
                <w:szCs w:val="24"/>
              </w:rPr>
              <w:t>, jo pēc grozījumiem MK noteikumos Nr.</w:t>
            </w:r>
            <w:r w:rsidR="004A2EB5" w:rsidRPr="00494C82">
              <w:rPr>
                <w:rFonts w:ascii="Times New Roman" w:hAnsi="Times New Roman"/>
                <w:sz w:val="24"/>
                <w:szCs w:val="24"/>
              </w:rPr>
              <w:t> </w:t>
            </w:r>
            <w:r w:rsidR="006F104F" w:rsidRPr="00494C82">
              <w:rPr>
                <w:rFonts w:ascii="Times New Roman" w:hAnsi="Times New Roman"/>
                <w:sz w:val="24"/>
                <w:szCs w:val="24"/>
              </w:rPr>
              <w:t>38, projekt</w:t>
            </w:r>
            <w:r w:rsidR="004A2EB5" w:rsidRPr="00494C82">
              <w:rPr>
                <w:rFonts w:ascii="Times New Roman" w:hAnsi="Times New Roman"/>
                <w:sz w:val="24"/>
                <w:szCs w:val="24"/>
              </w:rPr>
              <w:t>iem</w:t>
            </w:r>
            <w:r w:rsidR="006F104F" w:rsidRPr="00494C82">
              <w:rPr>
                <w:rFonts w:ascii="Times New Roman" w:hAnsi="Times New Roman"/>
                <w:sz w:val="24"/>
                <w:szCs w:val="24"/>
              </w:rPr>
              <w:t xml:space="preserve">, kuros </w:t>
            </w:r>
            <w:r w:rsidR="004A2EB5" w:rsidRPr="00494C82">
              <w:rPr>
                <w:rFonts w:ascii="Times New Roman" w:hAnsi="Times New Roman"/>
                <w:sz w:val="24"/>
                <w:szCs w:val="24"/>
              </w:rPr>
              <w:t xml:space="preserve">tikušas veiktas investīcijas saules </w:t>
            </w:r>
            <w:r w:rsidR="004A2EB5" w:rsidRPr="00494C82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avotos, būs saglabājams piešķirtā atbalsta apmērs</w:t>
            </w:r>
            <w:r w:rsidR="00F46826" w:rsidRPr="00494C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E7E699B" w14:textId="00FFAD01" w:rsidR="006576EE" w:rsidRPr="00494C82" w:rsidRDefault="006576EE" w:rsidP="006576EE">
            <w:pPr>
              <w:spacing w:after="0" w:line="240" w:lineRule="auto"/>
              <w:ind w:right="2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C82">
              <w:rPr>
                <w:rFonts w:ascii="Times New Roman" w:eastAsia="Times New Roman" w:hAnsi="Times New Roman"/>
                <w:sz w:val="24"/>
                <w:szCs w:val="24"/>
              </w:rPr>
              <w:t>Finansējuma saņēmēji tiks informēti par grozījumiem</w:t>
            </w:r>
            <w:r w:rsidR="006633C5" w:rsidRPr="00494C82">
              <w:rPr>
                <w:rFonts w:ascii="Times New Roman" w:hAnsi="Times New Roman"/>
                <w:sz w:val="24"/>
                <w:szCs w:val="24"/>
              </w:rPr>
              <w:t xml:space="preserve"> pēc to apstiprināšanas Ministru kabinetā</w:t>
            </w:r>
            <w:r w:rsidRPr="00494C82">
              <w:rPr>
                <w:rFonts w:ascii="Times New Roman" w:eastAsia="Times New Roman" w:hAnsi="Times New Roman"/>
                <w:sz w:val="24"/>
                <w:szCs w:val="24"/>
              </w:rPr>
              <w:t>, izdevumi nemainīsies un tiks precizēti līgumi.</w:t>
            </w:r>
          </w:p>
          <w:p w14:paraId="1F162B07" w14:textId="77777777" w:rsidR="006576EE" w:rsidRPr="00494C82" w:rsidRDefault="006576EE" w:rsidP="006576EE">
            <w:pPr>
              <w:spacing w:after="0" w:line="240" w:lineRule="auto"/>
              <w:ind w:right="20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D4C203" w14:textId="640CC6BC" w:rsidR="006633C5" w:rsidRPr="00494C82" w:rsidRDefault="006633C5" w:rsidP="0066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C82">
              <w:rPr>
                <w:rFonts w:ascii="Times New Roman" w:hAnsi="Times New Roman"/>
                <w:sz w:val="24"/>
                <w:szCs w:val="24"/>
              </w:rPr>
              <w:t xml:space="preserve">Papildus norādām, ka Centrālajai finanšu un līgumu aģentūrai būs jāizvērtē un jāpiešķir </w:t>
            </w:r>
            <w:proofErr w:type="spellStart"/>
            <w:r w:rsidRPr="00494C82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494C8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494C82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494C82">
              <w:rPr>
                <w:rFonts w:ascii="Times New Roman" w:hAnsi="Times New Roman"/>
                <w:sz w:val="24"/>
                <w:szCs w:val="24"/>
              </w:rPr>
              <w:t xml:space="preserve"> atbalsts par izmaksām, kas ir jau veiktas. Vienlaikus norādāms, ka no </w:t>
            </w:r>
            <w:proofErr w:type="spellStart"/>
            <w:r w:rsidRPr="00494C82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494C8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494C82">
              <w:rPr>
                <w:rFonts w:ascii="Times New Roman" w:hAnsi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494C82">
              <w:rPr>
                <w:rFonts w:ascii="Times New Roman" w:hAnsi="Times New Roman"/>
                <w:sz w:val="24"/>
                <w:szCs w:val="24"/>
              </w:rPr>
              <w:t xml:space="preserve"> regulējuma problēmas nav, jo atbalsts var tikt piešķirts par īstenotām darbībām, proti, nav stimulējošās ietekmes prasības.</w:t>
            </w:r>
          </w:p>
          <w:p w14:paraId="72890FB9" w14:textId="77777777" w:rsidR="006F104F" w:rsidRPr="00E13D95" w:rsidRDefault="006F104F" w:rsidP="00E17C21">
            <w:pPr>
              <w:spacing w:after="0" w:line="240" w:lineRule="auto"/>
              <w:ind w:left="132" w:right="2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D3268" w14:textId="77777777" w:rsidR="006F104F" w:rsidRPr="00E13D95" w:rsidRDefault="006F104F" w:rsidP="00E17C21">
            <w:pPr>
              <w:spacing w:after="0" w:line="240" w:lineRule="auto"/>
              <w:ind w:left="132" w:right="202"/>
              <w:contextualSpacing/>
              <w:jc w:val="both"/>
            </w:pPr>
          </w:p>
        </w:tc>
      </w:tr>
      <w:tr w:rsidR="006F104F" w:rsidRPr="00E13D95" w14:paraId="60436D24" w14:textId="77777777" w:rsidTr="00E17C21">
        <w:trPr>
          <w:trHeight w:val="360"/>
        </w:trPr>
        <w:tc>
          <w:tcPr>
            <w:tcW w:w="1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3F70E770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3. Projekta izstrādē iesaistītās institūcijas un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publiskas personas kapitālsabiedrības</w:t>
            </w:r>
          </w:p>
        </w:tc>
        <w:tc>
          <w:tcPr>
            <w:tcW w:w="82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96B9BC3" w14:textId="77777777" w:rsidR="006F104F" w:rsidRPr="00E13D95" w:rsidRDefault="006F104F" w:rsidP="00E17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color w:val="000000"/>
                <w:sz w:val="24"/>
                <w:szCs w:val="24"/>
              </w:rPr>
              <w:t>Ekonomikas ministrija, Centrālā finanšu un līgumu aģentūra, Finanšu ministrija</w:t>
            </w:r>
          </w:p>
        </w:tc>
      </w:tr>
      <w:tr w:rsidR="006F104F" w:rsidRPr="00E13D95" w14:paraId="7ED40305" w14:textId="77777777" w:rsidTr="00E17C21">
        <w:trPr>
          <w:trHeight w:val="20"/>
        </w:trPr>
        <w:tc>
          <w:tcPr>
            <w:tcW w:w="17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5BEEE19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 Cita informācija</w:t>
            </w:r>
          </w:p>
        </w:tc>
        <w:tc>
          <w:tcPr>
            <w:tcW w:w="821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8C0FDC3" w14:textId="77777777" w:rsidR="006F104F" w:rsidRPr="00E13D95" w:rsidRDefault="006F104F" w:rsidP="00E17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684C736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543"/>
        <w:gridCol w:w="5357"/>
      </w:tblGrid>
      <w:tr w:rsidR="006F104F" w:rsidRPr="00E13D95" w14:paraId="525B8B60" w14:textId="77777777" w:rsidTr="00E17C21">
        <w:tc>
          <w:tcPr>
            <w:tcW w:w="935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4EDB27C7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891C9DF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  <w:p w14:paraId="1BFA3BEB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69D959EB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F104F" w:rsidRPr="00E13D95" w14:paraId="2FDEDE98" w14:textId="77777777" w:rsidTr="00E17C21">
        <w:trPr>
          <w:trHeight w:val="46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CFEB725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2C4D50A" w14:textId="4CD585E4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</w:t>
            </w:r>
            <w:r w:rsidR="009175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ķ</w:t>
            </w: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grupas</w:t>
            </w:r>
            <w:proofErr w:type="spellEnd"/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042DCF3B" w14:textId="3EE4CE2B" w:rsidR="006F104F" w:rsidRPr="00E13D95" w:rsidRDefault="006F104F" w:rsidP="00E17C21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4.1.1.</w:t>
            </w:r>
            <w:r w:rsidR="00383FB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SAM otrās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projektu iesniegumu atlases kārtas projektu </w:t>
            </w:r>
            <w:r w:rsidR="00323E3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īstenotāji (finansējuma saņēmēji)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  <w:p w14:paraId="6C73C1CE" w14:textId="77777777" w:rsidR="006F104F" w:rsidRPr="00E13D95" w:rsidRDefault="006F104F" w:rsidP="00E17C21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6F104F" w:rsidRPr="00E13D95" w14:paraId="7ACE9817" w14:textId="77777777" w:rsidTr="00E17C21">
        <w:trPr>
          <w:trHeight w:val="523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40E3048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F5F036F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B13ABE3" w14:textId="77777777" w:rsidR="006F104F" w:rsidRPr="00E13D95" w:rsidRDefault="006F104F" w:rsidP="00E17C21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neparedz ietekmi uz administratīvo slogu un tautsaimniecību.</w:t>
            </w:r>
          </w:p>
          <w:p w14:paraId="3CB61954" w14:textId="77777777" w:rsidR="006F104F" w:rsidRPr="00E13D95" w:rsidRDefault="006F104F" w:rsidP="00E17C21">
            <w:pPr>
              <w:spacing w:after="0" w:line="240" w:lineRule="auto"/>
              <w:ind w:left="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Nav identificēts administratīvā sloga palielinājums ne potenciālajiem finansējuma saņēmējiem, ne fondu vadībā iesaistītajām institūcijām.</w:t>
            </w:r>
          </w:p>
          <w:p w14:paraId="30F67AB7" w14:textId="77777777" w:rsidR="006F104F" w:rsidRPr="00E13D95" w:rsidRDefault="006F104F" w:rsidP="00E17C21">
            <w:pPr>
              <w:spacing w:after="0" w:line="240" w:lineRule="auto"/>
              <w:ind w:left="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4F" w:rsidRPr="00E13D95" w14:paraId="3FEB8B6D" w14:textId="77777777" w:rsidTr="00E17C21">
        <w:trPr>
          <w:trHeight w:val="51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2ADB3D9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3CD971A9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CEA3476" w14:textId="77777777" w:rsidR="006F104F" w:rsidRPr="00E13D95" w:rsidRDefault="006F104F" w:rsidP="00E17C21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F104F" w:rsidRPr="00E13D95" w14:paraId="124A1EF6" w14:textId="77777777" w:rsidTr="00E17C21">
        <w:trPr>
          <w:trHeight w:val="517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A50B87A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4. 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5C1FF08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E61A029" w14:textId="77777777" w:rsidR="006F104F" w:rsidRPr="00E13D95" w:rsidRDefault="006F104F" w:rsidP="00E17C21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F104F" w:rsidRPr="00E13D95" w14:paraId="4A97904A" w14:textId="77777777" w:rsidTr="00E17C21">
        <w:trPr>
          <w:trHeight w:val="390"/>
        </w:trPr>
        <w:tc>
          <w:tcPr>
            <w:tcW w:w="4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40928395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4FCEB828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487BA5E1" w14:textId="77777777" w:rsidR="006F104F" w:rsidRPr="00E13D95" w:rsidRDefault="006F104F" w:rsidP="00E17C21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14:paraId="338741C6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F104F" w:rsidRPr="00E13D95" w14:paraId="517064F7" w14:textId="77777777" w:rsidTr="00E17C21"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14:paraId="66F30911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4AFBD9A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  <w:p w14:paraId="35096A0E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45365BE6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F104F" w:rsidRPr="00E13D95" w14:paraId="695D0881" w14:textId="77777777" w:rsidTr="00E17C21">
        <w:tc>
          <w:tcPr>
            <w:tcW w:w="9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5FDE2C79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11C21F1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9"/>
        <w:tblW w:w="935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F104F" w:rsidRPr="00E13D95" w14:paraId="034C5D9E" w14:textId="77777777" w:rsidTr="00E17C21">
        <w:tc>
          <w:tcPr>
            <w:tcW w:w="9356" w:type="dxa"/>
            <w:vAlign w:val="center"/>
            <w:hideMark/>
          </w:tcPr>
          <w:p w14:paraId="1F4EF5AA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33334FCD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  <w:p w14:paraId="52894B88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82374FF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6F104F" w:rsidRPr="00E13D95" w14:paraId="356EE8A4" w14:textId="77777777" w:rsidTr="00E17C21">
        <w:tc>
          <w:tcPr>
            <w:tcW w:w="9356" w:type="dxa"/>
            <w:vAlign w:val="center"/>
          </w:tcPr>
          <w:p w14:paraId="23B016FF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ADFA84D" w14:textId="77777777" w:rsidR="006F104F" w:rsidRPr="00E13D95" w:rsidRDefault="006F104F" w:rsidP="006F104F">
      <w:pPr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356" w:type="dxa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5811"/>
      </w:tblGrid>
      <w:tr w:rsidR="006F104F" w:rsidRPr="00E13D95" w14:paraId="442B883E" w14:textId="77777777" w:rsidTr="00E17C21">
        <w:tc>
          <w:tcPr>
            <w:tcW w:w="935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48922C" w14:textId="77777777" w:rsidR="006F104F" w:rsidRPr="00E13D95" w:rsidRDefault="006F104F" w:rsidP="00E17C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1C9A19" w14:textId="77777777" w:rsidR="006F104F" w:rsidRPr="00E13D95" w:rsidRDefault="006F104F" w:rsidP="00E17C2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D95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  <w:p w14:paraId="4C506B27" w14:textId="77777777" w:rsidR="006F104F" w:rsidRPr="00E13D95" w:rsidRDefault="006F104F" w:rsidP="00E17C2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F104F" w:rsidRPr="00E13D95" w14:paraId="18FB1129" w14:textId="77777777" w:rsidTr="00E17C21"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67A87" w14:textId="77777777" w:rsidR="006F104F" w:rsidRPr="00E13D95" w:rsidRDefault="006F104F" w:rsidP="00E17C2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677C3C" w14:textId="77777777" w:rsidR="006F104F" w:rsidRPr="00E13D95" w:rsidRDefault="006F104F" w:rsidP="00E17C2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58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806EF" w14:textId="77777777" w:rsidR="00AC6904" w:rsidRDefault="00AC6904" w:rsidP="00AC6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Komisijas 2014. gada 17. jūnija Regula (ES) Nr. 651/2014, ar ko noteiktas atbalsta kategorijas atzīst par saderīgām ar iekšējo tirgu, piemērojot Līguma 107. un 108. pantu (turpmāk – Komisijas regula Nr. 651/2014).</w:t>
            </w:r>
          </w:p>
          <w:p w14:paraId="42EEBDC4" w14:textId="77777777" w:rsidR="00AC6904" w:rsidRPr="005E137C" w:rsidRDefault="00AC6904" w:rsidP="00AC6904">
            <w:pPr>
              <w:pStyle w:val="naiskr"/>
              <w:numPr>
                <w:ilvl w:val="0"/>
                <w:numId w:val="1"/>
              </w:numPr>
              <w:jc w:val="both"/>
            </w:pPr>
            <w:r w:rsidRPr="005E137C">
              <w:t xml:space="preserve">KOMISIJAS REGULA (ES) Nr. 1407/2013 (2013. gada 18. decembris) par Līguma par Eiropas Savienības darbību 107. un 108. panta piemērošanu </w:t>
            </w:r>
            <w:proofErr w:type="spellStart"/>
            <w:r w:rsidRPr="005E137C">
              <w:rPr>
                <w:i/>
                <w:iCs/>
              </w:rPr>
              <w:t>de</w:t>
            </w:r>
            <w:proofErr w:type="spellEnd"/>
            <w:r w:rsidRPr="005E137C">
              <w:rPr>
                <w:i/>
                <w:iCs/>
              </w:rPr>
              <w:t xml:space="preserve"> </w:t>
            </w:r>
            <w:proofErr w:type="spellStart"/>
            <w:r w:rsidRPr="005E137C">
              <w:rPr>
                <w:i/>
                <w:iCs/>
              </w:rPr>
              <w:t>minimis</w:t>
            </w:r>
            <w:proofErr w:type="spellEnd"/>
            <w:r w:rsidRPr="005E137C">
              <w:t xml:space="preserve"> atbalstam.</w:t>
            </w:r>
          </w:p>
          <w:p w14:paraId="4F15F8EA" w14:textId="19E29698" w:rsidR="006F104F" w:rsidRPr="00323E3C" w:rsidRDefault="006F104F" w:rsidP="00323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4F" w:rsidRPr="00E13D95" w14:paraId="1507A057" w14:textId="77777777" w:rsidTr="00E17C21"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CE17CD" w14:textId="77777777" w:rsidR="006F104F" w:rsidRPr="00E13D95" w:rsidRDefault="006F104F" w:rsidP="00E17C2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73FF5E" w14:textId="77777777" w:rsidR="006F104F" w:rsidRPr="00E13D95" w:rsidRDefault="006F104F" w:rsidP="00E17C2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58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8A891" w14:textId="77777777" w:rsidR="006F104F" w:rsidRPr="00E13D95" w:rsidRDefault="006F104F" w:rsidP="00E17C2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F104F" w:rsidRPr="00E13D95" w14:paraId="600F1A48" w14:textId="77777777" w:rsidTr="00E17C21"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9EDF07" w14:textId="77777777" w:rsidR="006F104F" w:rsidRPr="00E13D95" w:rsidRDefault="006F104F" w:rsidP="00E17C2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EFCF0" w14:textId="77777777" w:rsidR="006F104F" w:rsidRPr="00E13D95" w:rsidRDefault="006F104F" w:rsidP="00E17C2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9A6486" w14:textId="77777777" w:rsidR="006F104F" w:rsidRPr="00E13D95" w:rsidRDefault="006F104F" w:rsidP="00E17C2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E701F70" w14:textId="77777777" w:rsidR="006F104F" w:rsidRPr="00E13D95" w:rsidRDefault="006F104F" w:rsidP="006F104F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5643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5"/>
        <w:gridCol w:w="2079"/>
        <w:gridCol w:w="2085"/>
        <w:gridCol w:w="2547"/>
      </w:tblGrid>
      <w:tr w:rsidR="006F104F" w:rsidRPr="00E13D95" w14:paraId="46FC3350" w14:textId="77777777" w:rsidTr="00E17C21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E72D903" w14:textId="77777777" w:rsidR="006F104F" w:rsidRPr="00E13D95" w:rsidRDefault="006F104F" w:rsidP="00E17C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 tabula</w:t>
            </w:r>
            <w:r w:rsidRPr="00E13D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F104F" w:rsidRPr="00E13D95" w14:paraId="0FA241D1" w14:textId="77777777" w:rsidTr="00E17C21"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4495B34" w14:textId="77777777" w:rsidR="006F104F" w:rsidRPr="00E13D95" w:rsidRDefault="006F104F" w:rsidP="00E17C21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58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3CBD3F" w14:textId="77777777" w:rsidR="006F104F" w:rsidRPr="00E13D95" w:rsidRDefault="006F104F" w:rsidP="00E17C21">
            <w:pPr>
              <w:pStyle w:val="naiskr"/>
            </w:pPr>
            <w:r w:rsidRPr="00E13D95">
              <w:t>Ar Noteikumu projektu tiek ieviestas šādas Eiropas Savienības tiesību aktu prasības: </w:t>
            </w:r>
          </w:p>
          <w:p w14:paraId="3368D979" w14:textId="77777777" w:rsidR="00AC6904" w:rsidRDefault="00AC6904" w:rsidP="00AC6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Komisijas 2014. gada 17. jūnija Regula (ES) Nr. 651/2014, ar ko noteiktas atbalsta kategorijas atzīst par saderīgām ar iekšējo tirgu, piemērojot Līguma 107. un 108. pantu (turpmāk – Komisijas regula Nr. 651/2014).</w:t>
            </w:r>
          </w:p>
          <w:p w14:paraId="586BC9D4" w14:textId="0C16D46D" w:rsidR="00AC6904" w:rsidRPr="005E137C" w:rsidRDefault="00AC6904" w:rsidP="00AC6904">
            <w:pPr>
              <w:pStyle w:val="naiskr"/>
              <w:numPr>
                <w:ilvl w:val="0"/>
                <w:numId w:val="2"/>
              </w:numPr>
              <w:jc w:val="both"/>
            </w:pPr>
            <w:r w:rsidRPr="005E137C">
              <w:t>K</w:t>
            </w:r>
            <w:r w:rsidR="007B1F12">
              <w:t xml:space="preserve">omisijas </w:t>
            </w:r>
            <w:r w:rsidR="007B1F12" w:rsidRPr="005E137C">
              <w:t>2013. gada 18. decembr</w:t>
            </w:r>
            <w:r w:rsidR="007B1F12">
              <w:t>a Regula</w:t>
            </w:r>
            <w:r w:rsidRPr="005E137C">
              <w:t xml:space="preserve"> (ES) Nr. 1407/2013 par Līguma par Eiropas Savienības darbību 107. un 108. panta piemērošanu </w:t>
            </w:r>
            <w:proofErr w:type="spellStart"/>
            <w:r w:rsidRPr="005E137C">
              <w:rPr>
                <w:i/>
                <w:iCs/>
              </w:rPr>
              <w:t>de</w:t>
            </w:r>
            <w:proofErr w:type="spellEnd"/>
            <w:r w:rsidRPr="005E137C">
              <w:rPr>
                <w:i/>
                <w:iCs/>
              </w:rPr>
              <w:t xml:space="preserve"> </w:t>
            </w:r>
            <w:proofErr w:type="spellStart"/>
            <w:r w:rsidRPr="005E137C">
              <w:rPr>
                <w:i/>
                <w:iCs/>
              </w:rPr>
              <w:t>minimis</w:t>
            </w:r>
            <w:proofErr w:type="spellEnd"/>
            <w:r w:rsidRPr="005E137C">
              <w:t xml:space="preserve"> atbalstam.</w:t>
            </w:r>
          </w:p>
          <w:p w14:paraId="3E34EE2E" w14:textId="21BB8EFA" w:rsidR="006F104F" w:rsidRPr="00E13D95" w:rsidRDefault="006F104F" w:rsidP="00AC6904">
            <w:pPr>
              <w:pStyle w:val="naiskr"/>
              <w:ind w:left="720"/>
              <w:jc w:val="both"/>
            </w:pPr>
          </w:p>
        </w:tc>
      </w:tr>
      <w:tr w:rsidR="006F104F" w:rsidRPr="00E13D95" w14:paraId="08A869FC" w14:textId="77777777" w:rsidTr="00E17C21"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EC3A001" w14:textId="77777777" w:rsidR="006F104F" w:rsidRPr="00E13D95" w:rsidRDefault="006F104F" w:rsidP="00E17C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1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1DE1F3B" w14:textId="77777777" w:rsidR="006F104F" w:rsidRPr="00E13D95" w:rsidRDefault="006F104F" w:rsidP="00E17C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160DE3F" w14:textId="77777777" w:rsidR="006F104F" w:rsidRPr="00E13D95" w:rsidRDefault="006F104F" w:rsidP="00E17C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61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C3AD91F" w14:textId="77777777" w:rsidR="006F104F" w:rsidRPr="00E13D95" w:rsidRDefault="006F104F" w:rsidP="00E17C2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</w:p>
        </w:tc>
      </w:tr>
      <w:tr w:rsidR="006F104F" w:rsidRPr="00E13D95" w14:paraId="574539C1" w14:textId="77777777" w:rsidTr="00E17C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F6955B" w14:textId="6518F06C" w:rsidR="006F104F" w:rsidRPr="00E13D95" w:rsidRDefault="006F104F" w:rsidP="00E17C2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 xml:space="preserve">Komisijas regula Nr. </w:t>
            </w:r>
            <w:r w:rsidR="00DF2BC0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CC8F5C" w14:textId="1F4BAD57" w:rsidR="006F104F" w:rsidRPr="00DF2BC0" w:rsidRDefault="006F104F" w:rsidP="00E17C2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F2BC0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DF2BC0" w:rsidRPr="00DF2BC0">
              <w:rPr>
                <w:rFonts w:ascii="Times New Roman" w:hAnsi="Times New Roman"/>
                <w:sz w:val="24"/>
                <w:szCs w:val="24"/>
              </w:rPr>
              <w:t>1</w:t>
            </w:r>
            <w:r w:rsidRPr="00DF2BC0">
              <w:rPr>
                <w:rFonts w:ascii="Times New Roman" w:hAnsi="Times New Roman"/>
                <w:sz w:val="24"/>
                <w:szCs w:val="24"/>
              </w:rPr>
              <w:t xml:space="preserve">.punkts </w:t>
            </w:r>
            <w:r w:rsidR="00B65303">
              <w:rPr>
                <w:rFonts w:ascii="Times New Roman" w:hAnsi="Times New Roman"/>
                <w:sz w:val="24"/>
                <w:szCs w:val="24"/>
              </w:rPr>
              <w:t>(</w:t>
            </w:r>
            <w:r w:rsidR="00DF2BC0" w:rsidRPr="00DF2B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25.9.</w:t>
            </w:r>
            <w:r w:rsidR="00DF2BC0" w:rsidRPr="00DF2B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="00DF2BC0" w:rsidRPr="00DF2BC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apakšpunkts</w:t>
            </w:r>
            <w:r w:rsidR="00B653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A4AB51" w14:textId="77777777" w:rsidR="006F104F" w:rsidRPr="00E13D95" w:rsidRDefault="006F104F" w:rsidP="00E17C21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Ieviests pilnībā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4D15AB" w14:textId="77777777" w:rsidR="006F104F" w:rsidRPr="00E13D95" w:rsidRDefault="006F104F" w:rsidP="00E17C21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Neparedz stingrākas prasības.</w:t>
            </w:r>
          </w:p>
        </w:tc>
      </w:tr>
      <w:tr w:rsidR="006F104F" w:rsidRPr="00E13D95" w14:paraId="7AC5AC07" w14:textId="77777777" w:rsidTr="00E17C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C58C0A" w14:textId="4BFA86FA" w:rsidR="006F104F" w:rsidRPr="00E13D95" w:rsidRDefault="006F104F" w:rsidP="00E17C2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lastRenderedPageBreak/>
              <w:t>Komisijas regula</w:t>
            </w:r>
            <w:r w:rsidR="00B6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="00DF2BC0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9A16D3" w14:textId="62E0135E" w:rsidR="006F104F" w:rsidRPr="00E13D95" w:rsidRDefault="006F104F" w:rsidP="00E17C2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921DF3">
              <w:rPr>
                <w:rFonts w:ascii="Times New Roman" w:hAnsi="Times New Roman"/>
                <w:sz w:val="24"/>
                <w:szCs w:val="24"/>
              </w:rPr>
              <w:t>4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.punkts (</w:t>
            </w:r>
            <w:r w:rsidR="00DF2BC0" w:rsidRPr="00AA30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35.</w:t>
            </w:r>
            <w:r w:rsidR="00DF2BC0" w:rsidRPr="00AA3022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DF2BC0" w:rsidRPr="00AA302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punkt</w:t>
            </w:r>
            <w:r w:rsidR="00DF2BC0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6A8985" w14:textId="77777777" w:rsidR="006F104F" w:rsidRPr="00E13D95" w:rsidRDefault="006F104F" w:rsidP="00E17C21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Ieviests pilnībā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2AB099" w14:textId="77777777" w:rsidR="006F104F" w:rsidRPr="00E13D95" w:rsidRDefault="006F104F" w:rsidP="00E17C21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Neparedz stingrākas prasības.</w:t>
            </w:r>
          </w:p>
        </w:tc>
      </w:tr>
      <w:tr w:rsidR="00EB3753" w:rsidRPr="00E13D95" w14:paraId="5A62FAB0" w14:textId="77777777" w:rsidTr="00E17C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658F91" w14:textId="4953D8B6" w:rsidR="00EB3753" w:rsidRPr="00E13D95" w:rsidRDefault="00EB3753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r w:rsidR="00DF2BC0">
              <w:rPr>
                <w:rFonts w:ascii="Times New Roman" w:hAnsi="Times New Roman"/>
                <w:sz w:val="24"/>
                <w:szCs w:val="24"/>
              </w:rPr>
              <w:t>651/2014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BC0">
              <w:rPr>
                <w:rFonts w:ascii="Times New Roman" w:hAnsi="Times New Roman"/>
                <w:sz w:val="24"/>
                <w:szCs w:val="24"/>
              </w:rPr>
              <w:t>38.pants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16D71" w14:textId="30AD969C" w:rsidR="00EB3753" w:rsidRPr="00E13D95" w:rsidRDefault="00EB3753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921DF3">
              <w:rPr>
                <w:rFonts w:ascii="Times New Roman" w:hAnsi="Times New Roman"/>
                <w:sz w:val="24"/>
                <w:szCs w:val="24"/>
              </w:rPr>
              <w:t>5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.punkts (</w:t>
            </w:r>
            <w:r w:rsidR="00DF2BC0">
              <w:rPr>
                <w:rFonts w:ascii="Times New Roman" w:hAnsi="Times New Roman"/>
                <w:sz w:val="24"/>
                <w:szCs w:val="24"/>
              </w:rPr>
              <w:t>42.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punkts)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1051A1" w14:textId="2BBFD9EE" w:rsidR="00EB3753" w:rsidRPr="00E13D95" w:rsidRDefault="00EB375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Ieviests pilnībā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187591" w14:textId="5D822A1A" w:rsidR="00EB3753" w:rsidRPr="00E13D95" w:rsidRDefault="00EB375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Neparedz stingrākas prasības.</w:t>
            </w:r>
          </w:p>
        </w:tc>
      </w:tr>
      <w:tr w:rsidR="00EB3753" w:rsidRPr="00E13D95" w14:paraId="052E32E6" w14:textId="77777777" w:rsidTr="00E17C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1A1269" w14:textId="4093EE46" w:rsidR="00EB3753" w:rsidRPr="00E13D95" w:rsidRDefault="00EB3753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Komisijas regula Nr.1407/2013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4122C1" w14:textId="0E77A602" w:rsidR="00EB3753" w:rsidRPr="00E13D95" w:rsidRDefault="00EB3753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921DF3">
              <w:rPr>
                <w:rFonts w:ascii="Times New Roman" w:hAnsi="Times New Roman"/>
                <w:sz w:val="24"/>
                <w:szCs w:val="24"/>
              </w:rPr>
              <w:t>5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.punkts (4</w:t>
            </w:r>
            <w:r w:rsidR="00DF2BC0">
              <w:rPr>
                <w:rFonts w:ascii="Times New Roman" w:hAnsi="Times New Roman"/>
                <w:sz w:val="24"/>
                <w:szCs w:val="24"/>
              </w:rPr>
              <w:t>3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.punkts)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DF336F" w14:textId="7A1838C7" w:rsidR="00EB3753" w:rsidRPr="00E13D95" w:rsidRDefault="00EB375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Ieviests pilnībā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C503C4" w14:textId="78958DBA" w:rsidR="00EB3753" w:rsidRPr="00E13D95" w:rsidRDefault="00EB375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Neparedz stingrākas prasības.</w:t>
            </w:r>
          </w:p>
        </w:tc>
      </w:tr>
      <w:tr w:rsidR="00DF2BC0" w:rsidRPr="00E13D95" w14:paraId="6298A682" w14:textId="77777777" w:rsidTr="00E17C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1D99F9" w14:textId="1F284B35" w:rsidR="00DF2BC0" w:rsidRDefault="00DF2BC0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regulas Nr.651/2014 38.panta 3.punkts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A8D8A0" w14:textId="67D9F7BC" w:rsidR="00DF2BC0" w:rsidRPr="00E13D95" w:rsidRDefault="00DF2BC0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921D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.punkts (44.punkts)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8B2CA5" w14:textId="01E10D51" w:rsidR="00DF2BC0" w:rsidRPr="00E13D95" w:rsidRDefault="00B6530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Ieviests pilnībā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3C8A76" w14:textId="3C3B3DC1" w:rsidR="00DF2BC0" w:rsidRPr="00E13D95" w:rsidRDefault="00B6530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Neparedz stingrākas prasības.</w:t>
            </w:r>
          </w:p>
        </w:tc>
      </w:tr>
      <w:tr w:rsidR="009425B8" w:rsidRPr="00E13D95" w14:paraId="44E79B8B" w14:textId="77777777" w:rsidTr="00E17C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C165BF" w14:textId="3001CC14" w:rsidR="009425B8" w:rsidRDefault="009425B8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regulas Nr.651/2014 59.pants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693AC8" w14:textId="4C12E54B" w:rsidR="009425B8" w:rsidRDefault="009425B8" w:rsidP="00EB375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921D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.punkts (56.punkts)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01082A" w14:textId="17DEB5B5" w:rsidR="009425B8" w:rsidRPr="00E13D95" w:rsidRDefault="00B6530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Ieviests pilnībā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A2F040" w14:textId="2A9E9A1B" w:rsidR="009425B8" w:rsidRPr="00E13D95" w:rsidRDefault="00B65303" w:rsidP="00EB3753">
            <w:pPr>
              <w:pStyle w:val="paragraph"/>
              <w:spacing w:before="0" w:beforeAutospacing="0" w:after="0" w:afterAutospacing="0"/>
              <w:textAlignment w:val="baseline"/>
            </w:pPr>
            <w:r w:rsidRPr="00E13D95">
              <w:t>Neparedz stingrākas prasības.</w:t>
            </w:r>
          </w:p>
        </w:tc>
      </w:tr>
      <w:tr w:rsidR="00EB3753" w:rsidRPr="00E13D95" w14:paraId="51FF9E96" w14:textId="77777777" w:rsidTr="00E17C21">
        <w:tc>
          <w:tcPr>
            <w:tcW w:w="141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3828ED" w14:textId="77777777" w:rsidR="00EB3753" w:rsidRPr="00E13D95" w:rsidRDefault="00EB3753" w:rsidP="00EB375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D0A8" w14:textId="77777777" w:rsidR="00EB3753" w:rsidRPr="00E13D95" w:rsidRDefault="00EB3753" w:rsidP="00EB375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B3753" w:rsidRPr="00E13D95" w14:paraId="457D50D1" w14:textId="77777777" w:rsidTr="00CF116B"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673CD5D" w14:textId="77777777" w:rsidR="00EB3753" w:rsidRPr="00E13D95" w:rsidRDefault="00EB3753" w:rsidP="00EB375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AC3" w14:textId="546166CA" w:rsidR="00EB3753" w:rsidRPr="00E13D95" w:rsidRDefault="00EB3753" w:rsidP="00CF116B">
            <w:pPr>
              <w:pStyle w:val="ListParagraph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EB3753" w:rsidRPr="00E13D95" w14:paraId="68FC43EB" w14:textId="77777777" w:rsidTr="00E17C21"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39243EE" w14:textId="77777777" w:rsidR="00EB3753" w:rsidRPr="00E13D95" w:rsidRDefault="00EB3753" w:rsidP="00EB375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F1C7" w14:textId="77777777" w:rsidR="00EB3753" w:rsidRPr="00E13D95" w:rsidRDefault="00EB3753" w:rsidP="00EB375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30C68C67" w14:textId="77777777" w:rsidR="006F104F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p w14:paraId="4C0512D3" w14:textId="77777777" w:rsidR="006F104F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p w14:paraId="79B00676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p w14:paraId="70F4C697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932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977"/>
        <w:gridCol w:w="5954"/>
      </w:tblGrid>
      <w:tr w:rsidR="006F104F" w:rsidRPr="00E13D95" w14:paraId="36FF005A" w14:textId="77777777" w:rsidTr="00E17C21">
        <w:trPr>
          <w:jc w:val="center"/>
        </w:trPr>
        <w:tc>
          <w:tcPr>
            <w:tcW w:w="932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9737415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3932C0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D95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  <w:p w14:paraId="765CE9F4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883FA8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104F" w:rsidRPr="00E13D95" w14:paraId="2CC0F9D1" w14:textId="77777777" w:rsidTr="00E17C21">
        <w:trPr>
          <w:jc w:val="center"/>
        </w:trPr>
        <w:tc>
          <w:tcPr>
            <w:tcW w:w="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FBD3AE2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4988E72A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9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41901DD" w14:textId="4F0CB162" w:rsidR="006F104F" w:rsidRPr="00E13D95" w:rsidRDefault="006F104F" w:rsidP="00E17C21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Nav, jo jāveic steidzami grozījumi saistībā ar Eiropas Komisijas 29.03.2021 skaidrojumu, ka investīcijas saules</w:t>
            </w:r>
            <w:r w:rsidR="00323E3C" w:rsidRPr="0021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E3C" w:rsidRPr="00213DD9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EK regulas Nr.</w:t>
            </w:r>
            <w:r w:rsidR="00383FB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651/2014 38.</w:t>
            </w:r>
            <w:r w:rsidR="00383FB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panta ietvaros nav atbalstāmas.</w:t>
            </w:r>
          </w:p>
          <w:p w14:paraId="1D358DA4" w14:textId="508DA55C" w:rsidR="006F104F" w:rsidRPr="00E13D95" w:rsidRDefault="006F104F" w:rsidP="00E17C21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Grozījumi ir uzskatāmi par labvēlīgiem projektu īstenotājiem</w:t>
            </w:r>
            <w:r w:rsidR="00323E3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(finansējuma saņēmējiem)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jo pēc grozījumiem MK noteikumos Nr.</w:t>
            </w:r>
            <w:r w:rsidR="00383FB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="005B554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38</w:t>
            </w: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, projekti, kuros jau </w:t>
            </w:r>
            <w:r w:rsidR="00323E3C">
              <w:rPr>
                <w:rFonts w:ascii="Times New Roman" w:hAnsi="Times New Roman"/>
                <w:sz w:val="24"/>
                <w:szCs w:val="24"/>
              </w:rPr>
              <w:t xml:space="preserve">tikušas veiktas </w:t>
            </w:r>
            <w:r w:rsidR="00323E3C" w:rsidRPr="00213DD9">
              <w:rPr>
                <w:rFonts w:ascii="Times New Roman" w:hAnsi="Times New Roman"/>
                <w:sz w:val="24"/>
                <w:szCs w:val="24"/>
              </w:rPr>
              <w:t xml:space="preserve">investīcijas saules </w:t>
            </w:r>
            <w:r w:rsidR="00323E3C">
              <w:rPr>
                <w:rFonts w:ascii="Times New Roman" w:eastAsia="Times New Roman" w:hAnsi="Times New Roman"/>
                <w:sz w:val="24"/>
                <w:szCs w:val="24"/>
              </w:rPr>
              <w:t>enerģiju izmantojošos siltumenerģijas un elektroenerģijas ražošanas avotos, būs saglabājams piešķirtā atbalsta apmērs</w:t>
            </w:r>
            <w:r w:rsidR="00F468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A8789DF" w14:textId="77777777" w:rsidR="006F104F" w:rsidRPr="00E13D95" w:rsidRDefault="006F104F" w:rsidP="00E17C21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6F104F" w:rsidRPr="00E13D95" w14:paraId="62B01DB6" w14:textId="77777777" w:rsidTr="00E17C21">
        <w:trPr>
          <w:jc w:val="center"/>
        </w:trPr>
        <w:tc>
          <w:tcPr>
            <w:tcW w:w="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023C9D8C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A74B66F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9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A87B179" w14:textId="77777777" w:rsidR="006F104F" w:rsidRPr="00E13D95" w:rsidRDefault="006F104F" w:rsidP="00E17C21">
            <w:pPr>
              <w:ind w:right="132"/>
              <w:contextualSpacing/>
              <w:jc w:val="both"/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6F104F" w:rsidRPr="00E13D95" w14:paraId="5BC61412" w14:textId="77777777" w:rsidTr="00E17C21">
        <w:trPr>
          <w:trHeight w:val="726"/>
          <w:jc w:val="center"/>
        </w:trPr>
        <w:tc>
          <w:tcPr>
            <w:tcW w:w="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970B625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140879EB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9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439E2FF" w14:textId="77777777" w:rsidR="006F104F" w:rsidRPr="00E13D95" w:rsidRDefault="006F104F" w:rsidP="00E17C21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6F104F" w:rsidRPr="00E13D95" w14:paraId="0698870C" w14:textId="77777777" w:rsidTr="00E17C21">
        <w:trPr>
          <w:trHeight w:val="366"/>
          <w:jc w:val="center"/>
        </w:trPr>
        <w:tc>
          <w:tcPr>
            <w:tcW w:w="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8FCE2A9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8904B5A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59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2A7B35B" w14:textId="77777777" w:rsidR="006F104F" w:rsidRPr="00E13D95" w:rsidRDefault="006F104F" w:rsidP="00E17C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14:paraId="24819ACC" w14:textId="77777777" w:rsidR="006F104F" w:rsidRPr="00E13D95" w:rsidRDefault="006F104F" w:rsidP="006F104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B1C49DF" w14:textId="77777777" w:rsidR="006F104F" w:rsidRPr="00E13D95" w:rsidRDefault="006F104F" w:rsidP="006F104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74AA79C" w14:textId="77777777" w:rsidR="006F104F" w:rsidRPr="00E13D95" w:rsidRDefault="006F104F" w:rsidP="006F104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296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185"/>
      </w:tblGrid>
      <w:tr w:rsidR="006F104F" w:rsidRPr="00E13D95" w14:paraId="77737B94" w14:textId="77777777" w:rsidTr="00E17C21">
        <w:trPr>
          <w:jc w:val="center"/>
        </w:trPr>
        <w:tc>
          <w:tcPr>
            <w:tcW w:w="929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60CDCF7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6685F301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14:paraId="3BC85032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14:paraId="0EB9580C" w14:textId="77777777" w:rsidR="006F104F" w:rsidRPr="00E13D95" w:rsidRDefault="006F104F" w:rsidP="00E17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6F104F" w:rsidRPr="00E13D95" w14:paraId="5BFA4F02" w14:textId="77777777" w:rsidTr="00E17C21">
        <w:trPr>
          <w:trHeight w:val="558"/>
          <w:jc w:val="center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458D7F3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7F61506D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1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3576CEB" w14:textId="77777777" w:rsidR="006F104F" w:rsidRPr="00E13D95" w:rsidRDefault="006F104F" w:rsidP="00E17C21">
            <w:pPr>
              <w:tabs>
                <w:tab w:val="left" w:pos="3922"/>
              </w:tabs>
              <w:spacing w:after="0" w:line="240" w:lineRule="auto"/>
              <w:ind w:left="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Noteikumu projekta īstenošanu nodrošinās </w:t>
            </w:r>
            <w:r w:rsidRPr="00E13D95">
              <w:rPr>
                <w:rFonts w:ascii="Times New Roman" w:hAnsi="Times New Roman"/>
                <w:sz w:val="24"/>
                <w:szCs w:val="24"/>
              </w:rPr>
              <w:t>Ekonomikas ministrija kā atbildīgā iestāde, kā arī Centrālā finanšu un līgumu aģentūra kā sadarbības iestāde, kas nodrošinās iesniegto projektu iesniegumu pieņemšanu un vērtēšanu.</w:t>
            </w:r>
          </w:p>
        </w:tc>
      </w:tr>
      <w:tr w:rsidR="006F104F" w:rsidRPr="00E13D95" w14:paraId="3500763A" w14:textId="77777777" w:rsidTr="00E17C21">
        <w:trPr>
          <w:jc w:val="center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CB5DF30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83FF7A6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90C7286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D9242A3" w14:textId="77777777" w:rsidR="006F104F" w:rsidRPr="00E13D95" w:rsidRDefault="006F104F" w:rsidP="00E17C21">
            <w:pPr>
              <w:spacing w:after="0" w:line="240" w:lineRule="auto"/>
              <w:ind w:left="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Nav plānota jaunu institūciju izveide, esošu institūciju likvidācija vai reorganizācija.</w:t>
            </w:r>
          </w:p>
          <w:p w14:paraId="4F135DC0" w14:textId="77777777" w:rsidR="006F104F" w:rsidRPr="00E13D95" w:rsidRDefault="006F104F" w:rsidP="00E17C21">
            <w:pPr>
              <w:spacing w:after="0" w:line="240" w:lineRule="auto"/>
              <w:ind w:left="9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95">
              <w:rPr>
                <w:rFonts w:ascii="Times New Roman" w:hAnsi="Times New Roman"/>
                <w:sz w:val="24"/>
                <w:szCs w:val="24"/>
              </w:rPr>
              <w:t>Noteikumu projekts tiks realizēts esošo cilvēkresursu ietvaros.</w:t>
            </w:r>
          </w:p>
        </w:tc>
      </w:tr>
      <w:tr w:rsidR="006F104F" w:rsidRPr="00E13D95" w14:paraId="4C7A7001" w14:textId="77777777" w:rsidTr="00E17C21">
        <w:trPr>
          <w:jc w:val="center"/>
        </w:trPr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6DC462FD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22166E89" w14:textId="77777777" w:rsidR="006F104F" w:rsidRPr="00E13D95" w:rsidRDefault="006F104F" w:rsidP="00E17C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14:paraId="519B4387" w14:textId="77777777" w:rsidR="006F104F" w:rsidRPr="00E13D95" w:rsidRDefault="006F104F" w:rsidP="00E17C21">
            <w:pPr>
              <w:spacing w:after="0" w:line="240" w:lineRule="auto"/>
              <w:ind w:left="9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13D9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027A7AA" w14:textId="77777777" w:rsidR="006F104F" w:rsidRPr="00E13D95" w:rsidRDefault="006F104F" w:rsidP="006F104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C57DB4E" w14:textId="45B3B4FC" w:rsidR="006F104F" w:rsidRPr="00E13D95" w:rsidRDefault="006F104F" w:rsidP="00323E3C">
      <w:pPr>
        <w:tabs>
          <w:tab w:val="left" w:pos="694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13D95">
        <w:rPr>
          <w:rFonts w:ascii="Times New Roman" w:eastAsia="Times New Roman" w:hAnsi="Times New Roman"/>
          <w:sz w:val="24"/>
          <w:szCs w:val="24"/>
        </w:rPr>
        <w:t>Ekonomikas ministrs</w:t>
      </w:r>
      <w:r w:rsidRPr="00E13D95">
        <w:rPr>
          <w:rFonts w:ascii="Times New Roman" w:eastAsia="Times New Roman" w:hAnsi="Times New Roman"/>
          <w:sz w:val="24"/>
          <w:szCs w:val="24"/>
        </w:rPr>
        <w:tab/>
        <w:t>J.</w:t>
      </w:r>
      <w:r w:rsidR="00383FB5">
        <w:rPr>
          <w:rFonts w:ascii="Times New Roman" w:eastAsia="Times New Roman" w:hAnsi="Times New Roman"/>
          <w:sz w:val="24"/>
          <w:szCs w:val="24"/>
        </w:rPr>
        <w:t> </w:t>
      </w:r>
      <w:r w:rsidRPr="00E13D95">
        <w:rPr>
          <w:rFonts w:ascii="Times New Roman" w:eastAsia="Times New Roman" w:hAnsi="Times New Roman"/>
          <w:sz w:val="24"/>
          <w:szCs w:val="24"/>
        </w:rPr>
        <w:t>Vitenbergs</w:t>
      </w:r>
    </w:p>
    <w:p w14:paraId="3185222B" w14:textId="77777777" w:rsidR="006F104F" w:rsidRPr="00E13D95" w:rsidRDefault="006F104F" w:rsidP="006F104F">
      <w:pPr>
        <w:tabs>
          <w:tab w:val="right" w:pos="907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C9580" w14:textId="77777777" w:rsidR="006F104F" w:rsidRPr="00E13D95" w:rsidRDefault="006F104F" w:rsidP="006F104F">
      <w:pPr>
        <w:tabs>
          <w:tab w:val="right" w:pos="907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3D95">
        <w:rPr>
          <w:rFonts w:ascii="Times New Roman" w:hAnsi="Times New Roman"/>
          <w:color w:val="000000"/>
          <w:sz w:val="24"/>
          <w:szCs w:val="24"/>
        </w:rPr>
        <w:t>Vīza:</w:t>
      </w:r>
    </w:p>
    <w:p w14:paraId="55802D16" w14:textId="77777777" w:rsidR="006F104F" w:rsidRPr="00E13D95" w:rsidRDefault="006F104F" w:rsidP="006F104F">
      <w:pPr>
        <w:tabs>
          <w:tab w:val="left" w:pos="7088"/>
          <w:tab w:val="right" w:pos="907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3D95">
        <w:rPr>
          <w:rFonts w:ascii="Times New Roman" w:hAnsi="Times New Roman"/>
          <w:color w:val="000000"/>
          <w:sz w:val="24"/>
          <w:szCs w:val="24"/>
        </w:rPr>
        <w:t>Valsts sekretārs</w:t>
      </w:r>
      <w:r w:rsidRPr="00E13D95">
        <w:rPr>
          <w:rFonts w:ascii="Times New Roman" w:hAnsi="Times New Roman"/>
          <w:color w:val="000000"/>
          <w:sz w:val="24"/>
          <w:szCs w:val="24"/>
        </w:rPr>
        <w:tab/>
      </w:r>
      <w:r w:rsidRPr="00E13D95">
        <w:rPr>
          <w:rFonts w:ascii="Times New Roman" w:eastAsia="Times New Roman" w:hAnsi="Times New Roman"/>
          <w:sz w:val="24"/>
          <w:szCs w:val="24"/>
        </w:rPr>
        <w:t>E. Valantis</w:t>
      </w:r>
    </w:p>
    <w:p w14:paraId="314E79D0" w14:textId="77777777" w:rsidR="006F104F" w:rsidRDefault="006F104F" w:rsidP="006F104F">
      <w:pPr>
        <w:widowControl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249F042E" w14:textId="77777777" w:rsidR="00CF116B" w:rsidRDefault="00CF116B" w:rsidP="006F104F">
      <w:pPr>
        <w:widowControl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009850B0" w14:textId="77777777" w:rsidR="00CF116B" w:rsidRDefault="00CF116B" w:rsidP="006F104F">
      <w:pPr>
        <w:widowControl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5C777155" w14:textId="77777777" w:rsidR="00CF116B" w:rsidRDefault="00CF116B" w:rsidP="006F104F">
      <w:pPr>
        <w:widowControl w:val="0"/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2AA3EBB8" w14:textId="6E5C0D4F" w:rsidR="006F104F" w:rsidRPr="00E13D95" w:rsidRDefault="005B5542" w:rsidP="006F104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Biezbārde</w:t>
      </w:r>
      <w:r w:rsidR="006F104F" w:rsidRPr="00E13D95">
        <w:rPr>
          <w:rFonts w:ascii="Times New Roman" w:hAnsi="Times New Roman"/>
          <w:noProof/>
          <w:sz w:val="20"/>
          <w:szCs w:val="20"/>
        </w:rPr>
        <w:t>,</w:t>
      </w:r>
      <w:r w:rsidR="006F104F" w:rsidRPr="00E13D95">
        <w:rPr>
          <w:rFonts w:ascii="Times New Roman" w:hAnsi="Times New Roman"/>
          <w:sz w:val="20"/>
          <w:szCs w:val="20"/>
        </w:rPr>
        <w:t xml:space="preserve"> </w:t>
      </w:r>
      <w:r w:rsidR="006F104F" w:rsidRPr="00E13D95">
        <w:rPr>
          <w:rFonts w:ascii="Times New Roman" w:hAnsi="Times New Roman"/>
          <w:noProof/>
          <w:sz w:val="20"/>
          <w:szCs w:val="20"/>
        </w:rPr>
        <w:t>67013</w:t>
      </w:r>
      <w:r>
        <w:rPr>
          <w:rFonts w:ascii="Times New Roman" w:hAnsi="Times New Roman"/>
          <w:noProof/>
          <w:sz w:val="20"/>
          <w:szCs w:val="20"/>
        </w:rPr>
        <w:t>234</w:t>
      </w:r>
    </w:p>
    <w:p w14:paraId="6D96AC6F" w14:textId="632DB03F" w:rsidR="006F104F" w:rsidRPr="005D5854" w:rsidRDefault="005B5542" w:rsidP="006F104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Laura.Biezbarde</w:t>
      </w:r>
      <w:r w:rsidR="006F104F" w:rsidRPr="00E13D95">
        <w:rPr>
          <w:rFonts w:ascii="Times New Roman" w:hAnsi="Times New Roman"/>
          <w:noProof/>
          <w:sz w:val="20"/>
          <w:szCs w:val="20"/>
        </w:rPr>
        <w:t>@em.gov.lv</w:t>
      </w:r>
    </w:p>
    <w:p w14:paraId="61B46D15" w14:textId="77777777" w:rsidR="00E22F0C" w:rsidRDefault="00404CF9"/>
    <w:sectPr w:rsidR="00E22F0C" w:rsidSect="00242877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A38E" w14:textId="77777777" w:rsidR="00E812BB" w:rsidRDefault="00E812BB" w:rsidP="000D7234">
      <w:pPr>
        <w:spacing w:after="0" w:line="240" w:lineRule="auto"/>
      </w:pPr>
      <w:r>
        <w:separator/>
      </w:r>
    </w:p>
  </w:endnote>
  <w:endnote w:type="continuationSeparator" w:id="0">
    <w:p w14:paraId="3566AF40" w14:textId="77777777" w:rsidR="00E812BB" w:rsidRDefault="00E812BB" w:rsidP="000D7234">
      <w:pPr>
        <w:spacing w:after="0" w:line="240" w:lineRule="auto"/>
      </w:pPr>
      <w:r>
        <w:continuationSeparator/>
      </w:r>
    </w:p>
  </w:endnote>
  <w:endnote w:type="continuationNotice" w:id="1">
    <w:p w14:paraId="13E6E281" w14:textId="77777777" w:rsidR="00E812BB" w:rsidRDefault="00E81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5E50" w14:textId="44D90126" w:rsidR="00A53057" w:rsidRPr="00A019E4" w:rsidRDefault="00AD35DC" w:rsidP="00AD35DC">
    <w:pPr>
      <w:spacing w:after="0" w:line="240" w:lineRule="auto"/>
      <w:ind w:right="-483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EMAnot_groz38_</w:t>
    </w:r>
    <w:r w:rsidR="007B0582">
      <w:rPr>
        <w:rFonts w:ascii="Times New Roman" w:eastAsia="Times New Roman" w:hAnsi="Times New Roman"/>
        <w:sz w:val="20"/>
        <w:szCs w:val="20"/>
        <w:lang w:eastAsia="lv-LV"/>
      </w:rPr>
      <w:t>21</w:t>
    </w:r>
    <w:r w:rsidR="00664D73">
      <w:rPr>
        <w:rFonts w:ascii="Times New Roman" w:eastAsia="Times New Roman" w:hAnsi="Times New Roman"/>
        <w:sz w:val="20"/>
        <w:szCs w:val="20"/>
        <w:lang w:eastAsia="lv-LV"/>
      </w:rPr>
      <w:t>062021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E3A0" w14:textId="540DFA07" w:rsidR="00A53057" w:rsidRPr="002973CD" w:rsidRDefault="00AD35DC" w:rsidP="00AD35DC">
    <w:pPr>
      <w:spacing w:after="0" w:line="240" w:lineRule="auto"/>
      <w:ind w:right="-483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EMAnot_groz38_</w:t>
    </w:r>
    <w:r w:rsidR="007B0582">
      <w:rPr>
        <w:rFonts w:ascii="Times New Roman" w:eastAsia="Times New Roman" w:hAnsi="Times New Roman"/>
        <w:sz w:val="20"/>
        <w:szCs w:val="20"/>
        <w:lang w:eastAsia="lv-LV"/>
      </w:rPr>
      <w:t>21</w:t>
    </w:r>
    <w:r w:rsidR="00664D73">
      <w:rPr>
        <w:rFonts w:ascii="Times New Roman" w:eastAsia="Times New Roman" w:hAnsi="Times New Roman"/>
        <w:sz w:val="20"/>
        <w:szCs w:val="20"/>
        <w:lang w:eastAsia="lv-LV"/>
      </w:rPr>
      <w:t>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E41A" w14:textId="77777777" w:rsidR="00E812BB" w:rsidRDefault="00E812BB" w:rsidP="000D7234">
      <w:pPr>
        <w:spacing w:after="0" w:line="240" w:lineRule="auto"/>
      </w:pPr>
      <w:r>
        <w:separator/>
      </w:r>
    </w:p>
  </w:footnote>
  <w:footnote w:type="continuationSeparator" w:id="0">
    <w:p w14:paraId="3213338A" w14:textId="77777777" w:rsidR="00E812BB" w:rsidRDefault="00E812BB" w:rsidP="000D7234">
      <w:pPr>
        <w:spacing w:after="0" w:line="240" w:lineRule="auto"/>
      </w:pPr>
      <w:r>
        <w:continuationSeparator/>
      </w:r>
    </w:p>
  </w:footnote>
  <w:footnote w:type="continuationNotice" w:id="1">
    <w:p w14:paraId="78C2D38B" w14:textId="77777777" w:rsidR="00E812BB" w:rsidRDefault="00E81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12955" w14:textId="7A0B15EE" w:rsidR="00A53057" w:rsidRPr="00D85DEC" w:rsidRDefault="006D402B">
    <w:pPr>
      <w:pStyle w:val="Header"/>
      <w:jc w:val="center"/>
      <w:rPr>
        <w:rFonts w:ascii="Times New Roman" w:hAnsi="Times New Roman"/>
        <w:sz w:val="20"/>
        <w:szCs w:val="20"/>
      </w:rPr>
    </w:pPr>
    <w:r w:rsidRPr="00D85DEC">
      <w:rPr>
        <w:rFonts w:ascii="Times New Roman" w:hAnsi="Times New Roman"/>
        <w:sz w:val="20"/>
        <w:szCs w:val="20"/>
      </w:rPr>
      <w:fldChar w:fldCharType="begin"/>
    </w:r>
    <w:r w:rsidRPr="00D85DEC">
      <w:rPr>
        <w:rFonts w:ascii="Times New Roman" w:hAnsi="Times New Roman"/>
        <w:sz w:val="20"/>
        <w:szCs w:val="20"/>
      </w:rPr>
      <w:instrText xml:space="preserve"> PAGE   \* MERGEFORMAT </w:instrText>
    </w:r>
    <w:r w:rsidRPr="00D85DEC">
      <w:rPr>
        <w:rFonts w:ascii="Times New Roman" w:hAnsi="Times New Roman"/>
        <w:sz w:val="20"/>
        <w:szCs w:val="20"/>
      </w:rPr>
      <w:fldChar w:fldCharType="separate"/>
    </w:r>
    <w:r w:rsidR="00921DF3">
      <w:rPr>
        <w:rFonts w:ascii="Times New Roman" w:hAnsi="Times New Roman"/>
        <w:noProof/>
        <w:sz w:val="20"/>
        <w:szCs w:val="20"/>
      </w:rPr>
      <w:t>2</w:t>
    </w:r>
    <w:r w:rsidRPr="00D85DEC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5D2"/>
    <w:multiLevelType w:val="hybridMultilevel"/>
    <w:tmpl w:val="34201168"/>
    <w:lvl w:ilvl="0" w:tplc="042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476E7F61"/>
    <w:multiLevelType w:val="hybridMultilevel"/>
    <w:tmpl w:val="70D63B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205B"/>
    <w:multiLevelType w:val="hybridMultilevel"/>
    <w:tmpl w:val="4B80053E"/>
    <w:lvl w:ilvl="0" w:tplc="69E2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4612C"/>
    <w:multiLevelType w:val="multilevel"/>
    <w:tmpl w:val="591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E4F5F"/>
    <w:multiLevelType w:val="hybridMultilevel"/>
    <w:tmpl w:val="D7849412"/>
    <w:lvl w:ilvl="0" w:tplc="BFB05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4F"/>
    <w:rsid w:val="00017E7A"/>
    <w:rsid w:val="000204E0"/>
    <w:rsid w:val="000255AB"/>
    <w:rsid w:val="00045618"/>
    <w:rsid w:val="0007329C"/>
    <w:rsid w:val="000D7234"/>
    <w:rsid w:val="0024155D"/>
    <w:rsid w:val="002B0E8D"/>
    <w:rsid w:val="002D743D"/>
    <w:rsid w:val="00323E3C"/>
    <w:rsid w:val="00350ED5"/>
    <w:rsid w:val="00383FB5"/>
    <w:rsid w:val="003B2963"/>
    <w:rsid w:val="003D3D64"/>
    <w:rsid w:val="00404CF9"/>
    <w:rsid w:val="004149EB"/>
    <w:rsid w:val="00494C82"/>
    <w:rsid w:val="004A2EB5"/>
    <w:rsid w:val="005113C8"/>
    <w:rsid w:val="005154A1"/>
    <w:rsid w:val="00516819"/>
    <w:rsid w:val="00546D67"/>
    <w:rsid w:val="00561DDA"/>
    <w:rsid w:val="00583C57"/>
    <w:rsid w:val="005B5542"/>
    <w:rsid w:val="005C2074"/>
    <w:rsid w:val="006576EE"/>
    <w:rsid w:val="006633C5"/>
    <w:rsid w:val="00664D73"/>
    <w:rsid w:val="00680FAB"/>
    <w:rsid w:val="00695619"/>
    <w:rsid w:val="006D402B"/>
    <w:rsid w:val="006F104F"/>
    <w:rsid w:val="007A796D"/>
    <w:rsid w:val="007B0582"/>
    <w:rsid w:val="007B1F12"/>
    <w:rsid w:val="00841FDA"/>
    <w:rsid w:val="008439E8"/>
    <w:rsid w:val="008563A3"/>
    <w:rsid w:val="00873509"/>
    <w:rsid w:val="009104C5"/>
    <w:rsid w:val="00917509"/>
    <w:rsid w:val="00921DF3"/>
    <w:rsid w:val="009425B8"/>
    <w:rsid w:val="0094308C"/>
    <w:rsid w:val="009568CF"/>
    <w:rsid w:val="009A3C62"/>
    <w:rsid w:val="009B639D"/>
    <w:rsid w:val="009D0C6B"/>
    <w:rsid w:val="00AC6904"/>
    <w:rsid w:val="00AD35DC"/>
    <w:rsid w:val="00B65303"/>
    <w:rsid w:val="00BD02C3"/>
    <w:rsid w:val="00C03F5C"/>
    <w:rsid w:val="00C05A36"/>
    <w:rsid w:val="00C3522D"/>
    <w:rsid w:val="00CF116B"/>
    <w:rsid w:val="00D02211"/>
    <w:rsid w:val="00D56F56"/>
    <w:rsid w:val="00DF2BC0"/>
    <w:rsid w:val="00DF308D"/>
    <w:rsid w:val="00E45C4C"/>
    <w:rsid w:val="00E812BB"/>
    <w:rsid w:val="00EB3753"/>
    <w:rsid w:val="00EB76D0"/>
    <w:rsid w:val="00EE2825"/>
    <w:rsid w:val="00F00894"/>
    <w:rsid w:val="00F46826"/>
    <w:rsid w:val="00F76A60"/>
    <w:rsid w:val="00FA5352"/>
    <w:rsid w:val="00FA6772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752"/>
  <w15:chartTrackingRefBased/>
  <w15:docId w15:val="{350B9523-F306-4792-85FE-BB0BF81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4F"/>
    <w:rPr>
      <w:rFonts w:ascii="Calibri" w:eastAsia="Calibri" w:hAnsi="Calibri" w:cs="Times New Roman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6F104F"/>
    <w:pPr>
      <w:ind w:left="720"/>
      <w:contextualSpacing/>
    </w:pPr>
  </w:style>
  <w:style w:type="paragraph" w:customStyle="1" w:styleId="naiskr">
    <w:name w:val="naiskr"/>
    <w:basedOn w:val="Normal"/>
    <w:rsid w:val="006F104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6F104F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6F1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D7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234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23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34"/>
    <w:rPr>
      <w:sz w:val="20"/>
      <w:szCs w:val="20"/>
    </w:rPr>
  </w:style>
  <w:style w:type="character" w:styleId="FootnoteReference">
    <w:name w:val="footnote reference"/>
    <w:semiHidden/>
    <w:rsid w:val="000D72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54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54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4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3F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7517</Words>
  <Characters>4285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Biezbārde</dc:creator>
  <cp:keywords/>
  <dc:description/>
  <cp:lastModifiedBy>Kaspars Lore</cp:lastModifiedBy>
  <cp:revision>5</cp:revision>
  <dcterms:created xsi:type="dcterms:W3CDTF">2021-06-21T10:37:00Z</dcterms:created>
  <dcterms:modified xsi:type="dcterms:W3CDTF">2021-06-21T14:39:00Z</dcterms:modified>
</cp:coreProperties>
</file>