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3D5B21" w:rsidRDefault="003D5B21" w:rsidP="003D5B21">
      <w:pPr>
        <w:shd w:val="clear" w:color="auto" w:fill="FFFFFF"/>
        <w:spacing w:after="0" w:line="240" w:lineRule="auto"/>
        <w:jc w:val="center"/>
        <w:rPr>
          <w:rFonts w:ascii="Times New Roman" w:eastAsia="Times New Roman" w:hAnsi="Times New Roman" w:cs="Times New Roman"/>
          <w:b/>
          <w:bCs/>
          <w:sz w:val="28"/>
          <w:szCs w:val="24"/>
          <w:lang w:eastAsia="lv-LV"/>
        </w:rPr>
      </w:pPr>
      <w:r w:rsidRPr="003D5B21">
        <w:rPr>
          <w:rFonts w:ascii="Times New Roman" w:eastAsia="Times New Roman" w:hAnsi="Times New Roman" w:cs="Times New Roman"/>
          <w:b/>
          <w:bCs/>
          <w:sz w:val="28"/>
          <w:szCs w:val="24"/>
          <w:lang w:eastAsia="lv-LV"/>
        </w:rPr>
        <w:t xml:space="preserve">Ministru kabineta rīkojuma </w:t>
      </w:r>
      <w:r w:rsidR="004B760E">
        <w:rPr>
          <w:rFonts w:ascii="Times New Roman" w:eastAsia="Times New Roman" w:hAnsi="Times New Roman" w:cs="Times New Roman"/>
          <w:b/>
          <w:bCs/>
          <w:sz w:val="28"/>
          <w:szCs w:val="24"/>
          <w:lang w:eastAsia="lv-LV"/>
        </w:rPr>
        <w:t xml:space="preserve">projekta </w:t>
      </w:r>
      <w:r w:rsidRPr="003D5B21">
        <w:rPr>
          <w:rFonts w:ascii="Times New Roman" w:eastAsia="Times New Roman" w:hAnsi="Times New Roman" w:cs="Times New Roman"/>
          <w:b/>
          <w:bCs/>
          <w:sz w:val="28"/>
          <w:szCs w:val="24"/>
          <w:lang w:eastAsia="lv-LV"/>
        </w:rPr>
        <w:t xml:space="preserve">„Par finanšu līdzekļu piešķiršanu no valsts budžeta programmas „Līdzekļi neparedzētiem gadījumiem”” </w:t>
      </w:r>
      <w:r w:rsidR="00894C55" w:rsidRPr="003D5B21">
        <w:rPr>
          <w:rFonts w:ascii="Times New Roman" w:eastAsia="Times New Roman" w:hAnsi="Times New Roman" w:cs="Times New Roman"/>
          <w:b/>
          <w:bCs/>
          <w:sz w:val="28"/>
          <w:szCs w:val="24"/>
          <w:lang w:eastAsia="lv-LV"/>
        </w:rPr>
        <w:t>sākotnējās ietekmes novērtējuma ziņojums (anotācija)</w:t>
      </w:r>
    </w:p>
    <w:p w:rsidR="00894C55" w:rsidRPr="003D5B21" w:rsidRDefault="00894C55" w:rsidP="003D5B21">
      <w:pPr>
        <w:tabs>
          <w:tab w:val="left" w:pos="6237"/>
        </w:tabs>
        <w:spacing w:after="0" w:line="240" w:lineRule="auto"/>
        <w:rPr>
          <w:rFonts w:ascii="Times New Roman" w:hAnsi="Times New Roman" w:cs="Times New Roman"/>
          <w:sz w:val="28"/>
          <w:szCs w:val="28"/>
        </w:rPr>
      </w:pPr>
    </w:p>
    <w:p w:rsidR="00A06629" w:rsidRPr="00E16F48" w:rsidRDefault="00A06629" w:rsidP="00A06629">
      <w:pPr>
        <w:spacing w:after="0" w:line="240" w:lineRule="auto"/>
        <w:jc w:val="center"/>
        <w:rPr>
          <w:rFonts w:ascii="Times New Roman" w:eastAsia="Times New Roman" w:hAnsi="Times New Roman" w:cs="Times New Roman"/>
          <w:bCs/>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2"/>
      </w:tblGrid>
      <w:tr w:rsidR="00A06629" w:rsidRPr="00E16F48" w:rsidTr="007A2CF1">
        <w:tc>
          <w:tcPr>
            <w:tcW w:w="9061" w:type="dxa"/>
            <w:gridSpan w:val="2"/>
            <w:hideMark/>
          </w:tcPr>
          <w:p w:rsidR="00A06629" w:rsidRPr="00E16F48" w:rsidRDefault="00A06629" w:rsidP="007A2CF1">
            <w:pPr>
              <w:ind w:firstLine="300"/>
              <w:jc w:val="center"/>
              <w:rPr>
                <w:rFonts w:ascii="Cambria" w:hAnsi="Cambria"/>
                <w:b/>
                <w:iCs/>
                <w:sz w:val="19"/>
                <w:szCs w:val="19"/>
              </w:rPr>
            </w:pPr>
            <w:r w:rsidRPr="00E16F48">
              <w:rPr>
                <w:rFonts w:ascii="Times New Roman" w:eastAsia="Times New Roman" w:hAnsi="Times New Roman" w:cs="Times New Roman"/>
                <w:b/>
                <w:bCs/>
                <w:sz w:val="24"/>
                <w:szCs w:val="24"/>
                <w:lang w:eastAsia="lv-LV"/>
              </w:rPr>
              <w:t>Tiesību akta projekta anotācijas kopsavilkums</w:t>
            </w:r>
          </w:p>
        </w:tc>
      </w:tr>
      <w:tr w:rsidR="00A06629" w:rsidRPr="00E16F48" w:rsidTr="007A2CF1">
        <w:tc>
          <w:tcPr>
            <w:tcW w:w="2689" w:type="dxa"/>
            <w:hideMark/>
          </w:tcPr>
          <w:p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Mērķis, risinājums un projekta spēkā stāšanās laiks (500 zīmes bez atstarpēm)</w:t>
            </w:r>
          </w:p>
        </w:tc>
        <w:tc>
          <w:tcPr>
            <w:tcW w:w="6372" w:type="dxa"/>
            <w:hideMark/>
          </w:tcPr>
          <w:p w:rsidR="00A06629" w:rsidRPr="00C61E38" w:rsidRDefault="00A13939" w:rsidP="007A2CF1">
            <w:pPr>
              <w:jc w:val="both"/>
              <w:rPr>
                <w:rFonts w:ascii="Times New Roman" w:eastAsia="Times New Roman" w:hAnsi="Times New Roman" w:cs="Times New Roman"/>
                <w:sz w:val="24"/>
                <w:szCs w:val="24"/>
                <w:lang w:eastAsia="lv-LV"/>
              </w:rPr>
            </w:pPr>
            <w:r w:rsidRPr="00C930A2">
              <w:rPr>
                <w:iCs/>
              </w:rPr>
              <w:t xml:space="preserve"> </w:t>
            </w:r>
            <w:r w:rsidRPr="00A13939">
              <w:rPr>
                <w:rFonts w:ascii="Times New Roman" w:eastAsia="Times New Roman" w:hAnsi="Times New Roman" w:cs="Times New Roman"/>
                <w:sz w:val="24"/>
                <w:szCs w:val="24"/>
                <w:lang w:eastAsia="lv-LV"/>
              </w:rPr>
              <w:t>Saskaņā ar Ministru kabineta 2009. gada 15. decembra instrukcijas Nr. 19 "Tiesību akta projekta sākotnējās ietekmes izvērtēšanas kārtība" 5.</w:t>
            </w:r>
            <w:r w:rsidRPr="00A13939">
              <w:rPr>
                <w:rFonts w:ascii="Times New Roman" w:eastAsia="Times New Roman" w:hAnsi="Times New Roman" w:cs="Times New Roman"/>
                <w:sz w:val="24"/>
                <w:szCs w:val="24"/>
                <w:vertAlign w:val="superscript"/>
                <w:lang w:eastAsia="lv-LV"/>
              </w:rPr>
              <w:t>1</w:t>
            </w:r>
            <w:r w:rsidRPr="00A13939">
              <w:rPr>
                <w:rFonts w:ascii="Times New Roman" w:eastAsia="Times New Roman" w:hAnsi="Times New Roman" w:cs="Times New Roman"/>
                <w:sz w:val="24"/>
                <w:szCs w:val="24"/>
                <w:lang w:eastAsia="lv-LV"/>
              </w:rPr>
              <w:t> apakšpunktu anotācijas kopsavilkums nav aizpildāms.</w:t>
            </w:r>
          </w:p>
        </w:tc>
      </w:tr>
    </w:tbl>
    <w:p w:rsidR="00A06629" w:rsidRPr="00E16F48" w:rsidRDefault="00A06629" w:rsidP="00A06629">
      <w:pPr>
        <w:spacing w:after="0" w:line="240" w:lineRule="auto"/>
        <w:jc w:val="both"/>
        <w:rPr>
          <w:rFonts w:ascii="Times New Roman" w:eastAsia="Times New Roman" w:hAnsi="Times New Roman" w:cs="Times New Roman"/>
          <w:bCs/>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095"/>
        <w:gridCol w:w="6513"/>
      </w:tblGrid>
      <w:tr w:rsidR="00A06629" w:rsidRPr="00E16F48" w:rsidTr="007A2CF1">
        <w:trPr>
          <w:trHeight w:val="405"/>
        </w:trPr>
        <w:tc>
          <w:tcPr>
            <w:tcW w:w="0" w:type="auto"/>
            <w:gridSpan w:val="3"/>
            <w:hideMark/>
          </w:tcPr>
          <w:p w:rsidR="00A06629" w:rsidRPr="00E16F48" w:rsidRDefault="00A06629" w:rsidP="007A2CF1">
            <w:pPr>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I. Tiesību akta projekta izstrādes nepieciešamība</w:t>
            </w:r>
          </w:p>
        </w:tc>
      </w:tr>
      <w:tr w:rsidR="00A06629" w:rsidRPr="00E16F48" w:rsidTr="007A2CF1">
        <w:trPr>
          <w:trHeight w:val="405"/>
        </w:trPr>
        <w:tc>
          <w:tcPr>
            <w:tcW w:w="250" w:type="pct"/>
            <w:hideMark/>
          </w:tcPr>
          <w:p w:rsidR="00A06629" w:rsidRPr="00E16F48" w:rsidRDefault="00A06629" w:rsidP="007A2CF1">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w:t>
            </w:r>
          </w:p>
        </w:tc>
        <w:tc>
          <w:tcPr>
            <w:tcW w:w="1156" w:type="pct"/>
            <w:hideMark/>
          </w:tcPr>
          <w:p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Pamatojums</w:t>
            </w:r>
          </w:p>
        </w:tc>
        <w:tc>
          <w:tcPr>
            <w:tcW w:w="3595" w:type="pct"/>
            <w:hideMark/>
          </w:tcPr>
          <w:p w:rsidR="00A06629" w:rsidRPr="00F2673E" w:rsidRDefault="00A13939" w:rsidP="00A13939">
            <w:pPr>
              <w:tabs>
                <w:tab w:val="left" w:pos="707"/>
              </w:tabs>
              <w:ind w:firstLine="264"/>
              <w:jc w:val="both"/>
              <w:rPr>
                <w:rFonts w:ascii="Times New Roman" w:eastAsia="Times New Roman" w:hAnsi="Times New Roman" w:cs="Times New Roman"/>
                <w:sz w:val="24"/>
                <w:szCs w:val="24"/>
                <w:lang w:eastAsia="zh-CN"/>
              </w:rPr>
            </w:pPr>
            <w:r w:rsidRPr="00A13939">
              <w:rPr>
                <w:rFonts w:ascii="Times New Roman" w:eastAsia="Times New Roman" w:hAnsi="Times New Roman" w:cs="Times New Roman"/>
                <w:sz w:val="24"/>
                <w:szCs w:val="24"/>
                <w:lang w:eastAsia="zh-CN"/>
              </w:rPr>
              <w:t xml:space="preserve">Ministru kabineta rīkojuma projekts „Par finanšu līdzekļu piešķiršanu no valsts budžeta programmas „Līdzekļi neparedzētiem gadījumiem”” (turpmāk – </w:t>
            </w:r>
            <w:r>
              <w:rPr>
                <w:rFonts w:ascii="Times New Roman" w:eastAsia="Times New Roman" w:hAnsi="Times New Roman" w:cs="Times New Roman"/>
                <w:sz w:val="24"/>
                <w:szCs w:val="24"/>
                <w:lang w:eastAsia="zh-CN"/>
              </w:rPr>
              <w:t xml:space="preserve">rīkojuma </w:t>
            </w:r>
            <w:r w:rsidRPr="00A13939">
              <w:rPr>
                <w:rFonts w:ascii="Times New Roman" w:eastAsia="Times New Roman" w:hAnsi="Times New Roman" w:cs="Times New Roman"/>
                <w:sz w:val="24"/>
                <w:szCs w:val="24"/>
                <w:lang w:eastAsia="zh-CN"/>
              </w:rPr>
              <w:t>p</w:t>
            </w:r>
            <w:r w:rsidR="00F2673E" w:rsidRPr="003D5B21">
              <w:rPr>
                <w:rFonts w:ascii="Times New Roman" w:eastAsia="Times New Roman" w:hAnsi="Times New Roman" w:cs="Times New Roman"/>
                <w:sz w:val="24"/>
                <w:szCs w:val="24"/>
                <w:lang w:eastAsia="zh-CN"/>
              </w:rPr>
              <w:t>rojekts</w:t>
            </w:r>
            <w:r>
              <w:rPr>
                <w:rFonts w:ascii="Times New Roman" w:eastAsia="Times New Roman" w:hAnsi="Times New Roman" w:cs="Times New Roman"/>
                <w:sz w:val="24"/>
                <w:szCs w:val="24"/>
                <w:lang w:eastAsia="zh-CN"/>
              </w:rPr>
              <w:t>)</w:t>
            </w:r>
            <w:r w:rsidR="00F2673E" w:rsidRPr="003D5B21">
              <w:rPr>
                <w:rFonts w:ascii="Times New Roman" w:eastAsia="Times New Roman" w:hAnsi="Times New Roman" w:cs="Times New Roman"/>
                <w:sz w:val="24"/>
                <w:szCs w:val="24"/>
                <w:lang w:eastAsia="zh-CN"/>
              </w:rPr>
              <w:t xml:space="preserve"> sagatavots, pamatojoties uz</w:t>
            </w:r>
            <w:r w:rsidR="00F2673E">
              <w:rPr>
                <w:rFonts w:ascii="Times New Roman" w:eastAsia="Times New Roman" w:hAnsi="Times New Roman" w:cs="Times New Roman"/>
                <w:sz w:val="24"/>
                <w:szCs w:val="24"/>
                <w:lang w:eastAsia="zh-CN"/>
              </w:rPr>
              <w:t xml:space="preserve"> </w:t>
            </w:r>
            <w:r w:rsidR="00C87555">
              <w:rPr>
                <w:rFonts w:ascii="Times New Roman" w:eastAsia="Times New Roman" w:hAnsi="Times New Roman" w:cs="Times New Roman"/>
                <w:sz w:val="24"/>
                <w:szCs w:val="24"/>
                <w:lang w:eastAsia="zh-CN"/>
              </w:rPr>
              <w:t xml:space="preserve">Ministru kabineta </w:t>
            </w:r>
            <w:r w:rsidR="00F2673E" w:rsidRPr="003D5B21">
              <w:rPr>
                <w:rFonts w:ascii="Times New Roman" w:eastAsia="Times New Roman" w:hAnsi="Times New Roman" w:cs="Times New Roman"/>
                <w:sz w:val="24"/>
                <w:szCs w:val="24"/>
                <w:lang w:eastAsia="zh-CN"/>
              </w:rPr>
              <w:t>20</w:t>
            </w:r>
            <w:r w:rsidR="00DC495F">
              <w:rPr>
                <w:rFonts w:ascii="Times New Roman" w:eastAsia="Times New Roman" w:hAnsi="Times New Roman" w:cs="Times New Roman"/>
                <w:sz w:val="24"/>
                <w:szCs w:val="24"/>
                <w:lang w:eastAsia="zh-CN"/>
              </w:rPr>
              <w:t>21</w:t>
            </w:r>
            <w:r w:rsidR="00F2673E" w:rsidRPr="003D5B21">
              <w:rPr>
                <w:rFonts w:ascii="Times New Roman" w:eastAsia="Times New Roman" w:hAnsi="Times New Roman" w:cs="Times New Roman"/>
                <w:sz w:val="24"/>
                <w:szCs w:val="24"/>
                <w:lang w:eastAsia="zh-CN"/>
              </w:rPr>
              <w:t xml:space="preserve">. gada </w:t>
            </w:r>
            <w:r w:rsidR="00F2673E">
              <w:rPr>
                <w:rFonts w:ascii="Times New Roman" w:eastAsia="Times New Roman" w:hAnsi="Times New Roman" w:cs="Times New Roman"/>
                <w:sz w:val="24"/>
                <w:szCs w:val="24"/>
                <w:lang w:eastAsia="zh-CN"/>
              </w:rPr>
              <w:t>1</w:t>
            </w:r>
            <w:r w:rsidR="00DC495F">
              <w:rPr>
                <w:rFonts w:ascii="Times New Roman" w:eastAsia="Times New Roman" w:hAnsi="Times New Roman" w:cs="Times New Roman"/>
                <w:sz w:val="24"/>
                <w:szCs w:val="24"/>
                <w:lang w:eastAsia="zh-CN"/>
              </w:rPr>
              <w:t>8</w:t>
            </w:r>
            <w:r w:rsidR="00F2673E" w:rsidRPr="003D5B21">
              <w:rPr>
                <w:rFonts w:ascii="Times New Roman" w:eastAsia="Times New Roman" w:hAnsi="Times New Roman" w:cs="Times New Roman"/>
                <w:sz w:val="24"/>
                <w:szCs w:val="24"/>
                <w:lang w:eastAsia="zh-CN"/>
              </w:rPr>
              <w:t>. </w:t>
            </w:r>
            <w:r w:rsidR="00F2673E">
              <w:rPr>
                <w:rFonts w:ascii="Times New Roman" w:eastAsia="Times New Roman" w:hAnsi="Times New Roman" w:cs="Times New Roman"/>
                <w:sz w:val="24"/>
                <w:szCs w:val="24"/>
                <w:lang w:eastAsia="zh-CN"/>
              </w:rPr>
              <w:t>marta</w:t>
            </w:r>
            <w:r w:rsidR="00DC495F">
              <w:rPr>
                <w:rFonts w:ascii="Times New Roman" w:eastAsia="Times New Roman" w:hAnsi="Times New Roman" w:cs="Times New Roman"/>
                <w:sz w:val="24"/>
                <w:szCs w:val="24"/>
                <w:lang w:eastAsia="zh-CN"/>
              </w:rPr>
              <w:t xml:space="preserve"> sēd</w:t>
            </w:r>
            <w:r w:rsidR="00C87555">
              <w:rPr>
                <w:rFonts w:ascii="Times New Roman" w:eastAsia="Times New Roman" w:hAnsi="Times New Roman" w:cs="Times New Roman"/>
                <w:sz w:val="24"/>
                <w:szCs w:val="24"/>
                <w:lang w:eastAsia="zh-CN"/>
              </w:rPr>
              <w:t>ē</w:t>
            </w:r>
            <w:r w:rsidR="00DC495F">
              <w:rPr>
                <w:rFonts w:ascii="Times New Roman" w:eastAsia="Times New Roman" w:hAnsi="Times New Roman" w:cs="Times New Roman"/>
                <w:sz w:val="24"/>
                <w:szCs w:val="24"/>
                <w:lang w:eastAsia="zh-CN"/>
              </w:rPr>
              <w:t xml:space="preserve"> </w:t>
            </w:r>
            <w:r w:rsidR="00C87555">
              <w:rPr>
                <w:rFonts w:ascii="Times New Roman" w:eastAsia="Times New Roman" w:hAnsi="Times New Roman" w:cs="Times New Roman"/>
                <w:sz w:val="24"/>
                <w:szCs w:val="24"/>
                <w:lang w:eastAsia="zh-CN"/>
              </w:rPr>
              <w:t>(</w:t>
            </w:r>
            <w:r w:rsidR="00DC495F">
              <w:rPr>
                <w:rFonts w:ascii="Times New Roman" w:eastAsia="Times New Roman" w:hAnsi="Times New Roman" w:cs="Times New Roman"/>
                <w:sz w:val="24"/>
                <w:szCs w:val="24"/>
                <w:lang w:eastAsia="zh-CN"/>
              </w:rPr>
              <w:t>prot</w:t>
            </w:r>
            <w:r w:rsidR="00C87555">
              <w:rPr>
                <w:rFonts w:ascii="Times New Roman" w:eastAsia="Times New Roman" w:hAnsi="Times New Roman" w:cs="Times New Roman"/>
                <w:sz w:val="24"/>
                <w:szCs w:val="24"/>
                <w:lang w:eastAsia="zh-CN"/>
              </w:rPr>
              <w:t>.</w:t>
            </w:r>
            <w:r w:rsidR="00DC495F">
              <w:rPr>
                <w:rFonts w:ascii="Times New Roman" w:eastAsia="Times New Roman" w:hAnsi="Times New Roman" w:cs="Times New Roman"/>
                <w:sz w:val="24"/>
                <w:szCs w:val="24"/>
                <w:lang w:eastAsia="zh-CN"/>
              </w:rPr>
              <w:t xml:space="preserve"> Nr.28 42.§</w:t>
            </w:r>
            <w:r w:rsidR="00BE5EE0" w:rsidRPr="00C87D94">
              <w:rPr>
                <w:rFonts w:ascii="Times New Roman" w:eastAsia="Times New Roman" w:hAnsi="Times New Roman" w:cs="Times New Roman"/>
                <w:sz w:val="24"/>
                <w:szCs w:val="24"/>
                <w:lang w:eastAsia="zh-CN"/>
              </w:rPr>
              <w:t xml:space="preserve"> </w:t>
            </w:r>
            <w:r w:rsidRPr="00C87D94">
              <w:rPr>
                <w:rFonts w:ascii="Times New Roman" w:eastAsia="Times New Roman" w:hAnsi="Times New Roman" w:cs="Times New Roman"/>
                <w:sz w:val="24"/>
                <w:szCs w:val="24"/>
                <w:lang w:eastAsia="zh-CN"/>
              </w:rPr>
              <w:t>"</w:t>
            </w:r>
            <w:r w:rsidR="00BE5EE0" w:rsidRPr="00C87D94">
              <w:rPr>
                <w:rFonts w:ascii="Times New Roman" w:eastAsia="Times New Roman" w:hAnsi="Times New Roman" w:cs="Times New Roman"/>
                <w:sz w:val="24"/>
                <w:szCs w:val="24"/>
                <w:lang w:eastAsia="zh-CN"/>
              </w:rPr>
              <w:t>Informatīvais ziņojums "Par augstas gatavības projektiem, kas saistīti ar Covid-19 krīzes pārvarēšanu un ekonomikas atlabšanu"</w:t>
            </w:r>
            <w:r w:rsidRPr="00C87D94">
              <w:rPr>
                <w:rFonts w:ascii="Times New Roman" w:eastAsia="Times New Roman" w:hAnsi="Times New Roman" w:cs="Times New Roman"/>
                <w:sz w:val="24"/>
                <w:szCs w:val="24"/>
                <w:lang w:eastAsia="zh-CN"/>
              </w:rPr>
              <w:t>"</w:t>
            </w:r>
            <w:r w:rsidR="00DC495F">
              <w:rPr>
                <w:rFonts w:ascii="Times New Roman" w:eastAsia="Times New Roman" w:hAnsi="Times New Roman" w:cs="Times New Roman"/>
                <w:sz w:val="24"/>
                <w:szCs w:val="24"/>
                <w:lang w:eastAsia="zh-CN"/>
              </w:rPr>
              <w:t xml:space="preserve"> 12.punkt</w:t>
            </w:r>
            <w:r w:rsidR="00C87555">
              <w:rPr>
                <w:rFonts w:ascii="Times New Roman" w:eastAsia="Times New Roman" w:hAnsi="Times New Roman" w:cs="Times New Roman"/>
                <w:sz w:val="24"/>
                <w:szCs w:val="24"/>
                <w:lang w:eastAsia="zh-CN"/>
              </w:rPr>
              <w:t xml:space="preserve">s) doto uzdevumu </w:t>
            </w:r>
            <w:r w:rsidR="00BE5EE0">
              <w:rPr>
                <w:rFonts w:ascii="Times New Roman" w:eastAsia="Times New Roman" w:hAnsi="Times New Roman" w:cs="Times New Roman"/>
                <w:sz w:val="24"/>
                <w:szCs w:val="24"/>
                <w:lang w:eastAsia="zh-CN"/>
              </w:rPr>
              <w:t>–</w:t>
            </w:r>
            <w:r w:rsidR="00BE5EE0" w:rsidRPr="00C87D94">
              <w:rPr>
                <w:rFonts w:ascii="Times New Roman" w:eastAsia="Times New Roman" w:hAnsi="Times New Roman" w:cs="Times New Roman"/>
                <w:sz w:val="24"/>
                <w:szCs w:val="24"/>
                <w:lang w:eastAsia="zh-CN"/>
              </w:rPr>
              <w:t xml:space="preserve"> ministrijām atbilstoši šajā sēdē atbalstītajam finansējumam 2021.gadam sagatavot un iesniegt apstiprināšanai Ministru kabinetā atsevišķus rīkojuma projektus par līdzekļu piešķiršanu no budžeta resora "74.Gadskārtējā valsts budžeta izstrādes procesā pārdalāmais finansējums" valsts budžeta programmas "Līdzekļi neparedzētiem gadījumiem” atbilstoši faktiski nepieciešamajam apmēram, ņemot vērā iepirkuma rezultātus, nepārsniedzot informatīvā ziņojuma</w:t>
            </w:r>
            <w:r>
              <w:rPr>
                <w:rFonts w:ascii="Times New Roman" w:eastAsia="Times New Roman" w:hAnsi="Times New Roman" w:cs="Times New Roman"/>
                <w:sz w:val="24"/>
                <w:szCs w:val="24"/>
                <w:lang w:eastAsia="zh-CN"/>
              </w:rPr>
              <w:t xml:space="preserve"> </w:t>
            </w:r>
            <w:r w:rsidRPr="00C87D94">
              <w:rPr>
                <w:rFonts w:ascii="Times New Roman" w:eastAsia="Times New Roman" w:hAnsi="Times New Roman" w:cs="Times New Roman"/>
                <w:sz w:val="24"/>
                <w:szCs w:val="24"/>
                <w:lang w:eastAsia="zh-CN"/>
              </w:rPr>
              <w:t>"Par augstas gatavības projektiem, kas saistīti ar Covid-19 krīzes pārvarēšanu un ekonomikas atlabšanu"</w:t>
            </w:r>
            <w:r>
              <w:rPr>
                <w:rFonts w:ascii="Times New Roman" w:eastAsia="Times New Roman" w:hAnsi="Times New Roman" w:cs="Times New Roman"/>
                <w:sz w:val="24"/>
                <w:szCs w:val="24"/>
                <w:lang w:eastAsia="zh-CN"/>
              </w:rPr>
              <w:t xml:space="preserve"> (turpmāk – informatīvais ziņojums)</w:t>
            </w:r>
            <w:r w:rsidR="00BE5EE0" w:rsidRPr="00C87D94">
              <w:rPr>
                <w:rFonts w:ascii="Times New Roman" w:eastAsia="Times New Roman" w:hAnsi="Times New Roman" w:cs="Times New Roman"/>
                <w:sz w:val="24"/>
                <w:szCs w:val="24"/>
                <w:lang w:eastAsia="zh-CN"/>
              </w:rPr>
              <w:t xml:space="preserve"> tabulā Nr.1 noteikto finansējumu 2021.gadam</w:t>
            </w:r>
            <w:r w:rsidR="00F2673E">
              <w:rPr>
                <w:rFonts w:ascii="Times New Roman" w:eastAsia="Times New Roman" w:hAnsi="Times New Roman" w:cs="Times New Roman"/>
                <w:sz w:val="24"/>
                <w:szCs w:val="24"/>
                <w:lang w:eastAsia="zh-CN"/>
              </w:rPr>
              <w:t>.</w:t>
            </w:r>
          </w:p>
        </w:tc>
      </w:tr>
      <w:tr w:rsidR="00A06629" w:rsidRPr="00E16F48" w:rsidTr="004B760E">
        <w:trPr>
          <w:trHeight w:val="693"/>
        </w:trPr>
        <w:tc>
          <w:tcPr>
            <w:tcW w:w="250" w:type="pct"/>
            <w:hideMark/>
          </w:tcPr>
          <w:p w:rsidR="00A06629" w:rsidRPr="00E16F48" w:rsidRDefault="00A06629" w:rsidP="007A2CF1">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w:t>
            </w:r>
          </w:p>
        </w:tc>
        <w:tc>
          <w:tcPr>
            <w:tcW w:w="1156" w:type="pct"/>
            <w:hideMark/>
          </w:tcPr>
          <w:p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06629" w:rsidRPr="00E16F48" w:rsidRDefault="00A06629" w:rsidP="007A2CF1">
            <w:pPr>
              <w:rPr>
                <w:rFonts w:ascii="Times New Roman" w:eastAsia="Times New Roman" w:hAnsi="Times New Roman" w:cs="Times New Roman"/>
                <w:sz w:val="24"/>
                <w:szCs w:val="24"/>
                <w:lang w:eastAsia="lv-LV"/>
              </w:rPr>
            </w:pPr>
          </w:p>
          <w:p w:rsidR="00A06629" w:rsidRPr="00E16F48" w:rsidRDefault="00A06629" w:rsidP="007A2CF1">
            <w:pPr>
              <w:rPr>
                <w:rFonts w:ascii="Times New Roman" w:eastAsia="Times New Roman" w:hAnsi="Times New Roman" w:cs="Times New Roman"/>
                <w:sz w:val="24"/>
                <w:szCs w:val="24"/>
                <w:lang w:eastAsia="lv-LV"/>
              </w:rPr>
            </w:pPr>
          </w:p>
          <w:p w:rsidR="00A06629" w:rsidRPr="00E16F48" w:rsidRDefault="00A06629" w:rsidP="007A2CF1">
            <w:pPr>
              <w:rPr>
                <w:rFonts w:ascii="Times New Roman" w:eastAsia="Times New Roman" w:hAnsi="Times New Roman" w:cs="Times New Roman"/>
                <w:sz w:val="24"/>
                <w:szCs w:val="24"/>
                <w:lang w:eastAsia="lv-LV"/>
              </w:rPr>
            </w:pPr>
          </w:p>
          <w:p w:rsidR="00A06629" w:rsidRPr="00E16F48" w:rsidRDefault="00A06629" w:rsidP="007A2CF1">
            <w:pPr>
              <w:rPr>
                <w:rFonts w:ascii="Times New Roman" w:eastAsia="Times New Roman" w:hAnsi="Times New Roman" w:cs="Times New Roman"/>
                <w:sz w:val="24"/>
                <w:szCs w:val="24"/>
                <w:lang w:eastAsia="lv-LV"/>
              </w:rPr>
            </w:pPr>
          </w:p>
          <w:p w:rsidR="00A06629" w:rsidRPr="00E16F48" w:rsidRDefault="00A06629" w:rsidP="007A2CF1">
            <w:pPr>
              <w:rPr>
                <w:rFonts w:ascii="Times New Roman" w:eastAsia="Times New Roman" w:hAnsi="Times New Roman" w:cs="Times New Roman"/>
                <w:sz w:val="24"/>
                <w:szCs w:val="24"/>
                <w:lang w:eastAsia="lv-LV"/>
              </w:rPr>
            </w:pPr>
          </w:p>
          <w:p w:rsidR="00A06629" w:rsidRPr="00E16F48" w:rsidRDefault="00A06629" w:rsidP="007A2CF1">
            <w:pPr>
              <w:rPr>
                <w:rFonts w:ascii="Times New Roman" w:eastAsia="Times New Roman" w:hAnsi="Times New Roman" w:cs="Times New Roman"/>
                <w:sz w:val="24"/>
                <w:szCs w:val="24"/>
                <w:lang w:eastAsia="lv-LV"/>
              </w:rPr>
            </w:pPr>
          </w:p>
          <w:p w:rsidR="00A06629" w:rsidRPr="00E16F48" w:rsidRDefault="00A06629" w:rsidP="007A2CF1">
            <w:pPr>
              <w:rPr>
                <w:rFonts w:ascii="Times New Roman" w:eastAsia="Times New Roman" w:hAnsi="Times New Roman" w:cs="Times New Roman"/>
                <w:sz w:val="24"/>
                <w:szCs w:val="24"/>
                <w:lang w:eastAsia="lv-LV"/>
              </w:rPr>
            </w:pPr>
          </w:p>
          <w:p w:rsidR="00A06629" w:rsidRPr="00E16F48" w:rsidRDefault="00A06629" w:rsidP="007A2CF1">
            <w:pPr>
              <w:rPr>
                <w:rFonts w:ascii="Times New Roman" w:eastAsia="Times New Roman" w:hAnsi="Times New Roman" w:cs="Times New Roman"/>
                <w:sz w:val="24"/>
                <w:szCs w:val="24"/>
                <w:lang w:eastAsia="lv-LV"/>
              </w:rPr>
            </w:pPr>
          </w:p>
          <w:p w:rsidR="00A06629" w:rsidRPr="00E16F48" w:rsidRDefault="00A06629" w:rsidP="007A2CF1">
            <w:pPr>
              <w:rPr>
                <w:rFonts w:ascii="Times New Roman" w:eastAsia="Times New Roman" w:hAnsi="Times New Roman" w:cs="Times New Roman"/>
                <w:sz w:val="24"/>
                <w:szCs w:val="24"/>
                <w:lang w:eastAsia="lv-LV"/>
              </w:rPr>
            </w:pPr>
          </w:p>
          <w:p w:rsidR="00A06629" w:rsidRPr="00E16F48" w:rsidRDefault="00A06629" w:rsidP="007A2CF1">
            <w:pPr>
              <w:rPr>
                <w:rFonts w:ascii="Times New Roman" w:eastAsia="Times New Roman" w:hAnsi="Times New Roman" w:cs="Times New Roman"/>
                <w:sz w:val="24"/>
                <w:szCs w:val="24"/>
                <w:lang w:eastAsia="lv-LV"/>
              </w:rPr>
            </w:pPr>
          </w:p>
          <w:p w:rsidR="00A06629" w:rsidRDefault="00A06629" w:rsidP="007A2CF1">
            <w:pPr>
              <w:jc w:val="center"/>
              <w:rPr>
                <w:rFonts w:ascii="Times New Roman" w:eastAsia="Times New Roman" w:hAnsi="Times New Roman" w:cs="Times New Roman"/>
                <w:sz w:val="24"/>
                <w:szCs w:val="24"/>
                <w:lang w:eastAsia="lv-LV"/>
              </w:rPr>
            </w:pPr>
          </w:p>
          <w:p w:rsidR="00A06629" w:rsidRPr="0007674C" w:rsidRDefault="00A06629" w:rsidP="007A2CF1">
            <w:pPr>
              <w:rPr>
                <w:rFonts w:ascii="Times New Roman" w:eastAsia="Times New Roman" w:hAnsi="Times New Roman" w:cs="Times New Roman"/>
                <w:sz w:val="24"/>
                <w:szCs w:val="24"/>
                <w:lang w:eastAsia="lv-LV"/>
              </w:rPr>
            </w:pPr>
          </w:p>
          <w:p w:rsidR="00A06629" w:rsidRPr="0007674C" w:rsidRDefault="00A06629" w:rsidP="007A2CF1">
            <w:pPr>
              <w:rPr>
                <w:rFonts w:ascii="Times New Roman" w:eastAsia="Times New Roman" w:hAnsi="Times New Roman" w:cs="Times New Roman"/>
                <w:sz w:val="24"/>
                <w:szCs w:val="24"/>
                <w:lang w:eastAsia="lv-LV"/>
              </w:rPr>
            </w:pPr>
          </w:p>
          <w:p w:rsidR="00A06629" w:rsidRDefault="00A06629" w:rsidP="007A2CF1">
            <w:pPr>
              <w:rPr>
                <w:rFonts w:ascii="Times New Roman" w:eastAsia="Times New Roman" w:hAnsi="Times New Roman" w:cs="Times New Roman"/>
                <w:sz w:val="24"/>
                <w:szCs w:val="24"/>
                <w:lang w:eastAsia="lv-LV"/>
              </w:rPr>
            </w:pPr>
          </w:p>
          <w:p w:rsidR="00A06629" w:rsidRPr="0007674C" w:rsidRDefault="00A06629" w:rsidP="007A2CF1">
            <w:pPr>
              <w:rPr>
                <w:rFonts w:ascii="Times New Roman" w:eastAsia="Times New Roman" w:hAnsi="Times New Roman" w:cs="Times New Roman"/>
                <w:sz w:val="24"/>
                <w:szCs w:val="24"/>
                <w:lang w:eastAsia="lv-LV"/>
              </w:rPr>
            </w:pPr>
          </w:p>
          <w:p w:rsidR="00A06629" w:rsidRDefault="00A06629" w:rsidP="007A2CF1">
            <w:pPr>
              <w:rPr>
                <w:rFonts w:ascii="Times New Roman" w:eastAsia="Times New Roman" w:hAnsi="Times New Roman" w:cs="Times New Roman"/>
                <w:sz w:val="24"/>
                <w:szCs w:val="24"/>
                <w:lang w:eastAsia="lv-LV"/>
              </w:rPr>
            </w:pPr>
          </w:p>
          <w:p w:rsidR="00A06629" w:rsidRPr="0007674C" w:rsidRDefault="00A06629" w:rsidP="007A2CF1">
            <w:pPr>
              <w:ind w:firstLine="720"/>
              <w:rPr>
                <w:rFonts w:ascii="Times New Roman" w:eastAsia="Times New Roman" w:hAnsi="Times New Roman" w:cs="Times New Roman"/>
                <w:sz w:val="24"/>
                <w:szCs w:val="24"/>
                <w:lang w:eastAsia="lv-LV"/>
              </w:rPr>
            </w:pPr>
          </w:p>
        </w:tc>
        <w:tc>
          <w:tcPr>
            <w:tcW w:w="3595" w:type="pct"/>
            <w:hideMark/>
          </w:tcPr>
          <w:p w:rsidR="009D2D58" w:rsidRDefault="007671C5" w:rsidP="00293818">
            <w:pPr>
              <w:ind w:firstLine="331"/>
              <w:jc w:val="both"/>
              <w:rPr>
                <w:rFonts w:ascii="Times New Roman" w:hAnsi="Times New Roman" w:cs="Times New Roman"/>
                <w:sz w:val="24"/>
                <w:szCs w:val="24"/>
              </w:rPr>
            </w:pPr>
            <w:r w:rsidRPr="007671C5">
              <w:rPr>
                <w:rFonts w:ascii="Times New Roman" w:hAnsi="Times New Roman" w:cs="Times New Roman"/>
                <w:sz w:val="24"/>
                <w:szCs w:val="24"/>
              </w:rPr>
              <w:lastRenderedPageBreak/>
              <w:t xml:space="preserve">Atbilstoši </w:t>
            </w:r>
            <w:r w:rsidR="00BE5EE0">
              <w:rPr>
                <w:rFonts w:ascii="Times New Roman" w:hAnsi="Times New Roman" w:cs="Times New Roman"/>
                <w:sz w:val="24"/>
                <w:szCs w:val="24"/>
              </w:rPr>
              <w:t xml:space="preserve">Ministru kabineta 2021.gada </w:t>
            </w:r>
            <w:r w:rsidRPr="007671C5">
              <w:rPr>
                <w:rFonts w:ascii="Times New Roman" w:hAnsi="Times New Roman" w:cs="Times New Roman"/>
                <w:sz w:val="24"/>
                <w:szCs w:val="24"/>
              </w:rPr>
              <w:t>23.februāra sēd</w:t>
            </w:r>
            <w:r w:rsidR="00BE5EE0">
              <w:rPr>
                <w:rFonts w:ascii="Times New Roman" w:hAnsi="Times New Roman" w:cs="Times New Roman"/>
                <w:sz w:val="24"/>
                <w:szCs w:val="24"/>
              </w:rPr>
              <w:t>ē</w:t>
            </w:r>
            <w:r w:rsidRPr="007671C5">
              <w:rPr>
                <w:rFonts w:ascii="Times New Roman" w:hAnsi="Times New Roman" w:cs="Times New Roman"/>
                <w:sz w:val="24"/>
                <w:szCs w:val="24"/>
              </w:rPr>
              <w:t xml:space="preserve"> </w:t>
            </w:r>
            <w:r w:rsidR="00BE5EE0">
              <w:rPr>
                <w:rFonts w:ascii="Times New Roman" w:hAnsi="Times New Roman" w:cs="Times New Roman"/>
                <w:sz w:val="24"/>
                <w:szCs w:val="24"/>
              </w:rPr>
              <w:t>(</w:t>
            </w:r>
            <w:r w:rsidRPr="007671C5">
              <w:rPr>
                <w:rFonts w:ascii="Times New Roman" w:hAnsi="Times New Roman" w:cs="Times New Roman"/>
                <w:sz w:val="24"/>
                <w:szCs w:val="24"/>
              </w:rPr>
              <w:t>prot</w:t>
            </w:r>
            <w:r w:rsidR="00BE5EE0">
              <w:rPr>
                <w:rFonts w:ascii="Times New Roman" w:hAnsi="Times New Roman" w:cs="Times New Roman"/>
                <w:sz w:val="24"/>
                <w:szCs w:val="24"/>
              </w:rPr>
              <w:t>.</w:t>
            </w:r>
            <w:r w:rsidRPr="007671C5">
              <w:rPr>
                <w:rFonts w:ascii="Times New Roman" w:hAnsi="Times New Roman" w:cs="Times New Roman"/>
                <w:sz w:val="24"/>
                <w:szCs w:val="24"/>
              </w:rPr>
              <w:t xml:space="preserve"> Nr.19 9.§</w:t>
            </w:r>
            <w:r w:rsidR="00BE5EE0" w:rsidRPr="00C87D94">
              <w:rPr>
                <w:rFonts w:ascii="Times New Roman" w:hAnsi="Times New Roman" w:cs="Times New Roman"/>
                <w:sz w:val="24"/>
                <w:szCs w:val="24"/>
              </w:rPr>
              <w:t xml:space="preserve"> </w:t>
            </w:r>
            <w:r w:rsidR="00A13939" w:rsidRPr="00C87D94">
              <w:rPr>
                <w:rFonts w:ascii="Times New Roman" w:eastAsia="Times New Roman" w:hAnsi="Times New Roman" w:cs="Times New Roman"/>
                <w:sz w:val="24"/>
                <w:szCs w:val="24"/>
                <w:lang w:eastAsia="zh-CN"/>
              </w:rPr>
              <w:t>"</w:t>
            </w:r>
            <w:r w:rsidR="00BE5EE0" w:rsidRPr="00C87D94">
              <w:rPr>
                <w:rFonts w:ascii="Times New Roman" w:hAnsi="Times New Roman" w:cs="Times New Roman"/>
                <w:sz w:val="24"/>
                <w:szCs w:val="24"/>
              </w:rPr>
              <w:t>Informatīvais ziņojums "Par pieejamiem finanšu resursiem valsts budžeta programmā "Līdzekļi neparedzētiem gadījumiem" Covid-19 ierobežošanas vienreizēju pasākumu finansēšanai 2021.gadā un to izlietojumu, valsts parāda un plānotā deficīta līmeni"</w:t>
            </w:r>
            <w:r w:rsidRPr="007671C5">
              <w:rPr>
                <w:rFonts w:ascii="Times New Roman" w:hAnsi="Times New Roman" w:cs="Times New Roman"/>
                <w:sz w:val="24"/>
                <w:szCs w:val="24"/>
              </w:rPr>
              <w:t xml:space="preserve"> 5.punkt</w:t>
            </w:r>
            <w:r w:rsidR="00BE5EE0">
              <w:rPr>
                <w:rFonts w:ascii="Times New Roman" w:hAnsi="Times New Roman" w:cs="Times New Roman"/>
                <w:sz w:val="24"/>
                <w:szCs w:val="24"/>
              </w:rPr>
              <w:t xml:space="preserve">s) dotajam uzdevumam </w:t>
            </w:r>
            <w:r w:rsidR="00692843">
              <w:rPr>
                <w:rFonts w:ascii="Times New Roman" w:hAnsi="Times New Roman" w:cs="Times New Roman"/>
                <w:sz w:val="24"/>
                <w:szCs w:val="24"/>
              </w:rPr>
              <w:t xml:space="preserve">Iekšlietu ministrija izvērtēja pasākumus, kas  saistīti ar </w:t>
            </w:r>
            <w:r w:rsidR="00692843" w:rsidRPr="00AB06F0">
              <w:rPr>
                <w:rFonts w:ascii="Times New Roman" w:hAnsi="Times New Roman"/>
                <w:sz w:val="24"/>
                <w:szCs w:val="24"/>
              </w:rPr>
              <w:t>COVID krīzes pārvarēšan</w:t>
            </w:r>
            <w:r w:rsidR="00692843">
              <w:rPr>
                <w:rFonts w:ascii="Times New Roman" w:hAnsi="Times New Roman"/>
                <w:sz w:val="24"/>
                <w:szCs w:val="24"/>
              </w:rPr>
              <w:t xml:space="preserve">u un ekonomikas atlabšanu, un </w:t>
            </w:r>
            <w:r w:rsidR="00293818" w:rsidRPr="00293818">
              <w:rPr>
                <w:rFonts w:ascii="Times New Roman" w:hAnsi="Times New Roman" w:cs="Times New Roman"/>
                <w:sz w:val="24"/>
                <w:szCs w:val="24"/>
              </w:rPr>
              <w:t>Ministru kabinets 2021. gada 18. marta sēdē (prot</w:t>
            </w:r>
            <w:r w:rsidR="00BE5EE0">
              <w:rPr>
                <w:rFonts w:ascii="Times New Roman" w:hAnsi="Times New Roman" w:cs="Times New Roman"/>
                <w:sz w:val="24"/>
                <w:szCs w:val="24"/>
              </w:rPr>
              <w:t>.</w:t>
            </w:r>
            <w:r w:rsidR="00293818" w:rsidRPr="00293818">
              <w:rPr>
                <w:rFonts w:ascii="Times New Roman" w:hAnsi="Times New Roman" w:cs="Times New Roman"/>
                <w:sz w:val="24"/>
                <w:szCs w:val="24"/>
              </w:rPr>
              <w:t xml:space="preserve"> Nr.28, 42.§, TA-589) pieņēm</w:t>
            </w:r>
            <w:r w:rsidR="00BE5EE0">
              <w:rPr>
                <w:rFonts w:ascii="Times New Roman" w:hAnsi="Times New Roman" w:cs="Times New Roman"/>
                <w:sz w:val="24"/>
                <w:szCs w:val="24"/>
              </w:rPr>
              <w:t>a</w:t>
            </w:r>
            <w:r w:rsidR="00293818" w:rsidRPr="00293818">
              <w:rPr>
                <w:rFonts w:ascii="Times New Roman" w:hAnsi="Times New Roman" w:cs="Times New Roman"/>
                <w:sz w:val="24"/>
                <w:szCs w:val="24"/>
              </w:rPr>
              <w:t xml:space="preserve"> konceptuālu lēmumu atbalstīt papildu finansējumu ar Covid-19 krīzes pārvarēšanu un ekonomikas atlabšanu saistītu augstas gatavības projektu īstenošanai 2021. un 2022.gadā</w:t>
            </w:r>
            <w:r w:rsidR="00A13939">
              <w:rPr>
                <w:rFonts w:ascii="Times New Roman" w:hAnsi="Times New Roman" w:cs="Times New Roman"/>
                <w:sz w:val="24"/>
                <w:szCs w:val="24"/>
              </w:rPr>
              <w:t>, tai skaitā</w:t>
            </w:r>
            <w:r w:rsidR="00293818" w:rsidRPr="00293818">
              <w:rPr>
                <w:rFonts w:ascii="Times New Roman" w:hAnsi="Times New Roman" w:cs="Times New Roman"/>
                <w:sz w:val="24"/>
                <w:szCs w:val="24"/>
              </w:rPr>
              <w:t xml:space="preserve"> Iekšlietu ministrija</w:t>
            </w:r>
            <w:r w:rsidR="00BE5EE0">
              <w:rPr>
                <w:rFonts w:ascii="Times New Roman" w:hAnsi="Times New Roman" w:cs="Times New Roman"/>
                <w:sz w:val="24"/>
                <w:szCs w:val="24"/>
              </w:rPr>
              <w:t>i</w:t>
            </w:r>
            <w:r w:rsidR="00293818" w:rsidRPr="00293818">
              <w:rPr>
                <w:rFonts w:ascii="Times New Roman" w:hAnsi="Times New Roman" w:cs="Times New Roman"/>
                <w:sz w:val="24"/>
                <w:szCs w:val="24"/>
              </w:rPr>
              <w:t xml:space="preserve"> 27</w:t>
            </w:r>
            <w:r w:rsidR="00B8113A">
              <w:rPr>
                <w:rFonts w:ascii="Times New Roman" w:hAnsi="Times New Roman" w:cs="Times New Roman"/>
                <w:sz w:val="24"/>
                <w:szCs w:val="24"/>
              </w:rPr>
              <w:t> </w:t>
            </w:r>
            <w:r w:rsidR="00293818" w:rsidRPr="00293818">
              <w:rPr>
                <w:rFonts w:ascii="Times New Roman" w:hAnsi="Times New Roman" w:cs="Times New Roman"/>
                <w:sz w:val="24"/>
                <w:szCs w:val="24"/>
              </w:rPr>
              <w:t>300</w:t>
            </w:r>
            <w:r w:rsidR="00B8113A">
              <w:rPr>
                <w:rFonts w:ascii="Times New Roman" w:hAnsi="Times New Roman" w:cs="Times New Roman"/>
                <w:sz w:val="24"/>
                <w:szCs w:val="24"/>
              </w:rPr>
              <w:t> </w:t>
            </w:r>
            <w:r w:rsidR="00293818" w:rsidRPr="00293818">
              <w:rPr>
                <w:rFonts w:ascii="Times New Roman" w:hAnsi="Times New Roman" w:cs="Times New Roman"/>
                <w:sz w:val="24"/>
                <w:szCs w:val="24"/>
              </w:rPr>
              <w:t xml:space="preserve">000 </w:t>
            </w:r>
            <w:r w:rsidR="00293818" w:rsidRPr="00883CFB">
              <w:rPr>
                <w:rFonts w:ascii="Times New Roman" w:hAnsi="Times New Roman" w:cs="Times New Roman"/>
                <w:i/>
                <w:sz w:val="24"/>
                <w:szCs w:val="24"/>
              </w:rPr>
              <w:t>euro</w:t>
            </w:r>
            <w:r w:rsidR="00293818" w:rsidRPr="00293818">
              <w:rPr>
                <w:rFonts w:ascii="Times New Roman" w:hAnsi="Times New Roman" w:cs="Times New Roman"/>
                <w:sz w:val="24"/>
                <w:szCs w:val="24"/>
              </w:rPr>
              <w:t xml:space="preserve"> pasākumam </w:t>
            </w:r>
            <w:r w:rsidR="00A13939" w:rsidRPr="00C87D94">
              <w:rPr>
                <w:rFonts w:ascii="Times New Roman" w:eastAsia="Times New Roman" w:hAnsi="Times New Roman" w:cs="Times New Roman"/>
                <w:sz w:val="24"/>
                <w:szCs w:val="24"/>
                <w:lang w:eastAsia="zh-CN"/>
              </w:rPr>
              <w:t>"</w:t>
            </w:r>
            <w:r w:rsidR="00293818" w:rsidRPr="00293818">
              <w:rPr>
                <w:rFonts w:ascii="Times New Roman" w:hAnsi="Times New Roman" w:cs="Times New Roman"/>
                <w:sz w:val="24"/>
                <w:szCs w:val="24"/>
              </w:rPr>
              <w:t>Infrastruktūras attīstības projektu īstenošana iekšlietu nozarē</w:t>
            </w:r>
            <w:r w:rsidR="00A13939" w:rsidRPr="00C87D94">
              <w:rPr>
                <w:rFonts w:ascii="Times New Roman" w:eastAsia="Times New Roman" w:hAnsi="Times New Roman" w:cs="Times New Roman"/>
                <w:sz w:val="24"/>
                <w:szCs w:val="24"/>
                <w:lang w:eastAsia="zh-CN"/>
              </w:rPr>
              <w:t>"</w:t>
            </w:r>
            <w:r w:rsidR="00D50BC5">
              <w:rPr>
                <w:rFonts w:ascii="Times New Roman" w:hAnsi="Times New Roman" w:cs="Times New Roman"/>
                <w:sz w:val="24"/>
                <w:szCs w:val="24"/>
              </w:rPr>
              <w:t xml:space="preserve"> (turpmāk – pasākums)</w:t>
            </w:r>
            <w:r w:rsidR="00293818" w:rsidRPr="00293818">
              <w:rPr>
                <w:rFonts w:ascii="Times New Roman" w:hAnsi="Times New Roman" w:cs="Times New Roman"/>
                <w:sz w:val="24"/>
                <w:szCs w:val="24"/>
              </w:rPr>
              <w:t>, ta</w:t>
            </w:r>
            <w:r w:rsidR="00A13939">
              <w:rPr>
                <w:rFonts w:ascii="Times New Roman" w:hAnsi="Times New Roman" w:cs="Times New Roman"/>
                <w:sz w:val="24"/>
                <w:szCs w:val="24"/>
              </w:rPr>
              <w:t>i</w:t>
            </w:r>
            <w:r w:rsidR="00293818" w:rsidRPr="00293818">
              <w:rPr>
                <w:rFonts w:ascii="Times New Roman" w:hAnsi="Times New Roman" w:cs="Times New Roman"/>
                <w:sz w:val="24"/>
                <w:szCs w:val="24"/>
              </w:rPr>
              <w:t xml:space="preserve"> skaitā Valsts ugunsdzēsības un glābšanas dienesta (turpmāk – VUGD) depo ēku būvniecībai.</w:t>
            </w:r>
            <w:r w:rsidR="00883CFB">
              <w:rPr>
                <w:rFonts w:ascii="Times New Roman" w:hAnsi="Times New Roman" w:cs="Times New Roman"/>
                <w:sz w:val="24"/>
                <w:szCs w:val="24"/>
              </w:rPr>
              <w:t xml:space="preserve"> </w:t>
            </w:r>
          </w:p>
          <w:p w:rsidR="00293818" w:rsidRDefault="00293818" w:rsidP="00293818">
            <w:pPr>
              <w:ind w:firstLine="331"/>
              <w:jc w:val="both"/>
              <w:rPr>
                <w:rFonts w:ascii="Times New Roman" w:hAnsi="Times New Roman" w:cs="Times New Roman"/>
                <w:sz w:val="24"/>
                <w:szCs w:val="24"/>
              </w:rPr>
            </w:pPr>
            <w:r>
              <w:rPr>
                <w:rFonts w:ascii="Times New Roman" w:hAnsi="Times New Roman" w:cs="Times New Roman"/>
                <w:sz w:val="24"/>
                <w:szCs w:val="24"/>
              </w:rPr>
              <w:t xml:space="preserve">Šobrīd </w:t>
            </w:r>
            <w:r w:rsidR="009D2D58">
              <w:rPr>
                <w:rFonts w:ascii="Times New Roman" w:hAnsi="Times New Roman" w:cs="Times New Roman"/>
                <w:sz w:val="24"/>
                <w:szCs w:val="24"/>
              </w:rPr>
              <w:t>lielākā daļa d</w:t>
            </w:r>
            <w:r w:rsidR="00883CFB" w:rsidRPr="00883CFB">
              <w:rPr>
                <w:rFonts w:ascii="Times New Roman" w:hAnsi="Times New Roman" w:cs="Times New Roman"/>
                <w:sz w:val="24"/>
                <w:szCs w:val="24"/>
              </w:rPr>
              <w:t>epo ēk</w:t>
            </w:r>
            <w:r w:rsidR="009D2D58">
              <w:rPr>
                <w:rFonts w:ascii="Times New Roman" w:hAnsi="Times New Roman" w:cs="Times New Roman"/>
                <w:sz w:val="24"/>
                <w:szCs w:val="24"/>
              </w:rPr>
              <w:t>u</w:t>
            </w:r>
            <w:r w:rsidR="00883CFB" w:rsidRPr="00883CFB">
              <w:rPr>
                <w:rFonts w:ascii="Times New Roman" w:hAnsi="Times New Roman" w:cs="Times New Roman"/>
                <w:sz w:val="24"/>
                <w:szCs w:val="24"/>
              </w:rPr>
              <w:t xml:space="preserve"> ir fiziski un morāli novecoju</w:t>
            </w:r>
            <w:r w:rsidR="009D2D58">
              <w:rPr>
                <w:rFonts w:ascii="Times New Roman" w:hAnsi="Times New Roman" w:cs="Times New Roman"/>
                <w:sz w:val="24"/>
                <w:szCs w:val="24"/>
              </w:rPr>
              <w:t>šas</w:t>
            </w:r>
            <w:r w:rsidR="00883CFB" w:rsidRPr="00883CFB">
              <w:rPr>
                <w:rFonts w:ascii="Times New Roman" w:hAnsi="Times New Roman" w:cs="Times New Roman"/>
                <w:sz w:val="24"/>
                <w:szCs w:val="24"/>
              </w:rPr>
              <w:t xml:space="preserve"> un sliktā tehniskā stāvoklī, kas būtiski apgrūtina VUGD funkciju izpildi. Ēk</w:t>
            </w:r>
            <w:r w:rsidR="009D2D58">
              <w:rPr>
                <w:rFonts w:ascii="Times New Roman" w:hAnsi="Times New Roman" w:cs="Times New Roman"/>
                <w:sz w:val="24"/>
                <w:szCs w:val="24"/>
              </w:rPr>
              <w:t>u</w:t>
            </w:r>
            <w:r w:rsidR="00883CFB" w:rsidRPr="00883CFB">
              <w:rPr>
                <w:rFonts w:ascii="Times New Roman" w:hAnsi="Times New Roman" w:cs="Times New Roman"/>
                <w:sz w:val="24"/>
                <w:szCs w:val="24"/>
              </w:rPr>
              <w:t xml:space="preserve"> pārbūve </w:t>
            </w:r>
            <w:r w:rsidR="00883CFB">
              <w:rPr>
                <w:rFonts w:ascii="Times New Roman" w:hAnsi="Times New Roman" w:cs="Times New Roman"/>
                <w:sz w:val="24"/>
                <w:szCs w:val="24"/>
              </w:rPr>
              <w:t xml:space="preserve">bieži vien </w:t>
            </w:r>
            <w:r w:rsidR="00883CFB" w:rsidRPr="00883CFB">
              <w:rPr>
                <w:rFonts w:ascii="Times New Roman" w:hAnsi="Times New Roman" w:cs="Times New Roman"/>
                <w:sz w:val="24"/>
                <w:szCs w:val="24"/>
              </w:rPr>
              <w:t>nav iespējama, jo esoš</w:t>
            </w:r>
            <w:r w:rsidR="00883CFB">
              <w:rPr>
                <w:rFonts w:ascii="Times New Roman" w:hAnsi="Times New Roman" w:cs="Times New Roman"/>
                <w:sz w:val="24"/>
                <w:szCs w:val="24"/>
              </w:rPr>
              <w:t>ie</w:t>
            </w:r>
            <w:r w:rsidR="00883CFB" w:rsidRPr="00883CFB">
              <w:rPr>
                <w:rFonts w:ascii="Times New Roman" w:hAnsi="Times New Roman" w:cs="Times New Roman"/>
                <w:sz w:val="24"/>
                <w:szCs w:val="24"/>
              </w:rPr>
              <w:t xml:space="preserve"> zemes gabal</w:t>
            </w:r>
            <w:r w:rsidR="00883CFB">
              <w:rPr>
                <w:rFonts w:ascii="Times New Roman" w:hAnsi="Times New Roman" w:cs="Times New Roman"/>
                <w:sz w:val="24"/>
                <w:szCs w:val="24"/>
              </w:rPr>
              <w:t>i</w:t>
            </w:r>
            <w:r w:rsidR="00883CFB" w:rsidRPr="00883CFB">
              <w:rPr>
                <w:rFonts w:ascii="Times New Roman" w:hAnsi="Times New Roman" w:cs="Times New Roman"/>
                <w:sz w:val="24"/>
                <w:szCs w:val="24"/>
              </w:rPr>
              <w:t xml:space="preserve"> ir par mazu. </w:t>
            </w:r>
            <w:r w:rsidR="00883CFB">
              <w:rPr>
                <w:rFonts w:ascii="Times New Roman" w:hAnsi="Times New Roman" w:cs="Times New Roman"/>
                <w:sz w:val="24"/>
                <w:szCs w:val="24"/>
              </w:rPr>
              <w:t xml:space="preserve">Tāpēc </w:t>
            </w:r>
            <w:r w:rsidR="00D50BC5">
              <w:rPr>
                <w:rFonts w:ascii="Times New Roman" w:hAnsi="Times New Roman" w:cs="Times New Roman"/>
                <w:sz w:val="24"/>
                <w:szCs w:val="24"/>
              </w:rPr>
              <w:t xml:space="preserve">pasākuma ietvaros paredzēts </w:t>
            </w:r>
            <w:r w:rsidR="00883CFB" w:rsidRPr="00883CFB">
              <w:rPr>
                <w:rFonts w:ascii="Times New Roman" w:hAnsi="Times New Roman" w:cs="Times New Roman"/>
                <w:sz w:val="24"/>
                <w:szCs w:val="24"/>
              </w:rPr>
              <w:t xml:space="preserve">uzbūvēt </w:t>
            </w:r>
            <w:r w:rsidR="00883CFB">
              <w:rPr>
                <w:rFonts w:ascii="Times New Roman" w:hAnsi="Times New Roman" w:cs="Times New Roman"/>
                <w:sz w:val="24"/>
                <w:szCs w:val="24"/>
              </w:rPr>
              <w:t xml:space="preserve">8 </w:t>
            </w:r>
            <w:r w:rsidR="00883CFB" w:rsidRPr="00883CFB">
              <w:rPr>
                <w:rFonts w:ascii="Times New Roman" w:hAnsi="Times New Roman" w:cs="Times New Roman"/>
                <w:sz w:val="24"/>
                <w:szCs w:val="24"/>
              </w:rPr>
              <w:lastRenderedPageBreak/>
              <w:t>jaunas depo ēkas</w:t>
            </w:r>
            <w:r w:rsidR="00883CFB">
              <w:rPr>
                <w:rFonts w:ascii="Times New Roman" w:hAnsi="Times New Roman" w:cs="Times New Roman"/>
                <w:sz w:val="24"/>
                <w:szCs w:val="24"/>
              </w:rPr>
              <w:t>,</w:t>
            </w:r>
            <w:r w:rsidR="00883CFB" w:rsidRPr="00883CFB">
              <w:rPr>
                <w:rFonts w:ascii="Times New Roman" w:hAnsi="Times New Roman" w:cs="Times New Roman"/>
                <w:sz w:val="24"/>
                <w:szCs w:val="24"/>
              </w:rPr>
              <w:t xml:space="preserve"> aprīko</w:t>
            </w:r>
            <w:r w:rsidR="00883CFB">
              <w:rPr>
                <w:rFonts w:ascii="Times New Roman" w:hAnsi="Times New Roman" w:cs="Times New Roman"/>
                <w:sz w:val="24"/>
                <w:szCs w:val="24"/>
              </w:rPr>
              <w:t>jo</w:t>
            </w:r>
            <w:r w:rsidR="00883CFB" w:rsidRPr="00883CFB">
              <w:rPr>
                <w:rFonts w:ascii="Times New Roman" w:hAnsi="Times New Roman" w:cs="Times New Roman"/>
                <w:sz w:val="24"/>
                <w:szCs w:val="24"/>
              </w:rPr>
              <w:t>t tās atbilstoši kvalitatīvai funkciju izpildei, vienlaikus nodrošinot drošus un mūsdienīgus darba apstākļus</w:t>
            </w:r>
            <w:r w:rsidR="00883CFB">
              <w:rPr>
                <w:rFonts w:ascii="Times New Roman" w:hAnsi="Times New Roman" w:cs="Times New Roman"/>
                <w:sz w:val="24"/>
                <w:szCs w:val="24"/>
              </w:rPr>
              <w:t xml:space="preserve">. </w:t>
            </w:r>
            <w:r w:rsidR="00883CFB" w:rsidRPr="00883CFB">
              <w:rPr>
                <w:rFonts w:ascii="Times New Roman" w:hAnsi="Times New Roman" w:cs="Times New Roman"/>
                <w:sz w:val="24"/>
                <w:szCs w:val="24"/>
              </w:rPr>
              <w:t xml:space="preserve"> </w:t>
            </w:r>
            <w:r w:rsidR="00883CFB">
              <w:rPr>
                <w:rFonts w:ascii="Times New Roman" w:hAnsi="Times New Roman" w:cs="Times New Roman"/>
                <w:sz w:val="24"/>
                <w:szCs w:val="24"/>
              </w:rPr>
              <w:t xml:space="preserve">Atsevišķās vietās plānots būvēt </w:t>
            </w:r>
            <w:r w:rsidR="00D50BC5">
              <w:rPr>
                <w:rFonts w:ascii="Times New Roman" w:hAnsi="Times New Roman" w:cs="Times New Roman"/>
                <w:sz w:val="24"/>
                <w:szCs w:val="24"/>
              </w:rPr>
              <w:t>d</w:t>
            </w:r>
            <w:r w:rsidR="00883CFB">
              <w:rPr>
                <w:rFonts w:ascii="Times New Roman" w:hAnsi="Times New Roman" w:cs="Times New Roman"/>
                <w:sz w:val="24"/>
                <w:szCs w:val="24"/>
              </w:rPr>
              <w:t xml:space="preserve">epo ēkas </w:t>
            </w:r>
            <w:r w:rsidR="00883CFB" w:rsidRPr="00883CFB">
              <w:rPr>
                <w:rFonts w:ascii="Times New Roman" w:hAnsi="Times New Roman" w:cs="Times New Roman"/>
                <w:sz w:val="24"/>
                <w:szCs w:val="24"/>
              </w:rPr>
              <w:t>ar papildu telpām Valsts policijai</w:t>
            </w:r>
            <w:r w:rsidR="009E6A8A">
              <w:rPr>
                <w:rFonts w:ascii="Times New Roman" w:hAnsi="Times New Roman" w:cs="Times New Roman"/>
                <w:sz w:val="24"/>
                <w:szCs w:val="24"/>
              </w:rPr>
              <w:t xml:space="preserve"> (turpmāk – VP)</w:t>
            </w:r>
            <w:r w:rsidR="00883CFB" w:rsidRPr="00883CFB">
              <w:rPr>
                <w:rFonts w:ascii="Times New Roman" w:hAnsi="Times New Roman" w:cs="Times New Roman"/>
                <w:sz w:val="24"/>
                <w:szCs w:val="24"/>
              </w:rPr>
              <w:t>, kā arī Neatliekamās medicīniskās palīdzības dienestam</w:t>
            </w:r>
            <w:r w:rsidR="009E6A8A">
              <w:rPr>
                <w:rFonts w:ascii="Times New Roman" w:hAnsi="Times New Roman" w:cs="Times New Roman"/>
                <w:sz w:val="24"/>
                <w:szCs w:val="24"/>
              </w:rPr>
              <w:t xml:space="preserve"> (turpmāk – </w:t>
            </w:r>
            <w:r w:rsidR="009E6A8A" w:rsidRPr="009E6A8A">
              <w:rPr>
                <w:rFonts w:ascii="Times New Roman" w:hAnsi="Times New Roman" w:cs="Times New Roman"/>
                <w:sz w:val="24"/>
                <w:szCs w:val="24"/>
              </w:rPr>
              <w:t>NMPD</w:t>
            </w:r>
            <w:r w:rsidR="009E6A8A">
              <w:rPr>
                <w:rFonts w:ascii="Times New Roman" w:hAnsi="Times New Roman" w:cs="Times New Roman"/>
                <w:sz w:val="24"/>
                <w:szCs w:val="24"/>
              </w:rPr>
              <w:t>)</w:t>
            </w:r>
            <w:r w:rsidR="00883CFB" w:rsidRPr="00883CFB">
              <w:rPr>
                <w:rFonts w:ascii="Times New Roman" w:hAnsi="Times New Roman" w:cs="Times New Roman"/>
                <w:sz w:val="24"/>
                <w:szCs w:val="24"/>
              </w:rPr>
              <w:t>, kas atbilstu visām mūsdienu prasībām.</w:t>
            </w:r>
            <w:r w:rsidR="009E6A8A">
              <w:rPr>
                <w:rFonts w:ascii="Times New Roman" w:hAnsi="Times New Roman" w:cs="Times New Roman"/>
                <w:sz w:val="24"/>
                <w:szCs w:val="24"/>
              </w:rPr>
              <w:t xml:space="preserve"> </w:t>
            </w:r>
          </w:p>
          <w:p w:rsidR="009C0692" w:rsidRDefault="009C0692" w:rsidP="00293818">
            <w:pPr>
              <w:ind w:firstLine="331"/>
              <w:jc w:val="both"/>
              <w:rPr>
                <w:rFonts w:ascii="Times New Roman" w:hAnsi="Times New Roman" w:cs="Times New Roman"/>
                <w:sz w:val="24"/>
                <w:szCs w:val="24"/>
              </w:rPr>
            </w:pPr>
            <w:r w:rsidRPr="00C87D94">
              <w:rPr>
                <w:rFonts w:ascii="Times New Roman" w:hAnsi="Times New Roman" w:cs="Times New Roman"/>
                <w:sz w:val="24"/>
                <w:szCs w:val="24"/>
              </w:rPr>
              <w:t>Pasākuma īstenošana ļaus samazināt Iekšlietu ministrijas valdījumā un nomā esošo nekustamo īpašumu skaitu. Rezultātā tiks radīta kvalitatīva, videi un veselībai draudzīga infrastruktūra, kas veicinās gan ekoloģisko, gan ekonomisko, gan sociālo ilgtspējību, kas ir ilgtspējīgas būvniecības pamatā, tādējādi nodrošinot racionālu budžeta līdzekļu izlietošanu. Tiks samazināti ne tikai ēku ekspluatācijas izdevumi, bet arī paaugstināta to “pievienotā vērtība”, tiks veicināts atbalsts vietējiem ražotājiem un ekonomikai, kas palīdzēs mazināt Covid-19 radītās sekas. Tāpat tas varētu mazināt arī cilvēku aizplūšanu no Latvijas, kā arī tiktu uzlaboti ēkas dzīves cikla ekonomiskie rādītāji (ekonomiskums visā lietošanas laikā). Pasākuma ietvaros būtiski tiks uzlabota arī dienestu darbības efektivitāte un nodarbināto darba apstākļi, t.sk. paaugstināta strādājošo darba produktivitāte un apmierinātība, uzlabota dienestu savstarpējā sadarbība un attiecīgi arī reaģēšanas spējas, kā arī mazināta nevienlīdzība, nodrošinot pakalpojumu pieejamību, darbavietas, sociālo un veselības aprūpi. Bez tam tiks veicināta administratīvo teritoriju turpmākā attīstība, radot pozitīvu signālu potenciālajiem investoriem, veicinot ekonomiskās izaugsmes un konkurētspējas pieaugumu, kā arī tiks paaugstināts iekšlietu un veselības nozares prestižs sabiedrībā, veicinot sabiedrības uzticību drošības un glābšanas dienestiem.</w:t>
            </w:r>
          </w:p>
          <w:p w:rsidR="009E6A8A" w:rsidRDefault="00D50BC5" w:rsidP="009E6A8A">
            <w:pPr>
              <w:ind w:firstLine="331"/>
              <w:jc w:val="both"/>
              <w:rPr>
                <w:rFonts w:ascii="Times New Roman" w:hAnsi="Times New Roman" w:cs="Times New Roman"/>
                <w:sz w:val="24"/>
                <w:szCs w:val="24"/>
              </w:rPr>
            </w:pPr>
            <w:r>
              <w:rPr>
                <w:rFonts w:ascii="Times New Roman" w:hAnsi="Times New Roman" w:cs="Times New Roman"/>
                <w:sz w:val="24"/>
                <w:szCs w:val="24"/>
              </w:rPr>
              <w:t>[</w:t>
            </w:r>
            <w:r w:rsidR="00F31C32">
              <w:rPr>
                <w:rFonts w:ascii="Times New Roman" w:hAnsi="Times New Roman" w:cs="Times New Roman"/>
                <w:sz w:val="24"/>
                <w:szCs w:val="24"/>
              </w:rPr>
              <w:t>1</w:t>
            </w:r>
            <w:r>
              <w:rPr>
                <w:rFonts w:ascii="Times New Roman" w:hAnsi="Times New Roman" w:cs="Times New Roman"/>
                <w:sz w:val="24"/>
                <w:szCs w:val="24"/>
              </w:rPr>
              <w:t xml:space="preserve">] </w:t>
            </w:r>
            <w:r w:rsidR="009E6A8A" w:rsidRPr="00C87D94">
              <w:rPr>
                <w:rFonts w:ascii="Times New Roman" w:hAnsi="Times New Roman" w:cs="Times New Roman"/>
                <w:b/>
                <w:i/>
                <w:sz w:val="24"/>
                <w:szCs w:val="24"/>
              </w:rPr>
              <w:t>Kandavā</w:t>
            </w:r>
            <w:r w:rsidR="009E6A8A" w:rsidRPr="009E6A8A">
              <w:rPr>
                <w:rFonts w:ascii="Times New Roman" w:hAnsi="Times New Roman" w:cs="Times New Roman"/>
                <w:sz w:val="24"/>
                <w:szCs w:val="24"/>
              </w:rPr>
              <w:t xml:space="preserve"> ir izvietotas VUGD un VP</w:t>
            </w:r>
            <w:r>
              <w:rPr>
                <w:rFonts w:ascii="Times New Roman" w:hAnsi="Times New Roman" w:cs="Times New Roman"/>
                <w:sz w:val="24"/>
                <w:szCs w:val="24"/>
              </w:rPr>
              <w:t xml:space="preserve"> struktūrvienības</w:t>
            </w:r>
            <w:r w:rsidR="009E6A8A" w:rsidRPr="009E6A8A">
              <w:rPr>
                <w:rFonts w:ascii="Times New Roman" w:hAnsi="Times New Roman" w:cs="Times New Roman"/>
                <w:sz w:val="24"/>
                <w:szCs w:val="24"/>
              </w:rPr>
              <w:t>.</w:t>
            </w:r>
            <w:r w:rsidR="009E6A8A">
              <w:rPr>
                <w:rFonts w:ascii="Times New Roman" w:hAnsi="Times New Roman" w:cs="Times New Roman"/>
                <w:sz w:val="24"/>
                <w:szCs w:val="24"/>
              </w:rPr>
              <w:t xml:space="preserve"> </w:t>
            </w:r>
            <w:r w:rsidR="009E6A8A" w:rsidRPr="009E6A8A">
              <w:rPr>
                <w:rFonts w:ascii="Times New Roman" w:hAnsi="Times New Roman" w:cs="Times New Roman"/>
                <w:sz w:val="24"/>
                <w:szCs w:val="24"/>
              </w:rPr>
              <w:t>Kandavā plānots veidot administratīvo centru, kurā vienuviet tik</w:t>
            </w:r>
            <w:r>
              <w:rPr>
                <w:rFonts w:ascii="Times New Roman" w:hAnsi="Times New Roman" w:cs="Times New Roman"/>
                <w:sz w:val="24"/>
                <w:szCs w:val="24"/>
              </w:rPr>
              <w:t>s</w:t>
            </w:r>
            <w:r w:rsidR="009E6A8A" w:rsidRPr="009E6A8A">
              <w:rPr>
                <w:rFonts w:ascii="Times New Roman" w:hAnsi="Times New Roman" w:cs="Times New Roman"/>
                <w:sz w:val="24"/>
                <w:szCs w:val="24"/>
              </w:rPr>
              <w:t xml:space="preserve"> izvietot</w:t>
            </w:r>
            <w:r>
              <w:rPr>
                <w:rFonts w:ascii="Times New Roman" w:hAnsi="Times New Roman" w:cs="Times New Roman"/>
                <w:sz w:val="24"/>
                <w:szCs w:val="24"/>
              </w:rPr>
              <w:t>a</w:t>
            </w:r>
            <w:r w:rsidR="009E6A8A" w:rsidRPr="009E6A8A">
              <w:rPr>
                <w:rFonts w:ascii="Times New Roman" w:hAnsi="Times New Roman" w:cs="Times New Roman"/>
                <w:sz w:val="24"/>
                <w:szCs w:val="24"/>
              </w:rPr>
              <w:t>s gan VUGD, gan VP</w:t>
            </w:r>
            <w:r>
              <w:rPr>
                <w:rFonts w:ascii="Times New Roman" w:hAnsi="Times New Roman" w:cs="Times New Roman"/>
                <w:sz w:val="24"/>
                <w:szCs w:val="24"/>
              </w:rPr>
              <w:t xml:space="preserve"> struktūrvienības</w:t>
            </w:r>
            <w:r w:rsidR="009E6A8A" w:rsidRPr="009E6A8A">
              <w:rPr>
                <w:rFonts w:ascii="Times New Roman" w:hAnsi="Times New Roman" w:cs="Times New Roman"/>
                <w:sz w:val="24"/>
                <w:szCs w:val="24"/>
              </w:rPr>
              <w:t>, kas šobrīd izvietot</w:t>
            </w:r>
            <w:r>
              <w:rPr>
                <w:rFonts w:ascii="Times New Roman" w:hAnsi="Times New Roman" w:cs="Times New Roman"/>
                <w:sz w:val="24"/>
                <w:szCs w:val="24"/>
              </w:rPr>
              <w:t>as</w:t>
            </w:r>
            <w:r w:rsidR="009E6A8A" w:rsidRPr="009E6A8A">
              <w:rPr>
                <w:rFonts w:ascii="Times New Roman" w:hAnsi="Times New Roman" w:cs="Times New Roman"/>
                <w:sz w:val="24"/>
                <w:szCs w:val="24"/>
              </w:rPr>
              <w:t xml:space="preserve"> divos atsevišķos objektos</w:t>
            </w:r>
            <w:r>
              <w:rPr>
                <w:rFonts w:ascii="Times New Roman" w:hAnsi="Times New Roman" w:cs="Times New Roman"/>
                <w:sz w:val="24"/>
                <w:szCs w:val="24"/>
              </w:rPr>
              <w:t>.</w:t>
            </w:r>
            <w:r w:rsidR="009E6A8A" w:rsidRPr="009E6A8A">
              <w:rPr>
                <w:rFonts w:ascii="Times New Roman" w:hAnsi="Times New Roman" w:cs="Times New Roman"/>
                <w:sz w:val="24"/>
                <w:szCs w:val="24"/>
              </w:rPr>
              <w:t xml:space="preserve"> </w:t>
            </w:r>
            <w:r>
              <w:rPr>
                <w:rFonts w:ascii="Times New Roman" w:hAnsi="Times New Roman" w:cs="Times New Roman"/>
                <w:sz w:val="24"/>
                <w:szCs w:val="24"/>
              </w:rPr>
              <w:t>P</w:t>
            </w:r>
            <w:r w:rsidR="009E6A8A" w:rsidRPr="009E6A8A">
              <w:rPr>
                <w:rFonts w:ascii="Times New Roman" w:hAnsi="Times New Roman" w:cs="Times New Roman"/>
                <w:sz w:val="24"/>
                <w:szCs w:val="24"/>
              </w:rPr>
              <w:t>apildus tam jaunajā ēkā plānots izvietot arī NMPD. Esošā VUGD depo ēka Tirgus laukumā 7, Kandavā nodota ekspluatācijā 1930.g</w:t>
            </w:r>
            <w:r>
              <w:rPr>
                <w:rFonts w:ascii="Times New Roman" w:hAnsi="Times New Roman" w:cs="Times New Roman"/>
                <w:sz w:val="24"/>
                <w:szCs w:val="24"/>
              </w:rPr>
              <w:t>adā</w:t>
            </w:r>
            <w:r w:rsidR="009E6A8A" w:rsidRPr="009E6A8A">
              <w:rPr>
                <w:rFonts w:ascii="Times New Roman" w:hAnsi="Times New Roman" w:cs="Times New Roman"/>
                <w:sz w:val="24"/>
                <w:szCs w:val="24"/>
              </w:rPr>
              <w:t xml:space="preserve">. Ēka ir sliktā tehniskā stāvoklī, kā arī neatbilst ugunsdzēsības depo minimālajām prasībām, turklāt tajā nav iespējams </w:t>
            </w:r>
            <w:r>
              <w:rPr>
                <w:rFonts w:ascii="Times New Roman" w:hAnsi="Times New Roman" w:cs="Times New Roman"/>
                <w:sz w:val="24"/>
                <w:szCs w:val="24"/>
              </w:rPr>
              <w:t xml:space="preserve">ievietot </w:t>
            </w:r>
            <w:r w:rsidR="009E6A8A" w:rsidRPr="009E6A8A">
              <w:rPr>
                <w:rFonts w:ascii="Times New Roman" w:hAnsi="Times New Roman" w:cs="Times New Roman"/>
                <w:sz w:val="24"/>
                <w:szCs w:val="24"/>
              </w:rPr>
              <w:t xml:space="preserve">jauno </w:t>
            </w:r>
            <w:r>
              <w:rPr>
                <w:rFonts w:ascii="Times New Roman" w:hAnsi="Times New Roman" w:cs="Times New Roman"/>
                <w:sz w:val="24"/>
                <w:szCs w:val="24"/>
              </w:rPr>
              <w:t xml:space="preserve">ugunsdzēsības </w:t>
            </w:r>
            <w:r w:rsidR="009E6A8A" w:rsidRPr="009E6A8A">
              <w:rPr>
                <w:rFonts w:ascii="Times New Roman" w:hAnsi="Times New Roman" w:cs="Times New Roman"/>
                <w:sz w:val="24"/>
                <w:szCs w:val="24"/>
              </w:rPr>
              <w:t>tehniku. Sliktā stāvoklī ir gan ēkas fasāde, gan iekštelpas. Ēkai piešķirts kultūras vēstures pieminekļa statuss, tādējādi ēkas pārbūve, lai pielāgotu to VUGD vajadzībām, nav iespējama.</w:t>
            </w:r>
            <w:r w:rsidR="009E6A8A">
              <w:rPr>
                <w:rFonts w:ascii="Times New Roman" w:hAnsi="Times New Roman" w:cs="Times New Roman"/>
                <w:sz w:val="24"/>
                <w:szCs w:val="24"/>
              </w:rPr>
              <w:t xml:space="preserve"> </w:t>
            </w:r>
            <w:r w:rsidR="009E6A8A" w:rsidRPr="009E6A8A">
              <w:rPr>
                <w:rFonts w:ascii="Times New Roman" w:hAnsi="Times New Roman" w:cs="Times New Roman"/>
                <w:sz w:val="24"/>
                <w:szCs w:val="24"/>
              </w:rPr>
              <w:t xml:space="preserve">Kandavā plānots izbūvēt jaunu C kategorijas ugunsdzēsības depo, paredzot tajā arī telpas VP atbalsta punktam un NMPD struktūrvienībai. Objekta būvniecība paredzēta jaunā vietā </w:t>
            </w:r>
            <w:r>
              <w:rPr>
                <w:rFonts w:ascii="Times New Roman" w:hAnsi="Times New Roman" w:cs="Times New Roman"/>
                <w:sz w:val="24"/>
                <w:szCs w:val="24"/>
              </w:rPr>
              <w:t xml:space="preserve">– </w:t>
            </w:r>
            <w:r w:rsidR="009E6A8A" w:rsidRPr="009E6A8A">
              <w:rPr>
                <w:rFonts w:ascii="Times New Roman" w:hAnsi="Times New Roman" w:cs="Times New Roman"/>
                <w:sz w:val="24"/>
                <w:szCs w:val="24"/>
              </w:rPr>
              <w:t xml:space="preserve">“Ūdenstornis Liepās”, kadastra Nr.9062 010 0156. </w:t>
            </w:r>
            <w:r w:rsidR="009E6A8A">
              <w:rPr>
                <w:rFonts w:ascii="Times New Roman" w:hAnsi="Times New Roman" w:cs="Times New Roman"/>
                <w:sz w:val="24"/>
                <w:szCs w:val="24"/>
              </w:rPr>
              <w:t>Saskaņā ar veikto iepirkumu (</w:t>
            </w:r>
            <w:r w:rsidR="009E6A8A" w:rsidRPr="009E6A8A">
              <w:rPr>
                <w:rFonts w:ascii="Times New Roman" w:hAnsi="Times New Roman" w:cs="Times New Roman"/>
                <w:sz w:val="24"/>
                <w:szCs w:val="24"/>
              </w:rPr>
              <w:t>Iepirkuma identifikācijas Nr. IeM NVA 2021/35</w:t>
            </w:r>
            <w:r w:rsidR="009E6A8A">
              <w:rPr>
                <w:rFonts w:ascii="Times New Roman" w:hAnsi="Times New Roman" w:cs="Times New Roman"/>
                <w:sz w:val="24"/>
                <w:szCs w:val="24"/>
              </w:rPr>
              <w:t xml:space="preserve">) </w:t>
            </w:r>
            <w:r w:rsidR="007C4B89">
              <w:rPr>
                <w:rFonts w:ascii="Times New Roman" w:hAnsi="Times New Roman" w:cs="Times New Roman"/>
                <w:sz w:val="24"/>
                <w:szCs w:val="24"/>
              </w:rPr>
              <w:t xml:space="preserve">būvdarbu veikšanai </w:t>
            </w:r>
            <w:r w:rsidR="009E6A8A">
              <w:rPr>
                <w:rFonts w:ascii="Times New Roman" w:hAnsi="Times New Roman" w:cs="Times New Roman"/>
                <w:sz w:val="24"/>
                <w:szCs w:val="24"/>
              </w:rPr>
              <w:t>uzvarēja SIA “ZENG”</w:t>
            </w:r>
            <w:r w:rsidR="007C4B89">
              <w:rPr>
                <w:rFonts w:ascii="Times New Roman" w:hAnsi="Times New Roman" w:cs="Times New Roman"/>
                <w:sz w:val="24"/>
                <w:szCs w:val="24"/>
              </w:rPr>
              <w:t xml:space="preserve">, kuras finanšu piedāvājums ir 1 710 016 </w:t>
            </w:r>
            <w:r w:rsidR="007C4B89" w:rsidRPr="007C4B89">
              <w:rPr>
                <w:rFonts w:ascii="Times New Roman" w:hAnsi="Times New Roman" w:cs="Times New Roman"/>
                <w:i/>
                <w:sz w:val="24"/>
                <w:szCs w:val="24"/>
              </w:rPr>
              <w:t>euro</w:t>
            </w:r>
            <w:r w:rsidR="007C4B89">
              <w:rPr>
                <w:rFonts w:ascii="Times New Roman" w:hAnsi="Times New Roman" w:cs="Times New Roman"/>
                <w:sz w:val="24"/>
                <w:szCs w:val="24"/>
              </w:rPr>
              <w:t xml:space="preserve">, bet būvuzraudzības nodrošināšanā uzvarēja SIA “P.M.G.”, kuras finanšu piedāvājums ir 35 254 </w:t>
            </w:r>
            <w:r w:rsidR="007C4B89" w:rsidRPr="007C4B89">
              <w:rPr>
                <w:rFonts w:ascii="Times New Roman" w:hAnsi="Times New Roman" w:cs="Times New Roman"/>
                <w:i/>
                <w:sz w:val="24"/>
                <w:szCs w:val="24"/>
              </w:rPr>
              <w:t>euro</w:t>
            </w:r>
            <w:r w:rsidR="007C4B89">
              <w:rPr>
                <w:rFonts w:ascii="Times New Roman" w:hAnsi="Times New Roman" w:cs="Times New Roman"/>
                <w:sz w:val="24"/>
                <w:szCs w:val="24"/>
              </w:rPr>
              <w:t xml:space="preserve">. </w:t>
            </w:r>
            <w:r w:rsidR="007C4B89" w:rsidRPr="00C87D94">
              <w:rPr>
                <w:rFonts w:ascii="Times New Roman" w:hAnsi="Times New Roman" w:cs="Times New Roman"/>
                <w:b/>
                <w:sz w:val="24"/>
                <w:szCs w:val="24"/>
              </w:rPr>
              <w:t>Kopējās objekta izmaksas ir 1 745 270</w:t>
            </w:r>
            <w:r w:rsidR="009E6A8A" w:rsidRPr="00C87D94">
              <w:rPr>
                <w:rFonts w:ascii="Times New Roman" w:hAnsi="Times New Roman" w:cs="Times New Roman"/>
                <w:b/>
                <w:sz w:val="24"/>
                <w:szCs w:val="24"/>
              </w:rPr>
              <w:t xml:space="preserve"> </w:t>
            </w:r>
            <w:r w:rsidR="009E6A8A" w:rsidRPr="00C87D94">
              <w:rPr>
                <w:rFonts w:ascii="Times New Roman" w:hAnsi="Times New Roman" w:cs="Times New Roman"/>
                <w:b/>
                <w:i/>
                <w:sz w:val="24"/>
                <w:szCs w:val="24"/>
              </w:rPr>
              <w:t>euro</w:t>
            </w:r>
            <w:r w:rsidR="006877E3" w:rsidRPr="00C87D94">
              <w:rPr>
                <w:rFonts w:ascii="Times New Roman" w:hAnsi="Times New Roman" w:cs="Times New Roman"/>
                <w:b/>
                <w:sz w:val="24"/>
                <w:szCs w:val="24"/>
              </w:rPr>
              <w:t xml:space="preserve">, tai skaitā 2021.gadā </w:t>
            </w:r>
            <w:r w:rsidRPr="00C87D94">
              <w:rPr>
                <w:rFonts w:ascii="Times New Roman" w:hAnsi="Times New Roman" w:cs="Times New Roman"/>
                <w:b/>
                <w:sz w:val="24"/>
                <w:szCs w:val="24"/>
              </w:rPr>
              <w:t xml:space="preserve">– </w:t>
            </w:r>
            <w:r w:rsidR="00C76ED8">
              <w:rPr>
                <w:rFonts w:ascii="Times New Roman" w:hAnsi="Times New Roman" w:cs="Times New Roman"/>
                <w:b/>
                <w:sz w:val="24"/>
                <w:szCs w:val="24"/>
              </w:rPr>
              <w:t>283 662</w:t>
            </w:r>
            <w:r w:rsidR="00262B31">
              <w:rPr>
                <w:rFonts w:ascii="Calibri" w:eastAsia="Times New Roman" w:hAnsi="Calibri" w:cs="Calibri"/>
                <w:color w:val="000000"/>
                <w:lang w:eastAsia="lv-LV"/>
              </w:rPr>
              <w:t xml:space="preserve"> </w:t>
            </w:r>
            <w:r w:rsidR="00607532" w:rsidRPr="00C87D94">
              <w:rPr>
                <w:rFonts w:ascii="Times New Roman" w:hAnsi="Times New Roman" w:cs="Times New Roman"/>
                <w:b/>
                <w:i/>
                <w:sz w:val="24"/>
                <w:szCs w:val="24"/>
              </w:rPr>
              <w:t>euro</w:t>
            </w:r>
            <w:r w:rsidR="00262B31">
              <w:rPr>
                <w:rFonts w:ascii="Times New Roman" w:hAnsi="Times New Roman" w:cs="Times New Roman"/>
                <w:b/>
                <w:i/>
                <w:sz w:val="24"/>
                <w:szCs w:val="24"/>
              </w:rPr>
              <w:t>.</w:t>
            </w:r>
            <w:r w:rsidR="00607532" w:rsidRPr="00C87D94">
              <w:rPr>
                <w:rFonts w:ascii="Times New Roman" w:hAnsi="Times New Roman" w:cs="Times New Roman"/>
                <w:b/>
                <w:sz w:val="24"/>
                <w:szCs w:val="24"/>
              </w:rPr>
              <w:t xml:space="preserve"> </w:t>
            </w:r>
          </w:p>
          <w:p w:rsidR="00A13939" w:rsidRDefault="00D50BC5" w:rsidP="00AD6876">
            <w:pPr>
              <w:ind w:firstLine="331"/>
              <w:jc w:val="both"/>
              <w:rPr>
                <w:rFonts w:ascii="Times New Roman" w:hAnsi="Times New Roman" w:cs="Times New Roman"/>
                <w:sz w:val="24"/>
                <w:szCs w:val="24"/>
              </w:rPr>
            </w:pPr>
            <w:r>
              <w:rPr>
                <w:rFonts w:ascii="Times New Roman" w:hAnsi="Times New Roman" w:cs="Times New Roman"/>
                <w:sz w:val="24"/>
                <w:szCs w:val="24"/>
              </w:rPr>
              <w:lastRenderedPageBreak/>
              <w:t>[</w:t>
            </w:r>
            <w:r w:rsidR="00F31C32">
              <w:rPr>
                <w:rFonts w:ascii="Times New Roman" w:hAnsi="Times New Roman" w:cs="Times New Roman"/>
                <w:sz w:val="24"/>
                <w:szCs w:val="24"/>
              </w:rPr>
              <w:t>2</w:t>
            </w:r>
            <w:r>
              <w:rPr>
                <w:rFonts w:ascii="Times New Roman" w:hAnsi="Times New Roman" w:cs="Times New Roman"/>
                <w:sz w:val="24"/>
                <w:szCs w:val="24"/>
              </w:rPr>
              <w:t xml:space="preserve">] </w:t>
            </w:r>
            <w:r w:rsidR="007C4B89" w:rsidRPr="00C87D94">
              <w:rPr>
                <w:rFonts w:ascii="Times New Roman" w:hAnsi="Times New Roman" w:cs="Times New Roman"/>
                <w:b/>
                <w:i/>
                <w:sz w:val="24"/>
                <w:szCs w:val="24"/>
              </w:rPr>
              <w:t>Saulkrastos</w:t>
            </w:r>
            <w:r w:rsidR="007C4B89" w:rsidRPr="007C4B89">
              <w:rPr>
                <w:rFonts w:ascii="Times New Roman" w:hAnsi="Times New Roman" w:cs="Times New Roman"/>
                <w:sz w:val="24"/>
                <w:szCs w:val="24"/>
              </w:rPr>
              <w:t xml:space="preserve"> ir izvietotas VUGD un VP</w:t>
            </w:r>
            <w:r w:rsidR="00777F85">
              <w:rPr>
                <w:rFonts w:ascii="Times New Roman" w:hAnsi="Times New Roman" w:cs="Times New Roman"/>
                <w:sz w:val="24"/>
                <w:szCs w:val="24"/>
              </w:rPr>
              <w:t xml:space="preserve"> struktūrvienības</w:t>
            </w:r>
            <w:r w:rsidR="007C4B89" w:rsidRPr="007C4B89">
              <w:rPr>
                <w:rFonts w:ascii="Times New Roman" w:hAnsi="Times New Roman" w:cs="Times New Roman"/>
                <w:sz w:val="24"/>
                <w:szCs w:val="24"/>
              </w:rPr>
              <w:t>.</w:t>
            </w:r>
            <w:r w:rsidR="007C4B89">
              <w:rPr>
                <w:rFonts w:ascii="Times New Roman" w:hAnsi="Times New Roman" w:cs="Times New Roman"/>
                <w:sz w:val="24"/>
                <w:szCs w:val="24"/>
              </w:rPr>
              <w:t xml:space="preserve"> </w:t>
            </w:r>
            <w:r w:rsidR="007C4B89" w:rsidRPr="007C4B89">
              <w:rPr>
                <w:rFonts w:ascii="Times New Roman" w:hAnsi="Times New Roman" w:cs="Times New Roman"/>
                <w:sz w:val="24"/>
                <w:szCs w:val="24"/>
              </w:rPr>
              <w:t>Saulkrastos plānota jauna C kategorijas ugunsdzēsības depo būvniecība. VP turpinās darbu esošajās telpās Noliktavas ielā 10A, Saulkrastos, kas atrodas Iekšlietu ministrijas valdījumā un ir labā stāvoklī. Esošā VUGD depo ēka Ainažu ielā 1, Saulkrastos nodota ekspluatācijā 1964.g</w:t>
            </w:r>
            <w:r w:rsidR="00777F85">
              <w:rPr>
                <w:rFonts w:ascii="Times New Roman" w:hAnsi="Times New Roman" w:cs="Times New Roman"/>
                <w:sz w:val="24"/>
                <w:szCs w:val="24"/>
              </w:rPr>
              <w:t>adā</w:t>
            </w:r>
            <w:r w:rsidR="007C4B89" w:rsidRPr="007C4B89">
              <w:rPr>
                <w:rFonts w:ascii="Times New Roman" w:hAnsi="Times New Roman" w:cs="Times New Roman"/>
                <w:sz w:val="24"/>
                <w:szCs w:val="24"/>
              </w:rPr>
              <w:t xml:space="preserve">. Ēka ir sliktā tehniskā stāvoklī, kā arī neatbilst ugunsdzēsības depo minimālajām prasībām. Sliktā stāvoklī ir gan ēkas fasāde, gan iekštelpas. Ēkai </w:t>
            </w:r>
            <w:r w:rsidR="00777F85">
              <w:rPr>
                <w:rFonts w:ascii="Times New Roman" w:hAnsi="Times New Roman" w:cs="Times New Roman"/>
                <w:sz w:val="24"/>
                <w:szCs w:val="24"/>
              </w:rPr>
              <w:t xml:space="preserve">ir </w:t>
            </w:r>
            <w:r w:rsidR="007C4B89" w:rsidRPr="007C4B89">
              <w:rPr>
                <w:rFonts w:ascii="Times New Roman" w:hAnsi="Times New Roman" w:cs="Times New Roman"/>
                <w:sz w:val="24"/>
                <w:szCs w:val="24"/>
              </w:rPr>
              <w:t xml:space="preserve">caurs jumts, tā rezultātā  griestos uzkrājas mitrums. Šļūteņu žāvēšanas tornis </w:t>
            </w:r>
            <w:r w:rsidR="00777F85">
              <w:rPr>
                <w:rFonts w:ascii="Times New Roman" w:hAnsi="Times New Roman" w:cs="Times New Roman"/>
                <w:sz w:val="24"/>
                <w:szCs w:val="24"/>
              </w:rPr>
              <w:t xml:space="preserve">ir </w:t>
            </w:r>
            <w:r w:rsidR="007C4B89" w:rsidRPr="007C4B89">
              <w:rPr>
                <w:rFonts w:ascii="Times New Roman" w:hAnsi="Times New Roman" w:cs="Times New Roman"/>
                <w:sz w:val="24"/>
                <w:szCs w:val="24"/>
              </w:rPr>
              <w:t xml:space="preserve">sliktā stāvoklī, netiek izmantots. Šļūtenes žāvē ārā zem nojumes, bet ziemā </w:t>
            </w:r>
            <w:r w:rsidR="00777F85">
              <w:rPr>
                <w:rFonts w:ascii="Times New Roman" w:hAnsi="Times New Roman" w:cs="Times New Roman"/>
                <w:sz w:val="24"/>
                <w:szCs w:val="24"/>
              </w:rPr>
              <w:t xml:space="preserve">– </w:t>
            </w:r>
            <w:r w:rsidR="007C4B89" w:rsidRPr="007C4B89">
              <w:rPr>
                <w:rFonts w:ascii="Times New Roman" w:hAnsi="Times New Roman" w:cs="Times New Roman"/>
                <w:sz w:val="24"/>
                <w:szCs w:val="24"/>
              </w:rPr>
              <w:t>garāžā uz grīdas. Zem depo ēkas atrodas pagrabs, kur tiek glabātas granulas. Pagraba telpā ir pilsētas ūdensvads, kas ir sliktā tehniskā stāvoklī</w:t>
            </w:r>
            <w:r w:rsidR="00777F85">
              <w:rPr>
                <w:rFonts w:ascii="Times New Roman" w:hAnsi="Times New Roman" w:cs="Times New Roman"/>
                <w:sz w:val="24"/>
                <w:szCs w:val="24"/>
              </w:rPr>
              <w:t>.</w:t>
            </w:r>
            <w:r w:rsidR="007C4B89" w:rsidRPr="007C4B89">
              <w:rPr>
                <w:rFonts w:ascii="Times New Roman" w:hAnsi="Times New Roman" w:cs="Times New Roman"/>
                <w:sz w:val="24"/>
                <w:szCs w:val="24"/>
              </w:rPr>
              <w:t xml:space="preserve"> Administratīvā ēka ir ļoti sliktā stāvoklī un netiek izmantota. Ēkai atslēgta apkure un elektrība. Administratīvai un garāžu ēkām jumta segums ir bojāts, lietus notekūdeņi ieplūst iekštelpās</w:t>
            </w:r>
            <w:r w:rsidR="00777F85">
              <w:rPr>
                <w:rFonts w:ascii="Times New Roman" w:hAnsi="Times New Roman" w:cs="Times New Roman"/>
                <w:sz w:val="24"/>
                <w:szCs w:val="24"/>
              </w:rPr>
              <w:t>,</w:t>
            </w:r>
            <w:r w:rsidR="007C4B89" w:rsidRPr="007C4B89">
              <w:rPr>
                <w:rFonts w:ascii="Times New Roman" w:hAnsi="Times New Roman" w:cs="Times New Roman"/>
                <w:sz w:val="24"/>
                <w:szCs w:val="24"/>
              </w:rPr>
              <w:t xml:space="preserve"> bojājot ēku konstrukcijas.</w:t>
            </w:r>
            <w:r w:rsidR="007C4B89">
              <w:rPr>
                <w:rFonts w:ascii="Times New Roman" w:hAnsi="Times New Roman" w:cs="Times New Roman"/>
                <w:sz w:val="24"/>
                <w:szCs w:val="24"/>
              </w:rPr>
              <w:t xml:space="preserve"> </w:t>
            </w:r>
            <w:r w:rsidR="007C4B89" w:rsidRPr="007C4B89">
              <w:rPr>
                <w:rFonts w:ascii="Times New Roman" w:hAnsi="Times New Roman" w:cs="Times New Roman"/>
                <w:sz w:val="24"/>
                <w:szCs w:val="24"/>
              </w:rPr>
              <w:t xml:space="preserve">Objekta būvniecība paredzēta jaunā vietā Rīgas ielā 86B, Saulkrastos. </w:t>
            </w:r>
            <w:r w:rsidR="007C4B89">
              <w:rPr>
                <w:rFonts w:ascii="Times New Roman" w:hAnsi="Times New Roman" w:cs="Times New Roman"/>
                <w:sz w:val="24"/>
                <w:szCs w:val="24"/>
              </w:rPr>
              <w:t>Saskaņā ar veikto iepirkumu (</w:t>
            </w:r>
            <w:r w:rsidR="007C4B89" w:rsidRPr="009E6A8A">
              <w:rPr>
                <w:rFonts w:ascii="Times New Roman" w:hAnsi="Times New Roman" w:cs="Times New Roman"/>
                <w:sz w:val="24"/>
                <w:szCs w:val="24"/>
              </w:rPr>
              <w:t>Iepirkuma identifikācijas Nr. IeM NVA 2021/35</w:t>
            </w:r>
            <w:r w:rsidR="007C4B89">
              <w:rPr>
                <w:rFonts w:ascii="Times New Roman" w:hAnsi="Times New Roman" w:cs="Times New Roman"/>
                <w:sz w:val="24"/>
                <w:szCs w:val="24"/>
              </w:rPr>
              <w:t xml:space="preserve">) būvdarbu veikšanai uzvarēja SIA “ZENG”, kuras finanšu piedāvājums ir 1 724 894 </w:t>
            </w:r>
            <w:r w:rsidR="007C4B89" w:rsidRPr="007C4B89">
              <w:rPr>
                <w:rFonts w:ascii="Times New Roman" w:hAnsi="Times New Roman" w:cs="Times New Roman"/>
                <w:i/>
                <w:sz w:val="24"/>
                <w:szCs w:val="24"/>
              </w:rPr>
              <w:t>euro</w:t>
            </w:r>
            <w:r w:rsidR="007C4B89">
              <w:rPr>
                <w:rFonts w:ascii="Times New Roman" w:hAnsi="Times New Roman" w:cs="Times New Roman"/>
                <w:sz w:val="24"/>
                <w:szCs w:val="24"/>
              </w:rPr>
              <w:t xml:space="preserve">, bet būvuzraudzības nodrošināšanā uzvarēja SIA “P.M.G.”, kuras finanšu piedāvājums ir 35 254 </w:t>
            </w:r>
            <w:r w:rsidR="007C4B89" w:rsidRPr="007C4B89">
              <w:rPr>
                <w:rFonts w:ascii="Times New Roman" w:hAnsi="Times New Roman" w:cs="Times New Roman"/>
                <w:i/>
                <w:sz w:val="24"/>
                <w:szCs w:val="24"/>
              </w:rPr>
              <w:t>euro</w:t>
            </w:r>
            <w:r w:rsidR="007C4B89">
              <w:rPr>
                <w:rFonts w:ascii="Times New Roman" w:hAnsi="Times New Roman" w:cs="Times New Roman"/>
                <w:sz w:val="24"/>
                <w:szCs w:val="24"/>
              </w:rPr>
              <w:t xml:space="preserve">. </w:t>
            </w:r>
            <w:r w:rsidR="007C4B89" w:rsidRPr="00C87D94">
              <w:rPr>
                <w:rFonts w:ascii="Times New Roman" w:hAnsi="Times New Roman" w:cs="Times New Roman"/>
                <w:b/>
                <w:sz w:val="24"/>
                <w:szCs w:val="24"/>
              </w:rPr>
              <w:t>Kopējās objekta izmaksas ir 1 7</w:t>
            </w:r>
            <w:r w:rsidR="00A17E28" w:rsidRPr="00C87D94">
              <w:rPr>
                <w:rFonts w:ascii="Times New Roman" w:hAnsi="Times New Roman" w:cs="Times New Roman"/>
                <w:b/>
                <w:sz w:val="24"/>
                <w:szCs w:val="24"/>
              </w:rPr>
              <w:t>60</w:t>
            </w:r>
            <w:r w:rsidR="007C4B89" w:rsidRPr="00C87D94">
              <w:rPr>
                <w:rFonts w:ascii="Times New Roman" w:hAnsi="Times New Roman" w:cs="Times New Roman"/>
                <w:b/>
                <w:sz w:val="24"/>
                <w:szCs w:val="24"/>
              </w:rPr>
              <w:t xml:space="preserve"> </w:t>
            </w:r>
            <w:r w:rsidR="00A17E28" w:rsidRPr="00C87D94">
              <w:rPr>
                <w:rFonts w:ascii="Times New Roman" w:hAnsi="Times New Roman" w:cs="Times New Roman"/>
                <w:b/>
                <w:sz w:val="24"/>
                <w:szCs w:val="24"/>
              </w:rPr>
              <w:t>148</w:t>
            </w:r>
            <w:r w:rsidR="007C4B89" w:rsidRPr="00C87D94">
              <w:rPr>
                <w:rFonts w:ascii="Times New Roman" w:hAnsi="Times New Roman" w:cs="Times New Roman"/>
                <w:b/>
                <w:sz w:val="24"/>
                <w:szCs w:val="24"/>
              </w:rPr>
              <w:t xml:space="preserve"> </w:t>
            </w:r>
            <w:r w:rsidR="007C4B89" w:rsidRPr="00C87D94">
              <w:rPr>
                <w:rFonts w:ascii="Times New Roman" w:hAnsi="Times New Roman" w:cs="Times New Roman"/>
                <w:b/>
                <w:i/>
                <w:sz w:val="24"/>
                <w:szCs w:val="24"/>
              </w:rPr>
              <w:t>euro</w:t>
            </w:r>
            <w:r w:rsidR="00607532" w:rsidRPr="00C87D94">
              <w:rPr>
                <w:rFonts w:ascii="Times New Roman" w:hAnsi="Times New Roman" w:cs="Times New Roman"/>
                <w:b/>
                <w:sz w:val="24"/>
                <w:szCs w:val="24"/>
              </w:rPr>
              <w:t>, tai skaitā 2021.gadā</w:t>
            </w:r>
            <w:r w:rsidR="00777F85">
              <w:rPr>
                <w:rFonts w:ascii="Times New Roman" w:hAnsi="Times New Roman" w:cs="Times New Roman"/>
                <w:b/>
                <w:sz w:val="24"/>
                <w:szCs w:val="24"/>
              </w:rPr>
              <w:t xml:space="preserve"> –</w:t>
            </w:r>
            <w:r w:rsidR="00A13939">
              <w:rPr>
                <w:rFonts w:ascii="Times New Roman" w:hAnsi="Times New Roman" w:cs="Times New Roman"/>
                <w:b/>
                <w:sz w:val="24"/>
                <w:szCs w:val="24"/>
              </w:rPr>
              <w:t xml:space="preserve"> </w:t>
            </w:r>
            <w:r w:rsidR="00C76ED8">
              <w:rPr>
                <w:rFonts w:ascii="Times New Roman" w:hAnsi="Times New Roman" w:cs="Times New Roman"/>
                <w:b/>
                <w:sz w:val="24"/>
                <w:szCs w:val="24"/>
              </w:rPr>
              <w:t>286 117</w:t>
            </w:r>
            <w:r w:rsidR="00262B31">
              <w:rPr>
                <w:rFonts w:ascii="Calibri" w:eastAsia="Times New Roman" w:hAnsi="Calibri" w:cs="Calibri"/>
                <w:color w:val="000000"/>
                <w:lang w:eastAsia="lv-LV"/>
              </w:rPr>
              <w:t xml:space="preserve"> </w:t>
            </w:r>
            <w:r w:rsidR="00607532" w:rsidRPr="00C87D94">
              <w:rPr>
                <w:rFonts w:ascii="Times New Roman" w:hAnsi="Times New Roman" w:cs="Times New Roman"/>
                <w:b/>
                <w:i/>
                <w:sz w:val="24"/>
                <w:szCs w:val="24"/>
              </w:rPr>
              <w:t>euro</w:t>
            </w:r>
            <w:r w:rsidR="00262B31">
              <w:rPr>
                <w:rFonts w:ascii="Times New Roman" w:hAnsi="Times New Roman" w:cs="Times New Roman"/>
                <w:b/>
                <w:i/>
                <w:sz w:val="24"/>
                <w:szCs w:val="24"/>
              </w:rPr>
              <w:t>.</w:t>
            </w:r>
            <w:r w:rsidR="00607532">
              <w:rPr>
                <w:rFonts w:ascii="Times New Roman" w:hAnsi="Times New Roman" w:cs="Times New Roman"/>
                <w:sz w:val="24"/>
                <w:szCs w:val="24"/>
              </w:rPr>
              <w:t>.</w:t>
            </w:r>
          </w:p>
          <w:p w:rsidR="00A17E28" w:rsidRDefault="00777F85" w:rsidP="00AD6876">
            <w:pPr>
              <w:ind w:firstLine="331"/>
              <w:jc w:val="both"/>
              <w:rPr>
                <w:rFonts w:ascii="Times New Roman" w:hAnsi="Times New Roman" w:cs="Times New Roman"/>
                <w:sz w:val="24"/>
                <w:szCs w:val="24"/>
              </w:rPr>
            </w:pPr>
            <w:r>
              <w:rPr>
                <w:rFonts w:ascii="Times New Roman" w:hAnsi="Times New Roman" w:cs="Times New Roman"/>
                <w:sz w:val="24"/>
                <w:szCs w:val="24"/>
              </w:rPr>
              <w:t>[</w:t>
            </w:r>
            <w:r w:rsidR="00F31C32">
              <w:rPr>
                <w:rFonts w:ascii="Times New Roman" w:hAnsi="Times New Roman" w:cs="Times New Roman"/>
                <w:sz w:val="24"/>
                <w:szCs w:val="24"/>
              </w:rPr>
              <w:t>3</w:t>
            </w:r>
            <w:r>
              <w:rPr>
                <w:rFonts w:ascii="Times New Roman" w:hAnsi="Times New Roman" w:cs="Times New Roman"/>
                <w:sz w:val="24"/>
                <w:szCs w:val="24"/>
              </w:rPr>
              <w:t xml:space="preserve">] </w:t>
            </w:r>
            <w:r w:rsidR="00AD6876" w:rsidRPr="00C87D94">
              <w:rPr>
                <w:rFonts w:ascii="Times New Roman" w:hAnsi="Times New Roman" w:cs="Times New Roman"/>
                <w:b/>
                <w:i/>
                <w:sz w:val="24"/>
                <w:szCs w:val="24"/>
              </w:rPr>
              <w:t>Rūjienā</w:t>
            </w:r>
            <w:r w:rsidR="00AD6876" w:rsidRPr="00AD6876">
              <w:rPr>
                <w:rFonts w:ascii="Times New Roman" w:hAnsi="Times New Roman" w:cs="Times New Roman"/>
                <w:sz w:val="24"/>
                <w:szCs w:val="24"/>
              </w:rPr>
              <w:t xml:space="preserve"> ir izvietotas VUGD un VP</w:t>
            </w:r>
            <w:r>
              <w:rPr>
                <w:rFonts w:ascii="Times New Roman" w:hAnsi="Times New Roman" w:cs="Times New Roman"/>
                <w:sz w:val="24"/>
                <w:szCs w:val="24"/>
              </w:rPr>
              <w:t xml:space="preserve"> struktūrvienības</w:t>
            </w:r>
            <w:r w:rsidR="00AD6876" w:rsidRPr="00AD6876">
              <w:rPr>
                <w:rFonts w:ascii="Times New Roman" w:hAnsi="Times New Roman" w:cs="Times New Roman"/>
                <w:sz w:val="24"/>
                <w:szCs w:val="24"/>
              </w:rPr>
              <w:t>.</w:t>
            </w:r>
            <w:r w:rsidR="00AD6876">
              <w:rPr>
                <w:rFonts w:ascii="Times New Roman" w:hAnsi="Times New Roman" w:cs="Times New Roman"/>
                <w:sz w:val="24"/>
                <w:szCs w:val="24"/>
              </w:rPr>
              <w:t xml:space="preserve"> </w:t>
            </w:r>
            <w:r w:rsidR="00AD6876" w:rsidRPr="00AD6876">
              <w:rPr>
                <w:rFonts w:ascii="Times New Roman" w:hAnsi="Times New Roman" w:cs="Times New Roman"/>
                <w:sz w:val="24"/>
                <w:szCs w:val="24"/>
              </w:rPr>
              <w:t>Rūjienā plānots veidot administratīvo centru, kurā vienuviet tiktu izvietot</w:t>
            </w:r>
            <w:r>
              <w:rPr>
                <w:rFonts w:ascii="Times New Roman" w:hAnsi="Times New Roman" w:cs="Times New Roman"/>
                <w:sz w:val="24"/>
                <w:szCs w:val="24"/>
              </w:rPr>
              <w:t>a</w:t>
            </w:r>
            <w:r w:rsidR="00AD6876" w:rsidRPr="00AD6876">
              <w:rPr>
                <w:rFonts w:ascii="Times New Roman" w:hAnsi="Times New Roman" w:cs="Times New Roman"/>
                <w:sz w:val="24"/>
                <w:szCs w:val="24"/>
              </w:rPr>
              <w:t>s gan VUGD, gan VP</w:t>
            </w:r>
            <w:r>
              <w:rPr>
                <w:rFonts w:ascii="Times New Roman" w:hAnsi="Times New Roman" w:cs="Times New Roman"/>
                <w:sz w:val="24"/>
                <w:szCs w:val="24"/>
              </w:rPr>
              <w:t xml:space="preserve"> struktūrvienības</w:t>
            </w:r>
            <w:r w:rsidR="00AD6876" w:rsidRPr="00AD6876">
              <w:rPr>
                <w:rFonts w:ascii="Times New Roman" w:hAnsi="Times New Roman" w:cs="Times New Roman"/>
                <w:sz w:val="24"/>
                <w:szCs w:val="24"/>
              </w:rPr>
              <w:t>, kas šobrīd izvietot</w:t>
            </w:r>
            <w:r>
              <w:rPr>
                <w:rFonts w:ascii="Times New Roman" w:hAnsi="Times New Roman" w:cs="Times New Roman"/>
                <w:sz w:val="24"/>
                <w:szCs w:val="24"/>
              </w:rPr>
              <w:t>as</w:t>
            </w:r>
            <w:r w:rsidR="00AD6876" w:rsidRPr="00AD6876">
              <w:rPr>
                <w:rFonts w:ascii="Times New Roman" w:hAnsi="Times New Roman" w:cs="Times New Roman"/>
                <w:sz w:val="24"/>
                <w:szCs w:val="24"/>
              </w:rPr>
              <w:t xml:space="preserve"> divos atsevišķos </w:t>
            </w:r>
            <w:proofErr w:type="spellStart"/>
            <w:r w:rsidR="00AD6876" w:rsidRPr="00AD6876">
              <w:rPr>
                <w:rFonts w:ascii="Times New Roman" w:hAnsi="Times New Roman" w:cs="Times New Roman"/>
                <w:sz w:val="24"/>
                <w:szCs w:val="24"/>
              </w:rPr>
              <w:t>objektos</w:t>
            </w:r>
            <w:r>
              <w:rPr>
                <w:rFonts w:ascii="Times New Roman" w:hAnsi="Times New Roman" w:cs="Times New Roman"/>
                <w:sz w:val="24"/>
                <w:szCs w:val="24"/>
              </w:rPr>
              <w:t>P</w:t>
            </w:r>
            <w:r w:rsidR="00AD6876" w:rsidRPr="00AD6876">
              <w:rPr>
                <w:rFonts w:ascii="Times New Roman" w:hAnsi="Times New Roman" w:cs="Times New Roman"/>
                <w:sz w:val="24"/>
                <w:szCs w:val="24"/>
              </w:rPr>
              <w:t>apildus</w:t>
            </w:r>
            <w:proofErr w:type="spellEnd"/>
            <w:r w:rsidR="00AD6876" w:rsidRPr="00AD6876">
              <w:rPr>
                <w:rFonts w:ascii="Times New Roman" w:hAnsi="Times New Roman" w:cs="Times New Roman"/>
                <w:sz w:val="24"/>
                <w:szCs w:val="24"/>
              </w:rPr>
              <w:t xml:space="preserve"> tam jaunajā ēkā plānots izvietot arī NMPD. Esošā VUGD depo ēka Valdemāra ielā 9, Rūjienā nodota ekspluatācijā 1900.g</w:t>
            </w:r>
            <w:r>
              <w:rPr>
                <w:rFonts w:ascii="Times New Roman" w:hAnsi="Times New Roman" w:cs="Times New Roman"/>
                <w:sz w:val="24"/>
                <w:szCs w:val="24"/>
              </w:rPr>
              <w:t>adā</w:t>
            </w:r>
            <w:r w:rsidR="00AD6876" w:rsidRPr="00AD6876">
              <w:rPr>
                <w:rFonts w:ascii="Times New Roman" w:hAnsi="Times New Roman" w:cs="Times New Roman"/>
                <w:sz w:val="24"/>
                <w:szCs w:val="24"/>
              </w:rPr>
              <w:t xml:space="preserve">. Ēka ir sliktā tehniskā stāvoklī, kā arī neatbilst ugunsdzēsības depo minimālajām prasībām, turklāt tajā nav iespējams </w:t>
            </w:r>
            <w:r>
              <w:rPr>
                <w:rFonts w:ascii="Times New Roman" w:hAnsi="Times New Roman" w:cs="Times New Roman"/>
                <w:sz w:val="24"/>
                <w:szCs w:val="24"/>
              </w:rPr>
              <w:t xml:space="preserve">ievietot </w:t>
            </w:r>
            <w:r w:rsidR="00AD6876" w:rsidRPr="00AD6876">
              <w:rPr>
                <w:rFonts w:ascii="Times New Roman" w:hAnsi="Times New Roman" w:cs="Times New Roman"/>
                <w:sz w:val="24"/>
                <w:szCs w:val="24"/>
              </w:rPr>
              <w:t xml:space="preserve">jauno </w:t>
            </w:r>
            <w:r>
              <w:rPr>
                <w:rFonts w:ascii="Times New Roman" w:hAnsi="Times New Roman" w:cs="Times New Roman"/>
                <w:sz w:val="24"/>
                <w:szCs w:val="24"/>
              </w:rPr>
              <w:t xml:space="preserve">ugunsdzēsības </w:t>
            </w:r>
            <w:r w:rsidR="00AD6876" w:rsidRPr="00AD6876">
              <w:rPr>
                <w:rFonts w:ascii="Times New Roman" w:hAnsi="Times New Roman" w:cs="Times New Roman"/>
                <w:sz w:val="24"/>
                <w:szCs w:val="24"/>
              </w:rPr>
              <w:t>tehniku. Sliktā stāvoklī ir gan ēkas fasāde, gan iekštelpas. Ēkai piešķirts kultūras vēstures pieminekļa statuss, tādējādi ēkas pārbūve, lai pielāgotu to VUGD vajadzībām, nav iespējama.</w:t>
            </w:r>
            <w:r w:rsidR="00AD6876">
              <w:rPr>
                <w:rFonts w:ascii="Times New Roman" w:hAnsi="Times New Roman" w:cs="Times New Roman"/>
                <w:sz w:val="24"/>
                <w:szCs w:val="24"/>
              </w:rPr>
              <w:t xml:space="preserve"> </w:t>
            </w:r>
            <w:r w:rsidR="00AD6876" w:rsidRPr="00AD6876">
              <w:rPr>
                <w:rFonts w:ascii="Times New Roman" w:hAnsi="Times New Roman" w:cs="Times New Roman"/>
                <w:sz w:val="24"/>
                <w:szCs w:val="24"/>
              </w:rPr>
              <w:t>Rūjienā plānots izbūvēt jaunu D kategorijas ugunsdzēsības depo, paredzot tajā arī telpas VP atbalsta punktam un NMPD struktūrvienībai. Objekta būvniecība paredzēta jaunā vietā Ganību ielā 6, Rūjienā.</w:t>
            </w:r>
            <w:r w:rsidR="00AD6876">
              <w:rPr>
                <w:rFonts w:ascii="Times New Roman" w:hAnsi="Times New Roman" w:cs="Times New Roman"/>
                <w:sz w:val="24"/>
                <w:szCs w:val="24"/>
              </w:rPr>
              <w:t xml:space="preserve"> Saskaņā ar veikto iepirkumu (</w:t>
            </w:r>
            <w:r w:rsidR="00AD6876" w:rsidRPr="009E6A8A">
              <w:rPr>
                <w:rFonts w:ascii="Times New Roman" w:hAnsi="Times New Roman" w:cs="Times New Roman"/>
                <w:sz w:val="24"/>
                <w:szCs w:val="24"/>
              </w:rPr>
              <w:t>Iepirkuma identifikācijas Nr. IeM NVA 2021/35</w:t>
            </w:r>
            <w:r w:rsidR="00AD6876">
              <w:rPr>
                <w:rFonts w:ascii="Times New Roman" w:hAnsi="Times New Roman" w:cs="Times New Roman"/>
                <w:sz w:val="24"/>
                <w:szCs w:val="24"/>
              </w:rPr>
              <w:t xml:space="preserve">) būvdarbu veikšanai uzvarēja SIA “ZENG”, kuras finanšu piedāvājums ir 1 259 483 </w:t>
            </w:r>
            <w:r w:rsidR="00AD6876" w:rsidRPr="007C4B89">
              <w:rPr>
                <w:rFonts w:ascii="Times New Roman" w:hAnsi="Times New Roman" w:cs="Times New Roman"/>
                <w:i/>
                <w:sz w:val="24"/>
                <w:szCs w:val="24"/>
              </w:rPr>
              <w:t>euro</w:t>
            </w:r>
            <w:r w:rsidR="00AD6876">
              <w:rPr>
                <w:rFonts w:ascii="Times New Roman" w:hAnsi="Times New Roman" w:cs="Times New Roman"/>
                <w:sz w:val="24"/>
                <w:szCs w:val="24"/>
              </w:rPr>
              <w:t xml:space="preserve">, bet būvuzraudzības nodrošināšanā uzvarēja SIA “P.M.G.”, kuras finanšu piedāvājums ir 23 928 </w:t>
            </w:r>
            <w:r w:rsidR="00AD6876" w:rsidRPr="007C4B89">
              <w:rPr>
                <w:rFonts w:ascii="Times New Roman" w:hAnsi="Times New Roman" w:cs="Times New Roman"/>
                <w:i/>
                <w:sz w:val="24"/>
                <w:szCs w:val="24"/>
              </w:rPr>
              <w:t>euro</w:t>
            </w:r>
            <w:r w:rsidR="00AD6876">
              <w:rPr>
                <w:rFonts w:ascii="Times New Roman" w:hAnsi="Times New Roman" w:cs="Times New Roman"/>
                <w:sz w:val="24"/>
                <w:szCs w:val="24"/>
              </w:rPr>
              <w:t xml:space="preserve">. </w:t>
            </w:r>
            <w:r w:rsidR="00AD6876" w:rsidRPr="00C87D94">
              <w:rPr>
                <w:rFonts w:ascii="Times New Roman" w:hAnsi="Times New Roman" w:cs="Times New Roman"/>
                <w:b/>
                <w:sz w:val="24"/>
                <w:szCs w:val="24"/>
              </w:rPr>
              <w:t xml:space="preserve">Kopējās objekta izmaksas ir 1 283 411 </w:t>
            </w:r>
            <w:r w:rsidR="00AD6876" w:rsidRPr="00C87D94">
              <w:rPr>
                <w:rFonts w:ascii="Times New Roman" w:hAnsi="Times New Roman" w:cs="Times New Roman"/>
                <w:b/>
                <w:i/>
                <w:sz w:val="24"/>
                <w:szCs w:val="24"/>
              </w:rPr>
              <w:t>euro</w:t>
            </w:r>
            <w:r w:rsidR="00607532" w:rsidRPr="00C87D94">
              <w:rPr>
                <w:rFonts w:ascii="Times New Roman" w:hAnsi="Times New Roman" w:cs="Times New Roman"/>
                <w:b/>
                <w:sz w:val="24"/>
                <w:szCs w:val="24"/>
              </w:rPr>
              <w:t xml:space="preserve">, tai skaitā 2021.gadā </w:t>
            </w:r>
            <w:r w:rsidR="00C76ED8">
              <w:rPr>
                <w:rFonts w:ascii="Times New Roman" w:hAnsi="Times New Roman" w:cs="Times New Roman"/>
                <w:b/>
                <w:sz w:val="24"/>
                <w:szCs w:val="24"/>
              </w:rPr>
              <w:t>208 839</w:t>
            </w:r>
            <w:r w:rsidR="00262B31">
              <w:rPr>
                <w:rFonts w:ascii="Calibri" w:eastAsia="Times New Roman" w:hAnsi="Calibri" w:cs="Calibri"/>
                <w:color w:val="000000"/>
                <w:lang w:eastAsia="lv-LV"/>
              </w:rPr>
              <w:t xml:space="preserve"> </w:t>
            </w:r>
            <w:r w:rsidR="00607532" w:rsidRPr="00C87D94">
              <w:rPr>
                <w:rFonts w:ascii="Times New Roman" w:hAnsi="Times New Roman" w:cs="Times New Roman"/>
                <w:b/>
                <w:i/>
                <w:sz w:val="24"/>
                <w:szCs w:val="24"/>
              </w:rPr>
              <w:t>euro</w:t>
            </w:r>
            <w:r w:rsidR="00607532">
              <w:rPr>
                <w:rFonts w:ascii="Times New Roman" w:hAnsi="Times New Roman" w:cs="Times New Roman"/>
                <w:sz w:val="24"/>
                <w:szCs w:val="24"/>
              </w:rPr>
              <w:t>.</w:t>
            </w:r>
          </w:p>
          <w:p w:rsidR="00AD6876" w:rsidRDefault="00777F85" w:rsidP="00DE079C">
            <w:pPr>
              <w:ind w:firstLine="331"/>
              <w:jc w:val="both"/>
              <w:rPr>
                <w:rFonts w:ascii="Times New Roman" w:hAnsi="Times New Roman" w:cs="Times New Roman"/>
                <w:sz w:val="24"/>
                <w:szCs w:val="24"/>
              </w:rPr>
            </w:pPr>
            <w:r>
              <w:rPr>
                <w:rFonts w:ascii="Times New Roman" w:hAnsi="Times New Roman" w:cs="Times New Roman"/>
                <w:sz w:val="24"/>
                <w:szCs w:val="24"/>
              </w:rPr>
              <w:t>[</w:t>
            </w:r>
            <w:r w:rsidR="00F31C32">
              <w:rPr>
                <w:rFonts w:ascii="Times New Roman" w:hAnsi="Times New Roman" w:cs="Times New Roman"/>
                <w:sz w:val="24"/>
                <w:szCs w:val="24"/>
              </w:rPr>
              <w:t>4</w:t>
            </w:r>
            <w:r>
              <w:rPr>
                <w:rFonts w:ascii="Times New Roman" w:hAnsi="Times New Roman" w:cs="Times New Roman"/>
                <w:sz w:val="24"/>
                <w:szCs w:val="24"/>
              </w:rPr>
              <w:t xml:space="preserve">] </w:t>
            </w:r>
            <w:r w:rsidR="00DE079C" w:rsidRPr="00C87D94">
              <w:rPr>
                <w:rFonts w:ascii="Times New Roman" w:hAnsi="Times New Roman" w:cs="Times New Roman"/>
                <w:b/>
                <w:i/>
                <w:sz w:val="24"/>
                <w:szCs w:val="24"/>
              </w:rPr>
              <w:t>Aizputē</w:t>
            </w:r>
            <w:r w:rsidR="00DE079C" w:rsidRPr="00DE079C">
              <w:rPr>
                <w:rFonts w:ascii="Times New Roman" w:hAnsi="Times New Roman" w:cs="Times New Roman"/>
                <w:sz w:val="24"/>
                <w:szCs w:val="24"/>
              </w:rPr>
              <w:t xml:space="preserve"> ir izvietotas VUGD un VP</w:t>
            </w:r>
            <w:r>
              <w:rPr>
                <w:rFonts w:ascii="Times New Roman" w:hAnsi="Times New Roman" w:cs="Times New Roman"/>
                <w:sz w:val="24"/>
                <w:szCs w:val="24"/>
              </w:rPr>
              <w:t xml:space="preserve"> struktūrvienības</w:t>
            </w:r>
            <w:r w:rsidR="00DE079C" w:rsidRPr="00DE079C">
              <w:rPr>
                <w:rFonts w:ascii="Times New Roman" w:hAnsi="Times New Roman" w:cs="Times New Roman"/>
                <w:sz w:val="24"/>
                <w:szCs w:val="24"/>
              </w:rPr>
              <w:t>.</w:t>
            </w:r>
            <w:r w:rsidR="00DE079C">
              <w:rPr>
                <w:rFonts w:ascii="Times New Roman" w:hAnsi="Times New Roman" w:cs="Times New Roman"/>
                <w:sz w:val="24"/>
                <w:szCs w:val="24"/>
              </w:rPr>
              <w:t xml:space="preserve"> </w:t>
            </w:r>
            <w:r w:rsidR="00DE079C" w:rsidRPr="00DE079C">
              <w:rPr>
                <w:rFonts w:ascii="Times New Roman" w:hAnsi="Times New Roman" w:cs="Times New Roman"/>
                <w:sz w:val="24"/>
                <w:szCs w:val="24"/>
              </w:rPr>
              <w:t>Aizputē plānots veidot administratīvo centru, kurā vienuviet tiktu izvietot</w:t>
            </w:r>
            <w:r>
              <w:rPr>
                <w:rFonts w:ascii="Times New Roman" w:hAnsi="Times New Roman" w:cs="Times New Roman"/>
                <w:sz w:val="24"/>
                <w:szCs w:val="24"/>
              </w:rPr>
              <w:t>a</w:t>
            </w:r>
            <w:r w:rsidR="00DE079C" w:rsidRPr="00DE079C">
              <w:rPr>
                <w:rFonts w:ascii="Times New Roman" w:hAnsi="Times New Roman" w:cs="Times New Roman"/>
                <w:sz w:val="24"/>
                <w:szCs w:val="24"/>
              </w:rPr>
              <w:t>s gan VUGD, gan VP</w:t>
            </w:r>
            <w:r>
              <w:rPr>
                <w:rFonts w:ascii="Times New Roman" w:hAnsi="Times New Roman" w:cs="Times New Roman"/>
                <w:sz w:val="24"/>
                <w:szCs w:val="24"/>
              </w:rPr>
              <w:t xml:space="preserve"> struktūrvienības</w:t>
            </w:r>
            <w:r w:rsidR="00DE079C" w:rsidRPr="00DE079C">
              <w:rPr>
                <w:rFonts w:ascii="Times New Roman" w:hAnsi="Times New Roman" w:cs="Times New Roman"/>
                <w:sz w:val="24"/>
                <w:szCs w:val="24"/>
              </w:rPr>
              <w:t>, kas šobrīd izvietot</w:t>
            </w:r>
            <w:r>
              <w:rPr>
                <w:rFonts w:ascii="Times New Roman" w:hAnsi="Times New Roman" w:cs="Times New Roman"/>
                <w:sz w:val="24"/>
                <w:szCs w:val="24"/>
              </w:rPr>
              <w:t>as</w:t>
            </w:r>
            <w:r w:rsidR="00DE079C" w:rsidRPr="00DE079C">
              <w:rPr>
                <w:rFonts w:ascii="Times New Roman" w:hAnsi="Times New Roman" w:cs="Times New Roman"/>
                <w:sz w:val="24"/>
                <w:szCs w:val="24"/>
              </w:rPr>
              <w:t xml:space="preserve"> divos atsevišķos objektos</w:t>
            </w:r>
            <w:r>
              <w:rPr>
                <w:rFonts w:ascii="Times New Roman" w:hAnsi="Times New Roman" w:cs="Times New Roman"/>
                <w:sz w:val="24"/>
                <w:szCs w:val="24"/>
              </w:rPr>
              <w:t>.</w:t>
            </w:r>
            <w:r w:rsidR="00DE079C" w:rsidRPr="00DE079C">
              <w:rPr>
                <w:rFonts w:ascii="Times New Roman" w:hAnsi="Times New Roman" w:cs="Times New Roman"/>
                <w:sz w:val="24"/>
                <w:szCs w:val="24"/>
              </w:rPr>
              <w:t xml:space="preserve"> </w:t>
            </w:r>
            <w:r>
              <w:rPr>
                <w:rFonts w:ascii="Times New Roman" w:hAnsi="Times New Roman" w:cs="Times New Roman"/>
                <w:sz w:val="24"/>
                <w:szCs w:val="24"/>
              </w:rPr>
              <w:t>P</w:t>
            </w:r>
            <w:r w:rsidR="00DE079C" w:rsidRPr="00DE079C">
              <w:rPr>
                <w:rFonts w:ascii="Times New Roman" w:hAnsi="Times New Roman" w:cs="Times New Roman"/>
                <w:sz w:val="24"/>
                <w:szCs w:val="24"/>
              </w:rPr>
              <w:t>apildus tam jaunajā ēkā plānots izvietot arī NMPD. Esošā VUGD depo ēka Ziedu ielā 14A, Aizputē nodota ekspluatācijā 1956.g</w:t>
            </w:r>
            <w:r>
              <w:rPr>
                <w:rFonts w:ascii="Times New Roman" w:hAnsi="Times New Roman" w:cs="Times New Roman"/>
                <w:sz w:val="24"/>
                <w:szCs w:val="24"/>
              </w:rPr>
              <w:t>adā</w:t>
            </w:r>
            <w:r w:rsidR="00DE079C" w:rsidRPr="00DE079C">
              <w:rPr>
                <w:rFonts w:ascii="Times New Roman" w:hAnsi="Times New Roman" w:cs="Times New Roman"/>
                <w:sz w:val="24"/>
                <w:szCs w:val="24"/>
              </w:rPr>
              <w:t xml:space="preserve">. Ēka ir sliktā tehniskā stāvoklī, kā arī neatbilst ugunsdzēsības depo minimālajām prasībām, turklāt tajā nav iespējams </w:t>
            </w:r>
            <w:r>
              <w:rPr>
                <w:rFonts w:ascii="Times New Roman" w:hAnsi="Times New Roman" w:cs="Times New Roman"/>
                <w:sz w:val="24"/>
                <w:szCs w:val="24"/>
              </w:rPr>
              <w:t xml:space="preserve">ievietot </w:t>
            </w:r>
            <w:r w:rsidR="00DE079C" w:rsidRPr="00DE079C">
              <w:rPr>
                <w:rFonts w:ascii="Times New Roman" w:hAnsi="Times New Roman" w:cs="Times New Roman"/>
                <w:sz w:val="24"/>
                <w:szCs w:val="24"/>
              </w:rPr>
              <w:t xml:space="preserve">jauno </w:t>
            </w:r>
            <w:r>
              <w:rPr>
                <w:rFonts w:ascii="Times New Roman" w:hAnsi="Times New Roman" w:cs="Times New Roman"/>
                <w:sz w:val="24"/>
                <w:szCs w:val="24"/>
              </w:rPr>
              <w:lastRenderedPageBreak/>
              <w:t xml:space="preserve">ugunsdzēsības </w:t>
            </w:r>
            <w:r w:rsidR="00DE079C" w:rsidRPr="00DE079C">
              <w:rPr>
                <w:rFonts w:ascii="Times New Roman" w:hAnsi="Times New Roman" w:cs="Times New Roman"/>
                <w:sz w:val="24"/>
                <w:szCs w:val="24"/>
              </w:rPr>
              <w:t>tehniku. Sliktā stāvoklī ir gan ēkas fasāde, gan iekštelpas. Viena ēkas siena atdalās no pamatiem. Šļūteņu žāvēšanas tornis ir sliktā stāvoklī un netiek izmantots. Nav telpu inventāra glabāšanai, apmācībām un fiziskām aktivitātēm. Darba telpas, virtuve un atpūtas telpas atrodas vienuviet. VP šobrīd izvietota nomas objektā Avotu ielā 2, Aizputē.</w:t>
            </w:r>
            <w:r w:rsidR="00DE079C">
              <w:rPr>
                <w:rFonts w:ascii="Times New Roman" w:hAnsi="Times New Roman" w:cs="Times New Roman"/>
                <w:sz w:val="24"/>
                <w:szCs w:val="24"/>
              </w:rPr>
              <w:t xml:space="preserve"> </w:t>
            </w:r>
            <w:r w:rsidR="00AD6876">
              <w:rPr>
                <w:rFonts w:ascii="Times New Roman" w:hAnsi="Times New Roman" w:cs="Times New Roman"/>
                <w:sz w:val="24"/>
                <w:szCs w:val="24"/>
              </w:rPr>
              <w:t>Saskaņā ar veikto iepirkumu (</w:t>
            </w:r>
            <w:r w:rsidR="00AD6876" w:rsidRPr="009E6A8A">
              <w:rPr>
                <w:rFonts w:ascii="Times New Roman" w:hAnsi="Times New Roman" w:cs="Times New Roman"/>
                <w:sz w:val="24"/>
                <w:szCs w:val="24"/>
              </w:rPr>
              <w:t>Iepirkuma identifikācijas Nr. IeM NVA 2021/35</w:t>
            </w:r>
            <w:r w:rsidR="00AD6876">
              <w:rPr>
                <w:rFonts w:ascii="Times New Roman" w:hAnsi="Times New Roman" w:cs="Times New Roman"/>
                <w:sz w:val="24"/>
                <w:szCs w:val="24"/>
              </w:rPr>
              <w:t xml:space="preserve">) būvdarbu veikšanai uzvarēja SIA “ZENG”, kuras finanšu piedāvājums ir 1 271 834 </w:t>
            </w:r>
            <w:r w:rsidR="00AD6876" w:rsidRPr="007C4B89">
              <w:rPr>
                <w:rFonts w:ascii="Times New Roman" w:hAnsi="Times New Roman" w:cs="Times New Roman"/>
                <w:i/>
                <w:sz w:val="24"/>
                <w:szCs w:val="24"/>
              </w:rPr>
              <w:t>euro</w:t>
            </w:r>
            <w:r w:rsidR="00AD6876">
              <w:rPr>
                <w:rFonts w:ascii="Times New Roman" w:hAnsi="Times New Roman" w:cs="Times New Roman"/>
                <w:sz w:val="24"/>
                <w:szCs w:val="24"/>
              </w:rPr>
              <w:t xml:space="preserve">, bet būvuzraudzības nodrošināšanā uzvarēja SIA “P.M.G.”, kuras finanšu piedāvājums ir 23 928 </w:t>
            </w:r>
            <w:r w:rsidR="00AD6876" w:rsidRPr="007C4B89">
              <w:rPr>
                <w:rFonts w:ascii="Times New Roman" w:hAnsi="Times New Roman" w:cs="Times New Roman"/>
                <w:i/>
                <w:sz w:val="24"/>
                <w:szCs w:val="24"/>
              </w:rPr>
              <w:t>euro</w:t>
            </w:r>
            <w:r w:rsidR="00AD6876">
              <w:rPr>
                <w:rFonts w:ascii="Times New Roman" w:hAnsi="Times New Roman" w:cs="Times New Roman"/>
                <w:sz w:val="24"/>
                <w:szCs w:val="24"/>
              </w:rPr>
              <w:t xml:space="preserve">. </w:t>
            </w:r>
            <w:r w:rsidR="00AD6876" w:rsidRPr="00C87D94">
              <w:rPr>
                <w:rFonts w:ascii="Times New Roman" w:hAnsi="Times New Roman" w:cs="Times New Roman"/>
                <w:b/>
                <w:sz w:val="24"/>
                <w:szCs w:val="24"/>
              </w:rPr>
              <w:t xml:space="preserve">Kopējās objekta izmaksas ir 1 295 762 </w:t>
            </w:r>
            <w:r w:rsidR="00AD6876" w:rsidRPr="00C87D94">
              <w:rPr>
                <w:rFonts w:ascii="Times New Roman" w:hAnsi="Times New Roman" w:cs="Times New Roman"/>
                <w:b/>
                <w:i/>
                <w:sz w:val="24"/>
                <w:szCs w:val="24"/>
              </w:rPr>
              <w:t>euro</w:t>
            </w:r>
            <w:r w:rsidR="00607532" w:rsidRPr="00C87D94">
              <w:rPr>
                <w:rFonts w:ascii="Times New Roman" w:hAnsi="Times New Roman" w:cs="Times New Roman"/>
                <w:b/>
                <w:sz w:val="24"/>
                <w:szCs w:val="24"/>
              </w:rPr>
              <w:t xml:space="preserve">, tai skaitā 2021.gadā </w:t>
            </w:r>
            <w:r w:rsidR="00C76ED8">
              <w:rPr>
                <w:rFonts w:ascii="Times New Roman" w:hAnsi="Times New Roman" w:cs="Times New Roman"/>
                <w:b/>
                <w:sz w:val="24"/>
                <w:szCs w:val="24"/>
              </w:rPr>
              <w:t>210 877</w:t>
            </w:r>
            <w:r w:rsidR="00262B31">
              <w:rPr>
                <w:rFonts w:ascii="Calibri" w:eastAsia="Times New Roman" w:hAnsi="Calibri" w:cs="Calibri"/>
                <w:color w:val="000000"/>
                <w:lang w:eastAsia="lv-LV"/>
              </w:rPr>
              <w:t xml:space="preserve"> </w:t>
            </w:r>
            <w:r w:rsidR="00607532" w:rsidRPr="00C87D94">
              <w:rPr>
                <w:rFonts w:ascii="Times New Roman" w:hAnsi="Times New Roman" w:cs="Times New Roman"/>
                <w:b/>
                <w:i/>
                <w:sz w:val="24"/>
                <w:szCs w:val="24"/>
              </w:rPr>
              <w:t>euro</w:t>
            </w:r>
            <w:r w:rsidR="00262B31">
              <w:rPr>
                <w:rFonts w:ascii="Times New Roman" w:hAnsi="Times New Roman" w:cs="Times New Roman"/>
                <w:b/>
                <w:i/>
                <w:sz w:val="24"/>
                <w:szCs w:val="24"/>
              </w:rPr>
              <w:t xml:space="preserve">. </w:t>
            </w:r>
            <w:r w:rsidR="00607532">
              <w:rPr>
                <w:rFonts w:ascii="Times New Roman" w:hAnsi="Times New Roman" w:cs="Times New Roman"/>
                <w:sz w:val="24"/>
                <w:szCs w:val="24"/>
              </w:rPr>
              <w:t xml:space="preserve"> </w:t>
            </w:r>
          </w:p>
          <w:p w:rsidR="00262B31" w:rsidRDefault="00777F85" w:rsidP="00607532">
            <w:pPr>
              <w:ind w:firstLine="331"/>
              <w:jc w:val="both"/>
              <w:rPr>
                <w:rFonts w:ascii="Times New Roman" w:hAnsi="Times New Roman" w:cs="Times New Roman"/>
                <w:b/>
                <w:sz w:val="24"/>
                <w:szCs w:val="24"/>
              </w:rPr>
            </w:pPr>
            <w:r>
              <w:rPr>
                <w:rFonts w:ascii="Times New Roman" w:hAnsi="Times New Roman" w:cs="Times New Roman"/>
                <w:sz w:val="24"/>
                <w:szCs w:val="24"/>
              </w:rPr>
              <w:t>[</w:t>
            </w:r>
            <w:r w:rsidR="00F31C32">
              <w:rPr>
                <w:rFonts w:ascii="Times New Roman" w:hAnsi="Times New Roman" w:cs="Times New Roman"/>
                <w:sz w:val="24"/>
                <w:szCs w:val="24"/>
              </w:rPr>
              <w:t>5</w:t>
            </w:r>
            <w:r>
              <w:rPr>
                <w:rFonts w:ascii="Times New Roman" w:hAnsi="Times New Roman" w:cs="Times New Roman"/>
                <w:sz w:val="24"/>
                <w:szCs w:val="24"/>
              </w:rPr>
              <w:t xml:space="preserve">] </w:t>
            </w:r>
            <w:r w:rsidR="00AD6876" w:rsidRPr="00C87D94">
              <w:rPr>
                <w:rFonts w:ascii="Times New Roman" w:hAnsi="Times New Roman" w:cs="Times New Roman"/>
                <w:b/>
                <w:i/>
                <w:sz w:val="24"/>
                <w:szCs w:val="24"/>
              </w:rPr>
              <w:t>Priekulē</w:t>
            </w:r>
            <w:r w:rsidR="00AD6876" w:rsidRPr="00AD6876">
              <w:rPr>
                <w:rFonts w:ascii="Times New Roman" w:hAnsi="Times New Roman" w:cs="Times New Roman"/>
                <w:sz w:val="24"/>
                <w:szCs w:val="24"/>
              </w:rPr>
              <w:t xml:space="preserve"> šobrīd ir izvietotas VUGD un VP</w:t>
            </w:r>
            <w:r w:rsidR="00E04E41">
              <w:rPr>
                <w:rFonts w:ascii="Times New Roman" w:hAnsi="Times New Roman" w:cs="Times New Roman"/>
                <w:sz w:val="24"/>
                <w:szCs w:val="24"/>
              </w:rPr>
              <w:t xml:space="preserve"> struktūrvienības</w:t>
            </w:r>
            <w:r w:rsidR="00AD6876" w:rsidRPr="00AD6876">
              <w:rPr>
                <w:rFonts w:ascii="Times New Roman" w:hAnsi="Times New Roman" w:cs="Times New Roman"/>
                <w:sz w:val="24"/>
                <w:szCs w:val="24"/>
              </w:rPr>
              <w:t>.</w:t>
            </w:r>
            <w:r w:rsidR="00AD6876">
              <w:rPr>
                <w:rFonts w:ascii="Times New Roman" w:hAnsi="Times New Roman" w:cs="Times New Roman"/>
                <w:sz w:val="24"/>
                <w:szCs w:val="24"/>
              </w:rPr>
              <w:t xml:space="preserve"> </w:t>
            </w:r>
            <w:r w:rsidR="00AD6876" w:rsidRPr="00AD6876">
              <w:rPr>
                <w:rFonts w:ascii="Times New Roman" w:hAnsi="Times New Roman" w:cs="Times New Roman"/>
                <w:sz w:val="24"/>
                <w:szCs w:val="24"/>
              </w:rPr>
              <w:t>Priekulē plānots veidot administratīvo centru, kurā vienuviet tiktu izvietots gan VUGD, gan VP</w:t>
            </w:r>
            <w:r w:rsidR="00E04E41">
              <w:rPr>
                <w:rFonts w:ascii="Times New Roman" w:hAnsi="Times New Roman" w:cs="Times New Roman"/>
                <w:sz w:val="24"/>
                <w:szCs w:val="24"/>
              </w:rPr>
              <w:t xml:space="preserve"> struktūrvienības</w:t>
            </w:r>
            <w:r w:rsidR="00AD6876" w:rsidRPr="00AD6876">
              <w:rPr>
                <w:rFonts w:ascii="Times New Roman" w:hAnsi="Times New Roman" w:cs="Times New Roman"/>
                <w:sz w:val="24"/>
                <w:szCs w:val="24"/>
              </w:rPr>
              <w:t>, kas šobrīd izvietot</w:t>
            </w:r>
            <w:r w:rsidR="00E04E41">
              <w:rPr>
                <w:rFonts w:ascii="Times New Roman" w:hAnsi="Times New Roman" w:cs="Times New Roman"/>
                <w:sz w:val="24"/>
                <w:szCs w:val="24"/>
              </w:rPr>
              <w:t>as</w:t>
            </w:r>
            <w:r w:rsidR="00AD6876" w:rsidRPr="00AD6876">
              <w:rPr>
                <w:rFonts w:ascii="Times New Roman" w:hAnsi="Times New Roman" w:cs="Times New Roman"/>
                <w:sz w:val="24"/>
                <w:szCs w:val="24"/>
              </w:rPr>
              <w:t xml:space="preserve"> divos atsevišķos objektos. Esošā VUGD depo ēka Raiņa ielā 7, Priekulē nodota ekspluatācijā 1930.g</w:t>
            </w:r>
            <w:r w:rsidR="00E04E41">
              <w:rPr>
                <w:rFonts w:ascii="Times New Roman" w:hAnsi="Times New Roman" w:cs="Times New Roman"/>
                <w:sz w:val="24"/>
                <w:szCs w:val="24"/>
              </w:rPr>
              <w:t>adā</w:t>
            </w:r>
            <w:r w:rsidR="00AD6876" w:rsidRPr="00AD6876">
              <w:rPr>
                <w:rFonts w:ascii="Times New Roman" w:hAnsi="Times New Roman" w:cs="Times New Roman"/>
                <w:sz w:val="24"/>
                <w:szCs w:val="24"/>
              </w:rPr>
              <w:t>. Ēka ir sliktā tehniskā stāvoklī, kā arī neatbilst ugunsdzēsības depo minimālajām prasībām. Sliktā stāvoklī ir gan ēkas fasāde, gan iekštelpas.</w:t>
            </w:r>
            <w:r w:rsidR="00AD6876">
              <w:rPr>
                <w:rFonts w:ascii="Times New Roman" w:hAnsi="Times New Roman" w:cs="Times New Roman"/>
                <w:sz w:val="24"/>
                <w:szCs w:val="24"/>
              </w:rPr>
              <w:t xml:space="preserve"> </w:t>
            </w:r>
            <w:r w:rsidR="00AD6876" w:rsidRPr="00AD6876">
              <w:rPr>
                <w:rFonts w:ascii="Times New Roman" w:hAnsi="Times New Roman" w:cs="Times New Roman"/>
                <w:sz w:val="24"/>
                <w:szCs w:val="24"/>
              </w:rPr>
              <w:t>Priekulē plānots izbūvēt jaunu D kategorijas ugunsdzēsības depo, paredzot tajā arī telpas VP atbalsta punktam. Objekta būvniecība paredzēta jaunā vietā Galvenā ielā 6, Priekulē.</w:t>
            </w:r>
            <w:r w:rsidR="00AD6876">
              <w:rPr>
                <w:rFonts w:ascii="Times New Roman" w:hAnsi="Times New Roman" w:cs="Times New Roman"/>
                <w:sz w:val="24"/>
                <w:szCs w:val="24"/>
              </w:rPr>
              <w:t xml:space="preserve"> Saskaņā ar veikto iepirkumu (</w:t>
            </w:r>
            <w:r w:rsidR="00AD6876" w:rsidRPr="009E6A8A">
              <w:rPr>
                <w:rFonts w:ascii="Times New Roman" w:hAnsi="Times New Roman" w:cs="Times New Roman"/>
                <w:sz w:val="24"/>
                <w:szCs w:val="24"/>
              </w:rPr>
              <w:t>Iepirkuma identifikācijas Nr. IeM NVA 2021/35</w:t>
            </w:r>
            <w:r w:rsidR="00AD6876">
              <w:rPr>
                <w:rFonts w:ascii="Times New Roman" w:hAnsi="Times New Roman" w:cs="Times New Roman"/>
                <w:sz w:val="24"/>
                <w:szCs w:val="24"/>
              </w:rPr>
              <w:t>) būvdarbu veikšanai uzvarēja SIA “RERE BŪVE”, kuras finanšu piedāvājums ir 1 </w:t>
            </w:r>
            <w:r w:rsidR="000F474E">
              <w:rPr>
                <w:rFonts w:ascii="Times New Roman" w:hAnsi="Times New Roman" w:cs="Times New Roman"/>
                <w:sz w:val="24"/>
                <w:szCs w:val="24"/>
              </w:rPr>
              <w:t>366</w:t>
            </w:r>
            <w:r w:rsidR="00AD6876">
              <w:rPr>
                <w:rFonts w:ascii="Times New Roman" w:hAnsi="Times New Roman" w:cs="Times New Roman"/>
                <w:sz w:val="24"/>
                <w:szCs w:val="24"/>
              </w:rPr>
              <w:t xml:space="preserve"> </w:t>
            </w:r>
            <w:r w:rsidR="000F474E">
              <w:rPr>
                <w:rFonts w:ascii="Times New Roman" w:hAnsi="Times New Roman" w:cs="Times New Roman"/>
                <w:sz w:val="24"/>
                <w:szCs w:val="24"/>
              </w:rPr>
              <w:t>946</w:t>
            </w:r>
            <w:r w:rsidR="00AD6876">
              <w:rPr>
                <w:rFonts w:ascii="Times New Roman" w:hAnsi="Times New Roman" w:cs="Times New Roman"/>
                <w:sz w:val="24"/>
                <w:szCs w:val="24"/>
              </w:rPr>
              <w:t xml:space="preserve"> </w:t>
            </w:r>
            <w:r w:rsidR="00AD6876" w:rsidRPr="007C4B89">
              <w:rPr>
                <w:rFonts w:ascii="Times New Roman" w:hAnsi="Times New Roman" w:cs="Times New Roman"/>
                <w:i/>
                <w:sz w:val="24"/>
                <w:szCs w:val="24"/>
              </w:rPr>
              <w:t>euro</w:t>
            </w:r>
            <w:r w:rsidR="00AD6876">
              <w:rPr>
                <w:rFonts w:ascii="Times New Roman" w:hAnsi="Times New Roman" w:cs="Times New Roman"/>
                <w:sz w:val="24"/>
                <w:szCs w:val="24"/>
              </w:rPr>
              <w:t xml:space="preserve">, bet būvuzraudzības nodrošināšanā uzvarēja SIA “P.M.G.”, kuras finanšu piedāvājums ir </w:t>
            </w:r>
            <w:r w:rsidR="000F474E">
              <w:rPr>
                <w:rFonts w:ascii="Times New Roman" w:hAnsi="Times New Roman" w:cs="Times New Roman"/>
                <w:sz w:val="24"/>
                <w:szCs w:val="24"/>
              </w:rPr>
              <w:t>44 761</w:t>
            </w:r>
            <w:r w:rsidR="00AD6876">
              <w:rPr>
                <w:rFonts w:ascii="Times New Roman" w:hAnsi="Times New Roman" w:cs="Times New Roman"/>
                <w:sz w:val="24"/>
                <w:szCs w:val="24"/>
              </w:rPr>
              <w:t xml:space="preserve"> </w:t>
            </w:r>
            <w:r w:rsidR="00AD6876" w:rsidRPr="007C4B89">
              <w:rPr>
                <w:rFonts w:ascii="Times New Roman" w:hAnsi="Times New Roman" w:cs="Times New Roman"/>
                <w:i/>
                <w:sz w:val="24"/>
                <w:szCs w:val="24"/>
              </w:rPr>
              <w:t>euro</w:t>
            </w:r>
            <w:r w:rsidR="00AD6876">
              <w:rPr>
                <w:rFonts w:ascii="Times New Roman" w:hAnsi="Times New Roman" w:cs="Times New Roman"/>
                <w:sz w:val="24"/>
                <w:szCs w:val="24"/>
              </w:rPr>
              <w:t xml:space="preserve">. </w:t>
            </w:r>
            <w:r w:rsidR="00AD6876" w:rsidRPr="00C87D94">
              <w:rPr>
                <w:rFonts w:ascii="Times New Roman" w:hAnsi="Times New Roman" w:cs="Times New Roman"/>
                <w:b/>
                <w:sz w:val="24"/>
                <w:szCs w:val="24"/>
              </w:rPr>
              <w:t>Kopējās objekta izmaksas ir 1 </w:t>
            </w:r>
            <w:r w:rsidR="000F474E" w:rsidRPr="00C87D94">
              <w:rPr>
                <w:rFonts w:ascii="Times New Roman" w:hAnsi="Times New Roman" w:cs="Times New Roman"/>
                <w:b/>
                <w:sz w:val="24"/>
                <w:szCs w:val="24"/>
              </w:rPr>
              <w:t>411</w:t>
            </w:r>
            <w:r w:rsidR="00AD6876" w:rsidRPr="00C87D94">
              <w:rPr>
                <w:rFonts w:ascii="Times New Roman" w:hAnsi="Times New Roman" w:cs="Times New Roman"/>
                <w:b/>
                <w:sz w:val="24"/>
                <w:szCs w:val="24"/>
              </w:rPr>
              <w:t xml:space="preserve"> </w:t>
            </w:r>
            <w:r w:rsidR="000F474E" w:rsidRPr="00C87D94">
              <w:rPr>
                <w:rFonts w:ascii="Times New Roman" w:hAnsi="Times New Roman" w:cs="Times New Roman"/>
                <w:b/>
                <w:sz w:val="24"/>
                <w:szCs w:val="24"/>
              </w:rPr>
              <w:t>707</w:t>
            </w:r>
            <w:r w:rsidR="00AD6876" w:rsidRPr="00C87D94">
              <w:rPr>
                <w:rFonts w:ascii="Times New Roman" w:hAnsi="Times New Roman" w:cs="Times New Roman"/>
                <w:b/>
                <w:sz w:val="24"/>
                <w:szCs w:val="24"/>
              </w:rPr>
              <w:t xml:space="preserve"> </w:t>
            </w:r>
            <w:r w:rsidR="00AD6876" w:rsidRPr="00C87D94">
              <w:rPr>
                <w:rFonts w:ascii="Times New Roman" w:hAnsi="Times New Roman" w:cs="Times New Roman"/>
                <w:b/>
                <w:i/>
                <w:sz w:val="24"/>
                <w:szCs w:val="24"/>
              </w:rPr>
              <w:t>euro</w:t>
            </w:r>
            <w:r w:rsidR="00607532" w:rsidRPr="00C87D94">
              <w:rPr>
                <w:rFonts w:ascii="Times New Roman" w:hAnsi="Times New Roman" w:cs="Times New Roman"/>
                <w:b/>
                <w:sz w:val="24"/>
                <w:szCs w:val="24"/>
              </w:rPr>
              <w:t xml:space="preserve">, tai skaitā 2021.gadā </w:t>
            </w:r>
            <w:r w:rsidR="00C76ED8">
              <w:rPr>
                <w:rFonts w:ascii="Times New Roman" w:hAnsi="Times New Roman" w:cs="Times New Roman"/>
                <w:b/>
                <w:sz w:val="24"/>
                <w:szCs w:val="24"/>
              </w:rPr>
              <w:t>227 462</w:t>
            </w:r>
            <w:r w:rsidR="00607532" w:rsidRPr="00C87D94">
              <w:rPr>
                <w:rFonts w:ascii="Times New Roman" w:hAnsi="Times New Roman" w:cs="Times New Roman"/>
                <w:b/>
                <w:sz w:val="24"/>
                <w:szCs w:val="24"/>
              </w:rPr>
              <w:t xml:space="preserve"> </w:t>
            </w:r>
            <w:r w:rsidR="00607532" w:rsidRPr="00C87D94">
              <w:rPr>
                <w:rFonts w:ascii="Times New Roman" w:hAnsi="Times New Roman" w:cs="Times New Roman"/>
                <w:b/>
                <w:i/>
                <w:sz w:val="24"/>
                <w:szCs w:val="24"/>
              </w:rPr>
              <w:t>euro</w:t>
            </w:r>
            <w:r w:rsidR="00262B31">
              <w:rPr>
                <w:rFonts w:ascii="Times New Roman" w:hAnsi="Times New Roman" w:cs="Times New Roman"/>
                <w:b/>
                <w:i/>
                <w:sz w:val="24"/>
                <w:szCs w:val="24"/>
              </w:rPr>
              <w:t xml:space="preserve">. </w:t>
            </w:r>
            <w:r w:rsidR="00607532" w:rsidRPr="00C87D94">
              <w:rPr>
                <w:rFonts w:ascii="Times New Roman" w:hAnsi="Times New Roman" w:cs="Times New Roman"/>
                <w:b/>
                <w:sz w:val="24"/>
                <w:szCs w:val="24"/>
              </w:rPr>
              <w:t xml:space="preserve"> </w:t>
            </w:r>
          </w:p>
          <w:p w:rsidR="000F474E" w:rsidRDefault="00E04E41" w:rsidP="00607532">
            <w:pPr>
              <w:ind w:firstLine="331"/>
              <w:jc w:val="both"/>
              <w:rPr>
                <w:rFonts w:ascii="Times New Roman" w:hAnsi="Times New Roman" w:cs="Times New Roman"/>
                <w:sz w:val="24"/>
                <w:szCs w:val="24"/>
              </w:rPr>
            </w:pPr>
            <w:r>
              <w:rPr>
                <w:rFonts w:ascii="Times New Roman" w:hAnsi="Times New Roman" w:cs="Times New Roman"/>
                <w:sz w:val="24"/>
                <w:szCs w:val="24"/>
              </w:rPr>
              <w:t>[</w:t>
            </w:r>
            <w:r w:rsidR="00F31C32">
              <w:rPr>
                <w:rFonts w:ascii="Times New Roman" w:hAnsi="Times New Roman" w:cs="Times New Roman"/>
                <w:sz w:val="24"/>
                <w:szCs w:val="24"/>
              </w:rPr>
              <w:t>6</w:t>
            </w:r>
            <w:r>
              <w:rPr>
                <w:rFonts w:ascii="Times New Roman" w:hAnsi="Times New Roman" w:cs="Times New Roman"/>
                <w:sz w:val="24"/>
                <w:szCs w:val="24"/>
              </w:rPr>
              <w:t xml:space="preserve">] </w:t>
            </w:r>
            <w:r w:rsidR="000F474E" w:rsidRPr="00C87D94">
              <w:rPr>
                <w:rFonts w:ascii="Times New Roman" w:hAnsi="Times New Roman" w:cs="Times New Roman"/>
                <w:b/>
                <w:i/>
                <w:sz w:val="24"/>
                <w:szCs w:val="24"/>
              </w:rPr>
              <w:t>Dagdā</w:t>
            </w:r>
            <w:r w:rsidR="000F474E" w:rsidRPr="000F474E">
              <w:rPr>
                <w:rFonts w:ascii="Times New Roman" w:hAnsi="Times New Roman" w:cs="Times New Roman"/>
                <w:sz w:val="24"/>
                <w:szCs w:val="24"/>
              </w:rPr>
              <w:t xml:space="preserve"> ir izvietotas VUGD, VP un VRS</w:t>
            </w:r>
            <w:r>
              <w:rPr>
                <w:rFonts w:ascii="Times New Roman" w:hAnsi="Times New Roman" w:cs="Times New Roman"/>
                <w:sz w:val="24"/>
                <w:szCs w:val="24"/>
              </w:rPr>
              <w:t xml:space="preserve"> struktūrvienības</w:t>
            </w:r>
            <w:r w:rsidR="000F474E" w:rsidRPr="000F474E">
              <w:rPr>
                <w:rFonts w:ascii="Times New Roman" w:hAnsi="Times New Roman" w:cs="Times New Roman"/>
                <w:sz w:val="24"/>
                <w:szCs w:val="24"/>
              </w:rPr>
              <w:t>.</w:t>
            </w:r>
            <w:r w:rsidR="000F474E">
              <w:rPr>
                <w:rFonts w:ascii="Times New Roman" w:hAnsi="Times New Roman" w:cs="Times New Roman"/>
                <w:sz w:val="24"/>
                <w:szCs w:val="24"/>
              </w:rPr>
              <w:t xml:space="preserve"> </w:t>
            </w:r>
            <w:r w:rsidR="000F474E" w:rsidRPr="000F474E">
              <w:rPr>
                <w:rFonts w:ascii="Times New Roman" w:hAnsi="Times New Roman" w:cs="Times New Roman"/>
                <w:sz w:val="24"/>
                <w:szCs w:val="24"/>
              </w:rPr>
              <w:t>Dagdā plānots veidot administratīvo centru, kurā vienuviet tiktu izvietots gan VUGD, gan VP</w:t>
            </w:r>
            <w:r>
              <w:rPr>
                <w:rFonts w:ascii="Times New Roman" w:hAnsi="Times New Roman" w:cs="Times New Roman"/>
                <w:sz w:val="24"/>
                <w:szCs w:val="24"/>
              </w:rPr>
              <w:t xml:space="preserve"> struktūrvienības</w:t>
            </w:r>
            <w:r w:rsidR="000F474E" w:rsidRPr="000F474E">
              <w:rPr>
                <w:rFonts w:ascii="Times New Roman" w:hAnsi="Times New Roman" w:cs="Times New Roman"/>
                <w:sz w:val="24"/>
                <w:szCs w:val="24"/>
              </w:rPr>
              <w:t>, kas šobrīd izvietot</w:t>
            </w:r>
            <w:r>
              <w:rPr>
                <w:rFonts w:ascii="Times New Roman" w:hAnsi="Times New Roman" w:cs="Times New Roman"/>
                <w:sz w:val="24"/>
                <w:szCs w:val="24"/>
              </w:rPr>
              <w:t>as</w:t>
            </w:r>
            <w:r w:rsidR="000F474E" w:rsidRPr="000F474E">
              <w:rPr>
                <w:rFonts w:ascii="Times New Roman" w:hAnsi="Times New Roman" w:cs="Times New Roman"/>
                <w:sz w:val="24"/>
                <w:szCs w:val="24"/>
              </w:rPr>
              <w:t xml:space="preserve"> divos atsevišķos objektos. VRS, ņemot vērā tā darba specifiku, turpinās darbu esošajās telpās Latvijas Republikas un Baltkrievijas Republikas pierobežā, kā arī Šķaunes RSN.</w:t>
            </w:r>
            <w:r w:rsidR="000F474E">
              <w:rPr>
                <w:rFonts w:ascii="Times New Roman" w:hAnsi="Times New Roman" w:cs="Times New Roman"/>
                <w:sz w:val="24"/>
                <w:szCs w:val="24"/>
              </w:rPr>
              <w:t xml:space="preserve"> </w:t>
            </w:r>
            <w:r w:rsidR="000F474E" w:rsidRPr="000F474E">
              <w:rPr>
                <w:rFonts w:ascii="Times New Roman" w:hAnsi="Times New Roman" w:cs="Times New Roman"/>
                <w:sz w:val="24"/>
                <w:szCs w:val="24"/>
              </w:rPr>
              <w:t>Esošā VUGD depo ēka Rēzeknes ielā 2, Dagdā nodota ekspluatācijā 1900.g</w:t>
            </w:r>
            <w:r>
              <w:rPr>
                <w:rFonts w:ascii="Times New Roman" w:hAnsi="Times New Roman" w:cs="Times New Roman"/>
                <w:sz w:val="24"/>
                <w:szCs w:val="24"/>
              </w:rPr>
              <w:t>adā</w:t>
            </w:r>
            <w:r w:rsidR="000F474E" w:rsidRPr="000F474E">
              <w:rPr>
                <w:rFonts w:ascii="Times New Roman" w:hAnsi="Times New Roman" w:cs="Times New Roman"/>
                <w:sz w:val="24"/>
                <w:szCs w:val="24"/>
              </w:rPr>
              <w:t>. Ēka ir sliktā tehniskā stāvoklī, kā arī neatbilst ugunsdzēsības depo minimālajām prasībām. Sliktā stāvoklī ir gan ēkas fasāde, gan iekštelpas. Nav vietas šļūteņu žāvēšanai, siltā laikā tās žāvē uz žoga.</w:t>
            </w:r>
            <w:r w:rsidR="000F474E">
              <w:rPr>
                <w:rFonts w:ascii="Times New Roman" w:hAnsi="Times New Roman" w:cs="Times New Roman"/>
                <w:sz w:val="24"/>
                <w:szCs w:val="24"/>
              </w:rPr>
              <w:t xml:space="preserve"> </w:t>
            </w:r>
            <w:r w:rsidR="000F474E" w:rsidRPr="000F474E">
              <w:rPr>
                <w:rFonts w:ascii="Times New Roman" w:hAnsi="Times New Roman" w:cs="Times New Roman"/>
                <w:sz w:val="24"/>
                <w:szCs w:val="24"/>
              </w:rPr>
              <w:t>Dagdā plānots izbūvēt jaunu D kategorijas ugunsdzēsības depo, paredzot tajā arī telpas VP atbalsta punktam. Objekta būvniecība paredzēta jaunā vietā Daugavpils ielā 16A, Dagdā.</w:t>
            </w:r>
            <w:r w:rsidR="000F474E">
              <w:rPr>
                <w:rFonts w:ascii="Times New Roman" w:hAnsi="Times New Roman" w:cs="Times New Roman"/>
                <w:sz w:val="24"/>
                <w:szCs w:val="24"/>
              </w:rPr>
              <w:t xml:space="preserve"> Saskaņā ar veikto iepirkumu (</w:t>
            </w:r>
            <w:r w:rsidR="000F474E" w:rsidRPr="009E6A8A">
              <w:rPr>
                <w:rFonts w:ascii="Times New Roman" w:hAnsi="Times New Roman" w:cs="Times New Roman"/>
                <w:sz w:val="24"/>
                <w:szCs w:val="24"/>
              </w:rPr>
              <w:t>Iepirkuma identifikācijas Nr. IeM NVA 2021/35</w:t>
            </w:r>
            <w:r w:rsidR="000F474E">
              <w:rPr>
                <w:rFonts w:ascii="Times New Roman" w:hAnsi="Times New Roman" w:cs="Times New Roman"/>
                <w:sz w:val="24"/>
                <w:szCs w:val="24"/>
              </w:rPr>
              <w:t xml:space="preserve">) būvdarbu veikšanai uzvarēja SIA “RERE BŪVE”, kuras finanšu piedāvājums ir 1 448 738 </w:t>
            </w:r>
            <w:r w:rsidR="000F474E" w:rsidRPr="007C4B89">
              <w:rPr>
                <w:rFonts w:ascii="Times New Roman" w:hAnsi="Times New Roman" w:cs="Times New Roman"/>
                <w:i/>
                <w:sz w:val="24"/>
                <w:szCs w:val="24"/>
              </w:rPr>
              <w:t>euro</w:t>
            </w:r>
            <w:r w:rsidR="000F474E">
              <w:rPr>
                <w:rFonts w:ascii="Times New Roman" w:hAnsi="Times New Roman" w:cs="Times New Roman"/>
                <w:sz w:val="24"/>
                <w:szCs w:val="24"/>
              </w:rPr>
              <w:t xml:space="preserve">, bet būvuzraudzības nodrošināšanā uzvarēja SIA “P.M.G.”, kuras finanšu piedāvājums ir 44 761 </w:t>
            </w:r>
            <w:r w:rsidR="000F474E" w:rsidRPr="007C4B89">
              <w:rPr>
                <w:rFonts w:ascii="Times New Roman" w:hAnsi="Times New Roman" w:cs="Times New Roman"/>
                <w:i/>
                <w:sz w:val="24"/>
                <w:szCs w:val="24"/>
              </w:rPr>
              <w:t>euro</w:t>
            </w:r>
            <w:r w:rsidR="000F474E">
              <w:rPr>
                <w:rFonts w:ascii="Times New Roman" w:hAnsi="Times New Roman" w:cs="Times New Roman"/>
                <w:sz w:val="24"/>
                <w:szCs w:val="24"/>
              </w:rPr>
              <w:t xml:space="preserve">. </w:t>
            </w:r>
            <w:r w:rsidR="000F474E" w:rsidRPr="00C87D94">
              <w:rPr>
                <w:rFonts w:ascii="Times New Roman" w:hAnsi="Times New Roman" w:cs="Times New Roman"/>
                <w:b/>
                <w:sz w:val="24"/>
                <w:szCs w:val="24"/>
              </w:rPr>
              <w:t xml:space="preserve">Kopējās objekta izmaksas ir 1 493 499 </w:t>
            </w:r>
            <w:r w:rsidR="000F474E" w:rsidRPr="00C87D94">
              <w:rPr>
                <w:rFonts w:ascii="Times New Roman" w:hAnsi="Times New Roman" w:cs="Times New Roman"/>
                <w:b/>
                <w:i/>
                <w:sz w:val="24"/>
                <w:szCs w:val="24"/>
              </w:rPr>
              <w:t>euro</w:t>
            </w:r>
            <w:r w:rsidR="00607532" w:rsidRPr="00C87D94">
              <w:rPr>
                <w:rFonts w:ascii="Times New Roman" w:hAnsi="Times New Roman" w:cs="Times New Roman"/>
                <w:b/>
                <w:sz w:val="24"/>
                <w:szCs w:val="24"/>
              </w:rPr>
              <w:t xml:space="preserve">, tai skaitā 2021.gadā </w:t>
            </w:r>
            <w:r w:rsidR="00C76ED8">
              <w:rPr>
                <w:rFonts w:ascii="Times New Roman" w:hAnsi="Times New Roman" w:cs="Times New Roman"/>
                <w:b/>
                <w:sz w:val="24"/>
                <w:szCs w:val="24"/>
              </w:rPr>
              <w:t>240 958</w:t>
            </w:r>
            <w:r w:rsidR="00262B31">
              <w:rPr>
                <w:rFonts w:ascii="Calibri" w:eastAsia="Times New Roman" w:hAnsi="Calibri" w:cs="Calibri"/>
                <w:color w:val="000000"/>
                <w:lang w:eastAsia="lv-LV"/>
              </w:rPr>
              <w:t xml:space="preserve"> </w:t>
            </w:r>
            <w:r w:rsidR="00607532" w:rsidRPr="00C87D94">
              <w:rPr>
                <w:rFonts w:ascii="Times New Roman" w:hAnsi="Times New Roman" w:cs="Times New Roman"/>
                <w:b/>
                <w:i/>
                <w:sz w:val="24"/>
                <w:szCs w:val="24"/>
              </w:rPr>
              <w:t>euro</w:t>
            </w:r>
            <w:r w:rsidR="00262B31">
              <w:rPr>
                <w:rFonts w:ascii="Times New Roman" w:hAnsi="Times New Roman" w:cs="Times New Roman"/>
                <w:b/>
                <w:i/>
                <w:sz w:val="24"/>
                <w:szCs w:val="24"/>
              </w:rPr>
              <w:t>.</w:t>
            </w:r>
            <w:r w:rsidR="00607532">
              <w:rPr>
                <w:rFonts w:ascii="Times New Roman" w:hAnsi="Times New Roman" w:cs="Times New Roman"/>
                <w:sz w:val="24"/>
                <w:szCs w:val="24"/>
              </w:rPr>
              <w:t>.</w:t>
            </w:r>
          </w:p>
          <w:p w:rsidR="00262B31" w:rsidRDefault="00E04E41" w:rsidP="00607532">
            <w:pPr>
              <w:ind w:firstLine="331"/>
              <w:jc w:val="both"/>
              <w:rPr>
                <w:rFonts w:ascii="Times New Roman" w:hAnsi="Times New Roman" w:cs="Times New Roman"/>
                <w:sz w:val="24"/>
                <w:szCs w:val="24"/>
              </w:rPr>
            </w:pPr>
            <w:r>
              <w:rPr>
                <w:rFonts w:ascii="Times New Roman" w:hAnsi="Times New Roman" w:cs="Times New Roman"/>
                <w:sz w:val="24"/>
                <w:szCs w:val="24"/>
              </w:rPr>
              <w:t>[</w:t>
            </w:r>
            <w:r w:rsidR="00F31C32">
              <w:rPr>
                <w:rFonts w:ascii="Times New Roman" w:hAnsi="Times New Roman" w:cs="Times New Roman"/>
                <w:sz w:val="24"/>
                <w:szCs w:val="24"/>
              </w:rPr>
              <w:t>7</w:t>
            </w:r>
            <w:r>
              <w:rPr>
                <w:rFonts w:ascii="Times New Roman" w:hAnsi="Times New Roman" w:cs="Times New Roman"/>
                <w:sz w:val="24"/>
                <w:szCs w:val="24"/>
              </w:rPr>
              <w:t xml:space="preserve">] </w:t>
            </w:r>
            <w:r w:rsidR="000F474E" w:rsidRPr="00C87D94">
              <w:rPr>
                <w:rFonts w:ascii="Times New Roman" w:hAnsi="Times New Roman" w:cs="Times New Roman"/>
                <w:b/>
                <w:i/>
                <w:sz w:val="24"/>
                <w:szCs w:val="24"/>
              </w:rPr>
              <w:t>Ilūkstē</w:t>
            </w:r>
            <w:r w:rsidR="000F474E" w:rsidRPr="000F474E">
              <w:rPr>
                <w:rFonts w:ascii="Times New Roman" w:hAnsi="Times New Roman" w:cs="Times New Roman"/>
                <w:sz w:val="24"/>
                <w:szCs w:val="24"/>
              </w:rPr>
              <w:t xml:space="preserve"> ir izvietotas VUGD un VP</w:t>
            </w:r>
            <w:r>
              <w:rPr>
                <w:rFonts w:ascii="Times New Roman" w:hAnsi="Times New Roman" w:cs="Times New Roman"/>
                <w:sz w:val="24"/>
                <w:szCs w:val="24"/>
              </w:rPr>
              <w:t xml:space="preserve"> struktūrvienības</w:t>
            </w:r>
            <w:r w:rsidR="000F474E" w:rsidRPr="000F474E">
              <w:rPr>
                <w:rFonts w:ascii="Times New Roman" w:hAnsi="Times New Roman" w:cs="Times New Roman"/>
                <w:sz w:val="24"/>
                <w:szCs w:val="24"/>
              </w:rPr>
              <w:t>.</w:t>
            </w:r>
            <w:r w:rsidR="000F474E">
              <w:rPr>
                <w:rFonts w:ascii="Times New Roman" w:hAnsi="Times New Roman" w:cs="Times New Roman"/>
                <w:sz w:val="24"/>
                <w:szCs w:val="24"/>
              </w:rPr>
              <w:t xml:space="preserve"> </w:t>
            </w:r>
            <w:r w:rsidR="000F474E" w:rsidRPr="000F474E">
              <w:rPr>
                <w:rFonts w:ascii="Times New Roman" w:hAnsi="Times New Roman" w:cs="Times New Roman"/>
                <w:sz w:val="24"/>
                <w:szCs w:val="24"/>
              </w:rPr>
              <w:t>Ilūkstē plānots veidot administratīvo centru, kurā vienuviet tiktu izvietots gan VUGD, gan VP</w:t>
            </w:r>
            <w:r>
              <w:rPr>
                <w:rFonts w:ascii="Times New Roman" w:hAnsi="Times New Roman" w:cs="Times New Roman"/>
                <w:sz w:val="24"/>
                <w:szCs w:val="24"/>
              </w:rPr>
              <w:t xml:space="preserve"> struktūrvienības</w:t>
            </w:r>
            <w:r w:rsidR="000F474E" w:rsidRPr="000F474E">
              <w:rPr>
                <w:rFonts w:ascii="Times New Roman" w:hAnsi="Times New Roman" w:cs="Times New Roman"/>
                <w:sz w:val="24"/>
                <w:szCs w:val="24"/>
              </w:rPr>
              <w:t>, kas šobrīd izvietot</w:t>
            </w:r>
            <w:r>
              <w:rPr>
                <w:rFonts w:ascii="Times New Roman" w:hAnsi="Times New Roman" w:cs="Times New Roman"/>
                <w:sz w:val="24"/>
                <w:szCs w:val="24"/>
              </w:rPr>
              <w:t>as</w:t>
            </w:r>
            <w:r w:rsidR="000F474E" w:rsidRPr="000F474E">
              <w:rPr>
                <w:rFonts w:ascii="Times New Roman" w:hAnsi="Times New Roman" w:cs="Times New Roman"/>
                <w:sz w:val="24"/>
                <w:szCs w:val="24"/>
              </w:rPr>
              <w:t xml:space="preserve"> divos atsevišķos objektos. Esošā VUGD depo ēka Raiņa ielā 21, Ilūkstē </w:t>
            </w:r>
            <w:r w:rsidR="000F474E" w:rsidRPr="000F474E">
              <w:rPr>
                <w:rFonts w:ascii="Times New Roman" w:hAnsi="Times New Roman" w:cs="Times New Roman"/>
                <w:sz w:val="24"/>
                <w:szCs w:val="24"/>
              </w:rPr>
              <w:lastRenderedPageBreak/>
              <w:t>nodota ekspluatācijā 1960.g</w:t>
            </w:r>
            <w:r>
              <w:rPr>
                <w:rFonts w:ascii="Times New Roman" w:hAnsi="Times New Roman" w:cs="Times New Roman"/>
                <w:sz w:val="24"/>
                <w:szCs w:val="24"/>
              </w:rPr>
              <w:t>adā</w:t>
            </w:r>
            <w:r w:rsidR="000F474E" w:rsidRPr="000F474E">
              <w:rPr>
                <w:rFonts w:ascii="Times New Roman" w:hAnsi="Times New Roman" w:cs="Times New Roman"/>
                <w:sz w:val="24"/>
                <w:szCs w:val="24"/>
              </w:rPr>
              <w:t xml:space="preserve">. Ēka ir sliktā tehniskā stāvoklī, kā arī neatbilst ugunsdzēsības depo minimālajām prasībām, turklāt tajā nav iespējams </w:t>
            </w:r>
            <w:r>
              <w:rPr>
                <w:rFonts w:ascii="Times New Roman" w:hAnsi="Times New Roman" w:cs="Times New Roman"/>
                <w:sz w:val="24"/>
                <w:szCs w:val="24"/>
              </w:rPr>
              <w:t xml:space="preserve">ievietot </w:t>
            </w:r>
            <w:r w:rsidR="000F474E" w:rsidRPr="000F474E">
              <w:rPr>
                <w:rFonts w:ascii="Times New Roman" w:hAnsi="Times New Roman" w:cs="Times New Roman"/>
                <w:sz w:val="24"/>
                <w:szCs w:val="24"/>
              </w:rPr>
              <w:t xml:space="preserve">jauno </w:t>
            </w:r>
            <w:r>
              <w:rPr>
                <w:rFonts w:ascii="Times New Roman" w:hAnsi="Times New Roman" w:cs="Times New Roman"/>
                <w:sz w:val="24"/>
                <w:szCs w:val="24"/>
              </w:rPr>
              <w:t xml:space="preserve">ugunsdzēsības </w:t>
            </w:r>
            <w:r w:rsidR="000F474E" w:rsidRPr="000F474E">
              <w:rPr>
                <w:rFonts w:ascii="Times New Roman" w:hAnsi="Times New Roman" w:cs="Times New Roman"/>
                <w:sz w:val="24"/>
                <w:szCs w:val="24"/>
              </w:rPr>
              <w:t>tehniku, un nav iespējama arī ēkas pārbūve. Sliktā stāvoklī ir gan ēkas fasāde, gan iekštelpas, kā arī šļūteņu žāvēšanas tornis. Darba telpas vienlaikus kalpo kā nodarbību un atpūtas telpa. Ēkai ir šīfera jumts.</w:t>
            </w:r>
            <w:r w:rsidR="000F474E">
              <w:rPr>
                <w:rFonts w:ascii="Times New Roman" w:hAnsi="Times New Roman" w:cs="Times New Roman"/>
                <w:sz w:val="24"/>
                <w:szCs w:val="24"/>
              </w:rPr>
              <w:t xml:space="preserve"> </w:t>
            </w:r>
            <w:r w:rsidR="000F474E" w:rsidRPr="000F474E">
              <w:rPr>
                <w:rFonts w:ascii="Times New Roman" w:hAnsi="Times New Roman" w:cs="Times New Roman"/>
                <w:sz w:val="24"/>
                <w:szCs w:val="24"/>
              </w:rPr>
              <w:t>Ilūkstē plānots izbūvēt jaunu D kategorijas ugunsdzēsības depo, paredzot tajā arī telpas VP atbalsta punktam. Objekta būvniecība paredzēta blakus esošajai objektam.</w:t>
            </w:r>
            <w:r w:rsidR="000F474E">
              <w:rPr>
                <w:rFonts w:ascii="Times New Roman" w:hAnsi="Times New Roman" w:cs="Times New Roman"/>
                <w:sz w:val="24"/>
                <w:szCs w:val="24"/>
              </w:rPr>
              <w:t xml:space="preserve"> Saskaņā ar veikto iepirkumu (</w:t>
            </w:r>
            <w:r w:rsidR="000F474E" w:rsidRPr="009E6A8A">
              <w:rPr>
                <w:rFonts w:ascii="Times New Roman" w:hAnsi="Times New Roman" w:cs="Times New Roman"/>
                <w:sz w:val="24"/>
                <w:szCs w:val="24"/>
              </w:rPr>
              <w:t>Iepirkuma identifikācijas Nr. IeM NVA 2021/35</w:t>
            </w:r>
            <w:r w:rsidR="000F474E">
              <w:rPr>
                <w:rFonts w:ascii="Times New Roman" w:hAnsi="Times New Roman" w:cs="Times New Roman"/>
                <w:sz w:val="24"/>
                <w:szCs w:val="24"/>
              </w:rPr>
              <w:t xml:space="preserve">) būvdarbu veikšanai uzvarēja SIA “RERE BŪVE”, kuras finanšu piedāvājums ir 1 357 590 </w:t>
            </w:r>
            <w:r w:rsidR="000F474E" w:rsidRPr="007C4B89">
              <w:rPr>
                <w:rFonts w:ascii="Times New Roman" w:hAnsi="Times New Roman" w:cs="Times New Roman"/>
                <w:i/>
                <w:sz w:val="24"/>
                <w:szCs w:val="24"/>
              </w:rPr>
              <w:t>euro</w:t>
            </w:r>
            <w:r w:rsidR="000F474E">
              <w:rPr>
                <w:rFonts w:ascii="Times New Roman" w:hAnsi="Times New Roman" w:cs="Times New Roman"/>
                <w:sz w:val="24"/>
                <w:szCs w:val="24"/>
              </w:rPr>
              <w:t xml:space="preserve">, bet būvuzraudzības nodrošināšanā uzvarēja SIA “P.M.G.”, kuras finanšu piedāvājums ir 32 664 </w:t>
            </w:r>
            <w:r w:rsidR="000F474E" w:rsidRPr="007C4B89">
              <w:rPr>
                <w:rFonts w:ascii="Times New Roman" w:hAnsi="Times New Roman" w:cs="Times New Roman"/>
                <w:i/>
                <w:sz w:val="24"/>
                <w:szCs w:val="24"/>
              </w:rPr>
              <w:t>euro</w:t>
            </w:r>
            <w:r w:rsidR="000F474E">
              <w:rPr>
                <w:rFonts w:ascii="Times New Roman" w:hAnsi="Times New Roman" w:cs="Times New Roman"/>
                <w:sz w:val="24"/>
                <w:szCs w:val="24"/>
              </w:rPr>
              <w:t xml:space="preserve"> ā. </w:t>
            </w:r>
            <w:r w:rsidR="000F474E" w:rsidRPr="00C87D94">
              <w:rPr>
                <w:rFonts w:ascii="Times New Roman" w:hAnsi="Times New Roman" w:cs="Times New Roman"/>
                <w:b/>
                <w:sz w:val="24"/>
                <w:szCs w:val="24"/>
              </w:rPr>
              <w:t xml:space="preserve">Kopējās objekta izmaksas ir 1 390 254 </w:t>
            </w:r>
            <w:r w:rsidR="000F474E" w:rsidRPr="00C87D94">
              <w:rPr>
                <w:rFonts w:ascii="Times New Roman" w:hAnsi="Times New Roman" w:cs="Times New Roman"/>
                <w:b/>
                <w:i/>
                <w:sz w:val="24"/>
                <w:szCs w:val="24"/>
              </w:rPr>
              <w:t>euro</w:t>
            </w:r>
            <w:r w:rsidR="00607532" w:rsidRPr="00C87D94">
              <w:rPr>
                <w:rFonts w:ascii="Times New Roman" w:hAnsi="Times New Roman" w:cs="Times New Roman"/>
                <w:b/>
                <w:sz w:val="24"/>
                <w:szCs w:val="24"/>
              </w:rPr>
              <w:t xml:space="preserve">, tai skaitā 2021.gadā </w:t>
            </w:r>
            <w:r w:rsidR="00C76ED8">
              <w:rPr>
                <w:rFonts w:ascii="Times New Roman" w:hAnsi="Times New Roman" w:cs="Times New Roman"/>
                <w:b/>
                <w:sz w:val="24"/>
                <w:szCs w:val="24"/>
              </w:rPr>
              <w:t>225 400</w:t>
            </w:r>
            <w:r w:rsidR="00262B31">
              <w:rPr>
                <w:rFonts w:ascii="Calibri" w:eastAsia="Times New Roman" w:hAnsi="Calibri" w:cs="Calibri"/>
                <w:color w:val="000000"/>
                <w:lang w:eastAsia="lv-LV"/>
              </w:rPr>
              <w:t xml:space="preserve"> </w:t>
            </w:r>
            <w:r w:rsidR="00607532" w:rsidRPr="00C87D94">
              <w:rPr>
                <w:rFonts w:ascii="Times New Roman" w:hAnsi="Times New Roman" w:cs="Times New Roman"/>
                <w:b/>
                <w:i/>
                <w:sz w:val="24"/>
                <w:szCs w:val="24"/>
              </w:rPr>
              <w:t>euro</w:t>
            </w:r>
            <w:r w:rsidR="00262B31">
              <w:rPr>
                <w:rFonts w:ascii="Times New Roman" w:hAnsi="Times New Roman" w:cs="Times New Roman"/>
                <w:b/>
                <w:i/>
                <w:sz w:val="24"/>
                <w:szCs w:val="24"/>
              </w:rPr>
              <w:t>.</w:t>
            </w:r>
            <w:r w:rsidR="00607532">
              <w:rPr>
                <w:rFonts w:ascii="Times New Roman" w:hAnsi="Times New Roman" w:cs="Times New Roman"/>
                <w:sz w:val="24"/>
                <w:szCs w:val="24"/>
              </w:rPr>
              <w:t xml:space="preserve"> </w:t>
            </w:r>
          </w:p>
          <w:p w:rsidR="00A13939" w:rsidRDefault="00E04E41" w:rsidP="00607532">
            <w:pPr>
              <w:ind w:firstLine="331"/>
              <w:jc w:val="both"/>
              <w:rPr>
                <w:rFonts w:ascii="Times New Roman" w:hAnsi="Times New Roman" w:cs="Times New Roman"/>
                <w:sz w:val="24"/>
                <w:szCs w:val="24"/>
              </w:rPr>
            </w:pPr>
            <w:r>
              <w:rPr>
                <w:rFonts w:ascii="Times New Roman" w:hAnsi="Times New Roman" w:cs="Times New Roman"/>
                <w:sz w:val="24"/>
                <w:szCs w:val="24"/>
              </w:rPr>
              <w:t>[</w:t>
            </w:r>
            <w:r w:rsidR="00F31C32">
              <w:rPr>
                <w:rFonts w:ascii="Times New Roman" w:hAnsi="Times New Roman" w:cs="Times New Roman"/>
                <w:sz w:val="24"/>
                <w:szCs w:val="24"/>
              </w:rPr>
              <w:t>8</w:t>
            </w:r>
            <w:r>
              <w:rPr>
                <w:rFonts w:ascii="Times New Roman" w:hAnsi="Times New Roman" w:cs="Times New Roman"/>
                <w:sz w:val="24"/>
                <w:szCs w:val="24"/>
              </w:rPr>
              <w:t xml:space="preserve">] </w:t>
            </w:r>
            <w:r w:rsidR="000F474E" w:rsidRPr="00C87D94">
              <w:rPr>
                <w:rFonts w:ascii="Times New Roman" w:hAnsi="Times New Roman" w:cs="Times New Roman"/>
                <w:b/>
                <w:i/>
                <w:sz w:val="24"/>
                <w:szCs w:val="24"/>
              </w:rPr>
              <w:t>Iecavā</w:t>
            </w:r>
            <w:r w:rsidR="000F474E" w:rsidRPr="000F474E">
              <w:rPr>
                <w:rFonts w:ascii="Times New Roman" w:hAnsi="Times New Roman" w:cs="Times New Roman"/>
                <w:sz w:val="24"/>
                <w:szCs w:val="24"/>
              </w:rPr>
              <w:t xml:space="preserve"> šobrīd izvietots tikai VUGD.</w:t>
            </w:r>
            <w:r w:rsidR="000F474E">
              <w:rPr>
                <w:rFonts w:ascii="Times New Roman" w:hAnsi="Times New Roman" w:cs="Times New Roman"/>
                <w:sz w:val="24"/>
                <w:szCs w:val="24"/>
              </w:rPr>
              <w:t xml:space="preserve"> </w:t>
            </w:r>
            <w:r w:rsidR="000F474E" w:rsidRPr="000F474E">
              <w:rPr>
                <w:rFonts w:ascii="Times New Roman" w:hAnsi="Times New Roman" w:cs="Times New Roman"/>
                <w:sz w:val="24"/>
                <w:szCs w:val="24"/>
              </w:rPr>
              <w:t>Iecavā plānots veidot administratīvo centru, kurā vienuviet tiktu izvietots gan VUGD, gan VP atbalsta punkts. Esošā VUGD depo ēka Rīgas ielā 18A, Iecavā nodota ekspluatācijā 1910.g</w:t>
            </w:r>
            <w:r>
              <w:rPr>
                <w:rFonts w:ascii="Times New Roman" w:hAnsi="Times New Roman" w:cs="Times New Roman"/>
                <w:sz w:val="24"/>
                <w:szCs w:val="24"/>
              </w:rPr>
              <w:t>adā</w:t>
            </w:r>
            <w:r w:rsidR="000F474E" w:rsidRPr="000F474E">
              <w:rPr>
                <w:rFonts w:ascii="Times New Roman" w:hAnsi="Times New Roman" w:cs="Times New Roman"/>
                <w:sz w:val="24"/>
                <w:szCs w:val="24"/>
              </w:rPr>
              <w:t>. Ēka ir sliktā tehniskā stāvoklī, kā arī neatbilst ugunsdzēsības depo minimālajām prasībām. Sliktā stāvoklī ir gan ēkas fasāde, gan iekštelpas. Daļa ēkas pieder Iecavas novada pašvaldībai.</w:t>
            </w:r>
            <w:r w:rsidR="000F474E">
              <w:rPr>
                <w:rFonts w:ascii="Times New Roman" w:hAnsi="Times New Roman" w:cs="Times New Roman"/>
                <w:sz w:val="24"/>
                <w:szCs w:val="24"/>
              </w:rPr>
              <w:t xml:space="preserve"> </w:t>
            </w:r>
            <w:r w:rsidR="000F474E" w:rsidRPr="000F474E">
              <w:rPr>
                <w:rFonts w:ascii="Times New Roman" w:hAnsi="Times New Roman" w:cs="Times New Roman"/>
                <w:sz w:val="24"/>
                <w:szCs w:val="24"/>
              </w:rPr>
              <w:t>Iecavā plānots izbūvēt jaunu D kategorijas ugunsdzēsības depo, paredzot tajā arī telpas VP atbalsta punktam. Objekta būvniecība paredzēta jaunā vietā</w:t>
            </w:r>
            <w:r w:rsidR="000F474E">
              <w:rPr>
                <w:rFonts w:ascii="Times New Roman" w:hAnsi="Times New Roman" w:cs="Times New Roman"/>
                <w:sz w:val="24"/>
                <w:szCs w:val="24"/>
              </w:rPr>
              <w:t>. Saskaņā ar veikto iepirkumu (</w:t>
            </w:r>
            <w:r w:rsidR="000F474E" w:rsidRPr="009E6A8A">
              <w:rPr>
                <w:rFonts w:ascii="Times New Roman" w:hAnsi="Times New Roman" w:cs="Times New Roman"/>
                <w:sz w:val="24"/>
                <w:szCs w:val="24"/>
              </w:rPr>
              <w:t>Iepirkuma identifikācijas Nr. IeM NVA 2021/35</w:t>
            </w:r>
            <w:r w:rsidR="000F474E">
              <w:rPr>
                <w:rFonts w:ascii="Times New Roman" w:hAnsi="Times New Roman" w:cs="Times New Roman"/>
                <w:sz w:val="24"/>
                <w:szCs w:val="24"/>
              </w:rPr>
              <w:t xml:space="preserve">) būvdarbu veikšanai uzvarēja SIA “RERE BŪVE”, kuras finanšu piedāvājums ir 1 366 807 </w:t>
            </w:r>
            <w:r w:rsidR="000F474E" w:rsidRPr="007C4B89">
              <w:rPr>
                <w:rFonts w:ascii="Times New Roman" w:hAnsi="Times New Roman" w:cs="Times New Roman"/>
                <w:i/>
                <w:sz w:val="24"/>
                <w:szCs w:val="24"/>
              </w:rPr>
              <w:t>euro</w:t>
            </w:r>
            <w:r w:rsidR="000F474E">
              <w:rPr>
                <w:rFonts w:ascii="Times New Roman" w:hAnsi="Times New Roman" w:cs="Times New Roman"/>
                <w:sz w:val="24"/>
                <w:szCs w:val="24"/>
              </w:rPr>
              <w:t xml:space="preserve">, bet būvuzraudzības nodrošināšanā uzvarēja SIA “P.M.G.”, kuras finanšu piedāvājums ir 32 664 </w:t>
            </w:r>
            <w:r w:rsidR="000F474E" w:rsidRPr="007C4B89">
              <w:rPr>
                <w:rFonts w:ascii="Times New Roman" w:hAnsi="Times New Roman" w:cs="Times New Roman"/>
                <w:i/>
                <w:sz w:val="24"/>
                <w:szCs w:val="24"/>
              </w:rPr>
              <w:t>euro</w:t>
            </w:r>
            <w:r w:rsidR="000F474E">
              <w:rPr>
                <w:rFonts w:ascii="Times New Roman" w:hAnsi="Times New Roman" w:cs="Times New Roman"/>
                <w:sz w:val="24"/>
                <w:szCs w:val="24"/>
              </w:rPr>
              <w:t xml:space="preserve">. </w:t>
            </w:r>
            <w:r w:rsidR="000F474E" w:rsidRPr="00C87D94">
              <w:rPr>
                <w:rFonts w:ascii="Times New Roman" w:hAnsi="Times New Roman" w:cs="Times New Roman"/>
                <w:b/>
                <w:sz w:val="24"/>
                <w:szCs w:val="24"/>
              </w:rPr>
              <w:t>Kopējās objekta izmaksas ir 1 3</w:t>
            </w:r>
            <w:r w:rsidR="00644C98" w:rsidRPr="00C87D94">
              <w:rPr>
                <w:rFonts w:ascii="Times New Roman" w:hAnsi="Times New Roman" w:cs="Times New Roman"/>
                <w:b/>
                <w:sz w:val="24"/>
                <w:szCs w:val="24"/>
              </w:rPr>
              <w:t>99</w:t>
            </w:r>
            <w:r w:rsidR="000F474E" w:rsidRPr="00C87D94">
              <w:rPr>
                <w:rFonts w:ascii="Times New Roman" w:hAnsi="Times New Roman" w:cs="Times New Roman"/>
                <w:b/>
                <w:sz w:val="24"/>
                <w:szCs w:val="24"/>
              </w:rPr>
              <w:t xml:space="preserve"> 471 </w:t>
            </w:r>
            <w:r w:rsidR="000F474E" w:rsidRPr="00C87D94">
              <w:rPr>
                <w:rFonts w:ascii="Times New Roman" w:hAnsi="Times New Roman" w:cs="Times New Roman"/>
                <w:b/>
                <w:i/>
                <w:sz w:val="24"/>
                <w:szCs w:val="24"/>
              </w:rPr>
              <w:t>euro</w:t>
            </w:r>
            <w:r w:rsidR="00607532" w:rsidRPr="00C87D94">
              <w:rPr>
                <w:rFonts w:ascii="Times New Roman" w:hAnsi="Times New Roman" w:cs="Times New Roman"/>
                <w:b/>
                <w:sz w:val="24"/>
                <w:szCs w:val="24"/>
              </w:rPr>
              <w:t xml:space="preserve">, tai skaitā 2021.gadā </w:t>
            </w:r>
            <w:r w:rsidR="00C76ED8">
              <w:rPr>
                <w:rFonts w:ascii="Times New Roman" w:hAnsi="Times New Roman" w:cs="Times New Roman"/>
                <w:b/>
                <w:sz w:val="24"/>
                <w:szCs w:val="24"/>
              </w:rPr>
              <w:t xml:space="preserve">226 921 </w:t>
            </w:r>
            <w:r w:rsidR="00607532" w:rsidRPr="00C87D94">
              <w:rPr>
                <w:rFonts w:ascii="Times New Roman" w:hAnsi="Times New Roman" w:cs="Times New Roman"/>
                <w:b/>
                <w:i/>
                <w:sz w:val="24"/>
                <w:szCs w:val="24"/>
              </w:rPr>
              <w:t>euro</w:t>
            </w:r>
            <w:r w:rsidR="00262B31">
              <w:rPr>
                <w:rFonts w:ascii="Times New Roman" w:hAnsi="Times New Roman" w:cs="Times New Roman"/>
                <w:b/>
                <w:i/>
                <w:sz w:val="24"/>
                <w:szCs w:val="24"/>
              </w:rPr>
              <w:t>.</w:t>
            </w:r>
            <w:r w:rsidR="00607532">
              <w:rPr>
                <w:rFonts w:ascii="Times New Roman" w:hAnsi="Times New Roman" w:cs="Times New Roman"/>
                <w:sz w:val="24"/>
                <w:szCs w:val="24"/>
              </w:rPr>
              <w:t xml:space="preserve"> </w:t>
            </w:r>
          </w:p>
          <w:p w:rsidR="00A13939" w:rsidRDefault="00A13939" w:rsidP="00607532">
            <w:pPr>
              <w:ind w:firstLine="331"/>
              <w:jc w:val="both"/>
              <w:rPr>
                <w:rFonts w:ascii="Times New Roman" w:hAnsi="Times New Roman" w:cs="Times New Roman"/>
                <w:sz w:val="24"/>
                <w:szCs w:val="24"/>
              </w:rPr>
            </w:pPr>
            <w:r>
              <w:rPr>
                <w:rFonts w:ascii="Times New Roman" w:hAnsi="Times New Roman" w:cs="Times New Roman"/>
                <w:sz w:val="24"/>
                <w:szCs w:val="24"/>
              </w:rPr>
              <w:t>Rīkojuma projekts paredz:</w:t>
            </w:r>
          </w:p>
          <w:p w:rsidR="00F81533" w:rsidRPr="00A13939" w:rsidRDefault="00A13939" w:rsidP="00A1393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Uzdevumu </w:t>
            </w:r>
            <w:r w:rsidR="00F81533" w:rsidRPr="00A13939">
              <w:rPr>
                <w:rFonts w:ascii="Times New Roman" w:hAnsi="Times New Roman" w:cs="Times New Roman"/>
                <w:sz w:val="24"/>
                <w:szCs w:val="24"/>
              </w:rPr>
              <w:t>Finanšu ministrijai no valsts budžeta programmas 02.00.00 "Līdzekļi neparedzētiem gadījumiem" piešķirt Iekšlietu ministrijai (Nodrošinājuma valsts aģentū</w:t>
            </w:r>
            <w:r w:rsidR="00EC4F5D">
              <w:rPr>
                <w:rFonts w:ascii="Times New Roman" w:hAnsi="Times New Roman" w:cs="Times New Roman"/>
                <w:sz w:val="24"/>
                <w:szCs w:val="24"/>
              </w:rPr>
              <w:t xml:space="preserve">rai) </w:t>
            </w:r>
            <w:r w:rsidR="00506755">
              <w:rPr>
                <w:rFonts w:ascii="Times New Roman" w:hAnsi="Times New Roman" w:cs="Times New Roman"/>
                <w:sz w:val="24"/>
                <w:szCs w:val="24"/>
              </w:rPr>
              <w:t>1 910 236</w:t>
            </w:r>
            <w:r w:rsidR="00F81533" w:rsidRPr="00A13939">
              <w:rPr>
                <w:rFonts w:ascii="Times New Roman" w:hAnsi="Times New Roman" w:cs="Times New Roman"/>
                <w:sz w:val="24"/>
                <w:szCs w:val="24"/>
              </w:rPr>
              <w:t xml:space="preserve"> </w:t>
            </w:r>
            <w:r w:rsidR="00F81533" w:rsidRPr="00A13939">
              <w:rPr>
                <w:rFonts w:ascii="Times New Roman" w:hAnsi="Times New Roman" w:cs="Times New Roman"/>
                <w:i/>
                <w:sz w:val="24"/>
                <w:szCs w:val="24"/>
              </w:rPr>
              <w:t>euro</w:t>
            </w:r>
            <w:r w:rsidR="00F81533" w:rsidRPr="00A13939">
              <w:rPr>
                <w:rFonts w:ascii="Times New Roman" w:hAnsi="Times New Roman" w:cs="Times New Roman"/>
                <w:sz w:val="24"/>
                <w:szCs w:val="24"/>
              </w:rPr>
              <w:t xml:space="preserve"> augstas gatavības projektu (jaunu ugunsdzēsības depo būvniecība Aizputē, Dagdā, Iecavā, Ilūkstē, Kandavā, Priekulē, Rūjienā, Saulkrastos) īstenošanai Covid-19 krīzes seku pārvarēšanas un ekonomikas atlabšanas pasākuma “Infrastruktūras attīstības projektu īstenošana iekšlietu nozarē” ietvaros.</w:t>
            </w:r>
          </w:p>
          <w:p w:rsidR="00F81533" w:rsidRPr="00A13939" w:rsidRDefault="00A13939" w:rsidP="00A1393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Uzdevumu </w:t>
            </w:r>
            <w:r w:rsidR="00F81533" w:rsidRPr="00A13939">
              <w:rPr>
                <w:rFonts w:ascii="Times New Roman" w:hAnsi="Times New Roman" w:cs="Times New Roman"/>
                <w:sz w:val="24"/>
                <w:szCs w:val="24"/>
              </w:rPr>
              <w:t xml:space="preserve">Iekšlietu ministrijai sagatavot </w:t>
            </w:r>
            <w:r w:rsidR="00645BCB">
              <w:rPr>
                <w:rFonts w:ascii="Times New Roman" w:hAnsi="Times New Roman" w:cs="Times New Roman"/>
                <w:sz w:val="24"/>
                <w:szCs w:val="24"/>
              </w:rPr>
              <w:t xml:space="preserve">un </w:t>
            </w:r>
            <w:r w:rsidR="00F81533" w:rsidRPr="00A13939">
              <w:rPr>
                <w:rFonts w:ascii="Times New Roman" w:hAnsi="Times New Roman" w:cs="Times New Roman"/>
                <w:sz w:val="24"/>
                <w:szCs w:val="24"/>
              </w:rPr>
              <w:t>normatīvajos aktos noteiktajā kārtībā iesniegt Finanšu ministrijā pieprasījumu par līdzekļu piešķiršanu atbilstoši 1. punktam.</w:t>
            </w:r>
          </w:p>
          <w:p w:rsidR="00A06629" w:rsidRPr="0011149B" w:rsidRDefault="00A13939" w:rsidP="00A1393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Uzdevumu f</w:t>
            </w:r>
            <w:r w:rsidR="00F81533" w:rsidRPr="00A13939">
              <w:rPr>
                <w:rFonts w:ascii="Times New Roman" w:hAnsi="Times New Roman" w:cs="Times New Roman"/>
                <w:sz w:val="24"/>
                <w:szCs w:val="24"/>
              </w:rPr>
              <w:t>inanšu ministram normatīvajos aktos noteiktajā kārtībā informēt Saeimas Budžeta un finanšu (nodokļu) komisiju par apropriācijas izmaiņām atbilstoši 1. punktam un, ja Saeimas Budžeta un finanšu (nodokļu) komisija piecu darbdienu laikā pēc attiecīgās informācijas saņemšanas nav izteikusi iebildumus, veikt apropriācijas izmaiņas.</w:t>
            </w:r>
          </w:p>
        </w:tc>
      </w:tr>
      <w:tr w:rsidR="00A06629" w:rsidRPr="00E16F48" w:rsidTr="007A2CF1">
        <w:trPr>
          <w:trHeight w:val="465"/>
        </w:trPr>
        <w:tc>
          <w:tcPr>
            <w:tcW w:w="250" w:type="pct"/>
            <w:tcBorders>
              <w:bottom w:val="single" w:sz="4" w:space="0" w:color="auto"/>
            </w:tcBorders>
            <w:hideMark/>
          </w:tcPr>
          <w:p w:rsidR="00A06629" w:rsidRPr="00E16F48" w:rsidRDefault="00A06629" w:rsidP="007A2CF1">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3.</w:t>
            </w:r>
          </w:p>
        </w:tc>
        <w:tc>
          <w:tcPr>
            <w:tcW w:w="1156" w:type="pct"/>
            <w:tcBorders>
              <w:bottom w:val="single" w:sz="4" w:space="0" w:color="auto"/>
            </w:tcBorders>
            <w:hideMark/>
          </w:tcPr>
          <w:p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p>
        </w:tc>
        <w:tc>
          <w:tcPr>
            <w:tcW w:w="3595" w:type="pct"/>
            <w:tcBorders>
              <w:bottom w:val="single" w:sz="4" w:space="0" w:color="auto"/>
            </w:tcBorders>
            <w:hideMark/>
          </w:tcPr>
          <w:p w:rsidR="00A06629" w:rsidRPr="00E16F48" w:rsidRDefault="008E1D56" w:rsidP="007A2CF1">
            <w:pPr>
              <w:rPr>
                <w:rFonts w:ascii="Times New Roman" w:eastAsia="Times New Roman" w:hAnsi="Times New Roman" w:cs="Times New Roman"/>
                <w:sz w:val="24"/>
                <w:szCs w:val="24"/>
                <w:lang w:eastAsia="lv-LV"/>
              </w:rPr>
            </w:pPr>
            <w:r w:rsidRPr="003D5B21">
              <w:rPr>
                <w:rFonts w:ascii="Times New Roman" w:eastAsia="Times New Roman" w:hAnsi="Times New Roman" w:cs="Times New Roman"/>
                <w:sz w:val="24"/>
                <w:szCs w:val="24"/>
                <w:lang w:eastAsia="lv-LV"/>
              </w:rPr>
              <w:t>Iekšlietu ministrija, Nodrošinājuma valsts aģentūra.</w:t>
            </w:r>
          </w:p>
        </w:tc>
      </w:tr>
      <w:tr w:rsidR="00A06629" w:rsidRPr="00E16F48" w:rsidTr="007A2CF1">
        <w:tc>
          <w:tcPr>
            <w:tcW w:w="250" w:type="pct"/>
            <w:tcBorders>
              <w:bottom w:val="single" w:sz="4" w:space="0" w:color="auto"/>
            </w:tcBorders>
            <w:hideMark/>
          </w:tcPr>
          <w:p w:rsidR="00A06629" w:rsidRPr="00E16F48" w:rsidRDefault="00A06629" w:rsidP="007A2CF1">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4.</w:t>
            </w:r>
          </w:p>
        </w:tc>
        <w:tc>
          <w:tcPr>
            <w:tcW w:w="1156" w:type="pct"/>
            <w:tcBorders>
              <w:bottom w:val="single" w:sz="4" w:space="0" w:color="auto"/>
            </w:tcBorders>
            <w:hideMark/>
          </w:tcPr>
          <w:p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Cita informācija</w:t>
            </w:r>
          </w:p>
        </w:tc>
        <w:tc>
          <w:tcPr>
            <w:tcW w:w="3595" w:type="pct"/>
            <w:tcBorders>
              <w:bottom w:val="single" w:sz="4" w:space="0" w:color="auto"/>
            </w:tcBorders>
            <w:hideMark/>
          </w:tcPr>
          <w:p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Nav.</w:t>
            </w:r>
          </w:p>
        </w:tc>
      </w:tr>
      <w:tr w:rsidR="00A06629" w:rsidRPr="00E16F48" w:rsidTr="007A2CF1">
        <w:tc>
          <w:tcPr>
            <w:tcW w:w="250" w:type="pct"/>
            <w:tcBorders>
              <w:top w:val="single" w:sz="4" w:space="0" w:color="auto"/>
              <w:left w:val="nil"/>
              <w:bottom w:val="nil"/>
              <w:right w:val="nil"/>
            </w:tcBorders>
          </w:tcPr>
          <w:p w:rsidR="00A06629" w:rsidRPr="00E16F48" w:rsidRDefault="00A06629" w:rsidP="007A2CF1">
            <w:pPr>
              <w:jc w:val="center"/>
              <w:rPr>
                <w:rFonts w:ascii="Times New Roman" w:eastAsia="Times New Roman" w:hAnsi="Times New Roman" w:cs="Times New Roman"/>
                <w:sz w:val="24"/>
                <w:szCs w:val="24"/>
                <w:lang w:eastAsia="lv-LV"/>
              </w:rPr>
            </w:pPr>
          </w:p>
        </w:tc>
        <w:tc>
          <w:tcPr>
            <w:tcW w:w="1156" w:type="pct"/>
            <w:tcBorders>
              <w:top w:val="single" w:sz="4" w:space="0" w:color="auto"/>
              <w:left w:val="nil"/>
              <w:bottom w:val="nil"/>
              <w:right w:val="nil"/>
            </w:tcBorders>
          </w:tcPr>
          <w:p w:rsidR="00A06629" w:rsidRPr="00E16F48" w:rsidRDefault="00A06629" w:rsidP="007A2CF1">
            <w:pPr>
              <w:rPr>
                <w:rFonts w:ascii="Times New Roman" w:eastAsia="Times New Roman" w:hAnsi="Times New Roman" w:cs="Times New Roman"/>
                <w:sz w:val="24"/>
                <w:szCs w:val="24"/>
                <w:lang w:eastAsia="lv-LV"/>
              </w:rPr>
            </w:pPr>
          </w:p>
        </w:tc>
        <w:tc>
          <w:tcPr>
            <w:tcW w:w="3595" w:type="pct"/>
            <w:tcBorders>
              <w:top w:val="single" w:sz="4" w:space="0" w:color="auto"/>
              <w:left w:val="nil"/>
              <w:bottom w:val="nil"/>
              <w:right w:val="nil"/>
            </w:tcBorders>
          </w:tcPr>
          <w:p w:rsidR="00A06629" w:rsidRPr="00E16F48" w:rsidRDefault="00A06629" w:rsidP="007A2CF1">
            <w:pPr>
              <w:rPr>
                <w:rFonts w:ascii="Times New Roman" w:eastAsia="Times New Roman" w:hAnsi="Times New Roman" w:cs="Times New Roman"/>
                <w:sz w:val="24"/>
                <w:szCs w:val="24"/>
                <w:lang w:eastAsia="lv-LV"/>
              </w:rPr>
            </w:pPr>
          </w:p>
        </w:tc>
      </w:tr>
    </w:tbl>
    <w:p w:rsidR="00A06629" w:rsidRPr="00E16F48" w:rsidRDefault="00A06629" w:rsidP="00A06629">
      <w:pPr>
        <w:spacing w:after="0" w:line="240" w:lineRule="auto"/>
        <w:rPr>
          <w:rFonts w:ascii="Times New Roman" w:eastAsia="Times New Roman" w:hAnsi="Times New Roman" w:cs="Times New Roman"/>
          <w:vanish/>
          <w:sz w:val="24"/>
          <w:szCs w:val="24"/>
          <w:lang w:eastAsia="lv-LV"/>
        </w:rPr>
      </w:pPr>
    </w:p>
    <w:p w:rsidR="00A06629" w:rsidRPr="00E16F48" w:rsidRDefault="00A06629" w:rsidP="00A06629">
      <w:pPr>
        <w:spacing w:after="0" w:line="240" w:lineRule="auto"/>
        <w:jc w:val="center"/>
        <w:rPr>
          <w:rFonts w:ascii="Times New Roman" w:eastAsia="Times New Roman" w:hAnsi="Times New Roman" w:cs="Times New Roman"/>
          <w:vanish/>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A06629" w:rsidRPr="00E16F48" w:rsidTr="007A2CF1">
        <w:trPr>
          <w:trHeight w:val="555"/>
        </w:trPr>
        <w:tc>
          <w:tcPr>
            <w:tcW w:w="5000" w:type="pct"/>
            <w:tcBorders>
              <w:bottom w:val="single" w:sz="4" w:space="0" w:color="auto"/>
            </w:tcBorders>
            <w:hideMark/>
          </w:tcPr>
          <w:p w:rsidR="00A06629" w:rsidRPr="00E16F48" w:rsidRDefault="00A06629" w:rsidP="007A2CF1">
            <w:pPr>
              <w:spacing w:before="100" w:beforeAutospacing="1" w:after="100" w:afterAutospacing="1"/>
              <w:ind w:firstLine="300"/>
              <w:jc w:val="center"/>
              <w:rPr>
                <w:rFonts w:ascii="Times New Roman" w:eastAsia="Times New Roman" w:hAnsi="Times New Roman" w:cs="Times New Roman"/>
                <w:b/>
                <w:bCs/>
                <w:sz w:val="24"/>
                <w:szCs w:val="24"/>
                <w:lang w:eastAsia="lv-LV"/>
              </w:rPr>
            </w:pPr>
            <w:r w:rsidRPr="00E16F48">
              <w:rPr>
                <w:rFonts w:ascii="Times New Roman" w:hAnsi="Times New Roman" w:cs="Times New Roman"/>
                <w:sz w:val="24"/>
                <w:szCs w:val="24"/>
              </w:rPr>
              <w:br w:type="page"/>
            </w:r>
            <w:r w:rsidRPr="00E16F4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06629" w:rsidRPr="00E16F48" w:rsidTr="007A2CF1">
        <w:trPr>
          <w:trHeight w:val="388"/>
        </w:trPr>
        <w:tc>
          <w:tcPr>
            <w:tcW w:w="5000" w:type="pct"/>
            <w:tcBorders>
              <w:bottom w:val="single" w:sz="4" w:space="0" w:color="auto"/>
            </w:tcBorders>
          </w:tcPr>
          <w:p w:rsidR="00A06629" w:rsidRPr="00E16F48" w:rsidRDefault="00A06629" w:rsidP="007A2CF1">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A06629" w:rsidRPr="00E16F48" w:rsidTr="007A2CF1">
        <w:trPr>
          <w:trHeight w:val="388"/>
        </w:trPr>
        <w:tc>
          <w:tcPr>
            <w:tcW w:w="5000" w:type="pct"/>
            <w:tcBorders>
              <w:top w:val="single" w:sz="4" w:space="0" w:color="auto"/>
              <w:left w:val="nil"/>
              <w:bottom w:val="nil"/>
              <w:right w:val="nil"/>
            </w:tcBorders>
          </w:tcPr>
          <w:p w:rsidR="00A06629" w:rsidRPr="00E16F48" w:rsidRDefault="00A06629" w:rsidP="007A2CF1">
            <w:pPr>
              <w:ind w:firstLine="338"/>
              <w:jc w:val="center"/>
              <w:rPr>
                <w:rFonts w:ascii="Times New Roman" w:eastAsia="Times New Roman" w:hAnsi="Times New Roman" w:cs="Times New Roman"/>
                <w:sz w:val="24"/>
                <w:szCs w:val="24"/>
                <w:lang w:eastAsia="lv-LV"/>
              </w:rPr>
            </w:pPr>
          </w:p>
        </w:tc>
      </w:tr>
    </w:tbl>
    <w:tbl>
      <w:tblPr>
        <w:tblW w:w="5243"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267"/>
        <w:gridCol w:w="853"/>
        <w:gridCol w:w="1277"/>
        <w:gridCol w:w="849"/>
        <w:gridCol w:w="1418"/>
        <w:gridCol w:w="851"/>
        <w:gridCol w:w="992"/>
        <w:gridCol w:w="984"/>
        <w:gridCol w:w="10"/>
      </w:tblGrid>
      <w:tr w:rsidR="00A06629" w:rsidRPr="00E16F48" w:rsidTr="00312413">
        <w:trPr>
          <w:trHeight w:val="360"/>
        </w:trPr>
        <w:tc>
          <w:tcPr>
            <w:tcW w:w="5000" w:type="pct"/>
            <w:gridSpan w:val="9"/>
            <w:vAlign w:val="center"/>
            <w:hideMark/>
          </w:tcPr>
          <w:p w:rsidR="00A06629" w:rsidRPr="00E16F48" w:rsidRDefault="00A06629" w:rsidP="007A2CF1">
            <w:pPr>
              <w:spacing w:after="0" w:line="240" w:lineRule="auto"/>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III. Tiesību akta projekta ietekme uz valsts budžetu un pašvaldību budžetiem</w:t>
            </w:r>
          </w:p>
        </w:tc>
      </w:tr>
      <w:tr w:rsidR="00A06629" w:rsidRPr="00E16F48" w:rsidTr="00312413">
        <w:tblPrEx>
          <w:tblCellMar>
            <w:top w:w="28" w:type="dxa"/>
            <w:left w:w="28" w:type="dxa"/>
            <w:bottom w:w="28" w:type="dxa"/>
            <w:right w:w="28" w:type="dxa"/>
          </w:tblCellMar>
        </w:tblPrEx>
        <w:trPr>
          <w:cantSplit/>
        </w:trPr>
        <w:tc>
          <w:tcPr>
            <w:tcW w:w="1193" w:type="pct"/>
            <w:vMerge w:val="restart"/>
            <w:shd w:val="clear" w:color="auto" w:fill="FFFFFF"/>
            <w:vAlign w:val="center"/>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Rādītāji</w:t>
            </w:r>
          </w:p>
        </w:tc>
        <w:tc>
          <w:tcPr>
            <w:tcW w:w="1121" w:type="pct"/>
            <w:gridSpan w:val="2"/>
            <w:vMerge w:val="restart"/>
            <w:shd w:val="clear" w:color="auto" w:fill="FFFFFF"/>
            <w:vAlign w:val="center"/>
            <w:hideMark/>
          </w:tcPr>
          <w:p w:rsidR="00A06629" w:rsidRPr="00E16F48" w:rsidRDefault="00A06629" w:rsidP="00644C98">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w:t>
            </w:r>
            <w:r w:rsidR="00644C98">
              <w:rPr>
                <w:rFonts w:ascii="Times New Roman" w:eastAsia="Times New Roman" w:hAnsi="Times New Roman" w:cs="Times New Roman"/>
                <w:sz w:val="24"/>
                <w:szCs w:val="24"/>
                <w:lang w:eastAsia="lv-LV"/>
              </w:rPr>
              <w:t>21</w:t>
            </w:r>
            <w:r w:rsidRPr="00E16F4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gads</w:t>
            </w:r>
          </w:p>
        </w:tc>
        <w:tc>
          <w:tcPr>
            <w:tcW w:w="2685" w:type="pct"/>
            <w:gridSpan w:val="6"/>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Turpmākie trīs gadi (</w:t>
            </w:r>
            <w:r w:rsidRPr="00E16F48">
              <w:rPr>
                <w:rFonts w:ascii="Times New Roman" w:eastAsia="Times New Roman" w:hAnsi="Times New Roman" w:cs="Times New Roman"/>
                <w:i/>
                <w:sz w:val="24"/>
                <w:szCs w:val="24"/>
                <w:lang w:eastAsia="lv-LV"/>
              </w:rPr>
              <w:t>euro</w:t>
            </w:r>
            <w:r w:rsidRPr="00E16F48">
              <w:rPr>
                <w:rFonts w:ascii="Times New Roman" w:eastAsia="Times New Roman" w:hAnsi="Times New Roman" w:cs="Times New Roman"/>
                <w:sz w:val="24"/>
                <w:szCs w:val="24"/>
                <w:lang w:eastAsia="lv-LV"/>
              </w:rPr>
              <w:t>)</w:t>
            </w:r>
          </w:p>
        </w:tc>
      </w:tr>
      <w:tr w:rsidR="00A06629" w:rsidRPr="00E16F48" w:rsidTr="00312413">
        <w:tblPrEx>
          <w:tblCellMar>
            <w:top w:w="28" w:type="dxa"/>
            <w:left w:w="28" w:type="dxa"/>
            <w:bottom w:w="28" w:type="dxa"/>
            <w:right w:w="28" w:type="dxa"/>
          </w:tblCellMar>
        </w:tblPrEx>
        <w:trPr>
          <w:gridAfter w:val="1"/>
          <w:wAfter w:w="4" w:type="pct"/>
          <w:cantSplit/>
        </w:trPr>
        <w:tc>
          <w:tcPr>
            <w:tcW w:w="1193" w:type="pct"/>
            <w:vMerge/>
            <w:shd w:val="clear" w:color="auto" w:fill="auto"/>
            <w:vAlign w:val="center"/>
            <w:hideMark/>
          </w:tcPr>
          <w:p w:rsidR="00A06629" w:rsidRPr="00E16F48" w:rsidRDefault="00A06629" w:rsidP="007A2CF1">
            <w:pPr>
              <w:spacing w:after="0" w:line="240" w:lineRule="auto"/>
              <w:jc w:val="both"/>
              <w:rPr>
                <w:rFonts w:ascii="Times New Roman" w:eastAsia="Times New Roman" w:hAnsi="Times New Roman" w:cs="Times New Roman"/>
                <w:sz w:val="24"/>
                <w:szCs w:val="24"/>
                <w:lang w:eastAsia="lv-LV"/>
              </w:rPr>
            </w:pPr>
          </w:p>
        </w:tc>
        <w:tc>
          <w:tcPr>
            <w:tcW w:w="1121" w:type="pct"/>
            <w:gridSpan w:val="2"/>
            <w:vMerge/>
            <w:shd w:val="clear" w:color="auto" w:fill="auto"/>
            <w:vAlign w:val="center"/>
            <w:hideMark/>
          </w:tcPr>
          <w:p w:rsidR="00A06629" w:rsidRPr="00E16F48" w:rsidRDefault="00A06629" w:rsidP="007A2CF1">
            <w:pPr>
              <w:spacing w:after="0" w:line="240" w:lineRule="auto"/>
              <w:jc w:val="both"/>
              <w:rPr>
                <w:rFonts w:ascii="Times New Roman" w:eastAsia="Times New Roman" w:hAnsi="Times New Roman" w:cs="Times New Roman"/>
                <w:sz w:val="24"/>
                <w:szCs w:val="24"/>
                <w:lang w:eastAsia="lv-LV"/>
              </w:rPr>
            </w:pPr>
          </w:p>
        </w:tc>
        <w:tc>
          <w:tcPr>
            <w:tcW w:w="1193" w:type="pct"/>
            <w:gridSpan w:val="2"/>
            <w:shd w:val="clear" w:color="auto" w:fill="FFFFFF"/>
            <w:vAlign w:val="center"/>
            <w:hideMark/>
          </w:tcPr>
          <w:p w:rsidR="00A06629" w:rsidRPr="00E16F48" w:rsidRDefault="00A06629" w:rsidP="00644C98">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w:t>
            </w:r>
            <w:r w:rsidR="00644C98">
              <w:rPr>
                <w:rFonts w:ascii="Times New Roman" w:eastAsia="Times New Roman" w:hAnsi="Times New Roman" w:cs="Times New Roman"/>
                <w:sz w:val="24"/>
                <w:szCs w:val="24"/>
                <w:lang w:eastAsia="lv-LV"/>
              </w:rPr>
              <w:t>2</w:t>
            </w:r>
          </w:p>
        </w:tc>
        <w:tc>
          <w:tcPr>
            <w:tcW w:w="970" w:type="pct"/>
            <w:gridSpan w:val="2"/>
            <w:shd w:val="clear" w:color="auto" w:fill="FFFFFF"/>
            <w:vAlign w:val="center"/>
            <w:hideMark/>
          </w:tcPr>
          <w:p w:rsidR="00A06629" w:rsidRPr="00E16F48" w:rsidRDefault="00A06629" w:rsidP="00644C98">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202</w:t>
            </w:r>
            <w:r w:rsidR="00644C98">
              <w:rPr>
                <w:rFonts w:ascii="Times New Roman" w:eastAsia="Times New Roman" w:hAnsi="Times New Roman" w:cs="Times New Roman"/>
                <w:sz w:val="24"/>
                <w:szCs w:val="24"/>
                <w:lang w:eastAsia="lv-LV"/>
              </w:rPr>
              <w:t>3</w:t>
            </w:r>
          </w:p>
        </w:tc>
        <w:tc>
          <w:tcPr>
            <w:tcW w:w="518" w:type="pct"/>
            <w:shd w:val="clear" w:color="auto" w:fill="FFFFFF"/>
            <w:vAlign w:val="center"/>
            <w:hideMark/>
          </w:tcPr>
          <w:p w:rsidR="00A06629" w:rsidRPr="00E16F48" w:rsidRDefault="00A06629" w:rsidP="00644C98">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202</w:t>
            </w:r>
            <w:r w:rsidR="00644C98">
              <w:rPr>
                <w:rFonts w:ascii="Times New Roman" w:eastAsia="Times New Roman" w:hAnsi="Times New Roman" w:cs="Times New Roman"/>
                <w:sz w:val="24"/>
                <w:szCs w:val="24"/>
                <w:lang w:eastAsia="lv-LV"/>
              </w:rPr>
              <w:t>4</w:t>
            </w:r>
          </w:p>
        </w:tc>
      </w:tr>
      <w:tr w:rsidR="00A06629" w:rsidRPr="00E16F48" w:rsidTr="00312413">
        <w:tblPrEx>
          <w:tblCellMar>
            <w:top w:w="28" w:type="dxa"/>
            <w:left w:w="28" w:type="dxa"/>
            <w:bottom w:w="28" w:type="dxa"/>
            <w:right w:w="28" w:type="dxa"/>
          </w:tblCellMar>
        </w:tblPrEx>
        <w:trPr>
          <w:gridAfter w:val="1"/>
          <w:wAfter w:w="4" w:type="pct"/>
          <w:cantSplit/>
        </w:trPr>
        <w:tc>
          <w:tcPr>
            <w:tcW w:w="1193" w:type="pct"/>
            <w:vMerge/>
            <w:shd w:val="clear" w:color="auto" w:fill="auto"/>
            <w:vAlign w:val="center"/>
            <w:hideMark/>
          </w:tcPr>
          <w:p w:rsidR="00A06629" w:rsidRPr="00E16F48" w:rsidRDefault="00A06629" w:rsidP="007A2CF1">
            <w:pPr>
              <w:spacing w:after="0" w:line="240" w:lineRule="auto"/>
              <w:jc w:val="both"/>
              <w:rPr>
                <w:rFonts w:ascii="Times New Roman" w:eastAsia="Times New Roman" w:hAnsi="Times New Roman" w:cs="Times New Roman"/>
                <w:sz w:val="24"/>
                <w:szCs w:val="24"/>
                <w:lang w:eastAsia="lv-LV"/>
              </w:rPr>
            </w:pPr>
          </w:p>
        </w:tc>
        <w:tc>
          <w:tcPr>
            <w:tcW w:w="449"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saskaņā ar valsts budžetu kārtējam gadam</w:t>
            </w:r>
          </w:p>
        </w:tc>
        <w:tc>
          <w:tcPr>
            <w:tcW w:w="672"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izmaiņas kārtējā gadā, salīdzinot ar valsts budžetu kārtējam gadam</w:t>
            </w:r>
          </w:p>
        </w:tc>
        <w:tc>
          <w:tcPr>
            <w:tcW w:w="447"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saskaņā ar vidēja termiņa budžeta ietvaru</w:t>
            </w:r>
          </w:p>
        </w:tc>
        <w:tc>
          <w:tcPr>
            <w:tcW w:w="746" w:type="pct"/>
            <w:shd w:val="clear" w:color="auto" w:fill="FFFFFF"/>
            <w:vAlign w:val="center"/>
            <w:hideMark/>
          </w:tcPr>
          <w:p w:rsidR="00A06629" w:rsidRPr="00E16F48" w:rsidRDefault="00A06629" w:rsidP="00644C98">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w:t>
            </w:r>
            <w:r w:rsidR="00644C9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E16F48">
              <w:rPr>
                <w:rFonts w:ascii="Times New Roman" w:eastAsia="Times New Roman" w:hAnsi="Times New Roman" w:cs="Times New Roman"/>
                <w:sz w:val="24"/>
                <w:szCs w:val="24"/>
                <w:lang w:eastAsia="lv-LV"/>
              </w:rPr>
              <w:t xml:space="preserve"> gadam</w:t>
            </w:r>
          </w:p>
        </w:tc>
        <w:tc>
          <w:tcPr>
            <w:tcW w:w="448"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saskaņā ar vidēja termiņa budžeta ietvaru</w:t>
            </w:r>
          </w:p>
        </w:tc>
        <w:tc>
          <w:tcPr>
            <w:tcW w:w="522" w:type="pct"/>
            <w:shd w:val="clear" w:color="auto" w:fill="FFFFFF"/>
            <w:vAlign w:val="center"/>
            <w:hideMark/>
          </w:tcPr>
          <w:p w:rsidR="00A06629" w:rsidRPr="00E16F48" w:rsidRDefault="00A06629" w:rsidP="00644C98">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w:t>
            </w:r>
            <w:r w:rsidR="00644C98">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Pr="00E16F48">
              <w:rPr>
                <w:rFonts w:ascii="Times New Roman" w:eastAsia="Times New Roman" w:hAnsi="Times New Roman" w:cs="Times New Roman"/>
                <w:sz w:val="24"/>
                <w:szCs w:val="24"/>
                <w:lang w:eastAsia="lv-LV"/>
              </w:rPr>
              <w:t xml:space="preserve"> gadam</w:t>
            </w:r>
          </w:p>
        </w:tc>
        <w:tc>
          <w:tcPr>
            <w:tcW w:w="518" w:type="pct"/>
            <w:shd w:val="clear" w:color="auto" w:fill="FFFFFF"/>
            <w:vAlign w:val="center"/>
            <w:hideMark/>
          </w:tcPr>
          <w:p w:rsidR="00A06629" w:rsidRPr="00E16F48" w:rsidRDefault="00A06629" w:rsidP="00644C98">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 xml:space="preserve">izmaiņas, salīdzinot ar vidēja termiņa budžeta ietvaru </w:t>
            </w:r>
            <w:r w:rsidRPr="00E16F48">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202</w:t>
            </w:r>
            <w:r w:rsidR="00644C98">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Pr="00E16F48">
              <w:rPr>
                <w:rFonts w:ascii="Times New Roman" w:eastAsia="Times New Roman" w:hAnsi="Times New Roman" w:cs="Times New Roman"/>
                <w:sz w:val="24"/>
                <w:szCs w:val="24"/>
                <w:lang w:eastAsia="lv-LV"/>
              </w:rPr>
              <w:t xml:space="preserve"> gadam</w:t>
            </w:r>
          </w:p>
        </w:tc>
      </w:tr>
      <w:tr w:rsidR="00A06629"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w:t>
            </w:r>
          </w:p>
        </w:tc>
        <w:tc>
          <w:tcPr>
            <w:tcW w:w="449"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w:t>
            </w:r>
          </w:p>
        </w:tc>
        <w:tc>
          <w:tcPr>
            <w:tcW w:w="672"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w:t>
            </w:r>
          </w:p>
        </w:tc>
        <w:tc>
          <w:tcPr>
            <w:tcW w:w="447"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4</w:t>
            </w:r>
          </w:p>
        </w:tc>
        <w:tc>
          <w:tcPr>
            <w:tcW w:w="746"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w:t>
            </w:r>
          </w:p>
        </w:tc>
        <w:tc>
          <w:tcPr>
            <w:tcW w:w="448"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w:t>
            </w:r>
          </w:p>
        </w:tc>
        <w:tc>
          <w:tcPr>
            <w:tcW w:w="522"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7</w:t>
            </w:r>
          </w:p>
        </w:tc>
        <w:tc>
          <w:tcPr>
            <w:tcW w:w="518"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8</w:t>
            </w:r>
          </w:p>
        </w:tc>
      </w:tr>
      <w:tr w:rsidR="00A06629"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FFFFFF"/>
            <w:hideMark/>
          </w:tcPr>
          <w:p w:rsidR="00A06629" w:rsidRPr="00E16F48" w:rsidRDefault="00A06629" w:rsidP="007A2CF1">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 Budžeta ieņēmumi</w:t>
            </w:r>
          </w:p>
        </w:tc>
        <w:tc>
          <w:tcPr>
            <w:tcW w:w="449"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6"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FFFFFF"/>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06629"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auto"/>
            <w:hideMark/>
          </w:tcPr>
          <w:p w:rsidR="00A06629" w:rsidRPr="00E16F48" w:rsidRDefault="00A06629" w:rsidP="007A2CF1">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1.1. valsts pamatbudžets, tai skaitā ieņēmumi no maksas pakalpojumiem un citi pašu ieņēmumi</w:t>
            </w:r>
          </w:p>
        </w:tc>
        <w:tc>
          <w:tcPr>
            <w:tcW w:w="449"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6"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06629"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auto"/>
            <w:hideMark/>
          </w:tcPr>
          <w:p w:rsidR="00A06629" w:rsidRPr="00E16F48" w:rsidRDefault="00A06629" w:rsidP="007A2CF1">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1.2. valsts speciālais budžets</w:t>
            </w:r>
          </w:p>
        </w:tc>
        <w:tc>
          <w:tcPr>
            <w:tcW w:w="449"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6"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06629"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auto"/>
            <w:hideMark/>
          </w:tcPr>
          <w:p w:rsidR="00A06629" w:rsidRPr="00E16F48" w:rsidRDefault="00A06629" w:rsidP="007A2CF1">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1.3. pašvaldību budžets</w:t>
            </w:r>
          </w:p>
        </w:tc>
        <w:tc>
          <w:tcPr>
            <w:tcW w:w="449"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6"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06629"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auto"/>
            <w:hideMark/>
          </w:tcPr>
          <w:p w:rsidR="00A06629" w:rsidRPr="00E16F48" w:rsidRDefault="00A06629" w:rsidP="007A2CF1">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 Budžeta izdevumi</w:t>
            </w:r>
          </w:p>
        </w:tc>
        <w:tc>
          <w:tcPr>
            <w:tcW w:w="449"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shd w:val="clear" w:color="auto" w:fill="auto"/>
            <w:vAlign w:val="center"/>
          </w:tcPr>
          <w:p w:rsidR="00A06629" w:rsidRPr="00E16F48" w:rsidRDefault="00506755"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1 910 236</w:t>
            </w:r>
          </w:p>
        </w:tc>
        <w:tc>
          <w:tcPr>
            <w:tcW w:w="447"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6" w:type="pct"/>
            <w:shd w:val="clear" w:color="auto" w:fill="auto"/>
            <w:vAlign w:val="center"/>
            <w:hideMark/>
          </w:tcPr>
          <w:p w:rsidR="00A06629" w:rsidRPr="00312413" w:rsidRDefault="00653A59" w:rsidP="00644C98">
            <w:pPr>
              <w:spacing w:after="0" w:line="240" w:lineRule="auto"/>
              <w:ind w:left="-170" w:firstLine="17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rsidR="00A06629" w:rsidRPr="00E16F48" w:rsidRDefault="00A06629" w:rsidP="007A2C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auto"/>
            <w:hideMark/>
          </w:tcPr>
          <w:p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2.1. valsts pamatbudžets</w:t>
            </w:r>
          </w:p>
        </w:tc>
        <w:tc>
          <w:tcPr>
            <w:tcW w:w="449"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shd w:val="clear" w:color="auto" w:fill="auto"/>
            <w:vAlign w:val="center"/>
          </w:tcPr>
          <w:p w:rsidR="00644C98" w:rsidRPr="00E16F48" w:rsidRDefault="00506755"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1 910 236</w:t>
            </w:r>
          </w:p>
        </w:tc>
        <w:tc>
          <w:tcPr>
            <w:tcW w:w="447"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6" w:type="pct"/>
            <w:shd w:val="clear" w:color="auto" w:fill="auto"/>
            <w:vAlign w:val="center"/>
            <w:hideMark/>
          </w:tcPr>
          <w:p w:rsidR="00644C98" w:rsidRPr="00644C98" w:rsidRDefault="00653A59" w:rsidP="00644C98">
            <w:pPr>
              <w:spacing w:after="0" w:line="240" w:lineRule="auto"/>
              <w:ind w:left="-170" w:firstLine="170"/>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auto"/>
            <w:hideMark/>
          </w:tcPr>
          <w:p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2.2. valsts speciālais budžets</w:t>
            </w:r>
          </w:p>
        </w:tc>
        <w:tc>
          <w:tcPr>
            <w:tcW w:w="449"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6"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auto"/>
            <w:hideMark/>
          </w:tcPr>
          <w:p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2.3. pašvaldību budžets</w:t>
            </w:r>
          </w:p>
        </w:tc>
        <w:tc>
          <w:tcPr>
            <w:tcW w:w="449"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6"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auto"/>
            <w:hideMark/>
          </w:tcPr>
          <w:p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 Finansiālā ietekme</w:t>
            </w:r>
          </w:p>
        </w:tc>
        <w:tc>
          <w:tcPr>
            <w:tcW w:w="449"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shd w:val="clear" w:color="auto" w:fill="auto"/>
            <w:vAlign w:val="center"/>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506755">
              <w:rPr>
                <w:rFonts w:ascii="Times New Roman" w:eastAsia="Times New Roman" w:hAnsi="Times New Roman" w:cs="Times New Roman"/>
                <w:sz w:val="24"/>
                <w:szCs w:val="24"/>
                <w:lang w:eastAsia="lv-LV"/>
              </w:rPr>
              <w:t>1 910 236</w:t>
            </w:r>
          </w:p>
        </w:tc>
        <w:tc>
          <w:tcPr>
            <w:tcW w:w="447"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6" w:type="pct"/>
            <w:shd w:val="clear" w:color="auto" w:fill="auto"/>
            <w:vAlign w:val="center"/>
            <w:hideMark/>
          </w:tcPr>
          <w:p w:rsidR="00644C98" w:rsidRPr="00644C98" w:rsidRDefault="00653A59" w:rsidP="00644C98">
            <w:pPr>
              <w:spacing w:after="0" w:line="240" w:lineRule="auto"/>
              <w:ind w:left="-170" w:firstLine="142"/>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4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auto"/>
            <w:hideMark/>
          </w:tcPr>
          <w:p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3.1. valsts pamatbudžets</w:t>
            </w:r>
          </w:p>
        </w:tc>
        <w:tc>
          <w:tcPr>
            <w:tcW w:w="449"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shd w:val="clear" w:color="auto" w:fill="auto"/>
            <w:vAlign w:val="center"/>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506755">
              <w:rPr>
                <w:rFonts w:ascii="Times New Roman" w:eastAsia="Times New Roman" w:hAnsi="Times New Roman" w:cs="Times New Roman"/>
                <w:sz w:val="24"/>
                <w:szCs w:val="24"/>
                <w:lang w:eastAsia="lv-LV"/>
              </w:rPr>
              <w:t>1 910 236</w:t>
            </w:r>
          </w:p>
        </w:tc>
        <w:tc>
          <w:tcPr>
            <w:tcW w:w="447"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6" w:type="pct"/>
            <w:shd w:val="clear" w:color="auto" w:fill="auto"/>
            <w:vAlign w:val="center"/>
            <w:hideMark/>
          </w:tcPr>
          <w:p w:rsidR="00644C98" w:rsidRPr="00653A59" w:rsidRDefault="00653A59" w:rsidP="00644C98">
            <w:pPr>
              <w:spacing w:after="0" w:line="240" w:lineRule="auto"/>
              <w:ind w:left="-170" w:firstLine="142"/>
              <w:jc w:val="center"/>
              <w:rPr>
                <w:rFonts w:ascii="Times New Roman" w:eastAsia="Times New Roman" w:hAnsi="Times New Roman" w:cs="Times New Roman"/>
                <w:sz w:val="24"/>
                <w:szCs w:val="24"/>
                <w:lang w:eastAsia="lv-LV"/>
              </w:rPr>
            </w:pPr>
            <w:r w:rsidRPr="00653A59">
              <w:rPr>
                <w:rFonts w:ascii="Times New Roman" w:eastAsia="Times New Roman" w:hAnsi="Times New Roman" w:cs="Times New Roman"/>
                <w:sz w:val="24"/>
                <w:szCs w:val="24"/>
                <w:lang w:eastAsia="lv-LV"/>
              </w:rPr>
              <w:t>0</w:t>
            </w:r>
          </w:p>
        </w:tc>
        <w:tc>
          <w:tcPr>
            <w:tcW w:w="44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auto"/>
            <w:hideMark/>
          </w:tcPr>
          <w:p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3.2. speciālais budžets</w:t>
            </w:r>
          </w:p>
        </w:tc>
        <w:tc>
          <w:tcPr>
            <w:tcW w:w="449"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6"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auto"/>
            <w:hideMark/>
          </w:tcPr>
          <w:p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3.3. pašvaldību budžets</w:t>
            </w:r>
          </w:p>
        </w:tc>
        <w:tc>
          <w:tcPr>
            <w:tcW w:w="449"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6"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auto"/>
            <w:hideMark/>
          </w:tcPr>
          <w:p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49"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shd w:val="clear" w:color="auto" w:fill="auto"/>
            <w:vAlign w:val="center"/>
          </w:tcPr>
          <w:p w:rsidR="00644C98" w:rsidRPr="00E16F48" w:rsidRDefault="00506755"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1 910 236</w:t>
            </w:r>
          </w:p>
        </w:tc>
        <w:tc>
          <w:tcPr>
            <w:tcW w:w="447"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46"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auto"/>
            <w:hideMark/>
          </w:tcPr>
          <w:p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 Precizēta finansiālā ietekme</w:t>
            </w:r>
          </w:p>
        </w:tc>
        <w:tc>
          <w:tcPr>
            <w:tcW w:w="449" w:type="pct"/>
            <w:vMerge w:val="restar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67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vMerge w:val="restar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746" w:type="pct"/>
            <w:shd w:val="clear" w:color="auto" w:fill="auto"/>
            <w:vAlign w:val="center"/>
            <w:hideMark/>
          </w:tcPr>
          <w:p w:rsidR="00644C98" w:rsidRPr="00D85CA5" w:rsidRDefault="00653A59" w:rsidP="00644C98">
            <w:pPr>
              <w:spacing w:after="0" w:line="240" w:lineRule="auto"/>
              <w:ind w:left="-170" w:firstLine="142"/>
              <w:jc w:val="center"/>
              <w:rPr>
                <w:rFonts w:ascii="Times New Roman" w:eastAsia="Times New Roman" w:hAnsi="Times New Roman" w:cs="Times New Roman"/>
                <w:sz w:val="24"/>
                <w:szCs w:val="24"/>
                <w:lang w:eastAsia="lv-LV"/>
              </w:rPr>
            </w:pPr>
            <w:r w:rsidRPr="00D85CA5">
              <w:rPr>
                <w:rFonts w:ascii="Times New Roman" w:eastAsia="Times New Roman" w:hAnsi="Times New Roman" w:cs="Times New Roman"/>
                <w:sz w:val="24"/>
                <w:szCs w:val="24"/>
                <w:lang w:eastAsia="lv-LV"/>
              </w:rPr>
              <w:t>0</w:t>
            </w:r>
          </w:p>
        </w:tc>
        <w:tc>
          <w:tcPr>
            <w:tcW w:w="448" w:type="pct"/>
            <w:vMerge w:val="restar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2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auto"/>
            <w:hideMark/>
          </w:tcPr>
          <w:p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5.1. valsts pamatbudžets</w:t>
            </w:r>
          </w:p>
        </w:tc>
        <w:tc>
          <w:tcPr>
            <w:tcW w:w="449" w:type="pct"/>
            <w:vMerge/>
            <w:shd w:val="clear" w:color="auto" w:fill="auto"/>
            <w:vAlign w:val="center"/>
            <w:hideMark/>
          </w:tcPr>
          <w:p w:rsidR="00644C98" w:rsidRPr="00E16F48" w:rsidRDefault="00644C98" w:rsidP="00644C98">
            <w:pPr>
              <w:spacing w:after="0" w:line="240" w:lineRule="auto"/>
              <w:jc w:val="both"/>
              <w:rPr>
                <w:rFonts w:ascii="Times New Roman" w:eastAsia="Times New Roman" w:hAnsi="Times New Roman" w:cs="Times New Roman"/>
                <w:sz w:val="24"/>
                <w:szCs w:val="24"/>
                <w:lang w:eastAsia="lv-LV"/>
              </w:rPr>
            </w:pPr>
          </w:p>
        </w:tc>
        <w:tc>
          <w:tcPr>
            <w:tcW w:w="67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vMerge/>
            <w:shd w:val="clear" w:color="auto" w:fill="auto"/>
            <w:vAlign w:val="center"/>
            <w:hideMark/>
          </w:tcPr>
          <w:p w:rsidR="00644C98" w:rsidRPr="00E16F48" w:rsidRDefault="00644C98" w:rsidP="00644C98">
            <w:pPr>
              <w:spacing w:after="0" w:line="240" w:lineRule="auto"/>
              <w:jc w:val="both"/>
              <w:rPr>
                <w:rFonts w:ascii="Times New Roman" w:eastAsia="Times New Roman" w:hAnsi="Times New Roman" w:cs="Times New Roman"/>
                <w:sz w:val="24"/>
                <w:szCs w:val="24"/>
                <w:lang w:eastAsia="lv-LV"/>
              </w:rPr>
            </w:pPr>
          </w:p>
        </w:tc>
        <w:tc>
          <w:tcPr>
            <w:tcW w:w="746" w:type="pct"/>
            <w:shd w:val="clear" w:color="auto" w:fill="auto"/>
            <w:vAlign w:val="center"/>
            <w:hideMark/>
          </w:tcPr>
          <w:p w:rsidR="00644C98" w:rsidRPr="00D85CA5" w:rsidRDefault="00653A59" w:rsidP="00644C98">
            <w:pPr>
              <w:spacing w:after="0" w:line="240" w:lineRule="auto"/>
              <w:ind w:left="-170" w:firstLine="142"/>
              <w:jc w:val="center"/>
              <w:rPr>
                <w:rFonts w:ascii="Times New Roman" w:eastAsia="Times New Roman" w:hAnsi="Times New Roman" w:cs="Times New Roman"/>
                <w:sz w:val="24"/>
                <w:szCs w:val="24"/>
                <w:lang w:eastAsia="lv-LV"/>
              </w:rPr>
            </w:pPr>
            <w:r w:rsidRPr="00D85CA5">
              <w:rPr>
                <w:rFonts w:ascii="Times New Roman" w:eastAsia="Times New Roman" w:hAnsi="Times New Roman" w:cs="Times New Roman"/>
                <w:sz w:val="24"/>
                <w:szCs w:val="24"/>
                <w:lang w:eastAsia="lv-LV"/>
              </w:rPr>
              <w:t>0</w:t>
            </w:r>
          </w:p>
        </w:tc>
        <w:tc>
          <w:tcPr>
            <w:tcW w:w="448" w:type="pct"/>
            <w:vMerge/>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p>
        </w:tc>
        <w:tc>
          <w:tcPr>
            <w:tcW w:w="52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auto"/>
            <w:hideMark/>
          </w:tcPr>
          <w:p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5.2. speciālais budžets</w:t>
            </w:r>
          </w:p>
        </w:tc>
        <w:tc>
          <w:tcPr>
            <w:tcW w:w="449" w:type="pct"/>
            <w:vMerge/>
            <w:shd w:val="clear" w:color="auto" w:fill="auto"/>
            <w:vAlign w:val="center"/>
            <w:hideMark/>
          </w:tcPr>
          <w:p w:rsidR="00644C98" w:rsidRPr="00E16F48" w:rsidRDefault="00644C98" w:rsidP="00644C98">
            <w:pPr>
              <w:spacing w:after="0" w:line="240" w:lineRule="auto"/>
              <w:jc w:val="both"/>
              <w:rPr>
                <w:rFonts w:ascii="Times New Roman" w:eastAsia="Times New Roman" w:hAnsi="Times New Roman" w:cs="Times New Roman"/>
                <w:sz w:val="24"/>
                <w:szCs w:val="24"/>
                <w:lang w:eastAsia="lv-LV"/>
              </w:rPr>
            </w:pPr>
          </w:p>
        </w:tc>
        <w:tc>
          <w:tcPr>
            <w:tcW w:w="67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vMerge/>
            <w:shd w:val="clear" w:color="auto" w:fill="auto"/>
            <w:vAlign w:val="center"/>
            <w:hideMark/>
          </w:tcPr>
          <w:p w:rsidR="00644C98" w:rsidRPr="00E16F48" w:rsidRDefault="00644C98" w:rsidP="00644C98">
            <w:pPr>
              <w:spacing w:after="0" w:line="240" w:lineRule="auto"/>
              <w:jc w:val="both"/>
              <w:rPr>
                <w:rFonts w:ascii="Times New Roman" w:eastAsia="Times New Roman" w:hAnsi="Times New Roman" w:cs="Times New Roman"/>
                <w:sz w:val="24"/>
                <w:szCs w:val="24"/>
                <w:lang w:eastAsia="lv-LV"/>
              </w:rPr>
            </w:pPr>
          </w:p>
        </w:tc>
        <w:tc>
          <w:tcPr>
            <w:tcW w:w="746"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vMerge/>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p>
        </w:tc>
        <w:tc>
          <w:tcPr>
            <w:tcW w:w="52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rsidTr="00312413">
        <w:tblPrEx>
          <w:tblCellMar>
            <w:top w:w="28" w:type="dxa"/>
            <w:left w:w="28" w:type="dxa"/>
            <w:bottom w:w="28" w:type="dxa"/>
            <w:right w:w="28" w:type="dxa"/>
          </w:tblCellMar>
        </w:tblPrEx>
        <w:trPr>
          <w:gridAfter w:val="1"/>
          <w:wAfter w:w="4" w:type="pct"/>
          <w:cantSplit/>
        </w:trPr>
        <w:tc>
          <w:tcPr>
            <w:tcW w:w="1193" w:type="pct"/>
            <w:shd w:val="clear" w:color="auto" w:fill="auto"/>
            <w:hideMark/>
          </w:tcPr>
          <w:p w:rsidR="00644C9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5.3. pašvaldību budžets</w:t>
            </w:r>
          </w:p>
          <w:p w:rsidR="00644C98" w:rsidRPr="00BB2287" w:rsidRDefault="00644C98" w:rsidP="00644C98">
            <w:pPr>
              <w:rPr>
                <w:rFonts w:ascii="Times New Roman" w:eastAsia="Times New Roman" w:hAnsi="Times New Roman" w:cs="Times New Roman"/>
                <w:sz w:val="24"/>
                <w:szCs w:val="24"/>
                <w:lang w:eastAsia="lv-LV"/>
              </w:rPr>
            </w:pPr>
          </w:p>
          <w:p w:rsidR="00644C98" w:rsidRPr="00BB2287" w:rsidRDefault="00644C98" w:rsidP="00644C98">
            <w:pPr>
              <w:rPr>
                <w:rFonts w:ascii="Times New Roman" w:eastAsia="Times New Roman" w:hAnsi="Times New Roman" w:cs="Times New Roman"/>
                <w:sz w:val="24"/>
                <w:szCs w:val="24"/>
                <w:lang w:eastAsia="lv-LV"/>
              </w:rPr>
            </w:pPr>
          </w:p>
          <w:p w:rsidR="00644C98" w:rsidRPr="00BB2287" w:rsidRDefault="00644C98" w:rsidP="00644C98">
            <w:pPr>
              <w:rPr>
                <w:rFonts w:ascii="Times New Roman" w:eastAsia="Times New Roman" w:hAnsi="Times New Roman" w:cs="Times New Roman"/>
                <w:sz w:val="24"/>
                <w:szCs w:val="24"/>
                <w:lang w:eastAsia="lv-LV"/>
              </w:rPr>
            </w:pPr>
          </w:p>
          <w:p w:rsidR="00644C98" w:rsidRPr="00BB2287" w:rsidRDefault="00644C98" w:rsidP="00644C98">
            <w:pPr>
              <w:rPr>
                <w:rFonts w:ascii="Times New Roman" w:eastAsia="Times New Roman" w:hAnsi="Times New Roman" w:cs="Times New Roman"/>
                <w:sz w:val="24"/>
                <w:szCs w:val="24"/>
                <w:lang w:eastAsia="lv-LV"/>
              </w:rPr>
            </w:pPr>
          </w:p>
          <w:p w:rsidR="00644C98" w:rsidRPr="00BB2287" w:rsidRDefault="00644C98" w:rsidP="00644C98">
            <w:pPr>
              <w:jc w:val="center"/>
              <w:rPr>
                <w:rFonts w:ascii="Times New Roman" w:eastAsia="Times New Roman" w:hAnsi="Times New Roman" w:cs="Times New Roman"/>
                <w:sz w:val="24"/>
                <w:szCs w:val="24"/>
                <w:lang w:eastAsia="lv-LV"/>
              </w:rPr>
            </w:pPr>
          </w:p>
        </w:tc>
        <w:tc>
          <w:tcPr>
            <w:tcW w:w="449" w:type="pct"/>
            <w:vMerge/>
            <w:shd w:val="clear" w:color="auto" w:fill="auto"/>
            <w:vAlign w:val="center"/>
            <w:hideMark/>
          </w:tcPr>
          <w:p w:rsidR="00644C98" w:rsidRPr="00E16F48" w:rsidRDefault="00644C98" w:rsidP="00644C98">
            <w:pPr>
              <w:spacing w:after="0" w:line="240" w:lineRule="auto"/>
              <w:jc w:val="both"/>
              <w:rPr>
                <w:rFonts w:ascii="Times New Roman" w:eastAsia="Times New Roman" w:hAnsi="Times New Roman" w:cs="Times New Roman"/>
                <w:sz w:val="24"/>
                <w:szCs w:val="24"/>
                <w:lang w:eastAsia="lv-LV"/>
              </w:rPr>
            </w:pPr>
          </w:p>
        </w:tc>
        <w:tc>
          <w:tcPr>
            <w:tcW w:w="67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7" w:type="pct"/>
            <w:vMerge/>
            <w:shd w:val="clear" w:color="auto" w:fill="auto"/>
            <w:vAlign w:val="center"/>
            <w:hideMark/>
          </w:tcPr>
          <w:p w:rsidR="00644C98" w:rsidRPr="00E16F48" w:rsidRDefault="00644C98" w:rsidP="00644C98">
            <w:pPr>
              <w:spacing w:after="0" w:line="240" w:lineRule="auto"/>
              <w:jc w:val="both"/>
              <w:rPr>
                <w:rFonts w:ascii="Times New Roman" w:eastAsia="Times New Roman" w:hAnsi="Times New Roman" w:cs="Times New Roman"/>
                <w:sz w:val="24"/>
                <w:szCs w:val="24"/>
                <w:lang w:eastAsia="lv-LV"/>
              </w:rPr>
            </w:pPr>
          </w:p>
        </w:tc>
        <w:tc>
          <w:tcPr>
            <w:tcW w:w="746"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48" w:type="pct"/>
            <w:vMerge/>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p>
        </w:tc>
        <w:tc>
          <w:tcPr>
            <w:tcW w:w="522"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8" w:type="pct"/>
            <w:shd w:val="clear" w:color="auto" w:fill="auto"/>
            <w:vAlign w:val="center"/>
            <w:hideMark/>
          </w:tcPr>
          <w:p w:rsidR="00644C98" w:rsidRPr="00E16F48" w:rsidRDefault="00644C98" w:rsidP="00644C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44C98" w:rsidRPr="00E16F48" w:rsidTr="00312413">
        <w:tblPrEx>
          <w:tblCellMar>
            <w:top w:w="28" w:type="dxa"/>
            <w:left w:w="28" w:type="dxa"/>
            <w:bottom w:w="28" w:type="dxa"/>
            <w:right w:w="28" w:type="dxa"/>
          </w:tblCellMar>
        </w:tblPrEx>
        <w:trPr>
          <w:cantSplit/>
        </w:trPr>
        <w:tc>
          <w:tcPr>
            <w:tcW w:w="1193" w:type="pct"/>
            <w:shd w:val="clear" w:color="auto" w:fill="auto"/>
            <w:hideMark/>
          </w:tcPr>
          <w:p w:rsidR="00644C9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p w:rsidR="00644C98" w:rsidRPr="00BB2287" w:rsidRDefault="00644C98" w:rsidP="00644C98">
            <w:pPr>
              <w:rPr>
                <w:rFonts w:ascii="Times New Roman" w:eastAsia="Times New Roman" w:hAnsi="Times New Roman" w:cs="Times New Roman"/>
                <w:sz w:val="24"/>
                <w:szCs w:val="24"/>
                <w:lang w:eastAsia="lv-LV"/>
              </w:rPr>
            </w:pPr>
          </w:p>
        </w:tc>
        <w:tc>
          <w:tcPr>
            <w:tcW w:w="3807" w:type="pct"/>
            <w:gridSpan w:val="8"/>
            <w:vMerge w:val="restart"/>
            <w:shd w:val="clear" w:color="auto" w:fill="auto"/>
            <w:vAlign w:val="center"/>
            <w:hideMark/>
          </w:tcPr>
          <w:p w:rsidR="00644C98" w:rsidRPr="008E4A3B" w:rsidRDefault="00B8113A" w:rsidP="00312413">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Saskaņā ar </w:t>
            </w:r>
            <w:r w:rsidR="00DA0B31">
              <w:rPr>
                <w:rFonts w:ascii="Times New Roman" w:hAnsi="Times New Roman" w:cs="Times New Roman"/>
                <w:sz w:val="24"/>
                <w:szCs w:val="24"/>
              </w:rPr>
              <w:t xml:space="preserve">Ministru kabineta </w:t>
            </w:r>
            <w:r w:rsidR="00644C98" w:rsidRPr="00293818">
              <w:rPr>
                <w:rFonts w:ascii="Times New Roman" w:hAnsi="Times New Roman" w:cs="Times New Roman"/>
                <w:sz w:val="24"/>
                <w:szCs w:val="24"/>
              </w:rPr>
              <w:t>2021. gada 18. marta sēdē (prot</w:t>
            </w:r>
            <w:r w:rsidR="00DA0B31">
              <w:rPr>
                <w:rFonts w:ascii="Times New Roman" w:hAnsi="Times New Roman" w:cs="Times New Roman"/>
                <w:sz w:val="24"/>
                <w:szCs w:val="24"/>
              </w:rPr>
              <w:t>.</w:t>
            </w:r>
            <w:r w:rsidR="00644C98" w:rsidRPr="00293818">
              <w:rPr>
                <w:rFonts w:ascii="Times New Roman" w:hAnsi="Times New Roman" w:cs="Times New Roman"/>
                <w:sz w:val="24"/>
                <w:szCs w:val="24"/>
              </w:rPr>
              <w:t xml:space="preserve"> Nr.28, 42.§, TA-589) pieņ</w:t>
            </w:r>
            <w:r>
              <w:rPr>
                <w:rFonts w:ascii="Times New Roman" w:hAnsi="Times New Roman" w:cs="Times New Roman"/>
                <w:sz w:val="24"/>
                <w:szCs w:val="24"/>
              </w:rPr>
              <w:t>e</w:t>
            </w:r>
            <w:r w:rsidR="00644C98" w:rsidRPr="00293818">
              <w:rPr>
                <w:rFonts w:ascii="Times New Roman" w:hAnsi="Times New Roman" w:cs="Times New Roman"/>
                <w:sz w:val="24"/>
                <w:szCs w:val="24"/>
              </w:rPr>
              <w:t>m</w:t>
            </w:r>
            <w:r>
              <w:rPr>
                <w:rFonts w:ascii="Times New Roman" w:hAnsi="Times New Roman" w:cs="Times New Roman"/>
                <w:sz w:val="24"/>
                <w:szCs w:val="24"/>
              </w:rPr>
              <w:t>to</w:t>
            </w:r>
            <w:r w:rsidR="00644C98" w:rsidRPr="00293818">
              <w:rPr>
                <w:rFonts w:ascii="Times New Roman" w:hAnsi="Times New Roman" w:cs="Times New Roman"/>
                <w:sz w:val="24"/>
                <w:szCs w:val="24"/>
              </w:rPr>
              <w:t xml:space="preserve"> konceptuāl</w:t>
            </w:r>
            <w:r>
              <w:rPr>
                <w:rFonts w:ascii="Times New Roman" w:hAnsi="Times New Roman" w:cs="Times New Roman"/>
                <w:sz w:val="24"/>
                <w:szCs w:val="24"/>
              </w:rPr>
              <w:t>o</w:t>
            </w:r>
            <w:r w:rsidR="00644C98" w:rsidRPr="00293818">
              <w:rPr>
                <w:rFonts w:ascii="Times New Roman" w:hAnsi="Times New Roman" w:cs="Times New Roman"/>
                <w:sz w:val="24"/>
                <w:szCs w:val="24"/>
              </w:rPr>
              <w:t xml:space="preserve"> lēmumu atbalstīt papildu finansējumu ar Covid-19 krīzes pārvarēšanu un ekonomikas atlabšanu saistītu augstas gatavības projektu īstenošanai 2021. un 2022.gadā Iekšlietu ministrija</w:t>
            </w:r>
            <w:r>
              <w:rPr>
                <w:rFonts w:ascii="Times New Roman" w:hAnsi="Times New Roman" w:cs="Times New Roman"/>
                <w:sz w:val="24"/>
                <w:szCs w:val="24"/>
              </w:rPr>
              <w:t>i</w:t>
            </w:r>
            <w:r w:rsidR="00644C98" w:rsidRPr="00293818">
              <w:rPr>
                <w:rFonts w:ascii="Times New Roman" w:hAnsi="Times New Roman" w:cs="Times New Roman"/>
                <w:sz w:val="24"/>
                <w:szCs w:val="24"/>
              </w:rPr>
              <w:t xml:space="preserve"> pasākumam “Infrastruktūras attīstības projektu īstenošana iekšlietu nozarē”</w:t>
            </w:r>
            <w:r w:rsidR="00DA0B31">
              <w:rPr>
                <w:rFonts w:ascii="Times New Roman" w:hAnsi="Times New Roman" w:cs="Times New Roman"/>
                <w:sz w:val="24"/>
                <w:szCs w:val="24"/>
              </w:rPr>
              <w:t xml:space="preserve"> atbalstīts finansējums 27 300 000 </w:t>
            </w:r>
            <w:r w:rsidR="00DA0B31" w:rsidRPr="00C87D94">
              <w:rPr>
                <w:rFonts w:ascii="Times New Roman" w:hAnsi="Times New Roman" w:cs="Times New Roman"/>
                <w:i/>
                <w:sz w:val="24"/>
                <w:szCs w:val="24"/>
              </w:rPr>
              <w:t>euro</w:t>
            </w:r>
            <w:r w:rsidR="00DA0B31">
              <w:rPr>
                <w:rFonts w:ascii="Times New Roman" w:hAnsi="Times New Roman" w:cs="Times New Roman"/>
                <w:sz w:val="24"/>
                <w:szCs w:val="24"/>
              </w:rPr>
              <w:t xml:space="preserve"> apmērā</w:t>
            </w:r>
            <w:r w:rsidR="00644C98" w:rsidRPr="00293818">
              <w:rPr>
                <w:rFonts w:ascii="Times New Roman" w:hAnsi="Times New Roman" w:cs="Times New Roman"/>
                <w:sz w:val="24"/>
                <w:szCs w:val="24"/>
              </w:rPr>
              <w:t>, tajā skaitā Valsts ugunsdzēsības un glābšanas dienesta depo ēku būvniecībai</w:t>
            </w:r>
            <w:r w:rsidR="00DA0B31">
              <w:rPr>
                <w:rFonts w:ascii="Times New Roman" w:hAnsi="Times New Roman" w:cs="Times New Roman"/>
                <w:sz w:val="24"/>
                <w:szCs w:val="24"/>
              </w:rPr>
              <w:t>.</w:t>
            </w:r>
            <w:r>
              <w:rPr>
                <w:rFonts w:ascii="Times New Roman" w:hAnsi="Times New Roman" w:cs="Times New Roman"/>
                <w:sz w:val="24"/>
                <w:szCs w:val="24"/>
              </w:rPr>
              <w:t xml:space="preserve"> </w:t>
            </w:r>
            <w:r w:rsidR="00DA0B31">
              <w:rPr>
                <w:rFonts w:ascii="Times New Roman" w:hAnsi="Times New Roman" w:cs="Times New Roman"/>
                <w:sz w:val="24"/>
                <w:szCs w:val="24"/>
              </w:rPr>
              <w:t xml:space="preserve">Saskaņā ar </w:t>
            </w:r>
            <w:r>
              <w:rPr>
                <w:rFonts w:ascii="Times New Roman" w:hAnsi="Times New Roman" w:cs="Times New Roman"/>
                <w:sz w:val="24"/>
                <w:szCs w:val="24"/>
              </w:rPr>
              <w:t xml:space="preserve">veikto iepirkumu </w:t>
            </w:r>
            <w:r w:rsidRPr="00B8113A">
              <w:rPr>
                <w:rFonts w:ascii="Times New Roman" w:hAnsi="Times New Roman" w:cs="Times New Roman"/>
                <w:sz w:val="24"/>
                <w:szCs w:val="24"/>
              </w:rPr>
              <w:t>“Astoņu jaunu C un D kategorijas Valsts ugunsdzēsības un glābšanas dienesta depo būvniecība”</w:t>
            </w:r>
            <w:r>
              <w:rPr>
                <w:rFonts w:ascii="Times New Roman" w:hAnsi="Times New Roman" w:cs="Times New Roman"/>
                <w:sz w:val="24"/>
                <w:szCs w:val="24"/>
              </w:rPr>
              <w:t xml:space="preserve"> (</w:t>
            </w:r>
            <w:r w:rsidRPr="00B8113A">
              <w:rPr>
                <w:rFonts w:ascii="Times New Roman" w:hAnsi="Times New Roman" w:cs="Times New Roman"/>
                <w:sz w:val="24"/>
                <w:szCs w:val="24"/>
              </w:rPr>
              <w:t>Iepirkuma identifikācijas Nr. IeM NVA 2021/35</w:t>
            </w:r>
            <w:r>
              <w:rPr>
                <w:rFonts w:ascii="Times New Roman" w:hAnsi="Times New Roman" w:cs="Times New Roman"/>
                <w:sz w:val="24"/>
                <w:szCs w:val="24"/>
              </w:rPr>
              <w:t xml:space="preserve">) </w:t>
            </w:r>
            <w:r w:rsidR="00DA0B31">
              <w:rPr>
                <w:rFonts w:ascii="Times New Roman" w:hAnsi="Times New Roman" w:cs="Times New Roman"/>
                <w:sz w:val="24"/>
                <w:szCs w:val="24"/>
              </w:rPr>
              <w:t xml:space="preserve">8 </w:t>
            </w:r>
            <w:r>
              <w:rPr>
                <w:rFonts w:ascii="Times New Roman" w:hAnsi="Times New Roman" w:cs="Times New Roman"/>
                <w:sz w:val="24"/>
                <w:szCs w:val="24"/>
              </w:rPr>
              <w:t xml:space="preserve">jaunu depo būvniecības un būvuzraudzības </w:t>
            </w:r>
            <w:r w:rsidR="00DA0B31">
              <w:rPr>
                <w:rFonts w:ascii="Times New Roman" w:hAnsi="Times New Roman" w:cs="Times New Roman"/>
                <w:sz w:val="24"/>
                <w:szCs w:val="24"/>
              </w:rPr>
              <w:t xml:space="preserve">kopējās </w:t>
            </w:r>
            <w:r>
              <w:rPr>
                <w:rFonts w:ascii="Times New Roman" w:hAnsi="Times New Roman" w:cs="Times New Roman"/>
                <w:sz w:val="24"/>
                <w:szCs w:val="24"/>
              </w:rPr>
              <w:t xml:space="preserve">izmaksas ir </w:t>
            </w:r>
            <w:r w:rsidRPr="00312413">
              <w:rPr>
                <w:rFonts w:ascii="Times New Roman" w:hAnsi="Times New Roman" w:cs="Times New Roman"/>
                <w:b/>
                <w:sz w:val="24"/>
                <w:szCs w:val="24"/>
              </w:rPr>
              <w:t xml:space="preserve">11 779 522 </w:t>
            </w:r>
            <w:r w:rsidRPr="00312413">
              <w:rPr>
                <w:rFonts w:ascii="Times New Roman" w:hAnsi="Times New Roman" w:cs="Times New Roman"/>
                <w:b/>
                <w:i/>
                <w:sz w:val="24"/>
                <w:szCs w:val="24"/>
              </w:rPr>
              <w:t>euro</w:t>
            </w:r>
            <w:r>
              <w:rPr>
                <w:rFonts w:ascii="Times New Roman" w:hAnsi="Times New Roman" w:cs="Times New Roman"/>
                <w:sz w:val="24"/>
                <w:szCs w:val="24"/>
              </w:rPr>
              <w:t xml:space="preserve"> apmērā, tai skaitā </w:t>
            </w:r>
            <w:r w:rsidRPr="00312413">
              <w:rPr>
                <w:rFonts w:ascii="Times New Roman" w:hAnsi="Times New Roman" w:cs="Times New Roman"/>
                <w:sz w:val="24"/>
                <w:szCs w:val="24"/>
              </w:rPr>
              <w:t xml:space="preserve">2021.gadā plānoti </w:t>
            </w:r>
            <w:r w:rsidR="00DA0B31" w:rsidRPr="00312413">
              <w:rPr>
                <w:rFonts w:ascii="Times New Roman" w:hAnsi="Times New Roman" w:cs="Times New Roman"/>
                <w:sz w:val="24"/>
                <w:szCs w:val="24"/>
              </w:rPr>
              <w:t xml:space="preserve">izdevumi </w:t>
            </w:r>
            <w:r w:rsidR="00506755">
              <w:rPr>
                <w:rFonts w:ascii="Times New Roman" w:hAnsi="Times New Roman" w:cs="Times New Roman"/>
                <w:b/>
                <w:sz w:val="24"/>
                <w:szCs w:val="24"/>
              </w:rPr>
              <w:t>1 910 236</w:t>
            </w:r>
            <w:r w:rsidR="003F274D">
              <w:rPr>
                <w:rFonts w:ascii="Times New Roman" w:hAnsi="Times New Roman" w:cs="Times New Roman"/>
                <w:b/>
                <w:sz w:val="24"/>
                <w:szCs w:val="24"/>
              </w:rPr>
              <w:t xml:space="preserve"> </w:t>
            </w:r>
            <w:r w:rsidRPr="00312413">
              <w:rPr>
                <w:rFonts w:ascii="Times New Roman" w:hAnsi="Times New Roman" w:cs="Times New Roman"/>
                <w:b/>
                <w:i/>
                <w:color w:val="000000"/>
                <w:sz w:val="24"/>
                <w:szCs w:val="24"/>
              </w:rPr>
              <w:t>euro</w:t>
            </w:r>
            <w:r w:rsidR="00DA0B31" w:rsidRPr="00312413">
              <w:rPr>
                <w:rFonts w:ascii="Times New Roman" w:hAnsi="Times New Roman" w:cs="Times New Roman"/>
                <w:i/>
                <w:color w:val="000000"/>
                <w:sz w:val="24"/>
                <w:szCs w:val="24"/>
              </w:rPr>
              <w:t xml:space="preserve"> </w:t>
            </w:r>
            <w:r w:rsidR="00DA0B31" w:rsidRPr="00312413">
              <w:rPr>
                <w:rFonts w:ascii="Times New Roman" w:hAnsi="Times New Roman" w:cs="Times New Roman"/>
                <w:sz w:val="24"/>
                <w:szCs w:val="24"/>
              </w:rPr>
              <w:t>apmērā</w:t>
            </w:r>
            <w:r w:rsidRPr="00312413">
              <w:rPr>
                <w:rFonts w:ascii="Times New Roman" w:hAnsi="Times New Roman" w:cs="Times New Roman"/>
                <w:sz w:val="24"/>
                <w:szCs w:val="24"/>
              </w:rPr>
              <w:t>, lai nodrošinātu būvniecības ieceres dokumentācijas izstrādes darb</w:t>
            </w:r>
            <w:r w:rsidR="00DA0B31" w:rsidRPr="00312413">
              <w:rPr>
                <w:rFonts w:ascii="Times New Roman" w:hAnsi="Times New Roman" w:cs="Times New Roman"/>
                <w:sz w:val="24"/>
                <w:szCs w:val="24"/>
              </w:rPr>
              <w:t>us</w:t>
            </w:r>
            <w:r w:rsidR="003F274D">
              <w:rPr>
                <w:rFonts w:ascii="Times New Roman" w:hAnsi="Times New Roman" w:cs="Times New Roman"/>
                <w:sz w:val="24"/>
                <w:szCs w:val="24"/>
              </w:rPr>
              <w:t>,</w:t>
            </w:r>
            <w:r w:rsidRPr="00312413">
              <w:rPr>
                <w:rFonts w:ascii="Times New Roman" w:hAnsi="Times New Roman" w:cs="Times New Roman"/>
                <w:sz w:val="24"/>
                <w:szCs w:val="24"/>
              </w:rPr>
              <w:t xml:space="preserve"> </w:t>
            </w:r>
            <w:r w:rsidR="00DA0B31" w:rsidRPr="00312413">
              <w:rPr>
                <w:rFonts w:ascii="Times New Roman" w:hAnsi="Times New Roman" w:cs="Times New Roman"/>
                <w:sz w:val="24"/>
                <w:szCs w:val="24"/>
              </w:rPr>
              <w:t xml:space="preserve">to </w:t>
            </w:r>
            <w:r w:rsidR="00312413" w:rsidRPr="00312413">
              <w:rPr>
                <w:rFonts w:ascii="Times New Roman" w:hAnsi="Times New Roman" w:cs="Times New Roman"/>
                <w:sz w:val="24"/>
                <w:szCs w:val="24"/>
              </w:rPr>
              <w:t>uzraudzību un avansa maksājumu</w:t>
            </w:r>
            <w:r w:rsidR="003F274D">
              <w:rPr>
                <w:rFonts w:ascii="Times New Roman" w:hAnsi="Times New Roman" w:cs="Times New Roman"/>
                <w:sz w:val="24"/>
                <w:szCs w:val="24"/>
              </w:rPr>
              <w:t>s</w:t>
            </w:r>
            <w:r w:rsidR="00312413" w:rsidRPr="00312413">
              <w:rPr>
                <w:rFonts w:ascii="Times New Roman" w:hAnsi="Times New Roman" w:cs="Times New Roman"/>
                <w:sz w:val="24"/>
                <w:szCs w:val="24"/>
              </w:rPr>
              <w:t>;</w:t>
            </w:r>
            <w:r w:rsidR="00461E8B" w:rsidRPr="00312413">
              <w:rPr>
                <w:rFonts w:ascii="Times New Roman" w:hAnsi="Times New Roman" w:cs="Times New Roman"/>
                <w:sz w:val="24"/>
                <w:szCs w:val="24"/>
              </w:rPr>
              <w:t xml:space="preserve"> 2022.gadā plānoti ar depo būvniecību saistītie izdevumi </w:t>
            </w:r>
            <w:r w:rsidR="00506755">
              <w:rPr>
                <w:rFonts w:ascii="Times New Roman" w:hAnsi="Times New Roman" w:cs="Times New Roman"/>
                <w:b/>
                <w:sz w:val="24"/>
                <w:szCs w:val="24"/>
              </w:rPr>
              <w:t>9 869 286</w:t>
            </w:r>
            <w:r w:rsidR="00461E8B" w:rsidRPr="003F274D">
              <w:rPr>
                <w:rFonts w:ascii="Times New Roman" w:hAnsi="Times New Roman" w:cs="Times New Roman"/>
                <w:b/>
                <w:sz w:val="24"/>
                <w:szCs w:val="24"/>
              </w:rPr>
              <w:t xml:space="preserve"> </w:t>
            </w:r>
            <w:r w:rsidR="00461E8B" w:rsidRPr="003F274D">
              <w:rPr>
                <w:rFonts w:ascii="Times New Roman" w:hAnsi="Times New Roman" w:cs="Times New Roman"/>
                <w:b/>
                <w:i/>
                <w:sz w:val="24"/>
                <w:szCs w:val="24"/>
              </w:rPr>
              <w:t>euro</w:t>
            </w:r>
            <w:r w:rsidR="00461E8B" w:rsidRPr="00312413">
              <w:rPr>
                <w:rFonts w:ascii="Times New Roman" w:hAnsi="Times New Roman" w:cs="Times New Roman"/>
                <w:sz w:val="24"/>
                <w:szCs w:val="24"/>
              </w:rPr>
              <w:t xml:space="preserve"> apmērā.</w:t>
            </w:r>
            <w:r w:rsidR="00461E8B">
              <w:rPr>
                <w:rFonts w:ascii="Times New Roman" w:hAnsi="Times New Roman" w:cs="Times New Roman"/>
                <w:sz w:val="24"/>
                <w:szCs w:val="24"/>
              </w:rPr>
              <w:t xml:space="preserve"> </w:t>
            </w:r>
          </w:p>
        </w:tc>
      </w:tr>
      <w:tr w:rsidR="00644C98" w:rsidRPr="00E16F48" w:rsidTr="00312413">
        <w:tblPrEx>
          <w:tblCellMar>
            <w:top w:w="28" w:type="dxa"/>
            <w:left w:w="28" w:type="dxa"/>
            <w:bottom w:w="28" w:type="dxa"/>
            <w:right w:w="28" w:type="dxa"/>
          </w:tblCellMar>
        </w:tblPrEx>
        <w:trPr>
          <w:cantSplit/>
        </w:trPr>
        <w:tc>
          <w:tcPr>
            <w:tcW w:w="1193" w:type="pct"/>
            <w:shd w:val="clear" w:color="auto" w:fill="auto"/>
            <w:hideMark/>
          </w:tcPr>
          <w:p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6.1. detalizēts ieņēmumu aprēķins</w:t>
            </w:r>
          </w:p>
        </w:tc>
        <w:tc>
          <w:tcPr>
            <w:tcW w:w="3807" w:type="pct"/>
            <w:gridSpan w:val="8"/>
            <w:vMerge/>
            <w:shd w:val="clear" w:color="auto" w:fill="auto"/>
            <w:vAlign w:val="center"/>
            <w:hideMark/>
          </w:tcPr>
          <w:p w:rsidR="00644C98" w:rsidRPr="00E16F48" w:rsidRDefault="00644C98" w:rsidP="00644C98">
            <w:pPr>
              <w:spacing w:after="0" w:line="240" w:lineRule="auto"/>
              <w:jc w:val="both"/>
              <w:rPr>
                <w:rFonts w:ascii="Times New Roman" w:eastAsia="Times New Roman" w:hAnsi="Times New Roman" w:cs="Times New Roman"/>
                <w:sz w:val="24"/>
                <w:szCs w:val="24"/>
                <w:lang w:eastAsia="lv-LV"/>
              </w:rPr>
            </w:pPr>
          </w:p>
        </w:tc>
      </w:tr>
      <w:tr w:rsidR="00644C98" w:rsidRPr="00E16F48" w:rsidTr="00312413">
        <w:tblPrEx>
          <w:tblCellMar>
            <w:top w:w="28" w:type="dxa"/>
            <w:left w:w="28" w:type="dxa"/>
            <w:bottom w:w="28" w:type="dxa"/>
            <w:right w:w="28" w:type="dxa"/>
          </w:tblCellMar>
        </w:tblPrEx>
        <w:trPr>
          <w:cantSplit/>
        </w:trPr>
        <w:tc>
          <w:tcPr>
            <w:tcW w:w="1193" w:type="pct"/>
            <w:shd w:val="clear" w:color="auto" w:fill="auto"/>
            <w:hideMark/>
          </w:tcPr>
          <w:p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6.2. detalizēts izdevumu aprēķins</w:t>
            </w:r>
          </w:p>
        </w:tc>
        <w:tc>
          <w:tcPr>
            <w:tcW w:w="3807" w:type="pct"/>
            <w:gridSpan w:val="8"/>
            <w:vMerge/>
            <w:shd w:val="clear" w:color="auto" w:fill="auto"/>
            <w:vAlign w:val="center"/>
            <w:hideMark/>
          </w:tcPr>
          <w:p w:rsidR="00644C98" w:rsidRPr="00E16F48" w:rsidRDefault="00644C98" w:rsidP="00644C98">
            <w:pPr>
              <w:spacing w:after="0" w:line="240" w:lineRule="auto"/>
              <w:jc w:val="both"/>
              <w:rPr>
                <w:rFonts w:ascii="Times New Roman" w:eastAsia="Times New Roman" w:hAnsi="Times New Roman" w:cs="Times New Roman"/>
                <w:sz w:val="24"/>
                <w:szCs w:val="24"/>
                <w:lang w:eastAsia="lv-LV"/>
              </w:rPr>
            </w:pPr>
          </w:p>
        </w:tc>
      </w:tr>
      <w:tr w:rsidR="00644C98" w:rsidRPr="00E16F48" w:rsidTr="00312413">
        <w:tblPrEx>
          <w:tblCellMar>
            <w:top w:w="28" w:type="dxa"/>
            <w:left w:w="28" w:type="dxa"/>
            <w:bottom w:w="28" w:type="dxa"/>
            <w:right w:w="28" w:type="dxa"/>
          </w:tblCellMar>
        </w:tblPrEx>
        <w:trPr>
          <w:cantSplit/>
        </w:trPr>
        <w:tc>
          <w:tcPr>
            <w:tcW w:w="1193" w:type="pct"/>
            <w:tcBorders>
              <w:bottom w:val="single" w:sz="4" w:space="0" w:color="auto"/>
            </w:tcBorders>
            <w:shd w:val="clear" w:color="auto" w:fill="auto"/>
            <w:hideMark/>
          </w:tcPr>
          <w:p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7. Amata vietu skaita izmaiņas</w:t>
            </w:r>
          </w:p>
        </w:tc>
        <w:tc>
          <w:tcPr>
            <w:tcW w:w="3807" w:type="pct"/>
            <w:gridSpan w:val="8"/>
            <w:tcBorders>
              <w:bottom w:val="single" w:sz="4" w:space="0" w:color="auto"/>
            </w:tcBorders>
            <w:shd w:val="clear" w:color="auto" w:fill="auto"/>
            <w:hideMark/>
          </w:tcPr>
          <w:p w:rsidR="00644C98" w:rsidRPr="00E16F48" w:rsidRDefault="00644C98" w:rsidP="00644C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 šo jomu neskar.</w:t>
            </w:r>
          </w:p>
        </w:tc>
      </w:tr>
      <w:tr w:rsidR="00644C98" w:rsidRPr="00E16F48" w:rsidTr="00312413">
        <w:tblPrEx>
          <w:tblCellMar>
            <w:top w:w="28" w:type="dxa"/>
            <w:left w:w="28" w:type="dxa"/>
            <w:bottom w:w="28" w:type="dxa"/>
            <w:right w:w="28" w:type="dxa"/>
          </w:tblCellMar>
        </w:tblPrEx>
        <w:trPr>
          <w:cantSplit/>
        </w:trPr>
        <w:tc>
          <w:tcPr>
            <w:tcW w:w="1193" w:type="pct"/>
            <w:tcBorders>
              <w:bottom w:val="single" w:sz="4" w:space="0" w:color="auto"/>
            </w:tcBorders>
            <w:shd w:val="clear" w:color="auto" w:fill="auto"/>
            <w:hideMark/>
          </w:tcPr>
          <w:p w:rsidR="00644C98" w:rsidRPr="00E16F48" w:rsidRDefault="00644C98" w:rsidP="00644C98">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8. Cita informācija</w:t>
            </w:r>
          </w:p>
        </w:tc>
        <w:tc>
          <w:tcPr>
            <w:tcW w:w="3807" w:type="pct"/>
            <w:gridSpan w:val="8"/>
            <w:tcBorders>
              <w:bottom w:val="single" w:sz="4" w:space="0" w:color="auto"/>
            </w:tcBorders>
            <w:shd w:val="clear" w:color="auto" w:fill="auto"/>
            <w:hideMark/>
          </w:tcPr>
          <w:p w:rsidR="00644C98" w:rsidRDefault="00644C98" w:rsidP="00A13939">
            <w:pPr>
              <w:spacing w:after="0" w:line="240" w:lineRule="auto"/>
              <w:jc w:val="both"/>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 xml:space="preserve">Izdevumi </w:t>
            </w:r>
            <w:r w:rsidR="00F97777">
              <w:rPr>
                <w:rFonts w:ascii="Times New Roman" w:eastAsia="Times New Roman" w:hAnsi="Times New Roman" w:cs="Times New Roman"/>
                <w:sz w:val="24"/>
                <w:szCs w:val="24"/>
                <w:lang w:eastAsia="lv-LV"/>
              </w:rPr>
              <w:t xml:space="preserve">2021.gadā </w:t>
            </w:r>
            <w:r w:rsidRPr="00E16F48">
              <w:rPr>
                <w:rFonts w:ascii="Times New Roman" w:eastAsia="Times New Roman" w:hAnsi="Times New Roman" w:cs="Times New Roman"/>
                <w:sz w:val="24"/>
                <w:szCs w:val="24"/>
                <w:lang w:eastAsia="lv-LV"/>
              </w:rPr>
              <w:t>tiek segti no valsts budžeta programmas 02.00.00 "Līdzekļi neparedzētiem gadījumiem".</w:t>
            </w:r>
            <w:r w:rsidR="00F97777">
              <w:rPr>
                <w:rFonts w:ascii="Times New Roman" w:eastAsia="Times New Roman" w:hAnsi="Times New Roman" w:cs="Times New Roman"/>
                <w:sz w:val="24"/>
                <w:szCs w:val="24"/>
                <w:lang w:eastAsia="lv-LV"/>
              </w:rPr>
              <w:t xml:space="preserve"> Priekšlikumi izdevumiem 2022.gadā tiks iesniegti Finanšu ministrijā </w:t>
            </w:r>
            <w:r w:rsidR="00F31C32" w:rsidRPr="00C87D94">
              <w:rPr>
                <w:rFonts w:ascii="Times New Roman" w:eastAsia="Times New Roman" w:hAnsi="Times New Roman" w:cs="Times New Roman"/>
                <w:sz w:val="24"/>
                <w:szCs w:val="24"/>
                <w:lang w:eastAsia="lv-LV"/>
              </w:rPr>
              <w:t>atbilstoši atbalstītajam finansējumam 2022.gadam atbilstoši faktiski nepieciešamajam apmēram, ņemot vērā iepirkuma rezultātus, nepārsniedzot informatīvā ziņojuma</w:t>
            </w:r>
            <w:r w:rsidR="00095746" w:rsidRPr="00C87D94">
              <w:rPr>
                <w:rFonts w:ascii="Times New Roman" w:eastAsia="Times New Roman" w:hAnsi="Times New Roman" w:cs="Times New Roman"/>
                <w:sz w:val="24"/>
                <w:szCs w:val="24"/>
                <w:lang w:eastAsia="lv-LV"/>
              </w:rPr>
              <w:t xml:space="preserve"> </w:t>
            </w:r>
            <w:r w:rsidR="00F31C32" w:rsidRPr="00C87D94">
              <w:rPr>
                <w:rFonts w:ascii="Times New Roman" w:eastAsia="Times New Roman" w:hAnsi="Times New Roman" w:cs="Times New Roman"/>
                <w:sz w:val="24"/>
                <w:szCs w:val="24"/>
                <w:lang w:eastAsia="lv-LV"/>
              </w:rPr>
              <w:t>tabulā Nr.1 noteikto finansējumu 2022.gadam.</w:t>
            </w:r>
          </w:p>
          <w:p w:rsidR="00653A59" w:rsidRPr="00E16F48" w:rsidRDefault="0093524B" w:rsidP="00FB7E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Pr>
                <w:rFonts w:ascii="Times New Roman" w:eastAsia="Times New Roman" w:hAnsi="Times New Roman" w:cs="Times New Roman"/>
                <w:sz w:val="24"/>
                <w:szCs w:val="24"/>
                <w:lang w:eastAsia="zh-CN"/>
              </w:rPr>
              <w:t xml:space="preserve">Ministru kabineta </w:t>
            </w:r>
            <w:r w:rsidRPr="003D5B21">
              <w:rPr>
                <w:rFonts w:ascii="Times New Roman" w:eastAsia="Times New Roman" w:hAnsi="Times New Roman" w:cs="Times New Roman"/>
                <w:sz w:val="24"/>
                <w:szCs w:val="24"/>
                <w:lang w:eastAsia="zh-CN"/>
              </w:rPr>
              <w:t>20</w:t>
            </w:r>
            <w:r>
              <w:rPr>
                <w:rFonts w:ascii="Times New Roman" w:eastAsia="Times New Roman" w:hAnsi="Times New Roman" w:cs="Times New Roman"/>
                <w:sz w:val="24"/>
                <w:szCs w:val="24"/>
                <w:lang w:eastAsia="zh-CN"/>
              </w:rPr>
              <w:t>21</w:t>
            </w:r>
            <w:r w:rsidRPr="003D5B21">
              <w:rPr>
                <w:rFonts w:ascii="Times New Roman" w:eastAsia="Times New Roman" w:hAnsi="Times New Roman" w:cs="Times New Roman"/>
                <w:sz w:val="24"/>
                <w:szCs w:val="24"/>
                <w:lang w:eastAsia="zh-CN"/>
              </w:rPr>
              <w:t xml:space="preserve">. gada </w:t>
            </w:r>
            <w:r>
              <w:rPr>
                <w:rFonts w:ascii="Times New Roman" w:eastAsia="Times New Roman" w:hAnsi="Times New Roman" w:cs="Times New Roman"/>
                <w:sz w:val="24"/>
                <w:szCs w:val="24"/>
                <w:lang w:eastAsia="zh-CN"/>
              </w:rPr>
              <w:t>18</w:t>
            </w:r>
            <w:r w:rsidRPr="003D5B21">
              <w:rPr>
                <w:rFonts w:ascii="Times New Roman" w:eastAsia="Times New Roman" w:hAnsi="Times New Roman" w:cs="Times New Roman"/>
                <w:sz w:val="24"/>
                <w:szCs w:val="24"/>
                <w:lang w:eastAsia="zh-CN"/>
              </w:rPr>
              <w:t>. </w:t>
            </w:r>
            <w:r>
              <w:rPr>
                <w:rFonts w:ascii="Times New Roman" w:eastAsia="Times New Roman" w:hAnsi="Times New Roman" w:cs="Times New Roman"/>
                <w:sz w:val="24"/>
                <w:szCs w:val="24"/>
                <w:lang w:eastAsia="zh-CN"/>
              </w:rPr>
              <w:t>marta sēdē (prot. Nr.28 42.§</w:t>
            </w:r>
            <w:r w:rsidRPr="00C87D9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“Informatīvais ziņojums “</w:t>
            </w:r>
            <w:r w:rsidRPr="00C87D94">
              <w:rPr>
                <w:rFonts w:ascii="Times New Roman" w:eastAsia="Times New Roman" w:hAnsi="Times New Roman" w:cs="Times New Roman"/>
                <w:sz w:val="24"/>
                <w:szCs w:val="24"/>
                <w:lang w:eastAsia="zh-CN"/>
              </w:rPr>
              <w:t>Par augstas gatavības projektiem, kas saistīti ar Covid-19 krīzes pārv</w:t>
            </w:r>
            <w:r>
              <w:rPr>
                <w:rFonts w:ascii="Times New Roman" w:eastAsia="Times New Roman" w:hAnsi="Times New Roman" w:cs="Times New Roman"/>
                <w:sz w:val="24"/>
                <w:szCs w:val="24"/>
                <w:lang w:eastAsia="zh-CN"/>
              </w:rPr>
              <w:t>arēšanu un ekonomikas atlabšanu”” 13.punkts) nolemto</w:t>
            </w:r>
            <w:r w:rsidR="00FB7E5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B24B48">
              <w:rPr>
                <w:rFonts w:ascii="Times New Roman" w:eastAsia="Times New Roman" w:hAnsi="Times New Roman" w:cs="Times New Roman"/>
                <w:sz w:val="24"/>
                <w:szCs w:val="24"/>
                <w:lang w:eastAsia="zh-CN"/>
              </w:rPr>
              <w:t xml:space="preserve">jautājums par </w:t>
            </w:r>
            <w:r w:rsidR="00FB7E5C">
              <w:rPr>
                <w:rFonts w:ascii="Times New Roman" w:eastAsia="Times New Roman" w:hAnsi="Times New Roman" w:cs="Times New Roman"/>
                <w:sz w:val="24"/>
                <w:szCs w:val="24"/>
                <w:lang w:eastAsia="zh-CN"/>
              </w:rPr>
              <w:t xml:space="preserve">depo būvniecībai </w:t>
            </w:r>
            <w:r w:rsidR="00B24B48">
              <w:rPr>
                <w:rFonts w:ascii="Times New Roman" w:eastAsia="Times New Roman" w:hAnsi="Times New Roman" w:cs="Times New Roman"/>
                <w:sz w:val="24"/>
                <w:szCs w:val="24"/>
                <w:lang w:eastAsia="zh-CN"/>
              </w:rPr>
              <w:t xml:space="preserve">nepieciešamo finansējumu </w:t>
            </w:r>
            <w:r w:rsidR="00FB7E5C">
              <w:rPr>
                <w:rFonts w:ascii="Times New Roman" w:eastAsia="Times New Roman" w:hAnsi="Times New Roman" w:cs="Times New Roman"/>
                <w:sz w:val="24"/>
                <w:szCs w:val="24"/>
                <w:lang w:eastAsia="zh-CN"/>
              </w:rPr>
              <w:t xml:space="preserve">2022. gadam </w:t>
            </w:r>
            <w:r w:rsidR="00B24B48">
              <w:rPr>
                <w:rFonts w:ascii="Times New Roman" w:eastAsia="Times New Roman" w:hAnsi="Times New Roman" w:cs="Times New Roman"/>
                <w:sz w:val="24"/>
                <w:szCs w:val="24"/>
                <w:lang w:eastAsia="zh-CN"/>
              </w:rPr>
              <w:t xml:space="preserve">tiks izskatīts likumprojekta “Par valsts budžetu 2022.gadam” sagatavošanas un izskatīšanas procesā. </w:t>
            </w:r>
          </w:p>
        </w:tc>
      </w:tr>
      <w:tr w:rsidR="00644C98" w:rsidRPr="00E16F48" w:rsidTr="00312413">
        <w:tblPrEx>
          <w:tblCellMar>
            <w:top w:w="28" w:type="dxa"/>
            <w:left w:w="28" w:type="dxa"/>
            <w:bottom w:w="28" w:type="dxa"/>
            <w:right w:w="28" w:type="dxa"/>
          </w:tblCellMar>
        </w:tblPrEx>
        <w:trPr>
          <w:cantSplit/>
        </w:trPr>
        <w:tc>
          <w:tcPr>
            <w:tcW w:w="1193" w:type="pct"/>
            <w:tcBorders>
              <w:top w:val="single" w:sz="4" w:space="0" w:color="auto"/>
              <w:left w:val="nil"/>
              <w:bottom w:val="nil"/>
              <w:right w:val="nil"/>
            </w:tcBorders>
            <w:shd w:val="clear" w:color="auto" w:fill="auto"/>
          </w:tcPr>
          <w:p w:rsidR="00644C98" w:rsidRPr="00E16F48" w:rsidRDefault="00644C98" w:rsidP="00644C98">
            <w:pPr>
              <w:spacing w:after="0" w:line="240" w:lineRule="auto"/>
              <w:rPr>
                <w:rFonts w:ascii="Times New Roman" w:eastAsia="Times New Roman" w:hAnsi="Times New Roman" w:cs="Times New Roman"/>
                <w:sz w:val="24"/>
                <w:szCs w:val="24"/>
                <w:lang w:eastAsia="lv-LV"/>
              </w:rPr>
            </w:pPr>
          </w:p>
        </w:tc>
        <w:tc>
          <w:tcPr>
            <w:tcW w:w="3807" w:type="pct"/>
            <w:gridSpan w:val="8"/>
            <w:tcBorders>
              <w:top w:val="single" w:sz="4" w:space="0" w:color="auto"/>
              <w:left w:val="nil"/>
              <w:bottom w:val="nil"/>
              <w:right w:val="nil"/>
            </w:tcBorders>
            <w:shd w:val="clear" w:color="auto" w:fill="auto"/>
          </w:tcPr>
          <w:p w:rsidR="00644C98" w:rsidRPr="00683485" w:rsidRDefault="00644C98" w:rsidP="00644C98">
            <w:pPr>
              <w:spacing w:after="0" w:line="240" w:lineRule="auto"/>
              <w:jc w:val="both"/>
              <w:rPr>
                <w:rFonts w:ascii="Times New Roman" w:eastAsia="Times New Roman" w:hAnsi="Times New Roman" w:cs="Times New Roman"/>
                <w:szCs w:val="24"/>
                <w:lang w:eastAsia="lv-LV"/>
              </w:rPr>
            </w:pPr>
          </w:p>
        </w:tc>
      </w:tr>
    </w:tbl>
    <w:p w:rsidR="00A06629" w:rsidRPr="00E16F48" w:rsidRDefault="00A06629" w:rsidP="00A06629">
      <w:pPr>
        <w:spacing w:after="0" w:line="240" w:lineRule="auto"/>
        <w:jc w:val="center"/>
        <w:rPr>
          <w:rFonts w:ascii="Times New Roman" w:eastAsia="Times New Roman" w:hAnsi="Times New Roman" w:cs="Times New Roman"/>
          <w:vanish/>
          <w:sz w:val="24"/>
          <w:szCs w:val="24"/>
          <w:lang w:eastAsia="lv-LV"/>
        </w:rPr>
      </w:pPr>
    </w:p>
    <w:p w:rsidR="00A06629" w:rsidRPr="00E16F48" w:rsidRDefault="00A06629" w:rsidP="00A06629">
      <w:pPr>
        <w:spacing w:after="0" w:line="240" w:lineRule="auto"/>
        <w:rPr>
          <w:rFonts w:ascii="Times New Roman" w:eastAsia="Times New Roman" w:hAnsi="Times New Roman" w:cs="Times New Roman"/>
          <w:vanish/>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655"/>
        <w:gridCol w:w="4955"/>
      </w:tblGrid>
      <w:tr w:rsidR="00A06629" w:rsidRPr="00E16F48" w:rsidTr="007A2CF1">
        <w:trPr>
          <w:trHeight w:val="450"/>
        </w:trPr>
        <w:tc>
          <w:tcPr>
            <w:tcW w:w="5000" w:type="pct"/>
            <w:gridSpan w:val="3"/>
            <w:tcBorders>
              <w:bottom w:val="single" w:sz="4" w:space="0" w:color="auto"/>
            </w:tcBorders>
            <w:hideMark/>
          </w:tcPr>
          <w:p w:rsidR="00A06629" w:rsidRPr="00E16F48" w:rsidRDefault="00A06629" w:rsidP="007A2CF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16F48">
              <w:br w:type="page"/>
            </w:r>
            <w:r w:rsidRPr="00E16F48">
              <w:rPr>
                <w:rFonts w:ascii="Times New Roman" w:eastAsia="Times New Roman" w:hAnsi="Times New Roman" w:cs="Times New Roman"/>
                <w:b/>
                <w:bCs/>
                <w:sz w:val="24"/>
                <w:szCs w:val="24"/>
                <w:lang w:eastAsia="lv-LV"/>
              </w:rPr>
              <w:t>IV. Tiesību akta projekta ietekme uz spēkā esošo tiesību normu sistēmu</w:t>
            </w:r>
          </w:p>
        </w:tc>
      </w:tr>
      <w:tr w:rsidR="00A06629" w:rsidRPr="00E16F48" w:rsidTr="007A2CF1">
        <w:trPr>
          <w:trHeight w:val="482"/>
        </w:trPr>
        <w:tc>
          <w:tcPr>
            <w:tcW w:w="5000" w:type="pct"/>
            <w:gridSpan w:val="3"/>
            <w:tcBorders>
              <w:bottom w:val="single" w:sz="4" w:space="0" w:color="auto"/>
            </w:tcBorders>
          </w:tcPr>
          <w:p w:rsidR="00A06629" w:rsidRPr="00E16F48" w:rsidRDefault="00A06629" w:rsidP="007A2CF1">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A06629" w:rsidRPr="00E16F48" w:rsidTr="007A2CF1">
        <w:trPr>
          <w:trHeight w:val="256"/>
        </w:trPr>
        <w:tc>
          <w:tcPr>
            <w:tcW w:w="5000" w:type="pct"/>
            <w:gridSpan w:val="3"/>
            <w:tcBorders>
              <w:top w:val="single" w:sz="4" w:space="0" w:color="auto"/>
              <w:left w:val="nil"/>
              <w:bottom w:val="nil"/>
              <w:right w:val="nil"/>
            </w:tcBorders>
          </w:tcPr>
          <w:p w:rsidR="00A06629" w:rsidRPr="00683485" w:rsidRDefault="00A06629" w:rsidP="007A2CF1">
            <w:pPr>
              <w:ind w:firstLine="338"/>
              <w:jc w:val="center"/>
              <w:rPr>
                <w:rFonts w:ascii="Times New Roman" w:eastAsia="Times New Roman" w:hAnsi="Times New Roman" w:cs="Times New Roman"/>
                <w:sz w:val="20"/>
                <w:szCs w:val="24"/>
                <w:lang w:eastAsia="lv-LV"/>
              </w:rPr>
            </w:pPr>
          </w:p>
        </w:tc>
      </w:tr>
      <w:tr w:rsidR="00A06629" w:rsidRPr="00E16F48" w:rsidTr="007A2CF1">
        <w:tc>
          <w:tcPr>
            <w:tcW w:w="5000" w:type="pct"/>
            <w:gridSpan w:val="3"/>
            <w:tcBorders>
              <w:top w:val="single" w:sz="4" w:space="0" w:color="auto"/>
              <w:bottom w:val="single" w:sz="4" w:space="0" w:color="auto"/>
            </w:tcBorders>
            <w:hideMark/>
          </w:tcPr>
          <w:p w:rsidR="00A06629" w:rsidRPr="00E16F48" w:rsidRDefault="00A06629" w:rsidP="007A2CF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V. Tiesību akta projekta atbilstība Latvijas Republikas starptautiskajām saistībām</w:t>
            </w:r>
          </w:p>
        </w:tc>
      </w:tr>
      <w:tr w:rsidR="00A06629" w:rsidRPr="00E16F48" w:rsidTr="007A2CF1">
        <w:trPr>
          <w:trHeight w:val="392"/>
        </w:trPr>
        <w:tc>
          <w:tcPr>
            <w:tcW w:w="5000" w:type="pct"/>
            <w:gridSpan w:val="3"/>
            <w:tcBorders>
              <w:bottom w:val="single" w:sz="4" w:space="0" w:color="auto"/>
            </w:tcBorders>
          </w:tcPr>
          <w:p w:rsidR="00A06629" w:rsidRPr="00E16F48" w:rsidRDefault="00A06629" w:rsidP="007A2CF1">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A06629" w:rsidRPr="00E16F48" w:rsidTr="007A2CF1">
        <w:trPr>
          <w:trHeight w:val="290"/>
        </w:trPr>
        <w:tc>
          <w:tcPr>
            <w:tcW w:w="5000" w:type="pct"/>
            <w:gridSpan w:val="3"/>
            <w:tcBorders>
              <w:top w:val="single" w:sz="4" w:space="0" w:color="auto"/>
              <w:left w:val="nil"/>
              <w:bottom w:val="nil"/>
              <w:right w:val="nil"/>
            </w:tcBorders>
          </w:tcPr>
          <w:p w:rsidR="00A06629" w:rsidRPr="00683485" w:rsidRDefault="00A06629" w:rsidP="007A2CF1">
            <w:pPr>
              <w:ind w:firstLine="338"/>
              <w:jc w:val="center"/>
              <w:rPr>
                <w:rFonts w:ascii="Times New Roman" w:eastAsia="Times New Roman" w:hAnsi="Times New Roman" w:cs="Times New Roman"/>
                <w:sz w:val="20"/>
                <w:szCs w:val="24"/>
                <w:lang w:eastAsia="lv-LV"/>
              </w:rPr>
            </w:pPr>
          </w:p>
        </w:tc>
      </w:tr>
      <w:tr w:rsidR="00A06629" w:rsidRPr="00E16F48" w:rsidTr="007A2CF1">
        <w:trPr>
          <w:trHeight w:val="420"/>
        </w:trPr>
        <w:tc>
          <w:tcPr>
            <w:tcW w:w="0" w:type="auto"/>
            <w:gridSpan w:val="3"/>
            <w:tcBorders>
              <w:top w:val="single" w:sz="4" w:space="0" w:color="auto"/>
              <w:bottom w:val="single" w:sz="4" w:space="0" w:color="auto"/>
            </w:tcBorders>
            <w:hideMark/>
          </w:tcPr>
          <w:p w:rsidR="00A06629" w:rsidRPr="00E16F48" w:rsidRDefault="00A06629" w:rsidP="007A2CF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VI. Sabiedrības līdzdalība un komunikācijas aktivitātes</w:t>
            </w:r>
          </w:p>
        </w:tc>
      </w:tr>
      <w:tr w:rsidR="00A06629" w:rsidRPr="00E16F48" w:rsidTr="007A2CF1">
        <w:trPr>
          <w:trHeight w:val="351"/>
        </w:trPr>
        <w:tc>
          <w:tcPr>
            <w:tcW w:w="5000" w:type="pct"/>
            <w:gridSpan w:val="3"/>
            <w:tcBorders>
              <w:bottom w:val="single" w:sz="4" w:space="0" w:color="auto"/>
            </w:tcBorders>
          </w:tcPr>
          <w:p w:rsidR="00A06629" w:rsidRPr="00E16F48" w:rsidRDefault="00A06629" w:rsidP="007A2CF1">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A06629" w:rsidRPr="00E16F48" w:rsidTr="007A2CF1">
        <w:trPr>
          <w:trHeight w:val="179"/>
        </w:trPr>
        <w:tc>
          <w:tcPr>
            <w:tcW w:w="5000" w:type="pct"/>
            <w:gridSpan w:val="3"/>
            <w:tcBorders>
              <w:top w:val="single" w:sz="4" w:space="0" w:color="auto"/>
              <w:left w:val="nil"/>
              <w:bottom w:val="nil"/>
              <w:right w:val="nil"/>
            </w:tcBorders>
          </w:tcPr>
          <w:p w:rsidR="00A06629" w:rsidRPr="00E16F48" w:rsidRDefault="00A06629" w:rsidP="007A2CF1">
            <w:pPr>
              <w:ind w:firstLine="338"/>
              <w:jc w:val="center"/>
              <w:rPr>
                <w:rFonts w:ascii="Times New Roman" w:eastAsia="Times New Roman" w:hAnsi="Times New Roman" w:cs="Times New Roman"/>
                <w:sz w:val="24"/>
                <w:szCs w:val="24"/>
                <w:lang w:eastAsia="lv-LV"/>
              </w:rPr>
            </w:pPr>
          </w:p>
        </w:tc>
      </w:tr>
      <w:tr w:rsidR="00A06629" w:rsidRPr="00E16F48" w:rsidTr="007A2CF1">
        <w:trPr>
          <w:trHeight w:val="375"/>
        </w:trPr>
        <w:tc>
          <w:tcPr>
            <w:tcW w:w="0" w:type="auto"/>
            <w:gridSpan w:val="3"/>
            <w:tcBorders>
              <w:top w:val="single" w:sz="4" w:space="0" w:color="auto"/>
            </w:tcBorders>
            <w:hideMark/>
          </w:tcPr>
          <w:p w:rsidR="00A06629" w:rsidRPr="00E16F48" w:rsidRDefault="00A06629" w:rsidP="007A2CF1">
            <w:pPr>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VII. Tiesību akta projekta izpildes nodrošināšana un tās ietekme uz institūcijām</w:t>
            </w:r>
          </w:p>
        </w:tc>
      </w:tr>
      <w:tr w:rsidR="00A06629" w:rsidRPr="00E16F48" w:rsidTr="007A2CF1">
        <w:trPr>
          <w:trHeight w:val="420"/>
        </w:trPr>
        <w:tc>
          <w:tcPr>
            <w:tcW w:w="249" w:type="pct"/>
            <w:hideMark/>
          </w:tcPr>
          <w:p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w:t>
            </w:r>
          </w:p>
        </w:tc>
        <w:tc>
          <w:tcPr>
            <w:tcW w:w="2017" w:type="pct"/>
            <w:hideMark/>
          </w:tcPr>
          <w:p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Projekta izpildē iesaistītās institūcijas</w:t>
            </w:r>
          </w:p>
        </w:tc>
        <w:tc>
          <w:tcPr>
            <w:tcW w:w="2734" w:type="pct"/>
            <w:hideMark/>
          </w:tcPr>
          <w:p w:rsidR="00A06629" w:rsidRPr="00E16F48" w:rsidRDefault="00A13939" w:rsidP="007A2CF1">
            <w:pPr>
              <w:ind w:firstLine="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 </w:t>
            </w:r>
            <w:r w:rsidR="008E1D56" w:rsidRPr="003D5B21">
              <w:rPr>
                <w:rFonts w:ascii="Times New Roman" w:eastAsia="Times New Roman" w:hAnsi="Times New Roman" w:cs="Times New Roman"/>
                <w:sz w:val="24"/>
                <w:szCs w:val="24"/>
                <w:lang w:eastAsia="lv-LV"/>
              </w:rPr>
              <w:t>Iekšlietu ministrija, Nodrošinājuma valsts aģentūra.</w:t>
            </w:r>
          </w:p>
        </w:tc>
      </w:tr>
      <w:tr w:rsidR="00A06629" w:rsidRPr="00E16F48" w:rsidTr="007A2CF1">
        <w:trPr>
          <w:trHeight w:val="450"/>
        </w:trPr>
        <w:tc>
          <w:tcPr>
            <w:tcW w:w="249" w:type="pct"/>
            <w:hideMark/>
          </w:tcPr>
          <w:p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w:t>
            </w:r>
          </w:p>
        </w:tc>
        <w:tc>
          <w:tcPr>
            <w:tcW w:w="2017" w:type="pct"/>
            <w:hideMark/>
          </w:tcPr>
          <w:p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Projekta izpildes ietekme uz pārvaldes funkcijām un institucionālo struktūru.</w:t>
            </w:r>
          </w:p>
          <w:p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34" w:type="pct"/>
            <w:hideMark/>
          </w:tcPr>
          <w:p w:rsidR="00A06629" w:rsidRPr="00E16F48" w:rsidRDefault="00A06629" w:rsidP="007A2CF1">
            <w:pPr>
              <w:jc w:val="both"/>
              <w:rPr>
                <w:rFonts w:ascii="Times New Roman" w:hAnsi="Times New Roman" w:cs="Times New Roman"/>
                <w:sz w:val="24"/>
                <w:szCs w:val="24"/>
              </w:rPr>
            </w:pPr>
            <w:r w:rsidRPr="00E16F48">
              <w:rPr>
                <w:rFonts w:ascii="Times New Roman" w:hAnsi="Times New Roman" w:cs="Times New Roman"/>
                <w:sz w:val="24"/>
                <w:szCs w:val="24"/>
              </w:rPr>
              <w:t>Rīkojuma projekta izpilde neietekmē iesaistīto institūciju funkcijas un uzdevumus.</w:t>
            </w:r>
          </w:p>
          <w:p w:rsidR="00A06629" w:rsidRPr="00E16F48" w:rsidRDefault="00A06629" w:rsidP="007A2CF1">
            <w:pPr>
              <w:jc w:val="both"/>
              <w:rPr>
                <w:rFonts w:ascii="Times New Roman" w:eastAsia="Times New Roman" w:hAnsi="Times New Roman" w:cs="Times New Roman"/>
                <w:sz w:val="24"/>
                <w:szCs w:val="24"/>
                <w:lang w:eastAsia="lv-LV"/>
              </w:rPr>
            </w:pPr>
            <w:r w:rsidRPr="00E16F48">
              <w:rPr>
                <w:rFonts w:ascii="Times New Roman" w:hAnsi="Times New Roman" w:cs="Times New Roman"/>
                <w:sz w:val="24"/>
                <w:szCs w:val="24"/>
              </w:rPr>
              <w:t>Rīkojuma projekta izpilde neietekmē valsts pārvaldes institucionālo sistēmu.</w:t>
            </w:r>
          </w:p>
        </w:tc>
      </w:tr>
      <w:tr w:rsidR="00A06629" w:rsidRPr="00E16F48" w:rsidTr="007A2CF1">
        <w:trPr>
          <w:trHeight w:val="390"/>
        </w:trPr>
        <w:tc>
          <w:tcPr>
            <w:tcW w:w="249" w:type="pct"/>
            <w:hideMark/>
          </w:tcPr>
          <w:p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w:t>
            </w:r>
          </w:p>
        </w:tc>
        <w:tc>
          <w:tcPr>
            <w:tcW w:w="2017" w:type="pct"/>
            <w:hideMark/>
          </w:tcPr>
          <w:p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Cita informācija</w:t>
            </w:r>
          </w:p>
        </w:tc>
        <w:tc>
          <w:tcPr>
            <w:tcW w:w="2734" w:type="pct"/>
            <w:hideMark/>
          </w:tcPr>
          <w:p w:rsidR="00A06629" w:rsidRPr="00E16F48" w:rsidRDefault="00A06629" w:rsidP="007A2CF1">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Nav.</w:t>
            </w:r>
          </w:p>
        </w:tc>
      </w:tr>
    </w:tbl>
    <w:p w:rsidR="00A06629" w:rsidRPr="00E16F48" w:rsidRDefault="00A06629" w:rsidP="00A06629">
      <w:pPr>
        <w:tabs>
          <w:tab w:val="left" w:pos="6521"/>
        </w:tabs>
        <w:spacing w:after="0" w:line="240" w:lineRule="auto"/>
        <w:rPr>
          <w:rFonts w:ascii="Times New Roman" w:hAnsi="Times New Roman" w:cs="Times New Roman"/>
          <w:sz w:val="24"/>
          <w:szCs w:val="24"/>
        </w:rPr>
      </w:pPr>
    </w:p>
    <w:p w:rsidR="00E8694D" w:rsidRPr="00E8694D" w:rsidRDefault="00E8694D" w:rsidP="00E8694D">
      <w:pPr>
        <w:tabs>
          <w:tab w:val="left" w:pos="6237"/>
        </w:tabs>
        <w:jc w:val="both"/>
        <w:rPr>
          <w:rFonts w:ascii="Times New Roman" w:hAnsi="Times New Roman" w:cs="Times New Roman"/>
          <w:sz w:val="28"/>
          <w:szCs w:val="28"/>
        </w:rPr>
      </w:pPr>
      <w:r w:rsidRPr="00E8694D">
        <w:rPr>
          <w:rFonts w:ascii="Times New Roman" w:hAnsi="Times New Roman" w:cs="Times New Roman"/>
          <w:sz w:val="28"/>
          <w:szCs w:val="28"/>
        </w:rPr>
        <w:t>Ministru prezidents</w:t>
      </w:r>
      <w:r w:rsidRPr="00E8694D">
        <w:rPr>
          <w:rFonts w:ascii="Times New Roman" w:hAnsi="Times New Roman" w:cs="Times New Roman"/>
          <w:sz w:val="28"/>
          <w:szCs w:val="28"/>
        </w:rPr>
        <w:tab/>
        <w:t>Arturs Krišjānis Kariņš</w:t>
      </w:r>
    </w:p>
    <w:p w:rsidR="00A06629" w:rsidRPr="00E8694D" w:rsidRDefault="00E8694D" w:rsidP="00E8694D">
      <w:pPr>
        <w:tabs>
          <w:tab w:val="left" w:pos="6237"/>
        </w:tabs>
        <w:jc w:val="both"/>
        <w:rPr>
          <w:rFonts w:ascii="Times New Roman" w:hAnsi="Times New Roman" w:cs="Times New Roman"/>
          <w:sz w:val="24"/>
          <w:szCs w:val="24"/>
        </w:rPr>
      </w:pPr>
      <w:r w:rsidRPr="00E8694D">
        <w:rPr>
          <w:rFonts w:ascii="Times New Roman" w:hAnsi="Times New Roman" w:cs="Times New Roman"/>
          <w:sz w:val="28"/>
          <w:szCs w:val="28"/>
        </w:rPr>
        <w:t>Iekšlietu ministr</w:t>
      </w:r>
      <w:r w:rsidR="00B8113A">
        <w:rPr>
          <w:rFonts w:ascii="Times New Roman" w:hAnsi="Times New Roman" w:cs="Times New Roman"/>
          <w:sz w:val="28"/>
          <w:szCs w:val="28"/>
        </w:rPr>
        <w:t>e</w:t>
      </w:r>
      <w:r w:rsidRPr="00E8694D">
        <w:rPr>
          <w:rFonts w:ascii="Times New Roman" w:hAnsi="Times New Roman" w:cs="Times New Roman"/>
          <w:sz w:val="28"/>
          <w:szCs w:val="28"/>
        </w:rPr>
        <w:tab/>
      </w:r>
      <w:r w:rsidR="00A57A81" w:rsidRPr="00A57A81">
        <w:rPr>
          <w:rFonts w:ascii="Times New Roman" w:hAnsi="Times New Roman" w:cs="Times New Roman"/>
          <w:sz w:val="28"/>
          <w:szCs w:val="28"/>
        </w:rPr>
        <w:t>Marija Golubeva</w:t>
      </w:r>
    </w:p>
    <w:p w:rsidR="00A06629" w:rsidRPr="00A13939" w:rsidRDefault="00A13939" w:rsidP="00A13939">
      <w:pPr>
        <w:tabs>
          <w:tab w:val="left" w:pos="6237"/>
        </w:tabs>
        <w:jc w:val="both"/>
        <w:rPr>
          <w:rFonts w:ascii="Times New Roman" w:hAnsi="Times New Roman" w:cs="Times New Roman"/>
          <w:sz w:val="28"/>
          <w:szCs w:val="28"/>
        </w:rPr>
      </w:pPr>
      <w:r w:rsidRPr="00A13939">
        <w:rPr>
          <w:rFonts w:ascii="Times New Roman" w:hAnsi="Times New Roman" w:cs="Times New Roman"/>
          <w:sz w:val="28"/>
          <w:szCs w:val="28"/>
        </w:rPr>
        <w:t>Iesniedzējs:</w:t>
      </w:r>
    </w:p>
    <w:p w:rsidR="00A13939" w:rsidRPr="00E8694D" w:rsidRDefault="00A13939" w:rsidP="00A13939">
      <w:pPr>
        <w:tabs>
          <w:tab w:val="left" w:pos="6237"/>
        </w:tabs>
        <w:jc w:val="both"/>
        <w:rPr>
          <w:rFonts w:ascii="Times New Roman" w:hAnsi="Times New Roman" w:cs="Times New Roman"/>
          <w:sz w:val="24"/>
          <w:szCs w:val="24"/>
        </w:rPr>
      </w:pPr>
      <w:r w:rsidRPr="00E8694D">
        <w:rPr>
          <w:rFonts w:ascii="Times New Roman" w:hAnsi="Times New Roman" w:cs="Times New Roman"/>
          <w:sz w:val="28"/>
          <w:szCs w:val="28"/>
        </w:rPr>
        <w:t>Iekšlietu ministr</w:t>
      </w:r>
      <w:r>
        <w:rPr>
          <w:rFonts w:ascii="Times New Roman" w:hAnsi="Times New Roman" w:cs="Times New Roman"/>
          <w:sz w:val="28"/>
          <w:szCs w:val="28"/>
        </w:rPr>
        <w:t>e</w:t>
      </w:r>
      <w:r w:rsidRPr="00E8694D">
        <w:rPr>
          <w:rFonts w:ascii="Times New Roman" w:hAnsi="Times New Roman" w:cs="Times New Roman"/>
          <w:sz w:val="28"/>
          <w:szCs w:val="28"/>
        </w:rPr>
        <w:tab/>
      </w:r>
      <w:r w:rsidRPr="00A57A81">
        <w:rPr>
          <w:rFonts w:ascii="Times New Roman" w:hAnsi="Times New Roman" w:cs="Times New Roman"/>
          <w:sz w:val="28"/>
          <w:szCs w:val="28"/>
        </w:rPr>
        <w:t>Marija Golubeva</w:t>
      </w:r>
    </w:p>
    <w:p w:rsidR="00A13939" w:rsidRPr="00A13939" w:rsidRDefault="00A13939" w:rsidP="00A13939">
      <w:pPr>
        <w:tabs>
          <w:tab w:val="left" w:pos="6237"/>
        </w:tabs>
        <w:jc w:val="both"/>
        <w:rPr>
          <w:rFonts w:ascii="Times New Roman" w:hAnsi="Times New Roman" w:cs="Times New Roman"/>
          <w:sz w:val="28"/>
          <w:szCs w:val="28"/>
        </w:rPr>
      </w:pPr>
      <w:r w:rsidRPr="00A13939">
        <w:rPr>
          <w:rFonts w:ascii="Times New Roman" w:hAnsi="Times New Roman" w:cs="Times New Roman"/>
          <w:sz w:val="28"/>
          <w:szCs w:val="28"/>
        </w:rPr>
        <w:t>Vīza:</w:t>
      </w:r>
    </w:p>
    <w:p w:rsidR="00A13939" w:rsidRPr="00A13939" w:rsidRDefault="00A13939" w:rsidP="00A13939">
      <w:pPr>
        <w:tabs>
          <w:tab w:val="left" w:pos="6237"/>
        </w:tabs>
        <w:jc w:val="both"/>
        <w:rPr>
          <w:rFonts w:ascii="Times New Roman" w:hAnsi="Times New Roman" w:cs="Times New Roman"/>
          <w:sz w:val="28"/>
          <w:szCs w:val="28"/>
        </w:rPr>
      </w:pPr>
      <w:r w:rsidRPr="00A13939">
        <w:rPr>
          <w:rFonts w:ascii="Times New Roman" w:hAnsi="Times New Roman" w:cs="Times New Roman"/>
          <w:sz w:val="28"/>
          <w:szCs w:val="28"/>
        </w:rPr>
        <w:t xml:space="preserve">Valsts sekretārs                                </w:t>
      </w:r>
      <w:r>
        <w:rPr>
          <w:rFonts w:ascii="Times New Roman" w:hAnsi="Times New Roman" w:cs="Times New Roman"/>
          <w:sz w:val="28"/>
          <w:szCs w:val="28"/>
        </w:rPr>
        <w:t xml:space="preserve">                                </w:t>
      </w:r>
      <w:r w:rsidRPr="00A13939">
        <w:rPr>
          <w:rFonts w:ascii="Times New Roman" w:hAnsi="Times New Roman" w:cs="Times New Roman"/>
          <w:sz w:val="28"/>
          <w:szCs w:val="28"/>
        </w:rPr>
        <w:t>Dimitrijs Trofimovs</w:t>
      </w:r>
    </w:p>
    <w:p w:rsidR="00A06629" w:rsidRDefault="00A06629" w:rsidP="00A06629">
      <w:pPr>
        <w:tabs>
          <w:tab w:val="left" w:pos="6521"/>
        </w:tabs>
        <w:jc w:val="both"/>
        <w:rPr>
          <w:rFonts w:ascii="Times New Roman" w:hAnsi="Times New Roman" w:cs="Times New Roman"/>
          <w:sz w:val="24"/>
          <w:szCs w:val="24"/>
        </w:rPr>
      </w:pPr>
    </w:p>
    <w:p w:rsidR="00A13939" w:rsidRDefault="00A13939" w:rsidP="00A06629">
      <w:pPr>
        <w:tabs>
          <w:tab w:val="left" w:pos="6521"/>
        </w:tabs>
        <w:jc w:val="both"/>
        <w:rPr>
          <w:rFonts w:ascii="Times New Roman" w:hAnsi="Times New Roman" w:cs="Times New Roman"/>
          <w:sz w:val="24"/>
          <w:szCs w:val="24"/>
        </w:rPr>
      </w:pPr>
      <w:bookmarkStart w:id="0" w:name="_GoBack"/>
      <w:bookmarkEnd w:id="0"/>
    </w:p>
    <w:p w:rsidR="00A13939" w:rsidRDefault="00A13939" w:rsidP="00A06629">
      <w:pPr>
        <w:tabs>
          <w:tab w:val="left" w:pos="6521"/>
        </w:tabs>
        <w:jc w:val="both"/>
        <w:rPr>
          <w:rFonts w:ascii="Times New Roman" w:hAnsi="Times New Roman" w:cs="Times New Roman"/>
          <w:sz w:val="24"/>
          <w:szCs w:val="24"/>
        </w:rPr>
      </w:pPr>
    </w:p>
    <w:p w:rsidR="008E1D56" w:rsidRPr="00A13939" w:rsidRDefault="008E1D56" w:rsidP="008E1D56">
      <w:pPr>
        <w:tabs>
          <w:tab w:val="left" w:pos="6237"/>
        </w:tabs>
        <w:spacing w:after="0" w:line="240" w:lineRule="auto"/>
        <w:rPr>
          <w:rFonts w:ascii="Times New Roman" w:hAnsi="Times New Roman" w:cs="Times New Roman"/>
          <w:sz w:val="20"/>
          <w:szCs w:val="20"/>
        </w:rPr>
      </w:pPr>
      <w:r w:rsidRPr="00A13939">
        <w:rPr>
          <w:rFonts w:ascii="Times New Roman" w:hAnsi="Times New Roman" w:cs="Times New Roman"/>
          <w:sz w:val="20"/>
          <w:szCs w:val="20"/>
        </w:rPr>
        <w:fldChar w:fldCharType="begin"/>
      </w:r>
      <w:r w:rsidRPr="00A13939">
        <w:rPr>
          <w:rFonts w:ascii="Times New Roman" w:hAnsi="Times New Roman" w:cs="Times New Roman"/>
          <w:sz w:val="20"/>
          <w:szCs w:val="20"/>
        </w:rPr>
        <w:instrText xml:space="preserve"> TIME  \@ "dd.MM.yyyy. H:mm"  \* MERGEFORMAT </w:instrText>
      </w:r>
      <w:r w:rsidRPr="00A13939">
        <w:rPr>
          <w:rFonts w:ascii="Times New Roman" w:hAnsi="Times New Roman" w:cs="Times New Roman"/>
          <w:sz w:val="20"/>
          <w:szCs w:val="20"/>
        </w:rPr>
        <w:fldChar w:fldCharType="separate"/>
      </w:r>
      <w:r w:rsidR="00DC5262">
        <w:rPr>
          <w:rFonts w:ascii="Times New Roman" w:hAnsi="Times New Roman" w:cs="Times New Roman"/>
          <w:noProof/>
          <w:sz w:val="20"/>
          <w:szCs w:val="20"/>
        </w:rPr>
        <w:t>02.07.2021. 10:12</w:t>
      </w:r>
      <w:r w:rsidRPr="00A13939">
        <w:rPr>
          <w:rFonts w:ascii="Times New Roman" w:hAnsi="Times New Roman" w:cs="Times New Roman"/>
          <w:sz w:val="20"/>
          <w:szCs w:val="20"/>
        </w:rPr>
        <w:fldChar w:fldCharType="end"/>
      </w:r>
    </w:p>
    <w:p w:rsidR="00A13939" w:rsidRPr="00A13939" w:rsidRDefault="00DC5262" w:rsidP="008E1D56">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2675</w:t>
      </w:r>
    </w:p>
    <w:p w:rsidR="008E1D56" w:rsidRPr="00A13939" w:rsidRDefault="008E4A3B" w:rsidP="008E1D56">
      <w:pPr>
        <w:tabs>
          <w:tab w:val="left" w:pos="6237"/>
        </w:tabs>
        <w:spacing w:after="0" w:line="240" w:lineRule="auto"/>
        <w:rPr>
          <w:rFonts w:ascii="Times New Roman" w:hAnsi="Times New Roman" w:cs="Times New Roman"/>
          <w:sz w:val="20"/>
          <w:szCs w:val="20"/>
        </w:rPr>
      </w:pPr>
      <w:r w:rsidRPr="00A13939">
        <w:rPr>
          <w:rFonts w:ascii="Times New Roman" w:hAnsi="Times New Roman" w:cs="Times New Roman"/>
          <w:sz w:val="20"/>
          <w:szCs w:val="20"/>
        </w:rPr>
        <w:t>Avotiņš</w:t>
      </w:r>
      <w:r w:rsidR="008E1D56" w:rsidRPr="00A13939">
        <w:rPr>
          <w:rFonts w:ascii="Times New Roman" w:hAnsi="Times New Roman" w:cs="Times New Roman"/>
          <w:sz w:val="20"/>
          <w:szCs w:val="20"/>
        </w:rPr>
        <w:t>, 67</w:t>
      </w:r>
      <w:r w:rsidRPr="00A13939">
        <w:rPr>
          <w:rFonts w:ascii="Times New Roman" w:hAnsi="Times New Roman" w:cs="Times New Roman"/>
          <w:sz w:val="20"/>
          <w:szCs w:val="20"/>
        </w:rPr>
        <w:t>219136</w:t>
      </w:r>
    </w:p>
    <w:p w:rsidR="008E1D56" w:rsidRPr="00A13939" w:rsidRDefault="00DC5262" w:rsidP="008E1D56">
      <w:pPr>
        <w:tabs>
          <w:tab w:val="left" w:pos="6237"/>
        </w:tabs>
        <w:spacing w:after="0" w:line="240" w:lineRule="auto"/>
        <w:rPr>
          <w:rFonts w:ascii="Times New Roman" w:hAnsi="Times New Roman" w:cs="Times New Roman"/>
          <w:sz w:val="20"/>
          <w:szCs w:val="20"/>
        </w:rPr>
      </w:pPr>
      <w:hyperlink r:id="rId8" w:history="1">
        <w:r w:rsidR="008E4A3B" w:rsidRPr="00A13939">
          <w:rPr>
            <w:rStyle w:val="Hyperlink"/>
            <w:rFonts w:ascii="Times New Roman" w:hAnsi="Times New Roman" w:cs="Times New Roman"/>
            <w:sz w:val="20"/>
            <w:szCs w:val="20"/>
          </w:rPr>
          <w:t>gatis.avotins@agentura.iem.gov.lv</w:t>
        </w:r>
      </w:hyperlink>
    </w:p>
    <w:p w:rsidR="00A06629" w:rsidRPr="003D5B21" w:rsidRDefault="00A06629" w:rsidP="008E1D56">
      <w:pPr>
        <w:tabs>
          <w:tab w:val="left" w:pos="6521"/>
        </w:tabs>
        <w:spacing w:after="0" w:line="240" w:lineRule="auto"/>
        <w:jc w:val="both"/>
        <w:rPr>
          <w:rFonts w:ascii="Times New Roman" w:hAnsi="Times New Roman" w:cs="Times New Roman"/>
          <w:sz w:val="24"/>
          <w:szCs w:val="28"/>
        </w:rPr>
      </w:pPr>
    </w:p>
    <w:sectPr w:rsidR="00A06629" w:rsidRPr="003D5B21"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41" w:rsidRDefault="00E04E41" w:rsidP="00894C55">
      <w:pPr>
        <w:spacing w:after="0" w:line="240" w:lineRule="auto"/>
      </w:pPr>
      <w:r>
        <w:separator/>
      </w:r>
    </w:p>
  </w:endnote>
  <w:endnote w:type="continuationSeparator" w:id="0">
    <w:p w:rsidR="00E04E41" w:rsidRDefault="00E04E4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41" w:rsidRPr="00806623" w:rsidRDefault="00E04E41" w:rsidP="00806623">
    <w:pPr>
      <w:pStyle w:val="Footer"/>
      <w:jc w:val="both"/>
      <w:rPr>
        <w:rFonts w:ascii="Times New Roman" w:hAnsi="Times New Roman" w:cs="Times New Roman"/>
        <w:sz w:val="20"/>
        <w:szCs w:val="20"/>
      </w:rPr>
    </w:pPr>
    <w:r w:rsidRPr="00806623">
      <w:rPr>
        <w:rFonts w:ascii="Times New Roman" w:hAnsi="Times New Roman" w:cs="Times New Roman"/>
        <w:sz w:val="20"/>
        <w:szCs w:val="20"/>
      </w:rPr>
      <w:fldChar w:fldCharType="begin"/>
    </w:r>
    <w:r w:rsidRPr="00806623">
      <w:rPr>
        <w:rFonts w:ascii="Times New Roman" w:hAnsi="Times New Roman" w:cs="Times New Roman"/>
        <w:sz w:val="20"/>
        <w:szCs w:val="20"/>
      </w:rPr>
      <w:instrText xml:space="preserve"> FILENAME   \* MERGEFORMAT </w:instrText>
    </w:r>
    <w:r w:rsidRPr="00806623">
      <w:rPr>
        <w:rFonts w:ascii="Times New Roman" w:hAnsi="Times New Roman" w:cs="Times New Roman"/>
        <w:sz w:val="20"/>
        <w:szCs w:val="20"/>
      </w:rPr>
      <w:fldChar w:fldCharType="separate"/>
    </w:r>
    <w:r w:rsidR="0093524B">
      <w:rPr>
        <w:rFonts w:ascii="Times New Roman" w:hAnsi="Times New Roman" w:cs="Times New Roman"/>
        <w:noProof/>
        <w:sz w:val="20"/>
        <w:szCs w:val="20"/>
      </w:rPr>
      <w:t>IEMAnot_020721_LNG_VUGD</w:t>
    </w:r>
    <w:r w:rsidRPr="00806623">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41" w:rsidRPr="00806623" w:rsidRDefault="00E04E41" w:rsidP="00806623">
    <w:pPr>
      <w:pStyle w:val="Footer"/>
      <w:jc w:val="both"/>
      <w:rPr>
        <w:rFonts w:ascii="Times New Roman" w:hAnsi="Times New Roman" w:cs="Times New Roman"/>
      </w:rPr>
    </w:pPr>
    <w:r w:rsidRPr="00806623">
      <w:rPr>
        <w:rFonts w:ascii="Times New Roman" w:hAnsi="Times New Roman" w:cs="Times New Roman"/>
        <w:sz w:val="20"/>
        <w:szCs w:val="20"/>
      </w:rPr>
      <w:fldChar w:fldCharType="begin"/>
    </w:r>
    <w:r w:rsidRPr="00806623">
      <w:rPr>
        <w:rFonts w:ascii="Times New Roman" w:hAnsi="Times New Roman" w:cs="Times New Roman"/>
        <w:sz w:val="20"/>
        <w:szCs w:val="20"/>
      </w:rPr>
      <w:instrText xml:space="preserve"> FILENAME   \* MERGEFORMAT </w:instrText>
    </w:r>
    <w:r w:rsidRPr="00806623">
      <w:rPr>
        <w:rFonts w:ascii="Times New Roman" w:hAnsi="Times New Roman" w:cs="Times New Roman"/>
        <w:sz w:val="20"/>
        <w:szCs w:val="20"/>
      </w:rPr>
      <w:fldChar w:fldCharType="separate"/>
    </w:r>
    <w:r w:rsidR="0093524B">
      <w:rPr>
        <w:rFonts w:ascii="Times New Roman" w:hAnsi="Times New Roman" w:cs="Times New Roman"/>
        <w:noProof/>
        <w:sz w:val="20"/>
        <w:szCs w:val="20"/>
      </w:rPr>
      <w:t>IEMAnot_020721_LNG_VUGD</w:t>
    </w:r>
    <w:r w:rsidRPr="0080662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41" w:rsidRDefault="00E04E41" w:rsidP="00894C55">
      <w:pPr>
        <w:spacing w:after="0" w:line="240" w:lineRule="auto"/>
      </w:pPr>
      <w:r>
        <w:separator/>
      </w:r>
    </w:p>
  </w:footnote>
  <w:footnote w:type="continuationSeparator" w:id="0">
    <w:p w:rsidR="00E04E41" w:rsidRDefault="00E04E4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04E41" w:rsidRPr="00C25B49" w:rsidRDefault="00E04E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C5262">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AAC"/>
    <w:multiLevelType w:val="hybridMultilevel"/>
    <w:tmpl w:val="1B2A8918"/>
    <w:lvl w:ilvl="0" w:tplc="12441236">
      <w:start w:val="1"/>
      <w:numFmt w:val="decimal"/>
      <w:lvlText w:val="%1."/>
      <w:lvlJc w:val="left"/>
      <w:pPr>
        <w:ind w:left="691" w:hanging="360"/>
      </w:pPr>
      <w:rPr>
        <w:rFonts w:hint="default"/>
      </w:rPr>
    </w:lvl>
    <w:lvl w:ilvl="1" w:tplc="04260019" w:tentative="1">
      <w:start w:val="1"/>
      <w:numFmt w:val="lowerLetter"/>
      <w:lvlText w:val="%2."/>
      <w:lvlJc w:val="left"/>
      <w:pPr>
        <w:ind w:left="1411" w:hanging="360"/>
      </w:pPr>
    </w:lvl>
    <w:lvl w:ilvl="2" w:tplc="0426001B" w:tentative="1">
      <w:start w:val="1"/>
      <w:numFmt w:val="lowerRoman"/>
      <w:lvlText w:val="%3."/>
      <w:lvlJc w:val="right"/>
      <w:pPr>
        <w:ind w:left="2131" w:hanging="180"/>
      </w:pPr>
    </w:lvl>
    <w:lvl w:ilvl="3" w:tplc="0426000F" w:tentative="1">
      <w:start w:val="1"/>
      <w:numFmt w:val="decimal"/>
      <w:lvlText w:val="%4."/>
      <w:lvlJc w:val="left"/>
      <w:pPr>
        <w:ind w:left="2851" w:hanging="360"/>
      </w:pPr>
    </w:lvl>
    <w:lvl w:ilvl="4" w:tplc="04260019" w:tentative="1">
      <w:start w:val="1"/>
      <w:numFmt w:val="lowerLetter"/>
      <w:lvlText w:val="%5."/>
      <w:lvlJc w:val="left"/>
      <w:pPr>
        <w:ind w:left="3571" w:hanging="360"/>
      </w:pPr>
    </w:lvl>
    <w:lvl w:ilvl="5" w:tplc="0426001B" w:tentative="1">
      <w:start w:val="1"/>
      <w:numFmt w:val="lowerRoman"/>
      <w:lvlText w:val="%6."/>
      <w:lvlJc w:val="right"/>
      <w:pPr>
        <w:ind w:left="4291" w:hanging="180"/>
      </w:pPr>
    </w:lvl>
    <w:lvl w:ilvl="6" w:tplc="0426000F" w:tentative="1">
      <w:start w:val="1"/>
      <w:numFmt w:val="decimal"/>
      <w:lvlText w:val="%7."/>
      <w:lvlJc w:val="left"/>
      <w:pPr>
        <w:ind w:left="5011" w:hanging="360"/>
      </w:pPr>
    </w:lvl>
    <w:lvl w:ilvl="7" w:tplc="04260019" w:tentative="1">
      <w:start w:val="1"/>
      <w:numFmt w:val="lowerLetter"/>
      <w:lvlText w:val="%8."/>
      <w:lvlJc w:val="left"/>
      <w:pPr>
        <w:ind w:left="5731" w:hanging="360"/>
      </w:pPr>
    </w:lvl>
    <w:lvl w:ilvl="8" w:tplc="0426001B" w:tentative="1">
      <w:start w:val="1"/>
      <w:numFmt w:val="lowerRoman"/>
      <w:lvlText w:val="%9."/>
      <w:lvlJc w:val="right"/>
      <w:pPr>
        <w:ind w:left="6451" w:hanging="180"/>
      </w:pPr>
    </w:lvl>
  </w:abstractNum>
  <w:abstractNum w:abstractNumId="1" w15:restartNumberingAfterBreak="0">
    <w:nsid w:val="3B6B487E"/>
    <w:multiLevelType w:val="hybridMultilevel"/>
    <w:tmpl w:val="AEBE606C"/>
    <w:lvl w:ilvl="0" w:tplc="791A4F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tentative="1">
      <w:start w:val="1"/>
      <w:numFmt w:val="bullet"/>
      <w:lvlText w:val="o"/>
      <w:lvlJc w:val="left"/>
      <w:pPr>
        <w:ind w:left="1823" w:hanging="360"/>
      </w:pPr>
      <w:rPr>
        <w:rFonts w:ascii="Courier New" w:hAnsi="Courier New" w:cs="Courier New" w:hint="default"/>
      </w:rPr>
    </w:lvl>
    <w:lvl w:ilvl="2" w:tplc="04260005" w:tentative="1">
      <w:start w:val="1"/>
      <w:numFmt w:val="bullet"/>
      <w:lvlText w:val=""/>
      <w:lvlJc w:val="left"/>
      <w:pPr>
        <w:ind w:left="2543" w:hanging="360"/>
      </w:pPr>
      <w:rPr>
        <w:rFonts w:ascii="Wingdings" w:hAnsi="Wingdings" w:hint="default"/>
      </w:rPr>
    </w:lvl>
    <w:lvl w:ilvl="3" w:tplc="04260001" w:tentative="1">
      <w:start w:val="1"/>
      <w:numFmt w:val="bullet"/>
      <w:lvlText w:val=""/>
      <w:lvlJc w:val="left"/>
      <w:pPr>
        <w:ind w:left="3263" w:hanging="360"/>
      </w:pPr>
      <w:rPr>
        <w:rFonts w:ascii="Symbol" w:hAnsi="Symbol" w:hint="default"/>
      </w:rPr>
    </w:lvl>
    <w:lvl w:ilvl="4" w:tplc="04260003" w:tentative="1">
      <w:start w:val="1"/>
      <w:numFmt w:val="bullet"/>
      <w:lvlText w:val="o"/>
      <w:lvlJc w:val="left"/>
      <w:pPr>
        <w:ind w:left="3983" w:hanging="360"/>
      </w:pPr>
      <w:rPr>
        <w:rFonts w:ascii="Courier New" w:hAnsi="Courier New" w:cs="Courier New" w:hint="default"/>
      </w:rPr>
    </w:lvl>
    <w:lvl w:ilvl="5" w:tplc="04260005" w:tentative="1">
      <w:start w:val="1"/>
      <w:numFmt w:val="bullet"/>
      <w:lvlText w:val=""/>
      <w:lvlJc w:val="left"/>
      <w:pPr>
        <w:ind w:left="4703" w:hanging="360"/>
      </w:pPr>
      <w:rPr>
        <w:rFonts w:ascii="Wingdings" w:hAnsi="Wingdings" w:hint="default"/>
      </w:rPr>
    </w:lvl>
    <w:lvl w:ilvl="6" w:tplc="04260001" w:tentative="1">
      <w:start w:val="1"/>
      <w:numFmt w:val="bullet"/>
      <w:lvlText w:val=""/>
      <w:lvlJc w:val="left"/>
      <w:pPr>
        <w:ind w:left="5423" w:hanging="360"/>
      </w:pPr>
      <w:rPr>
        <w:rFonts w:ascii="Symbol" w:hAnsi="Symbol" w:hint="default"/>
      </w:rPr>
    </w:lvl>
    <w:lvl w:ilvl="7" w:tplc="04260003" w:tentative="1">
      <w:start w:val="1"/>
      <w:numFmt w:val="bullet"/>
      <w:lvlText w:val="o"/>
      <w:lvlJc w:val="left"/>
      <w:pPr>
        <w:ind w:left="6143" w:hanging="360"/>
      </w:pPr>
      <w:rPr>
        <w:rFonts w:ascii="Courier New" w:hAnsi="Courier New" w:cs="Courier New" w:hint="default"/>
      </w:rPr>
    </w:lvl>
    <w:lvl w:ilvl="8" w:tplc="04260005" w:tentative="1">
      <w:start w:val="1"/>
      <w:numFmt w:val="bullet"/>
      <w:lvlText w:val=""/>
      <w:lvlJc w:val="left"/>
      <w:pPr>
        <w:ind w:left="686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560A"/>
    <w:rsid w:val="0003016E"/>
    <w:rsid w:val="00095746"/>
    <w:rsid w:val="000A187B"/>
    <w:rsid w:val="000A1C8E"/>
    <w:rsid w:val="000C1FD7"/>
    <w:rsid w:val="000C3429"/>
    <w:rsid w:val="000D7EBC"/>
    <w:rsid w:val="000F1089"/>
    <w:rsid w:val="000F474E"/>
    <w:rsid w:val="000F4F79"/>
    <w:rsid w:val="00137B61"/>
    <w:rsid w:val="00183DAB"/>
    <w:rsid w:val="00186493"/>
    <w:rsid w:val="00197FF3"/>
    <w:rsid w:val="001B2A13"/>
    <w:rsid w:val="001D1F04"/>
    <w:rsid w:val="001E771E"/>
    <w:rsid w:val="00213B81"/>
    <w:rsid w:val="00243426"/>
    <w:rsid w:val="0025037C"/>
    <w:rsid w:val="00262B31"/>
    <w:rsid w:val="00290978"/>
    <w:rsid w:val="00293818"/>
    <w:rsid w:val="002A79C1"/>
    <w:rsid w:val="002E3BE7"/>
    <w:rsid w:val="00312413"/>
    <w:rsid w:val="00323307"/>
    <w:rsid w:val="00331E5D"/>
    <w:rsid w:val="00337115"/>
    <w:rsid w:val="0036443B"/>
    <w:rsid w:val="00392B83"/>
    <w:rsid w:val="00394843"/>
    <w:rsid w:val="00396C0C"/>
    <w:rsid w:val="003B0BF9"/>
    <w:rsid w:val="003D5B21"/>
    <w:rsid w:val="003E0791"/>
    <w:rsid w:val="003F274D"/>
    <w:rsid w:val="003F28AC"/>
    <w:rsid w:val="00412C82"/>
    <w:rsid w:val="00424F2F"/>
    <w:rsid w:val="00436327"/>
    <w:rsid w:val="0044360F"/>
    <w:rsid w:val="004454FE"/>
    <w:rsid w:val="00461E8B"/>
    <w:rsid w:val="00471F27"/>
    <w:rsid w:val="00481778"/>
    <w:rsid w:val="0049184D"/>
    <w:rsid w:val="004B2A57"/>
    <w:rsid w:val="004B760E"/>
    <w:rsid w:val="004E6D6F"/>
    <w:rsid w:val="004E7183"/>
    <w:rsid w:val="004F6693"/>
    <w:rsid w:val="0050178F"/>
    <w:rsid w:val="00506755"/>
    <w:rsid w:val="00526642"/>
    <w:rsid w:val="00553A45"/>
    <w:rsid w:val="00570D43"/>
    <w:rsid w:val="00586E3E"/>
    <w:rsid w:val="0059047F"/>
    <w:rsid w:val="00595198"/>
    <w:rsid w:val="005B1A48"/>
    <w:rsid w:val="005B6AFE"/>
    <w:rsid w:val="005C4185"/>
    <w:rsid w:val="006072EA"/>
    <w:rsid w:val="00607532"/>
    <w:rsid w:val="0061775C"/>
    <w:rsid w:val="0063387C"/>
    <w:rsid w:val="00636448"/>
    <w:rsid w:val="00644C98"/>
    <w:rsid w:val="00645BCB"/>
    <w:rsid w:val="00653A59"/>
    <w:rsid w:val="0065486D"/>
    <w:rsid w:val="00656F09"/>
    <w:rsid w:val="006818DC"/>
    <w:rsid w:val="006877E3"/>
    <w:rsid w:val="00692843"/>
    <w:rsid w:val="006D4B33"/>
    <w:rsid w:val="006E1081"/>
    <w:rsid w:val="006F7B5C"/>
    <w:rsid w:val="00704652"/>
    <w:rsid w:val="00720585"/>
    <w:rsid w:val="00734A28"/>
    <w:rsid w:val="00745B9E"/>
    <w:rsid w:val="0075290F"/>
    <w:rsid w:val="007671C5"/>
    <w:rsid w:val="00773AF6"/>
    <w:rsid w:val="00777F85"/>
    <w:rsid w:val="00783DD4"/>
    <w:rsid w:val="00785B0F"/>
    <w:rsid w:val="00786F01"/>
    <w:rsid w:val="00795F71"/>
    <w:rsid w:val="007A2CF1"/>
    <w:rsid w:val="007C4B89"/>
    <w:rsid w:val="007D0799"/>
    <w:rsid w:val="007E73AB"/>
    <w:rsid w:val="007F372D"/>
    <w:rsid w:val="008064AF"/>
    <w:rsid w:val="00806623"/>
    <w:rsid w:val="00816C11"/>
    <w:rsid w:val="00857330"/>
    <w:rsid w:val="00864E33"/>
    <w:rsid w:val="008765A4"/>
    <w:rsid w:val="008823D9"/>
    <w:rsid w:val="00883CFB"/>
    <w:rsid w:val="00894C55"/>
    <w:rsid w:val="008A3858"/>
    <w:rsid w:val="008E1D56"/>
    <w:rsid w:val="008E4A3B"/>
    <w:rsid w:val="0093524B"/>
    <w:rsid w:val="009452F8"/>
    <w:rsid w:val="00953983"/>
    <w:rsid w:val="00967004"/>
    <w:rsid w:val="00967A60"/>
    <w:rsid w:val="00976C9B"/>
    <w:rsid w:val="009847DF"/>
    <w:rsid w:val="009A2654"/>
    <w:rsid w:val="009A6ACB"/>
    <w:rsid w:val="009C0692"/>
    <w:rsid w:val="009D2D58"/>
    <w:rsid w:val="009D3D50"/>
    <w:rsid w:val="009E6A8A"/>
    <w:rsid w:val="009F1F42"/>
    <w:rsid w:val="009F350E"/>
    <w:rsid w:val="009F588E"/>
    <w:rsid w:val="009F7883"/>
    <w:rsid w:val="00A06629"/>
    <w:rsid w:val="00A0662C"/>
    <w:rsid w:val="00A0700B"/>
    <w:rsid w:val="00A133AC"/>
    <w:rsid w:val="00A13939"/>
    <w:rsid w:val="00A17E28"/>
    <w:rsid w:val="00A57A81"/>
    <w:rsid w:val="00A6073E"/>
    <w:rsid w:val="00A63B81"/>
    <w:rsid w:val="00A87E5E"/>
    <w:rsid w:val="00A92C50"/>
    <w:rsid w:val="00AC0BBF"/>
    <w:rsid w:val="00AC0FB8"/>
    <w:rsid w:val="00AD6876"/>
    <w:rsid w:val="00AE5567"/>
    <w:rsid w:val="00B00F2D"/>
    <w:rsid w:val="00B17744"/>
    <w:rsid w:val="00B2165C"/>
    <w:rsid w:val="00B24B48"/>
    <w:rsid w:val="00B51DAA"/>
    <w:rsid w:val="00B61771"/>
    <w:rsid w:val="00B8113A"/>
    <w:rsid w:val="00B86726"/>
    <w:rsid w:val="00B902CB"/>
    <w:rsid w:val="00BA20AA"/>
    <w:rsid w:val="00BD4425"/>
    <w:rsid w:val="00BD53D2"/>
    <w:rsid w:val="00BD755A"/>
    <w:rsid w:val="00BE5EE0"/>
    <w:rsid w:val="00BF34EC"/>
    <w:rsid w:val="00C07880"/>
    <w:rsid w:val="00C2009D"/>
    <w:rsid w:val="00C22458"/>
    <w:rsid w:val="00C25B49"/>
    <w:rsid w:val="00C33FD8"/>
    <w:rsid w:val="00C40E10"/>
    <w:rsid w:val="00C46FD0"/>
    <w:rsid w:val="00C76ED8"/>
    <w:rsid w:val="00C8087D"/>
    <w:rsid w:val="00C87555"/>
    <w:rsid w:val="00C87D94"/>
    <w:rsid w:val="00C90E45"/>
    <w:rsid w:val="00CE5657"/>
    <w:rsid w:val="00D047F3"/>
    <w:rsid w:val="00D133F8"/>
    <w:rsid w:val="00D24F8A"/>
    <w:rsid w:val="00D50BC5"/>
    <w:rsid w:val="00D85CA5"/>
    <w:rsid w:val="00DA0B31"/>
    <w:rsid w:val="00DC42AB"/>
    <w:rsid w:val="00DC495F"/>
    <w:rsid w:val="00DC5262"/>
    <w:rsid w:val="00DE074C"/>
    <w:rsid w:val="00DE079C"/>
    <w:rsid w:val="00DE1B8F"/>
    <w:rsid w:val="00E0159F"/>
    <w:rsid w:val="00E04E41"/>
    <w:rsid w:val="00E25C05"/>
    <w:rsid w:val="00E3716B"/>
    <w:rsid w:val="00E4605C"/>
    <w:rsid w:val="00E512F0"/>
    <w:rsid w:val="00E55E29"/>
    <w:rsid w:val="00E80B95"/>
    <w:rsid w:val="00E8694D"/>
    <w:rsid w:val="00E90C01"/>
    <w:rsid w:val="00E92CC2"/>
    <w:rsid w:val="00EA2A6E"/>
    <w:rsid w:val="00EA486E"/>
    <w:rsid w:val="00EC1564"/>
    <w:rsid w:val="00EC1AA3"/>
    <w:rsid w:val="00EC4F5D"/>
    <w:rsid w:val="00ED45D2"/>
    <w:rsid w:val="00F13CB8"/>
    <w:rsid w:val="00F13EDB"/>
    <w:rsid w:val="00F2673E"/>
    <w:rsid w:val="00F31C32"/>
    <w:rsid w:val="00F57B0C"/>
    <w:rsid w:val="00F61BBA"/>
    <w:rsid w:val="00F81533"/>
    <w:rsid w:val="00F97777"/>
    <w:rsid w:val="00FB3061"/>
    <w:rsid w:val="00FB46AF"/>
    <w:rsid w:val="00FB7E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0F9B68"/>
  <w15:docId w15:val="{D7CF0895-9B10-4655-8249-CD7D76DB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902CB"/>
    <w:pPr>
      <w:ind w:left="720"/>
      <w:contextualSpacing/>
    </w:pPr>
  </w:style>
  <w:style w:type="paragraph" w:customStyle="1" w:styleId="naiskr">
    <w:name w:val="naiskr"/>
    <w:basedOn w:val="Normal"/>
    <w:rsid w:val="00A06629"/>
    <w:pPr>
      <w:spacing w:before="75" w:after="75" w:line="240" w:lineRule="auto"/>
    </w:pPr>
    <w:rPr>
      <w:rFonts w:ascii="Times New Roman" w:eastAsia="Times New Roman" w:hAnsi="Times New Roman" w:cs="Times New Roman"/>
      <w:sz w:val="24"/>
      <w:szCs w:val="24"/>
      <w:lang w:eastAsia="lv-LV"/>
    </w:rPr>
  </w:style>
  <w:style w:type="table" w:customStyle="1" w:styleId="Reatabulagaia1">
    <w:name w:val="Režģa tabula gaiša1"/>
    <w:basedOn w:val="TableNormal"/>
    <w:uiPriority w:val="40"/>
    <w:rsid w:val="00A066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06629"/>
    <w:pPr>
      <w:spacing w:after="0" w:line="240" w:lineRule="auto"/>
    </w:pPr>
    <w:rPr>
      <w:lang w:val="en-US"/>
    </w:rPr>
  </w:style>
  <w:style w:type="paragraph" w:customStyle="1" w:styleId="naisf">
    <w:name w:val="naisf"/>
    <w:basedOn w:val="Normal"/>
    <w:rsid w:val="00E8694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200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is.avotins@agentur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7873C-5EC5-428A-949E-4D5951FC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12821</Words>
  <Characters>7308</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Manager>Iekšlietu ministrija</Manager>
  <Company>Nodrošinājuma valsts aģentūra</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Gatis Avotiņš</dc:creator>
  <dc:description>67219136, gatis.avotins@agentura.iem.gov.lv</dc:description>
  <cp:lastModifiedBy>Ieva Potjomkina</cp:lastModifiedBy>
  <cp:revision>13</cp:revision>
  <cp:lastPrinted>2017-01-31T09:12:00Z</cp:lastPrinted>
  <dcterms:created xsi:type="dcterms:W3CDTF">2021-07-02T05:56:00Z</dcterms:created>
  <dcterms:modified xsi:type="dcterms:W3CDTF">2021-07-02T07:12:00Z</dcterms:modified>
</cp:coreProperties>
</file>